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3EFEA">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2653D4B5">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5234D3D3">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F290530">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7FE8D476">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7986E925">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572AEADE">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576064E3">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526C95E">
      <w:pPr>
        <w:pageBreakBefore w:val="0"/>
        <w:shd w:val="clear"/>
        <w:kinsoku/>
        <w:topLinePunct w:val="0"/>
        <w:bidi w:val="0"/>
        <w:spacing w:beforeAutospacing="0" w:afterAutospacing="0" w:line="180" w:lineRule="auto"/>
        <w:ind w:left="0" w:leftChars="0" w:right="0" w:rightChars="0"/>
        <w:jc w:val="center"/>
        <w:rPr>
          <w:rFonts w:hint="default" w:ascii="Times New Roman" w:hAnsi="Times New Roman" w:eastAsia="微软雅黑" w:cs="Times New Roman"/>
          <w:color w:val="auto"/>
          <w:sz w:val="71"/>
          <w:szCs w:val="71"/>
        </w:rPr>
      </w:pPr>
      <w:r>
        <w:rPr>
          <w:rFonts w:hint="default" w:ascii="Times New Roman" w:hAnsi="Times New Roman" w:eastAsia="微软雅黑" w:cs="Times New Roman"/>
          <w:color w:val="auto"/>
          <w:sz w:val="71"/>
          <w:szCs w:val="71"/>
        </w:rPr>
        <w:t>建设项目环境影响报告表</w:t>
      </w:r>
    </w:p>
    <w:p w14:paraId="509990C7">
      <w:pPr>
        <w:pageBreakBefore w:val="0"/>
        <w:shd w:val="clear"/>
        <w:kinsoku/>
        <w:topLinePunct w:val="0"/>
        <w:bidi w:val="0"/>
        <w:spacing w:beforeAutospacing="0" w:afterAutospacing="0" w:line="228" w:lineRule="auto"/>
        <w:ind w:left="0" w:leftChars="0" w:right="0" w:rightChars="0"/>
        <w:jc w:val="center"/>
        <w:rPr>
          <w:rFonts w:hint="default" w:ascii="Times New Roman" w:hAnsi="Times New Roman" w:eastAsia="楷体" w:cs="Times New Roman"/>
          <w:color w:val="auto"/>
          <w:sz w:val="47"/>
          <w:szCs w:val="47"/>
        </w:rPr>
      </w:pPr>
      <w:r>
        <w:rPr>
          <w:rFonts w:hint="default" w:ascii="Times New Roman" w:hAnsi="Times New Roman" w:eastAsia="楷体" w:cs="Times New Roman"/>
          <w:color w:val="auto"/>
          <w:sz w:val="47"/>
          <w:szCs w:val="47"/>
        </w:rPr>
        <w:t>（污染影响类）</w:t>
      </w:r>
    </w:p>
    <w:p w14:paraId="7939D163">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0078C156">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F9D1D84">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4D6A9DF9">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5C126016">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15685424">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5626CC3B">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515153C">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31BB2FF6">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38B29C8">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59E64D3B">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4892BA35">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1622E041">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7C5D5D6D">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0D47503E">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7F5871D">
      <w:pPr>
        <w:keepNext w:val="0"/>
        <w:keepLines w:val="0"/>
        <w:pageBreakBefore w:val="0"/>
        <w:widowControl w:val="0"/>
        <w:shd w:val="clear"/>
        <w:tabs>
          <w:tab w:val="left" w:pos="7560"/>
        </w:tabs>
        <w:kinsoku/>
        <w:wordWrap/>
        <w:overflowPunct/>
        <w:topLinePunct w:val="0"/>
        <w:autoSpaceDE/>
        <w:autoSpaceDN/>
        <w:bidi w:val="0"/>
        <w:adjustRightInd/>
        <w:snapToGrid/>
        <w:spacing w:beforeAutospacing="0" w:afterAutospacing="0" w:line="360" w:lineRule="auto"/>
        <w:ind w:left="0" w:leftChars="0" w:right="0" w:rightChars="0" w:firstLine="0" w:firstLineChars="0"/>
        <w:jc w:val="left"/>
        <w:textAlignment w:val="auto"/>
        <w:rPr>
          <w:rFonts w:hint="default" w:ascii="Times New Roman" w:hAnsi="Times New Roman" w:eastAsia="仿宋" w:cs="Times New Roman"/>
          <w:color w:val="auto"/>
          <w:sz w:val="35"/>
          <w:szCs w:val="35"/>
        </w:rPr>
      </w:pPr>
      <w:r>
        <w:rPr>
          <w:rFonts w:hint="default" w:ascii="Times New Roman" w:hAnsi="Times New Roman" w:eastAsia="仿宋" w:cs="Times New Roman"/>
          <w:color w:val="auto"/>
          <w:sz w:val="35"/>
          <w:szCs w:val="35"/>
        </w:rPr>
        <w:t>项目名称：</w:t>
      </w:r>
      <w:r>
        <w:rPr>
          <w:rFonts w:hint="default" w:ascii="Times New Roman" w:hAnsi="Times New Roman" w:eastAsia="仿宋" w:cs="Times New Roman"/>
          <w:color w:val="auto"/>
          <w:sz w:val="35"/>
          <w:szCs w:val="35"/>
          <w:u w:val="single"/>
          <w:lang w:val="en-US" w:eastAsia="zh-CN"/>
        </w:rPr>
        <w:t xml:space="preserve">新疆鑫三环家居装饰材料制造有限公司建设年产40万卷家用封边条项目  </w:t>
      </w:r>
      <w:r>
        <w:rPr>
          <w:rFonts w:hint="eastAsia" w:eastAsia="仿宋" w:cs="Times New Roman"/>
          <w:color w:val="auto"/>
          <w:sz w:val="35"/>
          <w:szCs w:val="35"/>
          <w:u w:val="single"/>
          <w:lang w:val="en-US" w:eastAsia="zh-CN"/>
        </w:rPr>
        <w:t xml:space="preserve">    </w:t>
      </w:r>
      <w:r>
        <w:rPr>
          <w:rFonts w:hint="default" w:ascii="Times New Roman" w:hAnsi="Times New Roman" w:eastAsia="仿宋" w:cs="Times New Roman"/>
          <w:color w:val="auto"/>
          <w:sz w:val="35"/>
          <w:szCs w:val="35"/>
          <w:u w:val="single"/>
          <w:lang w:val="en-US" w:eastAsia="zh-CN"/>
        </w:rPr>
        <w:t xml:space="preserve">             </w:t>
      </w:r>
      <w:r>
        <w:rPr>
          <w:rFonts w:hint="default" w:ascii="Times New Roman" w:hAnsi="Times New Roman" w:eastAsia="仿宋" w:cs="Times New Roman"/>
          <w:color w:val="auto"/>
          <w:sz w:val="35"/>
          <w:szCs w:val="35"/>
          <w:u w:val="single"/>
        </w:rPr>
        <w:t xml:space="preserve">   </w:t>
      </w:r>
    </w:p>
    <w:p w14:paraId="0F54D165">
      <w:pPr>
        <w:keepNext w:val="0"/>
        <w:keepLines w:val="0"/>
        <w:pageBreakBefore w:val="0"/>
        <w:widowControl w:val="0"/>
        <w:shd w:val="clear"/>
        <w:tabs>
          <w:tab w:val="left" w:pos="7560"/>
        </w:tabs>
        <w:kinsoku/>
        <w:wordWrap/>
        <w:overflowPunct/>
        <w:topLinePunct w:val="0"/>
        <w:autoSpaceDE/>
        <w:autoSpaceDN/>
        <w:bidi w:val="0"/>
        <w:adjustRightInd/>
        <w:snapToGrid/>
        <w:spacing w:beforeAutospacing="0" w:afterAutospacing="0" w:line="360" w:lineRule="auto"/>
        <w:ind w:left="0" w:leftChars="0" w:right="0" w:rightChars="0" w:firstLine="0" w:firstLineChars="0"/>
        <w:jc w:val="left"/>
        <w:textAlignment w:val="auto"/>
        <w:rPr>
          <w:rFonts w:hint="default" w:ascii="Times New Roman" w:hAnsi="Times New Roman" w:eastAsia="仿宋" w:cs="Times New Roman"/>
          <w:color w:val="auto"/>
          <w:spacing w:val="-17"/>
          <w:sz w:val="35"/>
          <w:szCs w:val="35"/>
          <w:u w:val="single"/>
        </w:rPr>
      </w:pPr>
      <w:r>
        <w:rPr>
          <w:rFonts w:hint="default" w:ascii="Times New Roman" w:hAnsi="Times New Roman" w:eastAsia="仿宋" w:cs="Times New Roman"/>
          <w:color w:val="auto"/>
          <w:spacing w:val="-17"/>
          <w:sz w:val="35"/>
          <w:szCs w:val="35"/>
        </w:rPr>
        <w:t>建设单位（盖章）：</w:t>
      </w:r>
      <w:r>
        <w:rPr>
          <w:rFonts w:hint="default" w:ascii="Times New Roman" w:hAnsi="Times New Roman" w:eastAsia="仿宋" w:cs="Times New Roman"/>
          <w:color w:val="auto"/>
          <w:spacing w:val="-17"/>
          <w:sz w:val="35"/>
          <w:szCs w:val="35"/>
          <w:u w:val="single"/>
          <w:lang w:val="en-US" w:eastAsia="zh-CN"/>
        </w:rPr>
        <w:t>新疆鑫三环家居装饰材料制造有限公司</w:t>
      </w:r>
    </w:p>
    <w:p w14:paraId="58614540">
      <w:pPr>
        <w:keepNext w:val="0"/>
        <w:keepLines w:val="0"/>
        <w:pageBreakBefore w:val="0"/>
        <w:widowControl w:val="0"/>
        <w:shd w:val="clear"/>
        <w:tabs>
          <w:tab w:val="left" w:pos="7560"/>
        </w:tabs>
        <w:kinsoku/>
        <w:wordWrap/>
        <w:overflowPunct/>
        <w:topLinePunct w:val="0"/>
        <w:autoSpaceDE/>
        <w:autoSpaceDN/>
        <w:bidi w:val="0"/>
        <w:adjustRightInd/>
        <w:snapToGrid/>
        <w:spacing w:beforeAutospacing="0" w:afterAutospacing="0" w:line="360" w:lineRule="auto"/>
        <w:ind w:left="0" w:leftChars="0" w:right="0" w:rightChars="0" w:firstLine="0" w:firstLineChars="0"/>
        <w:jc w:val="left"/>
        <w:textAlignment w:val="auto"/>
        <w:rPr>
          <w:rFonts w:hint="default" w:ascii="Times New Roman" w:hAnsi="Times New Roman" w:eastAsia="仿宋" w:cs="Times New Roman"/>
          <w:color w:val="auto"/>
          <w:sz w:val="35"/>
          <w:szCs w:val="35"/>
          <w:u w:val="single"/>
        </w:rPr>
      </w:pPr>
      <w:r>
        <w:rPr>
          <w:rFonts w:hint="default" w:ascii="Times New Roman" w:hAnsi="Times New Roman" w:eastAsia="仿宋" w:cs="Times New Roman"/>
          <w:color w:val="auto"/>
          <w:sz w:val="35"/>
          <w:szCs w:val="35"/>
        </w:rPr>
        <w:t>编制日期：</w:t>
      </w:r>
      <w:r>
        <w:rPr>
          <w:rFonts w:hint="default" w:ascii="Times New Roman" w:hAnsi="Times New Roman" w:eastAsia="仿宋" w:cs="Times New Roman"/>
          <w:color w:val="auto"/>
          <w:sz w:val="35"/>
          <w:szCs w:val="35"/>
          <w:u w:val="single"/>
        </w:rPr>
        <w:t xml:space="preserve">    </w:t>
      </w:r>
      <w:r>
        <w:rPr>
          <w:rFonts w:hint="default" w:ascii="Times New Roman" w:hAnsi="Times New Roman" w:eastAsia="仿宋" w:cs="Times New Roman"/>
          <w:color w:val="auto"/>
          <w:sz w:val="35"/>
          <w:szCs w:val="35"/>
          <w:u w:val="single"/>
          <w:lang w:val="en-US" w:eastAsia="zh-CN"/>
        </w:rPr>
        <w:t xml:space="preserve">    二〇二</w:t>
      </w:r>
      <w:r>
        <w:rPr>
          <w:rFonts w:hint="eastAsia" w:eastAsia="仿宋" w:cs="Times New Roman"/>
          <w:color w:val="auto"/>
          <w:sz w:val="35"/>
          <w:szCs w:val="35"/>
          <w:u w:val="single"/>
          <w:lang w:val="en-US" w:eastAsia="zh-CN"/>
        </w:rPr>
        <w:t>六</w:t>
      </w:r>
      <w:r>
        <w:rPr>
          <w:rFonts w:hint="default" w:ascii="Times New Roman" w:hAnsi="Times New Roman" w:eastAsia="仿宋" w:cs="Times New Roman"/>
          <w:color w:val="auto"/>
          <w:sz w:val="35"/>
          <w:szCs w:val="35"/>
          <w:u w:val="single"/>
          <w:lang w:val="en-US" w:eastAsia="zh-CN"/>
        </w:rPr>
        <w:t>年</w:t>
      </w:r>
      <w:r>
        <w:rPr>
          <w:rFonts w:hint="eastAsia" w:eastAsia="仿宋" w:cs="Times New Roman"/>
          <w:color w:val="auto"/>
          <w:sz w:val="35"/>
          <w:szCs w:val="35"/>
          <w:u w:val="single"/>
          <w:lang w:val="en-US" w:eastAsia="zh-CN"/>
        </w:rPr>
        <w:t>五</w:t>
      </w:r>
      <w:r>
        <w:rPr>
          <w:rFonts w:hint="default" w:ascii="Times New Roman" w:hAnsi="Times New Roman" w:eastAsia="仿宋" w:cs="Times New Roman"/>
          <w:color w:val="auto"/>
          <w:sz w:val="35"/>
          <w:szCs w:val="35"/>
          <w:u w:val="single"/>
          <w:lang w:val="en-US" w:eastAsia="zh-CN"/>
        </w:rPr>
        <w:t>月</w:t>
      </w:r>
      <w:r>
        <w:rPr>
          <w:rFonts w:hint="default" w:ascii="Times New Roman" w:hAnsi="Times New Roman" w:eastAsia="仿宋" w:cs="Times New Roman"/>
          <w:color w:val="auto"/>
          <w:sz w:val="35"/>
          <w:szCs w:val="35"/>
          <w:u w:val="single"/>
        </w:rPr>
        <w:t xml:space="preserve">               </w:t>
      </w:r>
    </w:p>
    <w:p w14:paraId="299BCDB8">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2D0E931">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6073E06C">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17DD44F4">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12782B0C">
      <w:pPr>
        <w:pageBreakBefore w:val="0"/>
        <w:shd w:val="clear"/>
        <w:kinsoku/>
        <w:topLinePunct w:val="0"/>
        <w:bidi w:val="0"/>
        <w:spacing w:beforeAutospacing="0" w:afterAutospacing="0"/>
        <w:ind w:left="0" w:leftChars="0" w:right="0" w:rightChars="0"/>
        <w:jc w:val="center"/>
        <w:rPr>
          <w:rFonts w:hint="default" w:ascii="Times New Roman" w:hAnsi="Times New Roman" w:eastAsia="楷体" w:cs="Times New Roman"/>
          <w:color w:val="auto"/>
          <w:sz w:val="35"/>
          <w:szCs w:val="35"/>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楷体" w:cs="Times New Roman"/>
          <w:color w:val="auto"/>
          <w:sz w:val="35"/>
          <w:szCs w:val="35"/>
        </w:rPr>
        <w:t>中华人民共和国生态环境部制</w:t>
      </w:r>
    </w:p>
    <w:p w14:paraId="6ABB2C01">
      <w:pPr>
        <w:rPr>
          <w:rFonts w:hint="default" w:ascii="Times New Roman" w:hAnsi="Times New Roman" w:cs="Times New Roman"/>
          <w:b/>
          <w:color w:val="auto"/>
          <w:sz w:val="44"/>
          <w:szCs w:val="44"/>
        </w:rPr>
      </w:pPr>
      <w:r>
        <w:rPr>
          <w:rFonts w:hint="default" w:ascii="Times New Roman" w:hAnsi="Times New Roman" w:cs="Times New Roman"/>
          <w:b/>
          <w:color w:val="auto"/>
          <w:sz w:val="44"/>
          <w:szCs w:val="44"/>
        </w:rPr>
        <w:br w:type="page"/>
      </w:r>
    </w:p>
    <w:p w14:paraId="478D8468">
      <w:pPr>
        <w:rPr>
          <w:rFonts w:hint="default" w:ascii="Times New Roman" w:hAnsi="Times New Roman" w:cs="Times New Roman"/>
          <w:b/>
          <w:color w:val="auto"/>
          <w:sz w:val="44"/>
          <w:szCs w:val="44"/>
        </w:rPr>
      </w:pPr>
      <w:r>
        <w:rPr>
          <w:rFonts w:hint="default" w:ascii="Times New Roman" w:hAnsi="Times New Roman" w:cs="Times New Roman"/>
          <w:b/>
          <w:color w:val="auto"/>
          <w:sz w:val="44"/>
          <w:szCs w:val="44"/>
        </w:rPr>
        <w:br w:type="page"/>
      </w:r>
    </w:p>
    <w:p w14:paraId="7762A536">
      <w:pPr>
        <w:pageBreakBefore w:val="0"/>
        <w:shd w:val="clear"/>
        <w:kinsoku/>
        <w:topLinePunct w:val="0"/>
        <w:bidi w:val="0"/>
        <w:spacing w:beforeAutospacing="0" w:afterAutospacing="0"/>
        <w:ind w:left="0" w:leftChars="0" w:right="0" w:rightChars="0"/>
        <w:jc w:val="center"/>
        <w:rPr>
          <w:rFonts w:hint="default" w:ascii="Times New Roman" w:hAnsi="Times New Roman" w:cs="Times New Roman"/>
          <w:b/>
          <w:color w:val="auto"/>
          <w:sz w:val="44"/>
          <w:szCs w:val="44"/>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C367822">
      <w:pPr>
        <w:rPr>
          <w:rFonts w:hint="default" w:ascii="Times New Roman" w:hAnsi="Times New Roman" w:cs="Times New Roman"/>
          <w:b/>
          <w:color w:val="auto"/>
          <w:sz w:val="44"/>
          <w:szCs w:val="44"/>
        </w:rPr>
      </w:pPr>
      <w:r>
        <w:rPr>
          <w:rFonts w:hint="default" w:ascii="Times New Roman" w:hAnsi="Times New Roman" w:cs="Times New Roman"/>
          <w:b/>
          <w:color w:val="auto"/>
          <w:sz w:val="44"/>
          <w:szCs w:val="44"/>
        </w:rPr>
        <w:br w:type="page"/>
      </w:r>
    </w:p>
    <w:p w14:paraId="05EAB21F">
      <w:pPr>
        <w:pageBreakBefore w:val="0"/>
        <w:shd w:val="clear"/>
        <w:kinsoku/>
        <w:topLinePunct w:val="0"/>
        <w:bidi w:val="0"/>
        <w:spacing w:beforeAutospacing="0" w:afterAutospacing="0"/>
        <w:ind w:left="0" w:leftChars="0" w:right="0" w:rightChars="0"/>
        <w:jc w:val="center"/>
        <w:rPr>
          <w:rFonts w:hint="default" w:ascii="Times New Roman" w:hAnsi="Times New Roman" w:cs="Times New Roman"/>
          <w:b/>
          <w:color w:val="auto"/>
          <w:sz w:val="44"/>
          <w:szCs w:val="44"/>
        </w:rPr>
      </w:pPr>
      <w:r>
        <w:rPr>
          <w:rFonts w:hint="default" w:ascii="Times New Roman" w:hAnsi="Times New Roman" w:cs="Times New Roman"/>
          <w:b/>
          <w:color w:val="auto"/>
          <w:sz w:val="44"/>
          <w:szCs w:val="44"/>
        </w:rPr>
        <w:t>目  录</w:t>
      </w:r>
    </w:p>
    <w:p w14:paraId="222CE902">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eastAsia="楷体" w:cs="Times New Roman"/>
          <w:color w:val="auto"/>
          <w:sz w:val="35"/>
          <w:szCs w:val="35"/>
        </w:rPr>
        <w:fldChar w:fldCharType="begin"/>
      </w:r>
      <w:r>
        <w:rPr>
          <w:rFonts w:hint="default" w:ascii="Times New Roman" w:hAnsi="Times New Roman" w:eastAsia="楷体" w:cs="Times New Roman"/>
          <w:color w:val="auto"/>
          <w:sz w:val="35"/>
          <w:szCs w:val="35"/>
        </w:rPr>
        <w:instrText xml:space="preserve"> TOC \o "1-1" \h \z \u </w:instrText>
      </w:r>
      <w:r>
        <w:rPr>
          <w:rFonts w:hint="default" w:ascii="Times New Roman" w:hAnsi="Times New Roman" w:eastAsia="楷体" w:cs="Times New Roman"/>
          <w:color w:val="auto"/>
          <w:sz w:val="35"/>
          <w:szCs w:val="35"/>
        </w:rPr>
        <w:fldChar w:fldCharType="separate"/>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"_Toc109993626" </w:instrText>
      </w:r>
      <w:r>
        <w:rPr>
          <w:rFonts w:hint="default" w:ascii="Times New Roman" w:hAnsi="Times New Roman" w:cs="Times New Roman"/>
          <w:color w:val="auto"/>
        </w:rPr>
        <w:fldChar w:fldCharType="separate"/>
      </w:r>
      <w:r>
        <w:rPr>
          <w:rStyle w:val="29"/>
          <w:rFonts w:hint="default" w:ascii="Times New Roman" w:hAnsi="Times New Roman" w:cs="Times New Roman"/>
          <w:color w:val="auto"/>
        </w:rPr>
        <w:t>一、 建设项目基本情况</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_Toc109993626 \h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77F9E0A8">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"_Toc109993627" </w:instrText>
      </w:r>
      <w:r>
        <w:rPr>
          <w:rFonts w:hint="default" w:ascii="Times New Roman" w:hAnsi="Times New Roman" w:cs="Times New Roman"/>
          <w:color w:val="auto"/>
        </w:rPr>
        <w:fldChar w:fldCharType="separate"/>
      </w:r>
      <w:r>
        <w:rPr>
          <w:rStyle w:val="29"/>
          <w:rFonts w:hint="default" w:ascii="Times New Roman" w:hAnsi="Times New Roman" w:cs="Times New Roman"/>
          <w:color w:val="auto"/>
        </w:rPr>
        <w:t>二、 建设项目工程分析</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_Toc109993627 \h </w:instrText>
      </w:r>
      <w:r>
        <w:rPr>
          <w:rFonts w:hint="default" w:ascii="Times New Roman" w:hAnsi="Times New Roman" w:cs="Times New Roman"/>
          <w:color w:val="auto"/>
        </w:rPr>
        <w:fldChar w:fldCharType="separate"/>
      </w:r>
      <w:r>
        <w:rPr>
          <w:rFonts w:hint="default" w:ascii="Times New Roman" w:hAnsi="Times New Roman" w:cs="Times New Roman"/>
          <w:color w:val="auto"/>
        </w:rPr>
        <w:t>18</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22BE9A29">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"_Toc109993628" </w:instrText>
      </w:r>
      <w:r>
        <w:rPr>
          <w:rFonts w:hint="default" w:ascii="Times New Roman" w:hAnsi="Times New Roman" w:cs="Times New Roman"/>
          <w:color w:val="auto"/>
        </w:rPr>
        <w:fldChar w:fldCharType="separate"/>
      </w:r>
      <w:r>
        <w:rPr>
          <w:rStyle w:val="29"/>
          <w:rFonts w:hint="default" w:ascii="Times New Roman" w:hAnsi="Times New Roman" w:cs="Times New Roman"/>
          <w:color w:val="auto"/>
        </w:rPr>
        <w:t>三、 区域环境质量现状、环境保护目标及评价标准</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_Toc109993628 \h </w:instrText>
      </w:r>
      <w:r>
        <w:rPr>
          <w:rFonts w:hint="default" w:ascii="Times New Roman" w:hAnsi="Times New Roman" w:cs="Times New Roman"/>
          <w:color w:val="auto"/>
        </w:rPr>
        <w:fldChar w:fldCharType="separate"/>
      </w:r>
      <w:r>
        <w:rPr>
          <w:rFonts w:hint="default" w:ascii="Times New Roman" w:hAnsi="Times New Roman" w:cs="Times New Roman"/>
          <w:color w:val="auto"/>
        </w:rPr>
        <w:t>29</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11CE2D65">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"_Toc109993629" </w:instrText>
      </w:r>
      <w:r>
        <w:rPr>
          <w:rFonts w:hint="default" w:ascii="Times New Roman" w:hAnsi="Times New Roman" w:cs="Times New Roman"/>
          <w:color w:val="auto"/>
        </w:rPr>
        <w:fldChar w:fldCharType="separate"/>
      </w:r>
      <w:r>
        <w:rPr>
          <w:rStyle w:val="29"/>
          <w:rFonts w:hint="default" w:ascii="Times New Roman" w:hAnsi="Times New Roman" w:cs="Times New Roman"/>
          <w:color w:val="auto"/>
        </w:rPr>
        <w:t>四、 主要环境影响和保护措施</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_Toc109993629 \h </w:instrText>
      </w:r>
      <w:r>
        <w:rPr>
          <w:rFonts w:hint="default" w:ascii="Times New Roman" w:hAnsi="Times New Roman" w:cs="Times New Roman"/>
          <w:color w:val="auto"/>
        </w:rPr>
        <w:fldChar w:fldCharType="separate"/>
      </w:r>
      <w:r>
        <w:rPr>
          <w:rFonts w:hint="default" w:ascii="Times New Roman" w:hAnsi="Times New Roman" w:cs="Times New Roman"/>
          <w:color w:val="auto"/>
        </w:rPr>
        <w:t>36</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5BB518D8">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"_Toc109993630" </w:instrText>
      </w:r>
      <w:r>
        <w:rPr>
          <w:rFonts w:hint="default" w:ascii="Times New Roman" w:hAnsi="Times New Roman" w:cs="Times New Roman"/>
          <w:color w:val="auto"/>
        </w:rPr>
        <w:fldChar w:fldCharType="separate"/>
      </w:r>
      <w:r>
        <w:rPr>
          <w:rStyle w:val="29"/>
          <w:rFonts w:hint="default" w:ascii="Times New Roman" w:hAnsi="Times New Roman" w:cs="Times New Roman"/>
          <w:color w:val="auto"/>
        </w:rPr>
        <w:t>五、 环境保护措施监督检查清单</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_Toc109993630 \h </w:instrText>
      </w:r>
      <w:r>
        <w:rPr>
          <w:rFonts w:hint="default" w:ascii="Times New Roman" w:hAnsi="Times New Roman" w:cs="Times New Roman"/>
          <w:color w:val="auto"/>
        </w:rPr>
        <w:fldChar w:fldCharType="separate"/>
      </w:r>
      <w:r>
        <w:rPr>
          <w:rFonts w:hint="default" w:ascii="Times New Roman" w:hAnsi="Times New Roman" w:cs="Times New Roman"/>
          <w:color w:val="auto"/>
        </w:rPr>
        <w:t>70</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74CE7E2F">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"_Toc109993631" </w:instrText>
      </w:r>
      <w:r>
        <w:rPr>
          <w:rFonts w:hint="default" w:ascii="Times New Roman" w:hAnsi="Times New Roman" w:cs="Times New Roman"/>
          <w:color w:val="auto"/>
        </w:rPr>
        <w:fldChar w:fldCharType="separate"/>
      </w:r>
      <w:r>
        <w:rPr>
          <w:rStyle w:val="29"/>
          <w:rFonts w:hint="default" w:ascii="Times New Roman" w:hAnsi="Times New Roman" w:cs="Times New Roman"/>
          <w:color w:val="auto"/>
        </w:rPr>
        <w:t>六、 结论</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_Toc109993631 \h </w:instrText>
      </w:r>
      <w:r>
        <w:rPr>
          <w:rFonts w:hint="default" w:ascii="Times New Roman" w:hAnsi="Times New Roman" w:cs="Times New Roman"/>
          <w:color w:val="auto"/>
        </w:rPr>
        <w:fldChar w:fldCharType="separate"/>
      </w:r>
      <w:r>
        <w:rPr>
          <w:rFonts w:hint="default" w:ascii="Times New Roman" w:hAnsi="Times New Roman" w:cs="Times New Roman"/>
          <w:color w:val="auto"/>
        </w:rPr>
        <w:t>74</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3E22402A">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"_Toc109993632" </w:instrText>
      </w:r>
      <w:r>
        <w:rPr>
          <w:rFonts w:hint="default" w:ascii="Times New Roman" w:hAnsi="Times New Roman" w:cs="Times New Roman"/>
          <w:color w:val="auto"/>
        </w:rPr>
        <w:fldChar w:fldCharType="separate"/>
      </w:r>
      <w:r>
        <w:rPr>
          <w:rStyle w:val="29"/>
          <w:rFonts w:hint="default" w:ascii="Times New Roman" w:hAnsi="Times New Roman" w:eastAsia="黑体" w:cs="Times New Roman"/>
          <w:color w:val="auto"/>
        </w:rPr>
        <w:t>附表</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_Toc109993632 \h </w:instrText>
      </w:r>
      <w:r>
        <w:rPr>
          <w:rFonts w:hint="default" w:ascii="Times New Roman" w:hAnsi="Times New Roman" w:cs="Times New Roman"/>
          <w:color w:val="auto"/>
        </w:rPr>
        <w:fldChar w:fldCharType="separate"/>
      </w:r>
      <w:r>
        <w:rPr>
          <w:rFonts w:hint="default" w:ascii="Times New Roman" w:hAnsi="Times New Roman" w:cs="Times New Roman"/>
          <w:color w:val="auto"/>
        </w:rPr>
        <w:t>75</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4CCFB7A9">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"_Toc109993633" </w:instrText>
      </w:r>
      <w:r>
        <w:rPr>
          <w:rFonts w:hint="default" w:ascii="Times New Roman" w:hAnsi="Times New Roman" w:cs="Times New Roman"/>
          <w:color w:val="auto"/>
        </w:rPr>
        <w:fldChar w:fldCharType="separate"/>
      </w:r>
      <w:r>
        <w:rPr>
          <w:rStyle w:val="29"/>
          <w:rFonts w:hint="default" w:ascii="Times New Roman" w:hAnsi="Times New Roman" w:eastAsia="黑体" w:cs="Times New Roman"/>
          <w:color w:val="auto"/>
        </w:rPr>
        <w:t>附件</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_Toc109993633 \h </w:instrText>
      </w:r>
      <w:r>
        <w:rPr>
          <w:rFonts w:hint="default" w:ascii="Times New Roman" w:hAnsi="Times New Roman" w:cs="Times New Roman"/>
          <w:color w:val="auto"/>
        </w:rPr>
        <w:fldChar w:fldCharType="separate"/>
      </w:r>
      <w:r>
        <w:rPr>
          <w:rFonts w:hint="default" w:ascii="Times New Roman" w:hAnsi="Times New Roman" w:cs="Times New Roman"/>
          <w:color w:val="auto"/>
        </w:rPr>
        <w:t>77</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2429A617">
      <w:pPr>
        <w:pStyle w:val="20"/>
        <w:pageBreakBefore w:val="0"/>
        <w:shd w:val="clear"/>
        <w:tabs>
          <w:tab w:val="right" w:leader="dot" w:pos="8296"/>
        </w:tabs>
        <w:kinsoku/>
        <w:topLinePunct w:val="0"/>
        <w:bidi w:val="0"/>
        <w:spacing w:beforeAutospacing="0" w:afterAutospacing="0"/>
        <w:ind w:left="0" w:leftChars="0" w:right="0" w:rightChars="0"/>
        <w:rPr>
          <w:rFonts w:hint="default" w:ascii="Times New Roman" w:hAnsi="Times New Roman" w:cs="Times New Roman" w:eastAsiaTheme="minorEastAsia"/>
          <w:color w:val="auto"/>
          <w:sz w:val="21"/>
          <w:szCs w:val="22"/>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"_Toc109993634" </w:instrText>
      </w:r>
      <w:r>
        <w:rPr>
          <w:rFonts w:hint="default" w:ascii="Times New Roman" w:hAnsi="Times New Roman" w:cs="Times New Roman"/>
          <w:color w:val="auto"/>
        </w:rPr>
        <w:fldChar w:fldCharType="separate"/>
      </w:r>
      <w:r>
        <w:rPr>
          <w:rStyle w:val="29"/>
          <w:rFonts w:hint="default" w:ascii="Times New Roman" w:hAnsi="Times New Roman" w:eastAsia="黑体" w:cs="Times New Roman"/>
          <w:color w:val="auto"/>
        </w:rPr>
        <w:t>附图</w:t>
      </w:r>
      <w:r>
        <w:rPr>
          <w:rFonts w:hint="default" w:ascii="Times New Roman" w:hAnsi="Times New Roman" w:cs="Times New Roman"/>
          <w:color w:val="auto"/>
        </w:rPr>
        <w:tab/>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PAGEREF _Toc109993634 \h </w:instrText>
      </w:r>
      <w:r>
        <w:rPr>
          <w:rFonts w:hint="default" w:ascii="Times New Roman" w:hAnsi="Times New Roman" w:cs="Times New Roman"/>
          <w:color w:val="auto"/>
        </w:rPr>
        <w:fldChar w:fldCharType="separate"/>
      </w:r>
      <w:r>
        <w:rPr>
          <w:rFonts w:hint="default" w:ascii="Times New Roman" w:hAnsi="Times New Roman" w:cs="Times New Roman"/>
          <w:color w:val="auto"/>
        </w:rPr>
        <w:t>86</w:t>
      </w:r>
      <w:r>
        <w:rPr>
          <w:rFonts w:hint="default" w:ascii="Times New Roman" w:hAnsi="Times New Roman" w:cs="Times New Roman"/>
          <w:color w:val="auto"/>
        </w:rPr>
        <w:fldChar w:fldCharType="end"/>
      </w:r>
      <w:r>
        <w:rPr>
          <w:rFonts w:hint="default" w:ascii="Times New Roman" w:hAnsi="Times New Roman" w:cs="Times New Roman"/>
          <w:color w:val="auto"/>
        </w:rPr>
        <w:fldChar w:fldCharType="end"/>
      </w:r>
    </w:p>
    <w:p w14:paraId="463BED33">
      <w:pPr>
        <w:pageBreakBefore w:val="0"/>
        <w:shd w:val="clear"/>
        <w:kinsoku/>
        <w:topLinePunct w:val="0"/>
        <w:bidi w:val="0"/>
        <w:spacing w:beforeAutospacing="0" w:afterAutospacing="0"/>
        <w:ind w:left="0" w:leftChars="0" w:right="0" w:rightChars="0"/>
        <w:jc w:val="center"/>
        <w:rPr>
          <w:rFonts w:hint="default" w:ascii="Times New Roman" w:hAnsi="Times New Roman" w:eastAsia="楷体" w:cs="Times New Roman"/>
          <w:color w:val="auto"/>
          <w:sz w:val="35"/>
          <w:szCs w:val="35"/>
        </w:rPr>
      </w:pPr>
      <w:r>
        <w:rPr>
          <w:rFonts w:hint="default" w:ascii="Times New Roman" w:hAnsi="Times New Roman" w:eastAsia="楷体" w:cs="Times New Roman"/>
          <w:color w:val="auto"/>
          <w:sz w:val="35"/>
          <w:szCs w:val="35"/>
        </w:rPr>
        <w:fldChar w:fldCharType="end"/>
      </w:r>
    </w:p>
    <w:p w14:paraId="4210DAF5">
      <w:pPr>
        <w:pageBreakBefore w:val="0"/>
        <w:shd w:val="clear"/>
        <w:kinsoku/>
        <w:topLinePunct w:val="0"/>
        <w:bidi w:val="0"/>
        <w:spacing w:beforeAutospacing="0" w:afterAutospacing="0"/>
        <w:ind w:left="0" w:leftChars="0" w:right="0" w:rightChars="0"/>
        <w:jc w:val="center"/>
        <w:rPr>
          <w:rFonts w:hint="default" w:ascii="Times New Roman" w:hAnsi="Times New Roman" w:eastAsia="楷体" w:cs="Times New Roman"/>
          <w:color w:val="auto"/>
          <w:sz w:val="35"/>
          <w:szCs w:val="35"/>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4B6476E">
      <w:pPr>
        <w:pageBreakBefore w:val="0"/>
        <w:shd w:val="clear"/>
        <w:kinsoku/>
        <w:topLinePunct w:val="0"/>
        <w:bidi w:val="0"/>
        <w:spacing w:beforeAutospacing="0" w:afterAutospacing="0"/>
        <w:ind w:left="0" w:leftChars="0" w:right="0" w:rightChars="0"/>
        <w:jc w:val="center"/>
        <w:rPr>
          <w:rFonts w:hint="default" w:ascii="Times New Roman" w:hAnsi="Times New Roman" w:eastAsia="楷体" w:cs="Times New Roman"/>
          <w:color w:val="auto"/>
          <w:sz w:val="35"/>
          <w:szCs w:val="35"/>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5DECB52">
      <w:pPr>
        <w:pStyle w:val="6"/>
        <w:pageBreakBefore w:val="0"/>
        <w:numPr>
          <w:ilvl w:val="0"/>
          <w:numId w:val="0"/>
        </w:numPr>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color w:val="auto"/>
        </w:rPr>
      </w:pPr>
      <w:bookmarkStart w:id="0" w:name="_Toc109993626"/>
      <w:r>
        <w:rPr>
          <w:rFonts w:hint="eastAsia" w:ascii="Times New Roman" w:hAnsi="Times New Roman" w:eastAsia="黑体" w:cs="Times New Roman"/>
          <w:bCs/>
          <w:color w:val="auto"/>
          <w:kern w:val="44"/>
          <w:sz w:val="28"/>
          <w:szCs w:val="44"/>
          <w:lang w:val="en-US" w:eastAsia="zh-CN" w:bidi="ar-SA"/>
        </w:rPr>
        <w:t>一、</w:t>
      </w:r>
      <w:r>
        <w:rPr>
          <w:rFonts w:hint="default" w:ascii="Times New Roman" w:hAnsi="Times New Roman" w:cs="Times New Roman"/>
          <w:color w:val="auto"/>
        </w:rPr>
        <w:t>建设项目基本情况</w:t>
      </w:r>
      <w:bookmarkEnd w:id="0"/>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28" w:type="dxa"/>
        </w:tblCellMar>
      </w:tblPr>
      <w:tblGrid>
        <w:gridCol w:w="1709"/>
        <w:gridCol w:w="2103"/>
        <w:gridCol w:w="1839"/>
        <w:gridCol w:w="2625"/>
      </w:tblGrid>
      <w:tr w14:paraId="2F07F3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0EF0089C">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建设项目名称</w:t>
            </w:r>
          </w:p>
        </w:tc>
        <w:tc>
          <w:tcPr>
            <w:tcW w:w="6579" w:type="dxa"/>
            <w:gridSpan w:val="3"/>
            <w:tcBorders>
              <w:tl2br w:val="nil"/>
              <w:tr2bl w:val="nil"/>
            </w:tcBorders>
            <w:vAlign w:val="center"/>
          </w:tcPr>
          <w:p w14:paraId="1DB94B81">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新疆鑫三环家居装饰材料制造有限公司建设年产40万卷家用封边条项目</w:t>
            </w:r>
          </w:p>
        </w:tc>
      </w:tr>
      <w:tr w14:paraId="3F5304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3047520D">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项目代码</w:t>
            </w:r>
          </w:p>
        </w:tc>
        <w:tc>
          <w:tcPr>
            <w:tcW w:w="6579" w:type="dxa"/>
            <w:gridSpan w:val="3"/>
            <w:tcBorders>
              <w:tl2br w:val="nil"/>
              <w:tr2bl w:val="nil"/>
            </w:tcBorders>
            <w:vAlign w:val="center"/>
          </w:tcPr>
          <w:p w14:paraId="7EDFF185">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p>
        </w:tc>
      </w:tr>
      <w:tr w14:paraId="3AA975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27050148">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建设单位联系人</w:t>
            </w:r>
          </w:p>
        </w:tc>
        <w:tc>
          <w:tcPr>
            <w:tcW w:w="2106" w:type="dxa"/>
            <w:tcBorders>
              <w:tl2br w:val="nil"/>
              <w:tr2bl w:val="nil"/>
            </w:tcBorders>
            <w:vAlign w:val="center"/>
          </w:tcPr>
          <w:p w14:paraId="65BD8399">
            <w:pPr>
              <w:pStyle w:val="35"/>
              <w:pageBreakBefore w:val="0"/>
              <w:shd w:val="clear"/>
              <w:kinsoku/>
              <w:topLinePunct w:val="0"/>
              <w:bidi w:val="0"/>
              <w:spacing w:beforeAutospacing="0" w:afterAutospacing="0"/>
              <w:ind w:left="0" w:leftChars="0" w:right="0" w:rightChars="0"/>
              <w:rPr>
                <w:rStyle w:val="32"/>
                <w:rFonts w:hint="default" w:ascii="Times New Roman" w:hAnsi="Times New Roman" w:eastAsia="宋体" w:cs="Times New Roman"/>
                <w:color w:val="auto"/>
                <w:lang w:val="en-US" w:eastAsia="zh-CN"/>
              </w:rPr>
            </w:pPr>
            <w:r>
              <w:rPr>
                <w:rStyle w:val="32"/>
                <w:rFonts w:hint="eastAsia" w:cs="Times New Roman"/>
                <w:color w:val="auto"/>
                <w:lang w:val="en-US" w:eastAsia="zh-CN"/>
              </w:rPr>
              <w:t>/</w:t>
            </w:r>
          </w:p>
        </w:tc>
        <w:tc>
          <w:tcPr>
            <w:tcW w:w="1842" w:type="dxa"/>
            <w:tcBorders>
              <w:tl2br w:val="nil"/>
              <w:tr2bl w:val="nil"/>
            </w:tcBorders>
            <w:vAlign w:val="center"/>
          </w:tcPr>
          <w:p w14:paraId="6F4417A4">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联系方式</w:t>
            </w:r>
          </w:p>
        </w:tc>
        <w:tc>
          <w:tcPr>
            <w:tcW w:w="2631" w:type="dxa"/>
            <w:tcBorders>
              <w:tl2br w:val="nil"/>
              <w:tr2bl w:val="nil"/>
            </w:tcBorders>
            <w:vAlign w:val="center"/>
          </w:tcPr>
          <w:p w14:paraId="2B4D61CE">
            <w:pPr>
              <w:pStyle w:val="35"/>
              <w:pageBreakBefore w:val="0"/>
              <w:shd w:val="clear"/>
              <w:kinsoku/>
              <w:topLinePunct w:val="0"/>
              <w:bidi w:val="0"/>
              <w:spacing w:beforeAutospacing="0" w:afterAutospacing="0"/>
              <w:ind w:left="0" w:leftChars="0" w:right="0" w:rightChars="0"/>
              <w:rPr>
                <w:rStyle w:val="32"/>
                <w:rFonts w:hint="eastAsia" w:ascii="Times New Roman" w:hAnsi="Times New Roman" w:eastAsia="宋体" w:cs="Times New Roman"/>
                <w:color w:val="auto"/>
                <w:lang w:eastAsia="zh-CN"/>
              </w:rPr>
            </w:pPr>
            <w:r>
              <w:rPr>
                <w:rStyle w:val="32"/>
                <w:rFonts w:hint="eastAsia" w:cs="Times New Roman"/>
                <w:color w:val="auto"/>
                <w:lang w:val="en-US" w:eastAsia="zh-CN"/>
              </w:rPr>
              <w:t>/</w:t>
            </w:r>
          </w:p>
        </w:tc>
      </w:tr>
      <w:tr w14:paraId="41BF45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24D40101">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建设地点</w:t>
            </w:r>
          </w:p>
        </w:tc>
        <w:tc>
          <w:tcPr>
            <w:tcW w:w="6579" w:type="dxa"/>
            <w:gridSpan w:val="3"/>
            <w:tcBorders>
              <w:tl2br w:val="nil"/>
              <w:tr2bl w:val="nil"/>
            </w:tcBorders>
            <w:vAlign w:val="center"/>
          </w:tcPr>
          <w:p w14:paraId="0E4CC5B6">
            <w:pPr>
              <w:pStyle w:val="35"/>
              <w:pageBreakBefore w:val="0"/>
              <w:shd w:val="clear"/>
              <w:kinsoku/>
              <w:topLinePunct w:val="0"/>
              <w:bidi w:val="0"/>
              <w:spacing w:beforeAutospacing="0" w:afterAutospacing="0"/>
              <w:ind w:left="0" w:leftChars="0" w:right="0" w:rightChars="0"/>
              <w:jc w:val="center"/>
              <w:rPr>
                <w:rStyle w:val="32"/>
                <w:rFonts w:hint="eastAsia" w:ascii="Times New Roman" w:hAnsi="Times New Roman" w:eastAsia="宋体" w:cs="Times New Roman"/>
                <w:color w:val="auto"/>
                <w:lang w:val="en-US" w:eastAsia="zh-CN"/>
              </w:rPr>
            </w:pPr>
            <w:r>
              <w:rPr>
                <w:rStyle w:val="32"/>
                <w:rFonts w:hint="eastAsia" w:cs="Times New Roman"/>
                <w:color w:val="auto"/>
                <w:lang w:val="en-US" w:eastAsia="zh-CN"/>
              </w:rPr>
              <w:t>/</w:t>
            </w:r>
          </w:p>
        </w:tc>
      </w:tr>
      <w:tr w14:paraId="70C1F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369D4EEF">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地理坐标</w:t>
            </w:r>
          </w:p>
        </w:tc>
        <w:tc>
          <w:tcPr>
            <w:tcW w:w="6579" w:type="dxa"/>
            <w:gridSpan w:val="3"/>
            <w:tcBorders>
              <w:tl2br w:val="nil"/>
              <w:tr2bl w:val="nil"/>
            </w:tcBorders>
            <w:vAlign w:val="center"/>
          </w:tcPr>
          <w:p w14:paraId="140A94F6">
            <w:pPr>
              <w:pStyle w:val="35"/>
              <w:pageBreakBefore w:val="0"/>
              <w:shd w:val="clear"/>
              <w:kinsoku/>
              <w:topLinePunct w:val="0"/>
              <w:bidi w:val="0"/>
              <w:spacing w:beforeAutospacing="0" w:afterAutospacing="0"/>
              <w:ind w:left="0" w:leftChars="0" w:right="0" w:rightChars="0"/>
              <w:rPr>
                <w:rStyle w:val="32"/>
                <w:rFonts w:hint="eastAsia" w:ascii="Times New Roman" w:hAnsi="Times New Roman" w:eastAsia="宋体" w:cs="Times New Roman"/>
                <w:color w:val="auto"/>
                <w:lang w:eastAsia="zh-CN"/>
              </w:rPr>
            </w:pPr>
            <w:r>
              <w:rPr>
                <w:rStyle w:val="32"/>
                <w:rFonts w:hint="eastAsia" w:cs="Times New Roman"/>
                <w:color w:val="auto"/>
                <w:lang w:val="en-US" w:eastAsia="zh-CN"/>
              </w:rPr>
              <w:t>/</w:t>
            </w:r>
          </w:p>
        </w:tc>
      </w:tr>
      <w:tr w14:paraId="34493E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296FCA45">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国民经济</w:t>
            </w:r>
          </w:p>
          <w:p w14:paraId="2C7085E2">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行业类别</w:t>
            </w:r>
          </w:p>
        </w:tc>
        <w:tc>
          <w:tcPr>
            <w:tcW w:w="2106" w:type="dxa"/>
            <w:tcBorders>
              <w:tl2br w:val="nil"/>
              <w:tr2bl w:val="nil"/>
            </w:tcBorders>
            <w:vAlign w:val="center"/>
          </w:tcPr>
          <w:p w14:paraId="30145F2D">
            <w:pPr>
              <w:keepNext w:val="0"/>
              <w:keepLines w:val="0"/>
              <w:pageBreakBefore w:val="0"/>
              <w:widowControl/>
              <w:suppressLineNumbers w:val="0"/>
              <w:shd w:val="clear"/>
              <w:kinsoku/>
              <w:topLinePunct w:val="0"/>
              <w:bidi w:val="0"/>
              <w:spacing w:beforeAutospacing="0" w:afterAutospacing="0"/>
              <w:ind w:left="0" w:leftChars="0" w:right="0" w:rightChars="0"/>
              <w:jc w:val="center"/>
              <w:rPr>
                <w:rStyle w:val="32"/>
                <w:rFonts w:hint="default" w:ascii="Times New Roman" w:hAnsi="Times New Roman" w:cs="Times New Roman"/>
                <w:color w:val="auto"/>
                <w:szCs w:val="21"/>
                <w:lang w:val="en-US" w:eastAsia="zh-CN" w:bidi="ar-SA"/>
              </w:rPr>
            </w:pPr>
            <w:r>
              <w:rPr>
                <w:rStyle w:val="32"/>
                <w:rFonts w:hint="default" w:ascii="Times New Roman" w:hAnsi="Times New Roman" w:cs="Times New Roman"/>
                <w:color w:val="auto"/>
                <w:szCs w:val="21"/>
                <w:lang w:val="en-US" w:eastAsia="zh-CN" w:bidi="ar-SA"/>
              </w:rPr>
              <w:t>C2929塑料零件及其他塑料制品制造</w:t>
            </w:r>
          </w:p>
        </w:tc>
        <w:tc>
          <w:tcPr>
            <w:tcW w:w="1842" w:type="dxa"/>
            <w:tcBorders>
              <w:tl2br w:val="nil"/>
              <w:tr2bl w:val="nil"/>
            </w:tcBorders>
            <w:vAlign w:val="center"/>
          </w:tcPr>
          <w:p w14:paraId="44F050E8">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szCs w:val="21"/>
                <w:lang w:val="en-US" w:eastAsia="zh-CN" w:bidi="ar-SA"/>
              </w:rPr>
            </w:pPr>
            <w:r>
              <w:rPr>
                <w:rStyle w:val="32"/>
                <w:rFonts w:hint="default" w:ascii="Times New Roman" w:hAnsi="Times New Roman" w:cs="Times New Roman"/>
                <w:color w:val="auto"/>
                <w:szCs w:val="21"/>
                <w:lang w:val="en-US" w:eastAsia="zh-CN" w:bidi="ar-SA"/>
              </w:rPr>
              <w:t>建设项目</w:t>
            </w:r>
          </w:p>
          <w:p w14:paraId="150333B6">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szCs w:val="21"/>
                <w:lang w:val="en-US" w:eastAsia="zh-CN" w:bidi="ar-SA"/>
              </w:rPr>
            </w:pPr>
            <w:r>
              <w:rPr>
                <w:rStyle w:val="32"/>
                <w:rFonts w:hint="default" w:ascii="Times New Roman" w:hAnsi="Times New Roman" w:cs="Times New Roman"/>
                <w:color w:val="auto"/>
                <w:szCs w:val="21"/>
                <w:lang w:val="en-US" w:eastAsia="zh-CN" w:bidi="ar-SA"/>
              </w:rPr>
              <w:t>行业类别</w:t>
            </w:r>
          </w:p>
        </w:tc>
        <w:tc>
          <w:tcPr>
            <w:tcW w:w="2631" w:type="dxa"/>
            <w:tcBorders>
              <w:tl2br w:val="nil"/>
              <w:tr2bl w:val="nil"/>
            </w:tcBorders>
            <w:vAlign w:val="center"/>
          </w:tcPr>
          <w:p w14:paraId="34E2A910">
            <w:pPr>
              <w:keepNext w:val="0"/>
              <w:keepLines w:val="0"/>
              <w:pageBreakBefore w:val="0"/>
              <w:widowControl/>
              <w:suppressLineNumbers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szCs w:val="21"/>
                <w:lang w:val="en-US" w:eastAsia="zh-CN" w:bidi="ar-SA"/>
              </w:rPr>
            </w:pPr>
            <w:r>
              <w:rPr>
                <w:rStyle w:val="32"/>
                <w:rFonts w:hint="default" w:ascii="Times New Roman" w:hAnsi="Times New Roman" w:cs="Times New Roman"/>
                <w:color w:val="auto"/>
                <w:szCs w:val="21"/>
                <w:lang w:val="en-US" w:eastAsia="zh-CN" w:bidi="ar-SA"/>
              </w:rPr>
              <w:t>二十六、橡胶和塑料制品业 29、53 塑料制品业 292</w:t>
            </w:r>
          </w:p>
        </w:tc>
      </w:tr>
      <w:tr w14:paraId="0A96B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310BB1FE">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建设性质</w:t>
            </w:r>
          </w:p>
        </w:tc>
        <w:tc>
          <w:tcPr>
            <w:tcW w:w="2106" w:type="dxa"/>
            <w:tcBorders>
              <w:tl2br w:val="nil"/>
              <w:tr2bl w:val="nil"/>
            </w:tcBorders>
            <w:vAlign w:val="center"/>
          </w:tcPr>
          <w:p w14:paraId="729B115D">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sym w:font="Wingdings 2" w:char="F052"/>
            </w:r>
            <w:r>
              <w:rPr>
                <w:rStyle w:val="32"/>
                <w:rFonts w:hint="default" w:ascii="Times New Roman" w:hAnsi="Times New Roman" w:cs="Times New Roman"/>
                <w:color w:val="auto"/>
              </w:rPr>
              <w:t>新建（迁建）</w:t>
            </w:r>
          </w:p>
          <w:p w14:paraId="7ECF90AE">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□改建</w:t>
            </w:r>
          </w:p>
          <w:p w14:paraId="4EA016D3">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□扩建</w:t>
            </w:r>
          </w:p>
          <w:p w14:paraId="74B9016D">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□技术改造</w:t>
            </w:r>
          </w:p>
        </w:tc>
        <w:tc>
          <w:tcPr>
            <w:tcW w:w="1842" w:type="dxa"/>
            <w:tcBorders>
              <w:tl2br w:val="nil"/>
              <w:tr2bl w:val="nil"/>
            </w:tcBorders>
            <w:vAlign w:val="center"/>
          </w:tcPr>
          <w:p w14:paraId="781A6770">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建设项目</w:t>
            </w:r>
          </w:p>
          <w:p w14:paraId="760439DE">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申报情形</w:t>
            </w:r>
          </w:p>
        </w:tc>
        <w:tc>
          <w:tcPr>
            <w:tcW w:w="2631" w:type="dxa"/>
            <w:tcBorders>
              <w:tl2br w:val="nil"/>
              <w:tr2bl w:val="nil"/>
            </w:tcBorders>
            <w:vAlign w:val="center"/>
          </w:tcPr>
          <w:p w14:paraId="2935FE2C">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sym w:font="Wingdings 2" w:char="F052"/>
            </w:r>
            <w:r>
              <w:rPr>
                <w:rStyle w:val="32"/>
                <w:rFonts w:hint="default" w:ascii="Times New Roman" w:hAnsi="Times New Roman" w:cs="Times New Roman"/>
                <w:color w:val="auto"/>
              </w:rPr>
              <w:t>首次申报项目</w:t>
            </w:r>
          </w:p>
          <w:p w14:paraId="782F3B3E">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□不予批准后再次申报项目</w:t>
            </w:r>
          </w:p>
          <w:p w14:paraId="24B32A11">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□超五年重新审核项目</w:t>
            </w:r>
          </w:p>
          <w:p w14:paraId="4D262C58">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□重大变动重新报批项目</w:t>
            </w:r>
          </w:p>
        </w:tc>
      </w:tr>
      <w:tr w14:paraId="6B405A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3B100554">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项目审批(核准/ 备案)部门(选填)</w:t>
            </w:r>
          </w:p>
        </w:tc>
        <w:tc>
          <w:tcPr>
            <w:tcW w:w="2106" w:type="dxa"/>
            <w:tcBorders>
              <w:tl2br w:val="nil"/>
              <w:tr2bl w:val="nil"/>
            </w:tcBorders>
            <w:vAlign w:val="center"/>
          </w:tcPr>
          <w:p w14:paraId="2523298B">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Fonts w:hint="default" w:ascii="Times New Roman" w:hAnsi="Times New Roman" w:eastAsia="Segoe UI" w:cs="Times New Roman"/>
                <w:i w:val="0"/>
                <w:iCs w:val="0"/>
                <w:caps w:val="0"/>
                <w:color w:val="auto"/>
                <w:spacing w:val="0"/>
                <w:sz w:val="24"/>
                <w:szCs w:val="24"/>
                <w:shd w:val="clear" w:fill="FFFFFF"/>
              </w:rPr>
              <w:t>阜康市发展和改革委员会</w:t>
            </w:r>
          </w:p>
        </w:tc>
        <w:tc>
          <w:tcPr>
            <w:tcW w:w="1842" w:type="dxa"/>
            <w:tcBorders>
              <w:tl2br w:val="nil"/>
              <w:tr2bl w:val="nil"/>
            </w:tcBorders>
            <w:vAlign w:val="center"/>
          </w:tcPr>
          <w:p w14:paraId="2AB8E255">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项目审批 (核准/ 备案) 文号 (选填)</w:t>
            </w:r>
          </w:p>
        </w:tc>
        <w:tc>
          <w:tcPr>
            <w:tcW w:w="2631" w:type="dxa"/>
            <w:tcBorders>
              <w:tl2br w:val="nil"/>
              <w:tr2bl w:val="nil"/>
            </w:tcBorders>
            <w:vAlign w:val="center"/>
          </w:tcPr>
          <w:p w14:paraId="269ADB80">
            <w:pPr>
              <w:pStyle w:val="35"/>
              <w:pageBreakBefore w:val="0"/>
              <w:shd w:val="clear"/>
              <w:kinsoku/>
              <w:topLinePunct w:val="0"/>
              <w:bidi w:val="0"/>
              <w:spacing w:beforeAutospacing="0" w:afterAutospacing="0"/>
              <w:ind w:left="0" w:leftChars="0" w:right="0" w:rightChars="0"/>
              <w:jc w:val="center"/>
              <w:rPr>
                <w:rStyle w:val="32"/>
                <w:rFonts w:hint="eastAsia" w:ascii="Times New Roman" w:hAnsi="Times New Roman" w:eastAsia="宋体" w:cs="Times New Roman"/>
                <w:color w:val="auto"/>
                <w:lang w:eastAsia="zh-CN"/>
              </w:rPr>
            </w:pPr>
            <w:r>
              <w:rPr>
                <w:rStyle w:val="32"/>
                <w:rFonts w:hint="eastAsia" w:cs="Times New Roman"/>
                <w:color w:val="auto"/>
                <w:lang w:val="en-US" w:eastAsia="zh-CN"/>
              </w:rPr>
              <w:t>/</w:t>
            </w:r>
          </w:p>
        </w:tc>
      </w:tr>
      <w:tr w14:paraId="113B1C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45A04980">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总投资 (万元)</w:t>
            </w:r>
          </w:p>
        </w:tc>
        <w:tc>
          <w:tcPr>
            <w:tcW w:w="2106" w:type="dxa"/>
            <w:tcBorders>
              <w:tl2br w:val="nil"/>
              <w:tr2bl w:val="nil"/>
            </w:tcBorders>
            <w:vAlign w:val="center"/>
          </w:tcPr>
          <w:p w14:paraId="7CDD9DA8">
            <w:pPr>
              <w:pStyle w:val="35"/>
              <w:pageBreakBefore w:val="0"/>
              <w:shd w:val="clear"/>
              <w:kinsoku/>
              <w:topLinePunct w:val="0"/>
              <w:bidi w:val="0"/>
              <w:spacing w:beforeAutospacing="0" w:afterAutospacing="0"/>
              <w:ind w:left="0" w:leftChars="0" w:right="0" w:rightChars="0"/>
              <w:rPr>
                <w:rStyle w:val="32"/>
                <w:rFonts w:hint="default" w:ascii="Times New Roman" w:hAnsi="Times New Roman" w:eastAsia="宋体" w:cs="Times New Roman"/>
                <w:color w:val="auto"/>
                <w:lang w:val="en-US" w:eastAsia="zh-CN"/>
              </w:rPr>
            </w:pPr>
            <w:r>
              <w:rPr>
                <w:rStyle w:val="32"/>
                <w:rFonts w:hint="default" w:ascii="Times New Roman" w:hAnsi="Times New Roman" w:cs="Times New Roman"/>
                <w:color w:val="auto"/>
                <w:lang w:val="en-US" w:eastAsia="zh-CN"/>
              </w:rPr>
              <w:t>500</w:t>
            </w:r>
          </w:p>
        </w:tc>
        <w:tc>
          <w:tcPr>
            <w:tcW w:w="1842" w:type="dxa"/>
            <w:tcBorders>
              <w:tl2br w:val="nil"/>
              <w:tr2bl w:val="nil"/>
            </w:tcBorders>
            <w:vAlign w:val="center"/>
          </w:tcPr>
          <w:p w14:paraId="0D48FC32">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环保投资 (万元)</w:t>
            </w:r>
          </w:p>
        </w:tc>
        <w:tc>
          <w:tcPr>
            <w:tcW w:w="2631" w:type="dxa"/>
            <w:tcBorders>
              <w:tl2br w:val="nil"/>
              <w:tr2bl w:val="nil"/>
            </w:tcBorders>
            <w:vAlign w:val="center"/>
          </w:tcPr>
          <w:p w14:paraId="0C383BE9">
            <w:pPr>
              <w:pStyle w:val="35"/>
              <w:pageBreakBefore w:val="0"/>
              <w:shd w:val="clear"/>
              <w:kinsoku/>
              <w:topLinePunct w:val="0"/>
              <w:bidi w:val="0"/>
              <w:spacing w:beforeAutospacing="0" w:afterAutospacing="0"/>
              <w:ind w:left="0" w:leftChars="0" w:right="0" w:rightChars="0"/>
              <w:rPr>
                <w:rStyle w:val="32"/>
                <w:rFonts w:hint="default" w:ascii="Times New Roman" w:hAnsi="Times New Roman" w:eastAsia="宋体" w:cs="Times New Roman"/>
                <w:color w:val="auto"/>
                <w:lang w:val="en-US" w:eastAsia="zh-CN"/>
              </w:rPr>
            </w:pPr>
            <w:r>
              <w:rPr>
                <w:rStyle w:val="32"/>
                <w:rFonts w:hint="eastAsia" w:cs="Times New Roman"/>
                <w:color w:val="auto"/>
                <w:lang w:val="en-US" w:eastAsia="zh-CN"/>
              </w:rPr>
              <w:t>56.5</w:t>
            </w:r>
          </w:p>
        </w:tc>
      </w:tr>
      <w:tr w14:paraId="3F10BE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37336636">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环保投资占比 (%)</w:t>
            </w:r>
          </w:p>
        </w:tc>
        <w:tc>
          <w:tcPr>
            <w:tcW w:w="2106" w:type="dxa"/>
            <w:tcBorders>
              <w:tl2br w:val="nil"/>
              <w:tr2bl w:val="nil"/>
            </w:tcBorders>
            <w:vAlign w:val="center"/>
          </w:tcPr>
          <w:p w14:paraId="27408337">
            <w:pPr>
              <w:pStyle w:val="35"/>
              <w:pageBreakBefore w:val="0"/>
              <w:shd w:val="clear"/>
              <w:kinsoku/>
              <w:topLinePunct w:val="0"/>
              <w:bidi w:val="0"/>
              <w:spacing w:beforeAutospacing="0" w:afterAutospacing="0"/>
              <w:ind w:left="0" w:leftChars="0" w:right="0" w:rightChars="0"/>
              <w:rPr>
                <w:rStyle w:val="32"/>
                <w:rFonts w:hint="default" w:ascii="Times New Roman" w:hAnsi="Times New Roman" w:eastAsia="宋体" w:cs="Times New Roman"/>
                <w:color w:val="auto"/>
                <w:lang w:val="en-US" w:eastAsia="zh-CN"/>
              </w:rPr>
            </w:pPr>
            <w:r>
              <w:rPr>
                <w:rStyle w:val="32"/>
                <w:rFonts w:hint="eastAsia" w:cs="Times New Roman"/>
                <w:color w:val="auto"/>
                <w:lang w:val="en-US" w:eastAsia="zh-CN"/>
              </w:rPr>
              <w:t>11.3</w:t>
            </w:r>
          </w:p>
        </w:tc>
        <w:tc>
          <w:tcPr>
            <w:tcW w:w="1842" w:type="dxa"/>
            <w:tcBorders>
              <w:tl2br w:val="nil"/>
              <w:tr2bl w:val="nil"/>
            </w:tcBorders>
            <w:vAlign w:val="center"/>
          </w:tcPr>
          <w:p w14:paraId="55B100C9">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施工工期</w:t>
            </w:r>
          </w:p>
        </w:tc>
        <w:tc>
          <w:tcPr>
            <w:tcW w:w="2631" w:type="dxa"/>
            <w:tcBorders>
              <w:tl2br w:val="nil"/>
              <w:tr2bl w:val="nil"/>
            </w:tcBorders>
            <w:vAlign w:val="center"/>
          </w:tcPr>
          <w:p w14:paraId="309D22FC">
            <w:pPr>
              <w:pStyle w:val="35"/>
              <w:pageBreakBefore w:val="0"/>
              <w:shd w:val="clear"/>
              <w:kinsoku/>
              <w:topLinePunct w:val="0"/>
              <w:bidi w:val="0"/>
              <w:spacing w:beforeAutospacing="0" w:afterAutospacing="0"/>
              <w:ind w:left="0" w:leftChars="0" w:right="0" w:rightChars="0"/>
              <w:rPr>
                <w:rStyle w:val="32"/>
                <w:rFonts w:hint="default" w:ascii="Times New Roman" w:hAnsi="Times New Roman" w:eastAsia="宋体" w:cs="Times New Roman"/>
                <w:color w:val="auto"/>
                <w:lang w:val="en-US" w:eastAsia="zh-CN"/>
              </w:rPr>
            </w:pPr>
            <w:r>
              <w:rPr>
                <w:rStyle w:val="32"/>
                <w:rFonts w:hint="default" w:ascii="Times New Roman" w:hAnsi="Times New Roman" w:cs="Times New Roman"/>
                <w:color w:val="auto"/>
                <w:lang w:val="en-US" w:eastAsia="zh-CN"/>
              </w:rPr>
              <w:t>1</w:t>
            </w:r>
          </w:p>
        </w:tc>
      </w:tr>
      <w:tr w14:paraId="36D2C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19424B68">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是否开工建设</w:t>
            </w:r>
          </w:p>
        </w:tc>
        <w:tc>
          <w:tcPr>
            <w:tcW w:w="2106" w:type="dxa"/>
            <w:tcBorders>
              <w:tl2br w:val="nil"/>
              <w:tr2bl w:val="nil"/>
            </w:tcBorders>
            <w:vAlign w:val="center"/>
          </w:tcPr>
          <w:p w14:paraId="1D8C4E3E">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sym w:font="Wingdings 2" w:char="F052"/>
            </w:r>
            <w:r>
              <w:rPr>
                <w:rStyle w:val="32"/>
                <w:rFonts w:hint="default" w:ascii="Times New Roman" w:hAnsi="Times New Roman" w:cs="Times New Roman"/>
                <w:color w:val="auto"/>
              </w:rPr>
              <w:t>否</w:t>
            </w:r>
          </w:p>
          <w:p w14:paraId="1C213CDB">
            <w:pPr>
              <w:pStyle w:val="35"/>
              <w:pageBreakBefore w:val="0"/>
              <w:shd w:val="clear"/>
              <w:kinsoku/>
              <w:topLinePunct w:val="0"/>
              <w:bidi w:val="0"/>
              <w:spacing w:beforeAutospacing="0" w:afterAutospacing="0"/>
              <w:ind w:left="0" w:leftChars="0" w:right="0" w:rightChars="0"/>
              <w:jc w:val="left"/>
              <w:rPr>
                <w:rStyle w:val="32"/>
                <w:rFonts w:hint="default" w:ascii="Times New Roman" w:hAnsi="Times New Roman" w:cs="Times New Roman"/>
                <w:color w:val="auto"/>
              </w:rPr>
            </w:pPr>
            <w:r>
              <w:rPr>
                <w:rStyle w:val="32"/>
                <w:rFonts w:hint="default" w:ascii="Times New Roman" w:hAnsi="Times New Roman" w:cs="Times New Roman"/>
                <w:color w:val="auto"/>
              </w:rPr>
              <w:t>□是</w:t>
            </w:r>
          </w:p>
        </w:tc>
        <w:tc>
          <w:tcPr>
            <w:tcW w:w="1842" w:type="dxa"/>
            <w:tcBorders>
              <w:tl2br w:val="nil"/>
              <w:tr2bl w:val="nil"/>
            </w:tcBorders>
            <w:vAlign w:val="center"/>
          </w:tcPr>
          <w:p w14:paraId="61A3EC8B">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用地 (用海)</w:t>
            </w:r>
          </w:p>
          <w:p w14:paraId="7F64F8E8">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面积 (m</w:t>
            </w:r>
            <w:r>
              <w:rPr>
                <w:rStyle w:val="32"/>
                <w:rFonts w:hint="default" w:ascii="Times New Roman" w:hAnsi="Times New Roman" w:cs="Times New Roman"/>
                <w:color w:val="auto"/>
                <w:vertAlign w:val="superscript"/>
              </w:rPr>
              <w:t>2</w:t>
            </w:r>
            <w:r>
              <w:rPr>
                <w:rStyle w:val="32"/>
                <w:rFonts w:hint="default" w:ascii="Times New Roman" w:hAnsi="Times New Roman" w:cs="Times New Roman"/>
                <w:color w:val="auto"/>
              </w:rPr>
              <w:t xml:space="preserve"> )</w:t>
            </w:r>
          </w:p>
        </w:tc>
        <w:tc>
          <w:tcPr>
            <w:tcW w:w="2631" w:type="dxa"/>
            <w:tcBorders>
              <w:tl2br w:val="nil"/>
              <w:tr2bl w:val="nil"/>
            </w:tcBorders>
            <w:vAlign w:val="center"/>
          </w:tcPr>
          <w:p w14:paraId="068BA6EB">
            <w:pPr>
              <w:pStyle w:val="35"/>
              <w:pageBreakBefore w:val="0"/>
              <w:shd w:val="clear"/>
              <w:kinsoku/>
              <w:topLinePunct w:val="0"/>
              <w:bidi w:val="0"/>
              <w:spacing w:beforeAutospacing="0" w:afterAutospacing="0"/>
              <w:ind w:left="0" w:leftChars="0" w:right="0" w:rightChars="0"/>
              <w:rPr>
                <w:rStyle w:val="32"/>
                <w:rFonts w:hint="default" w:ascii="Times New Roman" w:hAnsi="Times New Roman" w:eastAsia="宋体" w:cs="Times New Roman"/>
                <w:color w:val="auto"/>
                <w:lang w:val="en-US" w:eastAsia="zh-CN"/>
              </w:rPr>
            </w:pPr>
            <w:r>
              <w:rPr>
                <w:rStyle w:val="32"/>
                <w:rFonts w:hint="eastAsia" w:cs="Times New Roman"/>
                <w:color w:val="auto"/>
                <w:lang w:val="en-US" w:eastAsia="zh-CN"/>
              </w:rPr>
              <w:t>3390</w:t>
            </w:r>
          </w:p>
        </w:tc>
      </w:tr>
      <w:tr w14:paraId="15777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4C576BB2">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专项评价设置情况</w:t>
            </w:r>
          </w:p>
        </w:tc>
        <w:tc>
          <w:tcPr>
            <w:tcW w:w="6579" w:type="dxa"/>
            <w:gridSpan w:val="3"/>
            <w:tcBorders>
              <w:tl2br w:val="nil"/>
              <w:tr2bl w:val="nil"/>
            </w:tcBorders>
            <w:vAlign w:val="center"/>
          </w:tcPr>
          <w:p w14:paraId="3B08E17C">
            <w:pPr>
              <w:keepNext w:val="0"/>
              <w:keepLines w:val="0"/>
              <w:pageBreakBefore w:val="0"/>
              <w:widowControl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Style w:val="32"/>
                <w:rFonts w:hint="default" w:ascii="Times New Roman" w:hAnsi="Times New Roman" w:cs="Times New Roman"/>
                <w:color w:val="auto"/>
              </w:rPr>
            </w:pPr>
            <w:r>
              <w:rPr>
                <w:rFonts w:hint="default" w:ascii="Times New Roman" w:hAnsi="Times New Roman" w:cs="Times New Roman"/>
                <w:color w:val="auto"/>
                <w:spacing w:val="0"/>
                <w:kern w:val="0"/>
                <w:position w:val="0"/>
                <w:sz w:val="24"/>
                <w:szCs w:val="24"/>
                <w:highlight w:val="none"/>
                <w:lang w:val="en-US" w:eastAsia="zh-CN"/>
              </w:rPr>
              <w:t>无</w:t>
            </w:r>
          </w:p>
        </w:tc>
      </w:tr>
      <w:tr w14:paraId="7238A2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566D4829">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规划情况</w:t>
            </w:r>
          </w:p>
        </w:tc>
        <w:tc>
          <w:tcPr>
            <w:tcW w:w="6579" w:type="dxa"/>
            <w:gridSpan w:val="3"/>
            <w:tcBorders>
              <w:tl2br w:val="nil"/>
              <w:tr2bl w:val="nil"/>
            </w:tcBorders>
            <w:vAlign w:val="center"/>
          </w:tcPr>
          <w:p w14:paraId="6B728558">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left"/>
              <w:textAlignment w:val="auto"/>
              <w:rPr>
                <w:rFonts w:hint="default" w:ascii="Times New Roman" w:hAnsi="Times New Roman" w:cs="Times New Roman"/>
                <w:b/>
                <w:bCs w:val="0"/>
                <w:color w:val="auto"/>
                <w:spacing w:val="0"/>
                <w:kern w:val="0"/>
                <w:position w:val="0"/>
                <w:sz w:val="24"/>
                <w:szCs w:val="24"/>
                <w:highlight w:val="none"/>
                <w:lang w:val="en-US" w:eastAsia="zh-CN"/>
              </w:rPr>
            </w:pPr>
            <w:r>
              <w:rPr>
                <w:rFonts w:hint="default" w:ascii="Times New Roman" w:hAnsi="Times New Roman" w:cs="Times New Roman"/>
                <w:b/>
                <w:bCs w:val="0"/>
                <w:color w:val="auto"/>
                <w:spacing w:val="0"/>
                <w:kern w:val="0"/>
                <w:position w:val="0"/>
                <w:sz w:val="24"/>
                <w:szCs w:val="24"/>
                <w:highlight w:val="none"/>
                <w:lang w:val="en-US" w:eastAsia="zh-CN"/>
              </w:rPr>
              <w:t>规划文件：</w:t>
            </w:r>
            <w:r>
              <w:rPr>
                <w:rFonts w:hint="default" w:ascii="Times New Roman" w:hAnsi="Times New Roman" w:cs="Times New Roman"/>
                <w:b w:val="0"/>
                <w:bCs/>
                <w:color w:val="auto"/>
                <w:spacing w:val="0"/>
                <w:kern w:val="0"/>
                <w:position w:val="0"/>
                <w:sz w:val="24"/>
                <w:szCs w:val="24"/>
                <w:highlight w:val="none"/>
                <w:lang w:val="en-US" w:eastAsia="zh-CN"/>
              </w:rPr>
              <w:t>《甘泉堡工业园总体规划（2016—2030年）（2016修订稿）》</w:t>
            </w:r>
          </w:p>
          <w:p w14:paraId="0E03C68A">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left"/>
              <w:textAlignment w:val="auto"/>
              <w:rPr>
                <w:rFonts w:hint="default" w:ascii="Times New Roman" w:hAnsi="Times New Roman" w:cs="Times New Roman"/>
                <w:b w:val="0"/>
                <w:bCs/>
                <w:color w:val="auto"/>
                <w:spacing w:val="0"/>
                <w:kern w:val="0"/>
                <w:position w:val="0"/>
                <w:sz w:val="24"/>
                <w:szCs w:val="24"/>
                <w:highlight w:val="none"/>
                <w:lang w:val="en-US" w:eastAsia="zh-CN"/>
              </w:rPr>
            </w:pPr>
            <w:r>
              <w:rPr>
                <w:rFonts w:hint="default" w:ascii="Times New Roman" w:hAnsi="Times New Roman" w:cs="Times New Roman"/>
                <w:b/>
                <w:bCs w:val="0"/>
                <w:color w:val="auto"/>
                <w:spacing w:val="0"/>
                <w:kern w:val="0"/>
                <w:position w:val="0"/>
                <w:sz w:val="24"/>
                <w:szCs w:val="24"/>
                <w:highlight w:val="none"/>
                <w:lang w:val="en-US" w:eastAsia="zh-CN"/>
              </w:rPr>
              <w:t>审批机关：</w:t>
            </w:r>
            <w:r>
              <w:rPr>
                <w:rFonts w:hint="default" w:ascii="Times New Roman" w:hAnsi="Times New Roman" w:cs="Times New Roman"/>
                <w:b w:val="0"/>
                <w:bCs/>
                <w:color w:val="auto"/>
                <w:spacing w:val="0"/>
                <w:kern w:val="0"/>
                <w:position w:val="0"/>
                <w:sz w:val="24"/>
                <w:szCs w:val="24"/>
                <w:highlight w:val="none"/>
                <w:lang w:val="en-US" w:eastAsia="zh-CN"/>
              </w:rPr>
              <w:t>新疆维吾尔自治区人民政府</w:t>
            </w:r>
          </w:p>
          <w:p w14:paraId="15DCEA6C">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left"/>
              <w:textAlignment w:val="auto"/>
              <w:rPr>
                <w:rStyle w:val="32"/>
                <w:rFonts w:hint="default" w:ascii="Times New Roman" w:hAnsi="Times New Roman" w:cs="Times New Roman"/>
                <w:color w:val="auto"/>
                <w:sz w:val="24"/>
                <w:szCs w:val="24"/>
              </w:rPr>
            </w:pPr>
            <w:r>
              <w:rPr>
                <w:rFonts w:hint="default" w:ascii="Times New Roman" w:hAnsi="Times New Roman" w:cs="Times New Roman"/>
                <w:b/>
                <w:bCs w:val="0"/>
                <w:color w:val="auto"/>
                <w:spacing w:val="0"/>
                <w:kern w:val="0"/>
                <w:position w:val="0"/>
                <w:sz w:val="24"/>
                <w:szCs w:val="24"/>
                <w:highlight w:val="none"/>
                <w:lang w:val="en-US" w:eastAsia="zh-CN"/>
              </w:rPr>
              <w:t>审批文件名称及文号：</w:t>
            </w:r>
            <w:r>
              <w:rPr>
                <w:rFonts w:hint="default" w:ascii="Times New Roman" w:hAnsi="Times New Roman" w:cs="Times New Roman"/>
                <w:b w:val="0"/>
                <w:bCs/>
                <w:color w:val="auto"/>
                <w:spacing w:val="0"/>
                <w:kern w:val="0"/>
                <w:position w:val="0"/>
                <w:sz w:val="24"/>
                <w:szCs w:val="24"/>
                <w:highlight w:val="none"/>
                <w:lang w:val="en-US" w:eastAsia="zh-CN"/>
              </w:rPr>
              <w:t>《关于甘泉堡工业园总体规划（2016—2030年）的批复》（新政函〔2017〕42号）</w:t>
            </w:r>
          </w:p>
        </w:tc>
      </w:tr>
      <w:tr w14:paraId="6B0D96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0F861DBA">
            <w:pPr>
              <w:pStyle w:val="35"/>
              <w:pageBreakBefore w:val="0"/>
              <w:shd w:val="clear"/>
              <w:kinsoku/>
              <w:topLinePunct w:val="0"/>
              <w:bidi w:val="0"/>
              <w:spacing w:beforeAutospacing="0" w:afterAutospacing="0"/>
              <w:ind w:left="0" w:leftChars="0" w:right="0" w:rightChars="0"/>
              <w:rPr>
                <w:rStyle w:val="32"/>
                <w:rFonts w:hint="default" w:ascii="Times New Roman" w:hAnsi="Times New Roman" w:cs="Times New Roman"/>
                <w:color w:val="auto"/>
              </w:rPr>
            </w:pPr>
            <w:r>
              <w:rPr>
                <w:rStyle w:val="32"/>
                <w:rFonts w:hint="default" w:ascii="Times New Roman" w:hAnsi="Times New Roman" w:cs="Times New Roman"/>
                <w:color w:val="auto"/>
              </w:rPr>
              <w:t>规划环境影响评价情况</w:t>
            </w:r>
          </w:p>
        </w:tc>
        <w:tc>
          <w:tcPr>
            <w:tcW w:w="6579" w:type="dxa"/>
            <w:gridSpan w:val="3"/>
            <w:tcBorders>
              <w:tl2br w:val="nil"/>
              <w:tr2bl w:val="nil"/>
            </w:tcBorders>
            <w:vAlign w:val="center"/>
          </w:tcPr>
          <w:p w14:paraId="57FD6C9B">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left"/>
              <w:textAlignment w:val="auto"/>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cs="Times New Roman"/>
                <w:b/>
                <w:bCs w:val="0"/>
                <w:color w:val="auto"/>
                <w:spacing w:val="0"/>
                <w:kern w:val="0"/>
                <w:position w:val="0"/>
                <w:sz w:val="24"/>
                <w:szCs w:val="24"/>
                <w:highlight w:val="none"/>
              </w:rPr>
              <w:t>规划环境影响评价文件：</w:t>
            </w:r>
            <w:r>
              <w:rPr>
                <w:rFonts w:hint="default" w:ascii="Times New Roman" w:hAnsi="Times New Roman" w:eastAsia="宋体" w:cs="Times New Roman"/>
                <w:b w:val="0"/>
                <w:bCs/>
                <w:color w:val="auto"/>
                <w:spacing w:val="0"/>
                <w:kern w:val="2"/>
                <w:position w:val="0"/>
                <w:sz w:val="24"/>
                <w:szCs w:val="24"/>
                <w:highlight w:val="none"/>
                <w:lang w:val="en-US" w:eastAsia="zh-CN" w:bidi="ar-SA"/>
              </w:rPr>
              <w:t>《甘泉堡工业园总体规划（2016</w:t>
            </w:r>
            <w:r>
              <w:rPr>
                <w:rFonts w:hint="default" w:ascii="Times New Roman" w:hAnsi="Times New Roman" w:cs="Times New Roman"/>
                <w:b w:val="0"/>
                <w:bCs/>
                <w:color w:val="auto"/>
                <w:spacing w:val="0"/>
                <w:kern w:val="2"/>
                <w:position w:val="0"/>
                <w:sz w:val="24"/>
                <w:szCs w:val="24"/>
                <w:highlight w:val="none"/>
                <w:lang w:val="en-US" w:eastAsia="zh-CN" w:bidi="ar-SA"/>
              </w:rPr>
              <w:t>—</w:t>
            </w:r>
            <w:r>
              <w:rPr>
                <w:rFonts w:hint="default" w:ascii="Times New Roman" w:hAnsi="Times New Roman" w:eastAsia="宋体" w:cs="Times New Roman"/>
                <w:b w:val="0"/>
                <w:bCs/>
                <w:color w:val="auto"/>
                <w:spacing w:val="0"/>
                <w:kern w:val="2"/>
                <w:position w:val="0"/>
                <w:sz w:val="24"/>
                <w:szCs w:val="24"/>
                <w:highlight w:val="none"/>
                <w:lang w:val="en-US" w:eastAsia="zh-CN" w:bidi="ar-SA"/>
              </w:rPr>
              <w:t>2030年）环境影响报告书》</w:t>
            </w:r>
          </w:p>
          <w:p w14:paraId="4210AB53">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left"/>
              <w:textAlignment w:val="auto"/>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cs="Times New Roman"/>
                <w:b/>
                <w:bCs w:val="0"/>
                <w:color w:val="auto"/>
                <w:spacing w:val="0"/>
                <w:kern w:val="0"/>
                <w:position w:val="0"/>
                <w:sz w:val="24"/>
                <w:szCs w:val="24"/>
                <w:highlight w:val="none"/>
              </w:rPr>
              <w:t>召集审查机关：</w:t>
            </w:r>
            <w:r>
              <w:rPr>
                <w:rFonts w:hint="default" w:ascii="Times New Roman" w:hAnsi="Times New Roman" w:cs="Times New Roman"/>
                <w:b w:val="0"/>
                <w:bCs/>
                <w:color w:val="auto"/>
                <w:spacing w:val="0"/>
                <w:kern w:val="0"/>
                <w:position w:val="0"/>
                <w:sz w:val="24"/>
                <w:szCs w:val="24"/>
                <w:highlight w:val="none"/>
              </w:rPr>
              <w:t>原新疆维吾尔自治区环境保护厅</w:t>
            </w:r>
          </w:p>
          <w:p w14:paraId="7E82C63F">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left"/>
              <w:textAlignment w:val="auto"/>
              <w:rPr>
                <w:rStyle w:val="32"/>
                <w:rFonts w:hint="default" w:ascii="Times New Roman" w:hAnsi="Times New Roman" w:cs="Times New Roman"/>
                <w:color w:val="auto"/>
                <w:sz w:val="24"/>
                <w:szCs w:val="24"/>
              </w:rPr>
            </w:pPr>
            <w:r>
              <w:rPr>
                <w:rFonts w:hint="default" w:ascii="Times New Roman" w:hAnsi="Times New Roman" w:cs="Times New Roman"/>
                <w:b/>
                <w:bCs w:val="0"/>
                <w:color w:val="auto"/>
                <w:spacing w:val="0"/>
                <w:kern w:val="0"/>
                <w:position w:val="0"/>
                <w:sz w:val="24"/>
                <w:szCs w:val="24"/>
                <w:highlight w:val="none"/>
              </w:rPr>
              <w:t>审查文件名称及文号：</w:t>
            </w:r>
            <w:r>
              <w:rPr>
                <w:rFonts w:hint="default" w:ascii="Times New Roman" w:hAnsi="Times New Roman" w:eastAsia="宋体" w:cs="Times New Roman"/>
                <w:b w:val="0"/>
                <w:bCs/>
                <w:color w:val="auto"/>
                <w:spacing w:val="0"/>
                <w:kern w:val="2"/>
                <w:position w:val="0"/>
                <w:sz w:val="24"/>
                <w:szCs w:val="24"/>
                <w:highlight w:val="none"/>
                <w:lang w:val="en-US" w:eastAsia="zh-CN" w:bidi="ar-SA"/>
              </w:rPr>
              <w:t>《关于甘泉堡工业园总体规划（2016</w:t>
            </w:r>
            <w:r>
              <w:rPr>
                <w:rFonts w:hint="default" w:ascii="Times New Roman" w:hAnsi="Times New Roman" w:cs="Times New Roman"/>
                <w:b w:val="0"/>
                <w:bCs/>
                <w:color w:val="auto"/>
                <w:spacing w:val="0"/>
                <w:kern w:val="2"/>
                <w:position w:val="0"/>
                <w:sz w:val="24"/>
                <w:szCs w:val="24"/>
                <w:highlight w:val="none"/>
                <w:lang w:val="en-US" w:eastAsia="zh-CN" w:bidi="ar-SA"/>
              </w:rPr>
              <w:t>—</w:t>
            </w:r>
            <w:r>
              <w:rPr>
                <w:rFonts w:hint="default" w:ascii="Times New Roman" w:hAnsi="Times New Roman" w:eastAsia="宋体" w:cs="Times New Roman"/>
                <w:b w:val="0"/>
                <w:bCs/>
                <w:color w:val="auto"/>
                <w:spacing w:val="0"/>
                <w:kern w:val="2"/>
                <w:position w:val="0"/>
                <w:sz w:val="24"/>
                <w:szCs w:val="24"/>
                <w:highlight w:val="none"/>
                <w:lang w:val="en-US" w:eastAsia="zh-CN" w:bidi="ar-SA"/>
              </w:rPr>
              <w:t>2030年）环境影响报告书的审查意见》（新环函〔2018〕368号）</w:t>
            </w:r>
          </w:p>
        </w:tc>
      </w:tr>
      <w:tr w14:paraId="42472B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3B7DFBC3">
            <w:pPr>
              <w:keepNext w:val="0"/>
              <w:keepLines w:val="0"/>
              <w:pageBreakBefore w:val="0"/>
              <w:widowControl w:val="0"/>
              <w:shd w:val="clear"/>
              <w:kinsoku/>
              <w:wordWrap/>
              <w:overflowPunct/>
              <w:topLinePunct w:val="0"/>
              <w:autoSpaceDE w:val="0"/>
              <w:autoSpaceDN w:val="0"/>
              <w:bidi w:val="0"/>
              <w:adjustRightInd w:val="0"/>
              <w:snapToGrid w:val="0"/>
              <w:spacing w:line="360" w:lineRule="auto"/>
              <w:jc w:val="both"/>
              <w:textAlignment w:val="auto"/>
              <w:rPr>
                <w:rStyle w:val="32"/>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rPr>
              <w:t>规划及规划环境影响评价符合性分析</w:t>
            </w:r>
          </w:p>
        </w:tc>
        <w:tc>
          <w:tcPr>
            <w:tcW w:w="6579" w:type="dxa"/>
            <w:gridSpan w:val="3"/>
            <w:tcBorders>
              <w:tl2br w:val="nil"/>
              <w:tr2bl w:val="nil"/>
            </w:tcBorders>
            <w:vAlign w:val="center"/>
          </w:tcPr>
          <w:p w14:paraId="43BE047F">
            <w:pPr>
              <w:keepNext w:val="0"/>
              <w:keepLines w:val="0"/>
              <w:pageBreakBefore w:val="0"/>
              <w:widowControl w:val="0"/>
              <w:shd w:val="clear"/>
              <w:kinsoku/>
              <w:wordWrap/>
              <w:overflowPunct/>
              <w:topLinePunct w:val="0"/>
              <w:bidi w:val="0"/>
              <w:spacing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本项目所在阜康苏通小微创业园隶属于甘泉堡工业园。</w:t>
            </w:r>
          </w:p>
          <w:p w14:paraId="2877951D">
            <w:pPr>
              <w:keepNext w:val="0"/>
              <w:keepLines w:val="0"/>
              <w:pageBreakBefore w:val="0"/>
              <w:widowControl w:val="0"/>
              <w:shd w:val="clear"/>
              <w:kinsoku/>
              <w:wordWrap/>
              <w:overflowPunct/>
              <w:topLinePunct w:val="0"/>
              <w:bidi w:val="0"/>
              <w:spacing w:line="360" w:lineRule="auto"/>
              <w:textAlignment w:val="auto"/>
              <w:rPr>
                <w:rFonts w:hint="default" w:ascii="Times New Roman" w:hAnsi="Times New Roman" w:cs="Times New Roman"/>
                <w:b/>
                <w:color w:val="auto"/>
                <w:kern w:val="0"/>
                <w:sz w:val="24"/>
                <w:szCs w:val="24"/>
              </w:rPr>
            </w:pPr>
            <w:r>
              <w:rPr>
                <w:rFonts w:hint="default" w:ascii="Times New Roman" w:hAnsi="Times New Roman" w:cs="Times New Roman"/>
                <w:b/>
                <w:color w:val="auto"/>
                <w:kern w:val="0"/>
                <w:sz w:val="24"/>
                <w:szCs w:val="24"/>
              </w:rPr>
              <w:t>1.与甘泉堡工业园区规划符合性分析</w:t>
            </w:r>
          </w:p>
          <w:p w14:paraId="54D44A1F">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甘泉堡工业园总体规划（2016-2030年）（2016修订稿）》及其批复园区功能定位为：以实施优势资源转化战略为基础，以高新技术创新研发为先导的新兴战略产业基地，以新能源和优势资源深度开发利用为主，具有循环经济特色，面向中亚和东欧市场的出口加工基地，形成重点发展产业、补充发展产业和配套发展产业“7+3+2”的产业体系。即7种重点发展产业，确保现有煤电</w:t>
            </w:r>
            <w:r>
              <w:rPr>
                <w:rFonts w:hint="eastAsia" w:cs="Times New Roman"/>
                <w:color w:val="auto"/>
                <w:sz w:val="24"/>
                <w:szCs w:val="24"/>
                <w:lang w:val="en-US" w:eastAsia="zh-CN"/>
              </w:rPr>
              <w:t xml:space="preserve">  </w:t>
            </w:r>
            <w:r>
              <w:rPr>
                <w:rFonts w:hint="default" w:ascii="Times New Roman" w:hAnsi="Times New Roman" w:cs="Times New Roman"/>
                <w:color w:val="auto"/>
                <w:sz w:val="24"/>
                <w:szCs w:val="24"/>
              </w:rPr>
              <w:t>煤化工产业以及精细化工业的有序建设、重点发展新能源与新材料工业、先进装备制造业、机电工业（主要是电气设备和通讯设备），积极开拓生物医药、电子信息产业；3种补充发展产业，即新型建材业、有色金属加工业，鼓励发展众筹等小微企业；2种配套发展产业，即生产性服务业和消费性服务业，其中生产性服务业是指以铁路、高速公路为主动脉的物流运输产业，金融服务、信息技术、咨询、教育、产业研发、会展业等；生活性服务业是指商业、文化、休闲、居住等。</w:t>
            </w:r>
          </w:p>
          <w:p w14:paraId="4337BC2E">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rPr>
              <w:t>园区产业空间布局为：规划区划分为十个功能区，即优势资源转化区、经济合作与产业孵化区、新能源工业区、高新技术产业区、科教综</w:t>
            </w:r>
            <w:r>
              <w:rPr>
                <w:rFonts w:hint="default" w:ascii="Times New Roman" w:hAnsi="Times New Roman" w:eastAsia="宋体" w:cs="Times New Roman"/>
                <w:color w:val="auto"/>
                <w:sz w:val="24"/>
                <w:szCs w:val="24"/>
              </w:rPr>
              <w:t>合服务新区、物流仓储区、小微企业创新区、商贸物流区、生态保育区和协调发展区。产业体系具体如下</w:t>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"https://www.cj.gov.cn/u/cms/sthjj/202308/011049317jb0.pdf" \l "14#14" \t "https://chat.deepseek.com/a/chat/s/_blank"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t>：</w:t>
            </w:r>
          </w:p>
          <w:p w14:paraId="47BECC6E">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7种重点发展产业：确保现有煤电煤化工产业以及精细化工业的有序建设，重点发展新能源与新材料工业、先进装备制造业、机电工业（主要是电气设备和通讯设备），积极开拓生物医药、电子信息产业；</w:t>
            </w:r>
          </w:p>
          <w:p w14:paraId="62DFE19F">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3种补充发展产业：新型建材业、有色金属加工业，鼓励发展众筹等小微企业；</w:t>
            </w:r>
          </w:p>
          <w:p w14:paraId="6D69489F">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2种配套发展产业：生产性服务业和消费性服务业。</w:t>
            </w:r>
          </w:p>
          <w:p w14:paraId="51933E23">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园区产业空间布局为：规划区划分为十个功能区，即优势资源转化区、经济合作与产业孵化区、新能源工业区、高新技术产业区、科教综合服务新区、物流仓储区、小微企业创新区、商贸物流区、生态保育区和协调发展区</w:t>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"https://www.cj.gov.cn/u/cms/sthjj/202308/011049317jb0.pdf" \l "14#14" \t "https://chat.deepseek.com/a/chat/s/_blank"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t>。</w:t>
            </w:r>
          </w:p>
          <w:p w14:paraId="17A6E3CB">
            <w:pPr>
              <w:keepNext w:val="0"/>
              <w:keepLines w:val="0"/>
              <w:pageBreakBefore w:val="0"/>
              <w:widowControl w:val="0"/>
              <w:shd w:val="clear"/>
              <w:kinsoku/>
              <w:wordWrap/>
              <w:overflowPunct/>
              <w:topLinePunct w:val="0"/>
              <w:bidi w:val="0"/>
              <w:spacing w:line="360" w:lineRule="auto"/>
              <w:ind w:firstLine="480" w:firstLineChars="200"/>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本项目</w:t>
            </w:r>
            <w:r>
              <w:rPr>
                <w:rFonts w:hint="default" w:ascii="Times New Roman" w:hAnsi="Times New Roman" w:eastAsia="宋体" w:cs="Times New Roman"/>
                <w:color w:val="auto"/>
                <w:sz w:val="24"/>
                <w:szCs w:val="24"/>
              </w:rPr>
              <w:t>建设年产40万卷家用封边条项目为塑料制品业，属于园区功能定位中补充发展产业中鼓励发展的小微企业，项目位于苏通小微创业园（小微企业创新区），符合园区产业空间布局。因此，项目符合园区规划要求。</w:t>
            </w:r>
          </w:p>
          <w:p w14:paraId="1F02E400">
            <w:pPr>
              <w:keepNext w:val="0"/>
              <w:keepLines w:val="0"/>
              <w:pageBreakBefore w:val="0"/>
              <w:widowControl w:val="0"/>
              <w:shd w:val="clear"/>
              <w:kinsoku/>
              <w:wordWrap/>
              <w:overflowPunct/>
              <w:topLinePunct w:val="0"/>
              <w:bidi w:val="0"/>
              <w:spacing w:line="360" w:lineRule="auto"/>
              <w:textAlignment w:val="auto"/>
              <w:rPr>
                <w:rFonts w:hint="default" w:ascii="Times New Roman" w:hAnsi="Times New Roman" w:cs="Times New Roman"/>
                <w:b/>
                <w:color w:val="auto"/>
                <w:kern w:val="0"/>
                <w:sz w:val="24"/>
                <w:szCs w:val="24"/>
              </w:rPr>
            </w:pPr>
            <w:r>
              <w:rPr>
                <w:rFonts w:hint="default" w:ascii="Times New Roman" w:hAnsi="Times New Roman" w:cs="Times New Roman"/>
                <w:b/>
                <w:color w:val="auto"/>
                <w:kern w:val="0"/>
                <w:sz w:val="24"/>
                <w:szCs w:val="24"/>
              </w:rPr>
              <w:t>2.甘泉堡工业园总体规划修编及规划环评符合性分析</w:t>
            </w:r>
          </w:p>
          <w:p w14:paraId="54E35802">
            <w:pPr>
              <w:keepNext w:val="0"/>
              <w:keepLines w:val="0"/>
              <w:pageBreakBefore w:val="0"/>
              <w:widowControl w:val="0"/>
              <w:shd w:val="clear"/>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甘泉堡工业园地处乌鲁木齐市与昌吉州的交界地带，东接准东石油基地，南临小黄山铁路和216国道，西接乌鲁木齐米东区，北至兵团农六师102团（五家渠）。区域中心距乌鲁木齐市中心区45公里，米东新区中心区20公</w:t>
            </w:r>
            <w:r>
              <w:rPr>
                <w:rFonts w:hint="default" w:ascii="Times New Roman" w:hAnsi="Times New Roman" w:cs="Times New Roman"/>
                <w:color w:val="auto"/>
                <w:sz w:val="24"/>
                <w:szCs w:val="24"/>
                <w:lang w:val="en-US" w:eastAsia="zh-CN"/>
              </w:rPr>
              <w:t>里</w:t>
            </w:r>
            <w:r>
              <w:rPr>
                <w:rFonts w:hint="default" w:ascii="Times New Roman" w:hAnsi="Times New Roman" w:cs="Times New Roman"/>
                <w:color w:val="auto"/>
                <w:sz w:val="24"/>
                <w:szCs w:val="24"/>
              </w:rPr>
              <w:t>，阜康市中心15公里，准东石油基地5公里。东西跨长约21公里，南北约23公里，周围被五家渠、昌吉、乌鲁木齐、阜康等城市和准东石油基地、农六师102团包围。</w:t>
            </w:r>
          </w:p>
          <w:p w14:paraId="2BBDC258">
            <w:pPr>
              <w:keepNext w:val="0"/>
              <w:keepLines w:val="0"/>
              <w:pageBreakBefore w:val="0"/>
              <w:widowControl w:val="0"/>
              <w:shd w:val="clear"/>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甘泉堡工业园（2012年9月国务院批复了《国务院办公厅关于设立新疆乌鲁木齐甘泉堡经济技术开发区的复函》（国办函〔2012〕163号），同意乌鲁木齐甘泉堡工业区更名为甘泉堡经济技术开发区，以下简称甘泉堡工业园）的工业用地；根据《甘泉堡工业园总体规划（2016-2030年）》，乌昌地区未来以实施优势资源转化战略为基础，以高新技术创新研发为先导的新兴战略产业基地，以新能源和优势资源深度开发利用为主，具有循环经济特色，面向中亚和东欧市场的出口加工基地，形成重点发展产业、补充发展产业和配套发展产业“7+3+2”的产业体系。</w:t>
            </w:r>
          </w:p>
          <w:p w14:paraId="074A46CB">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（1）重点发展产业：确保现有煤电煤化工产业和精细化工业有序建设，重点发展新能源与新材料工业、先进装备制造业和机电工业（主要是电气设备和通讯设备），积极开拓生物医药、电子信息产业。</w:t>
            </w:r>
          </w:p>
          <w:p w14:paraId="51EDFB18">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（2）补充发展产业：合理发展新型建材业和有色金属加工业，鼓励发展众创众筹等小微产业。</w:t>
            </w:r>
          </w:p>
          <w:p w14:paraId="7CEBB4D2">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配套发展产业：包括为生产性服务业和消费性服务业。其中，生产性服务业指以铁路、高速公路为主动脉的物流运输产业，金融服务、信息技术、咨询、教育、产业研发、会展业等；生活性服务业指商业、文化、休闲、居住等。</w:t>
            </w:r>
          </w:p>
          <w:p w14:paraId="15FCA4AF">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规划区划分为十个功能区，即优势资源转化区、经济合作与产业孵化区、新能源工业区、高新技术产业区、科教综合服务新区、物流仓储区、小微企业创新区、商贸物流区、生态保育区和协调发展区。根据</w:t>
            </w:r>
            <w:r>
              <w:rPr>
                <w:rFonts w:hint="eastAsia" w:ascii="Times New Roman" w:hAnsi="Times New Roman" w:cs="Times New Roman"/>
                <w:color w:val="auto"/>
                <w:sz w:val="24"/>
                <w:szCs w:val="24"/>
                <w:lang w:val="en-US" w:eastAsia="zh-CN"/>
              </w:rPr>
              <w:t>附</w:t>
            </w:r>
            <w:r>
              <w:rPr>
                <w:rFonts w:hint="default" w:ascii="Times New Roman" w:hAnsi="Times New Roman" w:cs="Times New Roman"/>
                <w:color w:val="auto"/>
                <w:sz w:val="24"/>
                <w:szCs w:val="24"/>
              </w:rPr>
              <w:t>图</w:t>
            </w:r>
            <w:r>
              <w:rPr>
                <w:rFonts w:hint="eastAsia" w:cs="Times New Roman"/>
                <w:color w:val="auto"/>
                <w:sz w:val="24"/>
                <w:szCs w:val="24"/>
                <w:lang w:val="en-US" w:eastAsia="zh-CN"/>
              </w:rPr>
              <w:t>4</w:t>
            </w:r>
            <w:r>
              <w:rPr>
                <w:rFonts w:hint="default" w:ascii="Times New Roman" w:hAnsi="Times New Roman" w:cs="Times New Roman"/>
                <w:color w:val="auto"/>
                <w:sz w:val="24"/>
                <w:szCs w:val="24"/>
              </w:rPr>
              <w:t>园区功能区划图，本项目位于甘泉堡工业园中小微企业创新区。</w:t>
            </w:r>
          </w:p>
          <w:p w14:paraId="52F1D763">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小微</w:t>
            </w:r>
            <w:r>
              <w:rPr>
                <w:rFonts w:hint="eastAsia" w:ascii="Times New Roman" w:hAnsi="Times New Roman" w:cs="Times New Roman"/>
                <w:color w:val="auto"/>
                <w:sz w:val="24"/>
                <w:szCs w:val="24"/>
                <w:lang w:val="en-US" w:eastAsia="zh-CN"/>
              </w:rPr>
              <w:t>企业</w:t>
            </w:r>
            <w:r>
              <w:rPr>
                <w:rFonts w:hint="default" w:ascii="Times New Roman" w:hAnsi="Times New Roman" w:cs="Times New Roman"/>
                <w:color w:val="auto"/>
                <w:sz w:val="24"/>
                <w:szCs w:val="24"/>
              </w:rPr>
              <w:t>创新区属于阜康市城市总体规划中的阜西工业园区，阜西工业园区总体规划内容包含于《甘泉堡工业园区总体规划（2016-2030年）》中。小微企业创新区以新型建材产业为主导的集研发孵化、生产加工、商贸交易、物流配送为一体的小微新兴产业企业园。本项目位于小微企业创新区，属于小微产业，与园区产业布局相符。</w:t>
            </w:r>
          </w:p>
          <w:p w14:paraId="57A9E24D">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根据《关于甘泉堡工业园总体规划（2016-2030年）环境影响报告书的审查意见》（新环函〔2018〕368号）：</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园区位于乌鲁木齐、昌吉、石河子、五家渠区域环境同防同治区的重点区域，不宜布局建设煤化工、电解铝、燃煤纯发电机组、金属硅、碳化硅、聚氯乙烯（电石法）、焦炭（含半焦）等行业的新增产能项目，加快钢铁、水泥、焦炭、玻璃、煤炭等行业落后产能淘汰力度</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，本项目</w:t>
            </w:r>
            <w:r>
              <w:rPr>
                <w:rFonts w:hint="eastAsia" w:ascii="Times New Roman" w:hAnsi="Times New Roman" w:cs="Times New Roman"/>
                <w:color w:val="auto"/>
                <w:sz w:val="24"/>
                <w:szCs w:val="24"/>
                <w:lang w:val="en-US" w:eastAsia="zh-CN"/>
              </w:rPr>
              <w:t>为</w:t>
            </w:r>
            <w:r>
              <w:rPr>
                <w:rFonts w:hint="eastAsia" w:ascii="Times New Roman" w:hAnsi="Times New Roman" w:cs="Times New Roman"/>
                <w:color w:val="auto"/>
                <w:sz w:val="24"/>
                <w:szCs w:val="24"/>
                <w:highlight w:val="none"/>
                <w:lang w:val="en-US" w:eastAsia="zh-CN"/>
              </w:rPr>
              <w:t>塑料制品业</w:t>
            </w:r>
            <w:r>
              <w:rPr>
                <w:rFonts w:hint="default" w:ascii="Times New Roman" w:hAnsi="Times New Roman" w:cs="Times New Roman"/>
                <w:color w:val="auto"/>
                <w:sz w:val="24"/>
                <w:szCs w:val="24"/>
              </w:rPr>
              <w:t>，不属于钢铁、水泥、焦炭、玻璃、煤炭等行业落后产能，符合产业政策、相关规划、规划环境影响评价结论及审查意见要求。</w:t>
            </w:r>
          </w:p>
          <w:p w14:paraId="7C8242EB">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《关于甘泉堡工业园总体规划（年）环境影响报告书的审查意见》（新环函〔2018〕368号）2016-2030提出</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严守生态保护红线，优化园区产业结构、空间布局，促进园区产业集约与绿色发展</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。规划空间管制区划定的禁建区和</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500</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水库坝外延1500米范围，以及规划范围内西延干渠两侧250米范围内划定为生态保护红线，禁止开发。结合区域发展方向、人口分布及环境保护等要求，按照《报告书》提出的空间管控距离控制园区和功能分区规划边界</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制定并落实园区内现有不符合园区规划功能布局的企业搬迁、关停或转型改造计划。本项目距离</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500</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水库</w:t>
            </w:r>
            <w:r>
              <w:rPr>
                <w:rFonts w:hint="eastAsia" w:cs="Times New Roman"/>
                <w:color w:val="auto"/>
                <w:sz w:val="24"/>
                <w:szCs w:val="24"/>
                <w:lang w:val="en-US" w:eastAsia="zh-CN"/>
              </w:rPr>
              <w:t>6.6</w:t>
            </w:r>
            <w:r>
              <w:rPr>
                <w:rFonts w:hint="default" w:ascii="Times New Roman" w:hAnsi="Times New Roman" w:cs="Times New Roman"/>
                <w:color w:val="auto"/>
                <w:sz w:val="24"/>
                <w:szCs w:val="24"/>
              </w:rPr>
              <w:t>公里，不位于生态红线范围内。</w:t>
            </w:r>
          </w:p>
          <w:p w14:paraId="04A1E818">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color w:val="auto"/>
                <w:sz w:val="24"/>
                <w:szCs w:val="24"/>
              </w:rPr>
            </w:pPr>
            <w:r>
              <w:rPr>
                <w:rFonts w:hint="default" w:ascii="Times New Roman" w:hAnsi="Times New Roman" w:cs="Times New Roman"/>
                <w:color w:val="auto"/>
                <w:sz w:val="24"/>
                <w:szCs w:val="24"/>
              </w:rPr>
              <w:t>《关于甘泉堡工业园总体规划（2016-2030年）环境影响报告书的审查意见》（新环函〔2018〕368号）提出</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坚守环境质量底线，严格污染物总量管控</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根据规划区域及周边环境质量现状和目标，确定区域污染物排放总量上限，落实园区煤炭及其他颗粒状物料储运全封闭防尘措施，采取有效措施减少二氧化硫、氮氧化物、挥发性有机物、颗粒物、化学需氧量、氨氮、重金属等污染物的排放量，落实国家和自治区重点区域污染物特别排放限值。</w:t>
            </w:r>
          </w:p>
          <w:p w14:paraId="4457F942">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本项目生产均在封闭厂房内进行，</w:t>
            </w:r>
            <w:r>
              <w:rPr>
                <w:rFonts w:hint="eastAsia" w:ascii="Times New Roman" w:hAnsi="Times New Roman" w:cs="Times New Roman"/>
                <w:color w:val="auto"/>
                <w:sz w:val="24"/>
                <w:szCs w:val="24"/>
                <w:lang w:val="en-US" w:eastAsia="zh-CN"/>
              </w:rPr>
              <w:t>热熔挤出工序产生的</w:t>
            </w:r>
            <w:r>
              <w:rPr>
                <w:rFonts w:hint="default" w:ascii="Times New Roman" w:hAnsi="Times New Roman" w:cs="Times New Roman"/>
                <w:color w:val="auto"/>
                <w:sz w:val="24"/>
                <w:szCs w:val="24"/>
              </w:rPr>
              <w:t>非甲烷总烃由集气罩收集</w:t>
            </w:r>
            <w:r>
              <w:rPr>
                <w:rFonts w:hint="eastAsia" w:cs="Times New Roman"/>
                <w:color w:val="auto"/>
                <w:sz w:val="24"/>
                <w:szCs w:val="24"/>
                <w:lang w:eastAsia="zh-CN"/>
              </w:rPr>
              <w:t>经活性炭吸附脱附+蓄热催化燃烧一体化装置（RCO）处理后</w:t>
            </w:r>
            <w:r>
              <w:rPr>
                <w:rFonts w:hint="default" w:ascii="Times New Roman" w:hAnsi="Times New Roman" w:cs="Times New Roman"/>
                <w:color w:val="auto"/>
                <w:sz w:val="24"/>
                <w:szCs w:val="24"/>
              </w:rPr>
              <w:t>，最终</w:t>
            </w:r>
            <w:r>
              <w:rPr>
                <w:rFonts w:hint="eastAsia" w:ascii="Times New Roman" w:hAnsi="Times New Roman" w:cs="Times New Roman"/>
                <w:color w:val="auto"/>
                <w:sz w:val="24"/>
                <w:szCs w:val="24"/>
                <w:lang w:val="en-US" w:eastAsia="zh-CN"/>
              </w:rPr>
              <w:t>由</w:t>
            </w:r>
            <w:r>
              <w:rPr>
                <w:rFonts w:hint="default" w:ascii="Times New Roman" w:hAnsi="Times New Roman" w:cs="Times New Roman"/>
                <w:color w:val="auto"/>
                <w:sz w:val="24"/>
                <w:szCs w:val="24"/>
              </w:rPr>
              <w:t>15m高排气筒</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DA002</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排放</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满足《合成树脂工业污染物排放标准》</w:t>
            </w:r>
            <w:r>
              <w:rPr>
                <w:rFonts w:hint="eastAsia" w:cs="Times New Roman"/>
                <w:color w:val="auto"/>
                <w:sz w:val="24"/>
                <w:szCs w:val="24"/>
                <w:lang w:eastAsia="zh-CN"/>
              </w:rPr>
              <w:t>（GB 31572-2015，含2024年修改单）</w:t>
            </w:r>
            <w:r>
              <w:rPr>
                <w:rFonts w:hint="default" w:ascii="Times New Roman" w:hAnsi="Times New Roman" w:cs="Times New Roman"/>
                <w:color w:val="auto"/>
                <w:sz w:val="24"/>
                <w:szCs w:val="24"/>
              </w:rPr>
              <w:t>表5限值</w:t>
            </w:r>
            <w:r>
              <w:rPr>
                <w:rFonts w:hint="default" w:ascii="Times New Roman" w:hAnsi="Times New Roman" w:cs="Times New Roman"/>
                <w:color w:val="auto"/>
                <w:sz w:val="24"/>
                <w:szCs w:val="24"/>
                <w:lang w:val="en-US" w:eastAsia="zh-CN"/>
              </w:rPr>
              <w:t>60</w:t>
            </w:r>
            <w:r>
              <w:rPr>
                <w:rFonts w:hint="default" w:ascii="Times New Roman" w:hAnsi="Times New Roman" w:eastAsia="宋体" w:cs="Times New Roman"/>
                <w:color w:val="auto"/>
                <w:sz w:val="24"/>
                <w:szCs w:val="24"/>
              </w:rPr>
              <w:t>mg/m</w:t>
            </w:r>
            <w:r>
              <w:rPr>
                <w:rFonts w:hint="default" w:ascii="Times New Roman" w:hAnsi="Times New Roman" w:eastAsia="宋体" w:cs="Times New Roman"/>
                <w:color w:val="auto"/>
                <w:sz w:val="24"/>
                <w:szCs w:val="24"/>
                <w:vertAlign w:val="superscript"/>
              </w:rPr>
              <w:t>3</w:t>
            </w:r>
            <w:r>
              <w:rPr>
                <w:rFonts w:hint="default" w:ascii="Times New Roman" w:hAnsi="Times New Roman" w:cs="Times New Roman"/>
                <w:color w:val="auto"/>
                <w:sz w:val="24"/>
                <w:szCs w:val="24"/>
              </w:rPr>
              <w:t>要求。</w:t>
            </w:r>
          </w:p>
          <w:p w14:paraId="14FF5569">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本项目严格控制用水量，新鲜水仅用于生活用水</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清洗废水</w:t>
            </w:r>
            <w:r>
              <w:rPr>
                <w:rFonts w:hint="default" w:ascii="Times New Roman" w:hAnsi="Times New Roman" w:cs="Times New Roman"/>
                <w:color w:val="auto"/>
                <w:sz w:val="24"/>
                <w:szCs w:val="24"/>
              </w:rPr>
              <w:t>以及冷却用水，</w:t>
            </w:r>
            <w:r>
              <w:rPr>
                <w:rFonts w:hint="eastAsia" w:ascii="Times New Roman" w:hAnsi="Times New Roman" w:cs="Times New Roman"/>
                <w:color w:val="auto"/>
                <w:sz w:val="24"/>
                <w:szCs w:val="24"/>
                <w:highlight w:val="none"/>
                <w:lang w:val="en-US" w:eastAsia="zh-CN"/>
              </w:rPr>
              <w:t>清洗废水及冷却用水循环使用不外排。</w:t>
            </w:r>
            <w:r>
              <w:rPr>
                <w:rFonts w:hint="default" w:ascii="Times New Roman" w:hAnsi="Times New Roman" w:cs="Times New Roman"/>
                <w:color w:val="auto"/>
                <w:sz w:val="24"/>
                <w:szCs w:val="24"/>
              </w:rPr>
              <w:t>符合《关于甘泉堡工业园总体规划（2016-2030年）环境影响报告书的审查意见》（新环函〔2018〕368号）提出</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严格控制用水总量，提高用水效率，合理控制排污，严守水资源</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三条红线</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等要求。</w:t>
            </w:r>
          </w:p>
          <w:p w14:paraId="2395BB4A">
            <w:pPr>
              <w:keepNext w:val="0"/>
              <w:keepLines w:val="0"/>
              <w:pageBreakBefore w:val="0"/>
              <w:widowControl w:val="0"/>
              <w:shd w:val="clear"/>
              <w:kinsoku/>
              <w:wordWrap/>
              <w:overflowPunct/>
              <w:topLinePunct w:val="0"/>
              <w:autoSpaceDE w:val="0"/>
              <w:autoSpaceDN w:val="0"/>
              <w:bidi w:val="0"/>
              <w:adjustRightInd w:val="0"/>
              <w:snapToGrid w:val="0"/>
              <w:spacing w:line="360" w:lineRule="auto"/>
              <w:ind w:firstLine="480" w:firstLineChars="200"/>
              <w:jc w:val="left"/>
              <w:textAlignment w:val="auto"/>
              <w:rPr>
                <w:rStyle w:val="32"/>
                <w:rFonts w:hint="default" w:ascii="Times New Roman" w:hAnsi="Times New Roman" w:cs="Times New Roman"/>
                <w:color w:val="auto"/>
                <w:sz w:val="24"/>
                <w:szCs w:val="24"/>
              </w:rPr>
            </w:pPr>
            <w:r>
              <w:rPr>
                <w:rFonts w:hint="default" w:ascii="Times New Roman" w:hAnsi="Times New Roman" w:cs="Times New Roman"/>
                <w:color w:val="auto"/>
                <w:sz w:val="24"/>
                <w:szCs w:val="24"/>
              </w:rPr>
              <w:t>因此，本项目符合甘泉堡工业园产业布局、园区规划以及规划环评审查意见。</w:t>
            </w:r>
          </w:p>
        </w:tc>
      </w:tr>
      <w:tr w14:paraId="384EB3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28" w:type="dxa"/>
          </w:tblCellMar>
        </w:tblPrEx>
        <w:trPr>
          <w:trHeight w:val="539" w:hRule="atLeast"/>
        </w:trPr>
        <w:tc>
          <w:tcPr>
            <w:tcW w:w="1717" w:type="dxa"/>
            <w:tcBorders>
              <w:tl2br w:val="nil"/>
              <w:tr2bl w:val="nil"/>
            </w:tcBorders>
            <w:vAlign w:val="center"/>
          </w:tcPr>
          <w:p w14:paraId="2E72CB48">
            <w:pPr>
              <w:shd w:val="clear"/>
              <w:autoSpaceDE w:val="0"/>
              <w:autoSpaceDN w:val="0"/>
              <w:adjustRightInd w:val="0"/>
              <w:snapToGrid w:val="0"/>
              <w:jc w:val="center"/>
              <w:rPr>
                <w:rStyle w:val="32"/>
                <w:rFonts w:hint="default" w:ascii="Times New Roman" w:hAnsi="Times New Roman" w:cs="Times New Roman"/>
                <w:color w:val="auto"/>
              </w:rPr>
            </w:pPr>
            <w:r>
              <w:rPr>
                <w:rFonts w:hint="default" w:ascii="Times New Roman" w:hAnsi="Times New Roman" w:cs="Times New Roman"/>
                <w:color w:val="auto"/>
                <w:kern w:val="0"/>
                <w:sz w:val="24"/>
              </w:rPr>
              <w:t>其他符合性分析</w:t>
            </w:r>
          </w:p>
        </w:tc>
        <w:tc>
          <w:tcPr>
            <w:tcW w:w="6579" w:type="dxa"/>
            <w:gridSpan w:val="3"/>
            <w:tcBorders>
              <w:tl2br w:val="nil"/>
              <w:tr2bl w:val="nil"/>
            </w:tcBorders>
            <w:vAlign w:val="center"/>
          </w:tcPr>
          <w:p w14:paraId="685B4ED6">
            <w:pPr>
              <w:keepNext/>
              <w:keepLines/>
              <w:shd w:val="clear"/>
              <w:spacing w:line="360" w:lineRule="auto"/>
              <w:outlineLvl w:val="1"/>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1.政策符合性分析</w:t>
            </w:r>
          </w:p>
          <w:p w14:paraId="77A51A72">
            <w:pPr>
              <w:pStyle w:val="68"/>
              <w:shd w:val="clear"/>
              <w:spacing w:line="360" w:lineRule="auto"/>
              <w:ind w:firstLine="480" w:firstLineChars="200"/>
              <w:rPr>
                <w:rFonts w:hint="default" w:ascii="Times New Roman" w:hAnsi="Times New Roman" w:cs="Times New Roman"/>
                <w:snapToGrid w:val="0"/>
                <w:color w:val="auto"/>
                <w:szCs w:val="28"/>
              </w:rPr>
            </w:pPr>
            <w:r>
              <w:rPr>
                <w:rFonts w:hint="default" w:ascii="Times New Roman" w:hAnsi="Times New Roman" w:cs="Times New Roman"/>
                <w:snapToGrid w:val="0"/>
                <w:color w:val="auto"/>
                <w:szCs w:val="28"/>
              </w:rPr>
              <w:t>根据国家发展和改革委员会发布的《产业结构调整指导目录》（202</w:t>
            </w:r>
            <w:r>
              <w:rPr>
                <w:rFonts w:hint="eastAsia" w:ascii="Times New Roman" w:hAnsi="Times New Roman" w:cs="Times New Roman"/>
                <w:snapToGrid w:val="0"/>
                <w:color w:val="auto"/>
                <w:szCs w:val="28"/>
                <w:lang w:val="en-US" w:eastAsia="zh-CN"/>
              </w:rPr>
              <w:t>4</w:t>
            </w:r>
            <w:r>
              <w:rPr>
                <w:rFonts w:hint="default" w:ascii="Times New Roman" w:hAnsi="Times New Roman" w:cs="Times New Roman"/>
                <w:snapToGrid w:val="0"/>
                <w:color w:val="auto"/>
                <w:szCs w:val="28"/>
              </w:rPr>
              <w:t>年</w:t>
            </w:r>
            <w:r>
              <w:rPr>
                <w:rFonts w:hint="eastAsia" w:ascii="Times New Roman" w:hAnsi="Times New Roman" w:cs="Times New Roman"/>
                <w:snapToGrid w:val="0"/>
                <w:color w:val="auto"/>
                <w:szCs w:val="28"/>
                <w:lang w:val="en-US" w:eastAsia="zh-CN"/>
              </w:rPr>
              <w:t>本</w:t>
            </w:r>
            <w:r>
              <w:rPr>
                <w:rFonts w:hint="default" w:ascii="Times New Roman" w:hAnsi="Times New Roman" w:cs="Times New Roman"/>
                <w:snapToGrid w:val="0"/>
                <w:color w:val="auto"/>
                <w:szCs w:val="28"/>
              </w:rPr>
              <w:t>），给排水管项目不属于鼓励类、限制类和淘汰类项目，为允许类，符合国家的产业政策。</w:t>
            </w:r>
          </w:p>
          <w:p w14:paraId="0C66F4F3">
            <w:pPr>
              <w:pStyle w:val="68"/>
              <w:shd w:val="clear"/>
              <w:spacing w:line="360" w:lineRule="auto"/>
              <w:rPr>
                <w:rFonts w:hint="default" w:ascii="Times New Roman" w:hAnsi="Times New Roman" w:cs="Times New Roman"/>
                <w:snapToGrid w:val="0"/>
                <w:color w:val="auto"/>
                <w:szCs w:val="28"/>
              </w:rPr>
            </w:pPr>
            <w:r>
              <w:rPr>
                <w:rFonts w:hint="default" w:ascii="Times New Roman" w:hAnsi="Times New Roman" w:cs="Times New Roman"/>
                <w:b/>
                <w:bCs/>
                <w:snapToGrid w:val="0"/>
                <w:color w:val="auto"/>
                <w:szCs w:val="28"/>
              </w:rPr>
              <w:t>2.</w:t>
            </w:r>
            <w:r>
              <w:rPr>
                <w:rFonts w:hint="eastAsia" w:cs="Times New Roman"/>
                <w:b/>
                <w:bCs/>
                <w:snapToGrid w:val="0"/>
                <w:color w:val="auto"/>
                <w:szCs w:val="28"/>
                <w:lang w:val="en-US" w:eastAsia="zh-CN"/>
              </w:rPr>
              <w:t>分区管控方案的</w:t>
            </w:r>
            <w:r>
              <w:rPr>
                <w:rFonts w:hint="default" w:ascii="Times New Roman" w:hAnsi="Times New Roman" w:cs="Times New Roman"/>
                <w:b/>
                <w:bCs/>
                <w:snapToGrid w:val="0"/>
                <w:color w:val="auto"/>
                <w:szCs w:val="28"/>
              </w:rPr>
              <w:t>符合性分析</w:t>
            </w:r>
          </w:p>
          <w:p w14:paraId="2B9ABC07">
            <w:pPr>
              <w:pStyle w:val="68"/>
              <w:shd w:val="clear"/>
              <w:spacing w:line="360" w:lineRule="auto"/>
              <w:rPr>
                <w:rFonts w:hint="default" w:ascii="Times New Roman" w:hAnsi="Times New Roman" w:cs="Times New Roman"/>
                <w:snapToGrid w:val="0"/>
                <w:color w:val="auto"/>
                <w:szCs w:val="28"/>
              </w:rPr>
            </w:pPr>
            <w:r>
              <w:rPr>
                <w:rFonts w:hint="default" w:ascii="Times New Roman" w:hAnsi="Times New Roman" w:cs="Times New Roman"/>
                <w:b/>
                <w:bCs/>
                <w:snapToGrid w:val="0"/>
                <w:color w:val="auto"/>
                <w:szCs w:val="28"/>
              </w:rPr>
              <w:t>2.1与《新疆维吾尔自治区生态环境分区管控动态更新成果》（新环环评发〔2024〕157号）符合性分析</w:t>
            </w:r>
          </w:p>
          <w:p w14:paraId="05CCD854">
            <w:pPr>
              <w:pStyle w:val="68"/>
              <w:shd w:val="clear"/>
              <w:spacing w:line="360" w:lineRule="auto"/>
              <w:ind w:firstLine="480" w:firstLineChars="200"/>
              <w:rPr>
                <w:rFonts w:hint="default" w:ascii="Times New Roman" w:hAnsi="Times New Roman" w:cs="Times New Roman"/>
                <w:snapToGrid w:val="0"/>
                <w:color w:val="auto"/>
                <w:szCs w:val="28"/>
              </w:rPr>
            </w:pPr>
            <w:r>
              <w:rPr>
                <w:rFonts w:hint="default" w:ascii="Times New Roman" w:hAnsi="Times New Roman" w:cs="Times New Roman"/>
                <w:snapToGrid w:val="0"/>
                <w:color w:val="auto"/>
                <w:szCs w:val="28"/>
              </w:rPr>
              <w:t>根据《新疆维吾尔自治区生态环境分区管控动态更新成果》（新环环评发〔2024〕157号），本项目所在区域属于“乌—昌—石”重点区域，对照自治区总体管控要求（表A1空间布局约束、A2污染物排放管控、A3环境风险防控、A4资源利用要求），本项目与自治区生态环境分区管控要求符合性分析见下表：</w:t>
            </w:r>
          </w:p>
          <w:p w14:paraId="6B03CB19">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0"/>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b/>
                <w:bCs/>
                <w:color w:val="auto"/>
                <w:kern w:val="0"/>
                <w:sz w:val="21"/>
                <w:szCs w:val="21"/>
                <w:lang w:val="en-US" w:eastAsia="zh-CN" w:bidi="ar"/>
              </w:rPr>
              <w:t>表1-1 与《新疆维吾尔自治区生态环境分区管控动态更新成果》符合性分析</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566"/>
              <w:gridCol w:w="2571"/>
              <w:gridCol w:w="2826"/>
              <w:gridCol w:w="453"/>
            </w:tblGrid>
            <w:tr w14:paraId="461862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blHeader/>
                <w:jc w:val="center"/>
              </w:trPr>
              <w:tc>
                <w:tcPr>
                  <w:tcW w:w="441" w:type="pct"/>
                  <w:tcBorders>
                    <w:tl2br w:val="nil"/>
                    <w:tr2bl w:val="nil"/>
                  </w:tcBorders>
                  <w:shd w:val="clear" w:color="auto" w:fill="auto"/>
                  <w:tcMar>
                    <w:top w:w="0" w:type="dxa"/>
                    <w:left w:w="0" w:type="dxa"/>
                    <w:bottom w:w="0" w:type="dxa"/>
                    <w:right w:w="0" w:type="dxa"/>
                  </w:tcMar>
                  <w:vAlign w:val="center"/>
                </w:tcPr>
                <w:p w14:paraId="48084A6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管控维度</w:t>
                  </w:r>
                </w:p>
              </w:tc>
              <w:tc>
                <w:tcPr>
                  <w:tcW w:w="2003" w:type="pct"/>
                  <w:tcBorders>
                    <w:tl2br w:val="nil"/>
                    <w:tr2bl w:val="nil"/>
                  </w:tcBorders>
                  <w:shd w:val="clear" w:color="auto" w:fill="auto"/>
                  <w:tcMar>
                    <w:top w:w="0" w:type="dxa"/>
                    <w:left w:w="0" w:type="dxa"/>
                    <w:bottom w:w="0" w:type="dxa"/>
                    <w:right w:w="0" w:type="dxa"/>
                  </w:tcMar>
                  <w:vAlign w:val="center"/>
                </w:tcPr>
                <w:p w14:paraId="13553204">
                  <w:pPr>
                    <w:keepNext w:val="0"/>
                    <w:keepLines w:val="0"/>
                    <w:widowControl/>
                    <w:suppressLineNumbers w:val="0"/>
                    <w:spacing w:line="30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管控要求</w:t>
                  </w:r>
                </w:p>
              </w:tc>
              <w:tc>
                <w:tcPr>
                  <w:tcW w:w="2201" w:type="pct"/>
                  <w:tcBorders>
                    <w:tl2br w:val="nil"/>
                    <w:tr2bl w:val="nil"/>
                  </w:tcBorders>
                  <w:shd w:val="clear" w:color="auto" w:fill="auto"/>
                  <w:tcMar>
                    <w:top w:w="0" w:type="dxa"/>
                    <w:left w:w="0" w:type="dxa"/>
                    <w:bottom w:w="0" w:type="dxa"/>
                    <w:right w:w="0" w:type="dxa"/>
                  </w:tcMar>
                  <w:vAlign w:val="center"/>
                </w:tcPr>
                <w:p w14:paraId="4D09209E">
                  <w:pPr>
                    <w:keepNext w:val="0"/>
                    <w:keepLines w:val="0"/>
                    <w:widowControl/>
                    <w:suppressLineNumbers w:val="0"/>
                    <w:spacing w:line="30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本项目建设情况</w:t>
                  </w:r>
                </w:p>
              </w:tc>
              <w:tc>
                <w:tcPr>
                  <w:tcW w:w="353" w:type="pct"/>
                  <w:tcBorders>
                    <w:tl2br w:val="nil"/>
                    <w:tr2bl w:val="nil"/>
                  </w:tcBorders>
                  <w:shd w:val="clear" w:color="auto" w:fill="auto"/>
                  <w:tcMar>
                    <w:top w:w="0" w:type="dxa"/>
                    <w:left w:w="0" w:type="dxa"/>
                    <w:bottom w:w="0" w:type="dxa"/>
                    <w:right w:w="0" w:type="dxa"/>
                  </w:tcMar>
                  <w:vAlign w:val="center"/>
                </w:tcPr>
                <w:p w14:paraId="07FDB83D">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符合性</w:t>
                  </w:r>
                </w:p>
              </w:tc>
            </w:tr>
            <w:tr w14:paraId="203C88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restart"/>
                  <w:tcBorders>
                    <w:tl2br w:val="nil"/>
                    <w:tr2bl w:val="nil"/>
                  </w:tcBorders>
                  <w:shd w:val="clear" w:color="auto" w:fill="auto"/>
                  <w:tcMar>
                    <w:top w:w="0" w:type="dxa"/>
                    <w:left w:w="0" w:type="dxa"/>
                    <w:bottom w:w="0" w:type="dxa"/>
                    <w:right w:w="0" w:type="dxa"/>
                  </w:tcMar>
                  <w:vAlign w:val="center"/>
                </w:tcPr>
                <w:p w14:paraId="47B09C98">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A1空间布局约束</w:t>
                  </w:r>
                </w:p>
              </w:tc>
              <w:tc>
                <w:tcPr>
                  <w:tcW w:w="2003" w:type="pct"/>
                  <w:tcBorders>
                    <w:tl2br w:val="nil"/>
                    <w:tr2bl w:val="nil"/>
                  </w:tcBorders>
                  <w:shd w:val="clear" w:color="auto" w:fill="auto"/>
                  <w:tcMar>
                    <w:top w:w="0" w:type="dxa"/>
                    <w:left w:w="0" w:type="dxa"/>
                    <w:bottom w:w="0" w:type="dxa"/>
                    <w:right w:w="0" w:type="dxa"/>
                  </w:tcMar>
                  <w:vAlign w:val="center"/>
                </w:tcPr>
                <w:p w14:paraId="6CB44F5B">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A1.1-1：禁止新建、扩建《产业结构调整指导目录》中淘汰类项目。</w:t>
                  </w:r>
                </w:p>
              </w:tc>
              <w:tc>
                <w:tcPr>
                  <w:tcW w:w="2201" w:type="pct"/>
                  <w:tcBorders>
                    <w:tl2br w:val="nil"/>
                    <w:tr2bl w:val="nil"/>
                  </w:tcBorders>
                  <w:shd w:val="clear" w:color="auto" w:fill="auto"/>
                  <w:tcMar>
                    <w:top w:w="0" w:type="dxa"/>
                    <w:left w:w="0" w:type="dxa"/>
                    <w:bottom w:w="0" w:type="dxa"/>
                    <w:right w:w="0" w:type="dxa"/>
                  </w:tcMar>
                  <w:vAlign w:val="center"/>
                </w:tcPr>
                <w:p w14:paraId="5F3252CB">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本项目为塑料制品业，属于《产业结构调整指导目录（2024年本）》中允许类，不属于淘汰类、限制类项目。</w:t>
                  </w:r>
                </w:p>
              </w:tc>
              <w:tc>
                <w:tcPr>
                  <w:tcW w:w="353" w:type="pct"/>
                  <w:tcBorders>
                    <w:tl2br w:val="nil"/>
                    <w:tr2bl w:val="nil"/>
                  </w:tcBorders>
                  <w:shd w:val="clear" w:color="auto" w:fill="auto"/>
                  <w:tcMar>
                    <w:top w:w="0" w:type="dxa"/>
                    <w:left w:w="0" w:type="dxa"/>
                    <w:bottom w:w="0" w:type="dxa"/>
                    <w:right w:w="0" w:type="dxa"/>
                  </w:tcMar>
                  <w:vAlign w:val="center"/>
                </w:tcPr>
                <w:p w14:paraId="3105B1E8">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19C56F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7EDB3B4E">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15F58019">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A1.1-2：禁止建设不符合国家和自治区环境保护标准的项目。</w:t>
                  </w:r>
                </w:p>
              </w:tc>
              <w:tc>
                <w:tcPr>
                  <w:tcW w:w="2201" w:type="pct"/>
                  <w:tcBorders>
                    <w:tl2br w:val="nil"/>
                    <w:tr2bl w:val="nil"/>
                  </w:tcBorders>
                  <w:shd w:val="clear" w:color="auto" w:fill="auto"/>
                  <w:tcMar>
                    <w:top w:w="0" w:type="dxa"/>
                    <w:left w:w="0" w:type="dxa"/>
                    <w:bottom w:w="0" w:type="dxa"/>
                    <w:right w:w="0" w:type="dxa"/>
                  </w:tcMar>
                  <w:vAlign w:val="center"/>
                </w:tcPr>
                <w:p w14:paraId="00306F8F">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本项目废气、废水、噪声经治理后均能满足相应排放标准，固废妥善处置，符合环保标准要求。</w:t>
                  </w:r>
                </w:p>
              </w:tc>
              <w:tc>
                <w:tcPr>
                  <w:tcW w:w="353" w:type="pct"/>
                  <w:tcBorders>
                    <w:tl2br w:val="nil"/>
                    <w:tr2bl w:val="nil"/>
                  </w:tcBorders>
                  <w:shd w:val="clear" w:color="auto" w:fill="auto"/>
                  <w:tcMar>
                    <w:top w:w="0" w:type="dxa"/>
                    <w:left w:w="0" w:type="dxa"/>
                    <w:bottom w:w="0" w:type="dxa"/>
                    <w:right w:w="0" w:type="dxa"/>
                  </w:tcMar>
                  <w:vAlign w:val="center"/>
                </w:tcPr>
                <w:p w14:paraId="72EE339C">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4F98F0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691B99E8">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131837EA">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A1.1-3：禁止在饮用水水源保护区等敏感区域建设畜禽养殖场。</w:t>
                  </w:r>
                </w:p>
              </w:tc>
              <w:tc>
                <w:tcPr>
                  <w:tcW w:w="2201" w:type="pct"/>
                  <w:tcBorders>
                    <w:tl2br w:val="nil"/>
                    <w:tr2bl w:val="nil"/>
                  </w:tcBorders>
                  <w:shd w:val="clear" w:color="auto" w:fill="auto"/>
                  <w:tcMar>
                    <w:top w:w="0" w:type="dxa"/>
                    <w:left w:w="0" w:type="dxa"/>
                    <w:bottom w:w="0" w:type="dxa"/>
                    <w:right w:w="0" w:type="dxa"/>
                  </w:tcMar>
                  <w:vAlign w:val="center"/>
                </w:tcPr>
                <w:p w14:paraId="3BB48C9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本项目位于阜康产业园阜西区苏通小微创业园，不涉及饮用水水源保护区等敏感区域。</w:t>
                  </w:r>
                </w:p>
              </w:tc>
              <w:tc>
                <w:tcPr>
                  <w:tcW w:w="353" w:type="pct"/>
                  <w:tcBorders>
                    <w:tl2br w:val="nil"/>
                    <w:tr2bl w:val="nil"/>
                  </w:tcBorders>
                  <w:shd w:val="clear" w:color="auto" w:fill="auto"/>
                  <w:tcMar>
                    <w:top w:w="0" w:type="dxa"/>
                    <w:left w:w="0" w:type="dxa"/>
                    <w:bottom w:w="0" w:type="dxa"/>
                    <w:right w:w="0" w:type="dxa"/>
                  </w:tcMar>
                  <w:vAlign w:val="center"/>
                </w:tcPr>
                <w:p w14:paraId="6F3C747F">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716C06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70FEBBE0">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0A116DE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A1.1-4：禁止在水源涵养区、地下水源、饮用水源、自然保护区等生态敏感区域内进行煤炭、石油、天然气开发。</w:t>
                  </w:r>
                </w:p>
              </w:tc>
              <w:tc>
                <w:tcPr>
                  <w:tcW w:w="2201" w:type="pct"/>
                  <w:tcBorders>
                    <w:tl2br w:val="nil"/>
                    <w:tr2bl w:val="nil"/>
                  </w:tcBorders>
                  <w:shd w:val="clear" w:color="auto" w:fill="auto"/>
                  <w:tcMar>
                    <w:top w:w="0" w:type="dxa"/>
                    <w:left w:w="0" w:type="dxa"/>
                    <w:bottom w:w="0" w:type="dxa"/>
                    <w:right w:w="0" w:type="dxa"/>
                  </w:tcMar>
                  <w:vAlign w:val="center"/>
                </w:tcPr>
                <w:p w14:paraId="0EF93C2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本项目为塑料制品制造，不涉及矿产资源开发。</w:t>
                  </w:r>
                </w:p>
              </w:tc>
              <w:tc>
                <w:tcPr>
                  <w:tcW w:w="353" w:type="pct"/>
                  <w:tcBorders>
                    <w:tl2br w:val="nil"/>
                    <w:tr2bl w:val="nil"/>
                  </w:tcBorders>
                  <w:shd w:val="clear" w:color="auto" w:fill="auto"/>
                  <w:tcMar>
                    <w:top w:w="0" w:type="dxa"/>
                    <w:left w:w="0" w:type="dxa"/>
                    <w:bottom w:w="0" w:type="dxa"/>
                    <w:right w:w="0" w:type="dxa"/>
                  </w:tcMar>
                  <w:vAlign w:val="center"/>
                </w:tcPr>
                <w:p w14:paraId="3DE4F9DD">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6498D1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44378D30">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13DF6881">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A1.1-6：禁止引进能（水）耗不符合相关国家标准中准入值要求且污染物排放和环境风险防控不符合国家（地方）标准及有关产业准入条件的高污染（排放）、高能（水）耗、高环境风险的工业项目。</w:t>
                  </w:r>
                </w:p>
              </w:tc>
              <w:tc>
                <w:tcPr>
                  <w:tcW w:w="2201" w:type="pct"/>
                  <w:tcBorders>
                    <w:tl2br w:val="nil"/>
                    <w:tr2bl w:val="nil"/>
                  </w:tcBorders>
                  <w:shd w:val="clear" w:color="auto" w:fill="auto"/>
                  <w:tcMar>
                    <w:top w:w="0" w:type="dxa"/>
                    <w:left w:w="0" w:type="dxa"/>
                    <w:bottom w:w="0" w:type="dxa"/>
                    <w:right w:w="0" w:type="dxa"/>
                  </w:tcMar>
                  <w:vAlign w:val="center"/>
                </w:tcPr>
                <w:p w14:paraId="7A6E5943">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本项目不属于高污染、高能耗、高环境风险项目，项目能耗主要为电能，耗水量小，污染物经治理后达标排放。</w:t>
                  </w:r>
                </w:p>
              </w:tc>
              <w:tc>
                <w:tcPr>
                  <w:tcW w:w="353" w:type="pct"/>
                  <w:tcBorders>
                    <w:tl2br w:val="nil"/>
                    <w:tr2bl w:val="nil"/>
                  </w:tcBorders>
                  <w:shd w:val="clear" w:color="auto" w:fill="auto"/>
                  <w:tcMar>
                    <w:top w:w="0" w:type="dxa"/>
                    <w:left w:w="0" w:type="dxa"/>
                    <w:bottom w:w="0" w:type="dxa"/>
                    <w:right w:w="0" w:type="dxa"/>
                  </w:tcMar>
                  <w:vAlign w:val="center"/>
                </w:tcPr>
                <w:p w14:paraId="45DE8414">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1A9195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16C15A69">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790CD7C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A1.1-7：坚决遏制高耗能高排放低水平项目盲目发展。</w:t>
                  </w:r>
                </w:p>
              </w:tc>
              <w:tc>
                <w:tcPr>
                  <w:tcW w:w="2201" w:type="pct"/>
                  <w:tcBorders>
                    <w:tl2br w:val="nil"/>
                    <w:tr2bl w:val="nil"/>
                  </w:tcBorders>
                  <w:shd w:val="clear" w:color="auto" w:fill="auto"/>
                  <w:tcMar>
                    <w:top w:w="0" w:type="dxa"/>
                    <w:left w:w="0" w:type="dxa"/>
                    <w:bottom w:w="0" w:type="dxa"/>
                    <w:right w:w="0" w:type="dxa"/>
                  </w:tcMar>
                  <w:vAlign w:val="center"/>
                </w:tcPr>
                <w:p w14:paraId="078FCFBC">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本项目不属于“两高”项目，投料粉尘经布袋除尘器处理，有机废气经“活性炭吸附脱附+</w:t>
                  </w:r>
                  <w:r>
                    <w:rPr>
                      <w:rFonts w:hint="eastAsia" w:cs="Times New Roman"/>
                      <w:color w:val="auto"/>
                      <w:kern w:val="0"/>
                      <w:sz w:val="21"/>
                      <w:szCs w:val="21"/>
                      <w:lang w:val="en-US" w:eastAsia="zh-CN" w:bidi="ar"/>
                    </w:rPr>
                    <w:t>蓄热催化燃烧</w:t>
                  </w:r>
                  <w:r>
                    <w:rPr>
                      <w:rFonts w:hint="default" w:ascii="Times New Roman" w:hAnsi="Times New Roman" w:eastAsia="宋体" w:cs="Times New Roman"/>
                      <w:color w:val="auto"/>
                      <w:kern w:val="0"/>
                      <w:sz w:val="21"/>
                      <w:szCs w:val="21"/>
                      <w:lang w:val="en-US" w:eastAsia="zh-CN" w:bidi="ar"/>
                    </w:rPr>
                    <w:t>一体化装置”处理，符合大气污染治理要求。</w:t>
                  </w:r>
                </w:p>
              </w:tc>
              <w:tc>
                <w:tcPr>
                  <w:tcW w:w="353" w:type="pct"/>
                  <w:tcBorders>
                    <w:tl2br w:val="nil"/>
                    <w:tr2bl w:val="nil"/>
                  </w:tcBorders>
                  <w:shd w:val="clear" w:color="auto" w:fill="auto"/>
                  <w:tcMar>
                    <w:top w:w="0" w:type="dxa"/>
                    <w:left w:w="0" w:type="dxa"/>
                    <w:bottom w:w="0" w:type="dxa"/>
                    <w:right w:w="0" w:type="dxa"/>
                  </w:tcMar>
                  <w:vAlign w:val="center"/>
                </w:tcPr>
                <w:p w14:paraId="50E98D15">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71276D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5B63C88D">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1D2ADA3F">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A1.4-1：一切开发建设活动应符合国家、自治区主体功能区规划、生态环境功能区划、国民经济发展规划、产业发展规划、国土空间规划等相关规划及重点生态功能区负面清单要求。</w:t>
                  </w:r>
                </w:p>
              </w:tc>
              <w:tc>
                <w:tcPr>
                  <w:tcW w:w="2201" w:type="pct"/>
                  <w:tcBorders>
                    <w:tl2br w:val="nil"/>
                    <w:tr2bl w:val="nil"/>
                  </w:tcBorders>
                  <w:shd w:val="clear" w:color="auto" w:fill="auto"/>
                  <w:tcMar>
                    <w:top w:w="0" w:type="dxa"/>
                    <w:left w:w="0" w:type="dxa"/>
                    <w:bottom w:w="0" w:type="dxa"/>
                    <w:right w:w="0" w:type="dxa"/>
                  </w:tcMar>
                  <w:vAlign w:val="center"/>
                </w:tcPr>
                <w:p w14:paraId="7CDC076C">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本项目位于依法合规设立的阜康产业园内，符合园区规划和产业定位，不涉及重点生态功能区负面清单内容。</w:t>
                  </w:r>
                </w:p>
              </w:tc>
              <w:tc>
                <w:tcPr>
                  <w:tcW w:w="353" w:type="pct"/>
                  <w:tcBorders>
                    <w:tl2br w:val="nil"/>
                    <w:tr2bl w:val="nil"/>
                  </w:tcBorders>
                  <w:shd w:val="clear" w:color="auto" w:fill="auto"/>
                  <w:tcMar>
                    <w:top w:w="0" w:type="dxa"/>
                    <w:left w:w="0" w:type="dxa"/>
                    <w:bottom w:w="0" w:type="dxa"/>
                    <w:right w:w="0" w:type="dxa"/>
                  </w:tcMar>
                  <w:vAlign w:val="center"/>
                </w:tcPr>
                <w:p w14:paraId="5F6BCE9C">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6F97DD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5E1F9C49">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60242C45">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A1.4-2：新建、扩建石化、化工、焦化、有色金属冶炼、平板玻璃项目应布设在依法合规设立并经规划环评的产业园区。</w:t>
                  </w:r>
                </w:p>
              </w:tc>
              <w:tc>
                <w:tcPr>
                  <w:tcW w:w="2201" w:type="pct"/>
                  <w:tcBorders>
                    <w:tl2br w:val="nil"/>
                    <w:tr2bl w:val="nil"/>
                  </w:tcBorders>
                  <w:shd w:val="clear" w:color="auto" w:fill="auto"/>
                  <w:tcMar>
                    <w:top w:w="0" w:type="dxa"/>
                    <w:left w:w="0" w:type="dxa"/>
                    <w:bottom w:w="0" w:type="dxa"/>
                    <w:right w:w="0" w:type="dxa"/>
                  </w:tcMar>
                  <w:vAlign w:val="center"/>
                </w:tcPr>
                <w:p w14:paraId="10D3762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本项目为塑料制品业，不属于上述行业，且项目位于阜康产业园内，园区已依法开展规划环评。</w:t>
                  </w:r>
                </w:p>
              </w:tc>
              <w:tc>
                <w:tcPr>
                  <w:tcW w:w="353" w:type="pct"/>
                  <w:tcBorders>
                    <w:tl2br w:val="nil"/>
                    <w:tr2bl w:val="nil"/>
                  </w:tcBorders>
                  <w:shd w:val="clear" w:color="auto" w:fill="auto"/>
                  <w:tcMar>
                    <w:top w:w="0" w:type="dxa"/>
                    <w:left w:w="0" w:type="dxa"/>
                    <w:bottom w:w="0" w:type="dxa"/>
                    <w:right w:w="0" w:type="dxa"/>
                  </w:tcMar>
                  <w:vAlign w:val="center"/>
                </w:tcPr>
                <w:p w14:paraId="3E50B8E9">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155E03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restart"/>
                  <w:tcBorders>
                    <w:tl2br w:val="nil"/>
                    <w:tr2bl w:val="nil"/>
                  </w:tcBorders>
                  <w:shd w:val="clear" w:color="auto" w:fill="auto"/>
                  <w:tcMar>
                    <w:top w:w="0" w:type="dxa"/>
                    <w:left w:w="0" w:type="dxa"/>
                    <w:bottom w:w="0" w:type="dxa"/>
                    <w:right w:w="0" w:type="dxa"/>
                  </w:tcMar>
                  <w:vAlign w:val="center"/>
                </w:tcPr>
                <w:p w14:paraId="2BE8D74B">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A2污染物排放管控</w:t>
                  </w:r>
                </w:p>
              </w:tc>
              <w:tc>
                <w:tcPr>
                  <w:tcW w:w="2003" w:type="pct"/>
                  <w:tcBorders>
                    <w:tl2br w:val="nil"/>
                    <w:tr2bl w:val="nil"/>
                  </w:tcBorders>
                  <w:shd w:val="clear" w:color="auto" w:fill="auto"/>
                  <w:tcMar>
                    <w:top w:w="0" w:type="dxa"/>
                    <w:left w:w="0" w:type="dxa"/>
                    <w:bottom w:w="0" w:type="dxa"/>
                    <w:right w:w="0" w:type="dxa"/>
                  </w:tcMar>
                  <w:vAlign w:val="center"/>
                </w:tcPr>
                <w:p w14:paraId="53565089">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A2.1-1：新、改、扩建重点行业建设项目应符合“三线一单”、产业政策、区域环评、规划环评和行业环境准入管控要求。</w:t>
                  </w:r>
                </w:p>
              </w:tc>
              <w:tc>
                <w:tcPr>
                  <w:tcW w:w="2201" w:type="pct"/>
                  <w:tcBorders>
                    <w:tl2br w:val="nil"/>
                    <w:tr2bl w:val="nil"/>
                  </w:tcBorders>
                  <w:shd w:val="clear" w:color="auto" w:fill="auto"/>
                  <w:tcMar>
                    <w:top w:w="0" w:type="dxa"/>
                    <w:left w:w="0" w:type="dxa"/>
                    <w:bottom w:w="0" w:type="dxa"/>
                    <w:right w:w="0" w:type="dxa"/>
                  </w:tcMar>
                  <w:vAlign w:val="center"/>
                </w:tcPr>
                <w:p w14:paraId="431795DF">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本项目符合自治区生态环境分区管控要求，符合产业政策及园区规划环评要求。</w:t>
                  </w:r>
                </w:p>
              </w:tc>
              <w:tc>
                <w:tcPr>
                  <w:tcW w:w="353" w:type="pct"/>
                  <w:tcBorders>
                    <w:tl2br w:val="nil"/>
                    <w:tr2bl w:val="nil"/>
                  </w:tcBorders>
                  <w:shd w:val="clear" w:color="auto" w:fill="auto"/>
                  <w:tcMar>
                    <w:top w:w="0" w:type="dxa"/>
                    <w:left w:w="0" w:type="dxa"/>
                    <w:bottom w:w="0" w:type="dxa"/>
                    <w:right w:w="0" w:type="dxa"/>
                  </w:tcMar>
                  <w:vAlign w:val="center"/>
                </w:tcPr>
                <w:p w14:paraId="79000F7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7EE2C0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078C74F4">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5233091C">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A2.1-2：以石化、化工、涂装、医药、包装印刷、油品储运销等行业领域为重点，安全高效推进挥发性有机物综合治理，实施原辅材料和产品源头替代工程。</w:t>
                  </w:r>
                </w:p>
              </w:tc>
              <w:tc>
                <w:tcPr>
                  <w:tcW w:w="2201" w:type="pct"/>
                  <w:tcBorders>
                    <w:tl2br w:val="nil"/>
                    <w:tr2bl w:val="nil"/>
                  </w:tcBorders>
                  <w:shd w:val="clear" w:color="auto" w:fill="auto"/>
                  <w:tcMar>
                    <w:top w:w="0" w:type="dxa"/>
                    <w:left w:w="0" w:type="dxa"/>
                    <w:bottom w:w="0" w:type="dxa"/>
                    <w:right w:w="0" w:type="dxa"/>
                  </w:tcMar>
                  <w:vAlign w:val="center"/>
                </w:tcPr>
                <w:p w14:paraId="0D6ABA0A">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本项目属于塑料制品业，使用水性油墨和UV油墨等环保型原辅材料，从源头减少VOCs产生；有机废气采用“活性炭吸附脱附+</w:t>
                  </w:r>
                  <w:r>
                    <w:rPr>
                      <w:rFonts w:hint="eastAsia" w:cs="Times New Roman"/>
                      <w:color w:val="auto"/>
                      <w:kern w:val="0"/>
                      <w:sz w:val="21"/>
                      <w:szCs w:val="21"/>
                      <w:lang w:val="en-US" w:eastAsia="zh-CN" w:bidi="ar"/>
                    </w:rPr>
                    <w:t>蓄热催化燃烧</w:t>
                  </w:r>
                  <w:r>
                    <w:rPr>
                      <w:rFonts w:hint="default" w:ascii="Times New Roman" w:hAnsi="Times New Roman" w:eastAsia="宋体" w:cs="Times New Roman"/>
                      <w:color w:val="auto"/>
                      <w:kern w:val="0"/>
                      <w:sz w:val="21"/>
                      <w:szCs w:val="21"/>
                      <w:lang w:val="en-US" w:eastAsia="zh-CN" w:bidi="ar"/>
                    </w:rPr>
                    <w:t>一体化装置”处理，实现高效治理。</w:t>
                  </w:r>
                </w:p>
              </w:tc>
              <w:tc>
                <w:tcPr>
                  <w:tcW w:w="353" w:type="pct"/>
                  <w:tcBorders>
                    <w:tl2br w:val="nil"/>
                    <w:tr2bl w:val="nil"/>
                  </w:tcBorders>
                  <w:shd w:val="clear" w:color="auto" w:fill="auto"/>
                  <w:tcMar>
                    <w:top w:w="0" w:type="dxa"/>
                    <w:left w:w="0" w:type="dxa"/>
                    <w:bottom w:w="0" w:type="dxa"/>
                    <w:right w:w="0" w:type="dxa"/>
                  </w:tcMar>
                  <w:vAlign w:val="center"/>
                </w:tcPr>
                <w:p w14:paraId="3E8870D0">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62B958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225329F0">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53E5B6B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A2.1-4：严控建材、铸造、冶炼等行业无组织排放，推进石化、化工、涂装、医药、包装印刷、油品储运销等行业项目挥发性有机物（VOCs）防治。</w:t>
                  </w:r>
                </w:p>
              </w:tc>
              <w:tc>
                <w:tcPr>
                  <w:tcW w:w="2201" w:type="pct"/>
                  <w:tcBorders>
                    <w:tl2br w:val="nil"/>
                    <w:tr2bl w:val="nil"/>
                  </w:tcBorders>
                  <w:shd w:val="clear" w:color="auto" w:fill="auto"/>
                  <w:tcMar>
                    <w:top w:w="0" w:type="dxa"/>
                    <w:left w:w="0" w:type="dxa"/>
                    <w:bottom w:w="0" w:type="dxa"/>
                    <w:right w:w="0" w:type="dxa"/>
                  </w:tcMar>
                  <w:vAlign w:val="center"/>
                </w:tcPr>
                <w:p w14:paraId="1FD5D23B">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本项目投料混合粉尘经集气罩收集后由布袋除尘器处理；有机废气经集气罩收集后由“活性炭吸附脱附+</w:t>
                  </w:r>
                  <w:r>
                    <w:rPr>
                      <w:rFonts w:hint="eastAsia" w:cs="Times New Roman"/>
                      <w:color w:val="auto"/>
                      <w:kern w:val="0"/>
                      <w:sz w:val="21"/>
                      <w:szCs w:val="21"/>
                      <w:lang w:val="en-US" w:eastAsia="zh-CN" w:bidi="ar"/>
                    </w:rPr>
                    <w:t>蓄热催化燃烧</w:t>
                  </w:r>
                  <w:r>
                    <w:rPr>
                      <w:rFonts w:hint="default" w:ascii="Times New Roman" w:hAnsi="Times New Roman" w:eastAsia="宋体" w:cs="Times New Roman"/>
                      <w:color w:val="auto"/>
                      <w:kern w:val="0"/>
                      <w:sz w:val="21"/>
                      <w:szCs w:val="21"/>
                      <w:lang w:val="en-US" w:eastAsia="zh-CN" w:bidi="ar"/>
                    </w:rPr>
                    <w:t>一体化装置”处理，有效控制无组织排放。</w:t>
                  </w:r>
                </w:p>
              </w:tc>
              <w:tc>
                <w:tcPr>
                  <w:tcW w:w="353" w:type="pct"/>
                  <w:tcBorders>
                    <w:tl2br w:val="nil"/>
                    <w:tr2bl w:val="nil"/>
                  </w:tcBorders>
                  <w:shd w:val="clear" w:color="auto" w:fill="auto"/>
                  <w:tcMar>
                    <w:top w:w="0" w:type="dxa"/>
                    <w:left w:w="0" w:type="dxa"/>
                    <w:bottom w:w="0" w:type="dxa"/>
                    <w:right w:w="0" w:type="dxa"/>
                  </w:tcMar>
                  <w:vAlign w:val="center"/>
                </w:tcPr>
                <w:p w14:paraId="2B748BAF">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20DD27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20B4379F">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29875B37">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A2.2-3：强化重点区域大气污染联防联控，“乌—昌—石”区域内推动统一产业准入和排放标准。</w:t>
                  </w:r>
                </w:p>
              </w:tc>
              <w:tc>
                <w:tcPr>
                  <w:tcW w:w="2201" w:type="pct"/>
                  <w:tcBorders>
                    <w:tl2br w:val="nil"/>
                    <w:tr2bl w:val="nil"/>
                  </w:tcBorders>
                  <w:shd w:val="clear" w:color="auto" w:fill="auto"/>
                  <w:tcMar>
                    <w:top w:w="0" w:type="dxa"/>
                    <w:left w:w="0" w:type="dxa"/>
                    <w:bottom w:w="0" w:type="dxa"/>
                    <w:right w:w="0" w:type="dxa"/>
                  </w:tcMar>
                  <w:vAlign w:val="center"/>
                </w:tcPr>
                <w:p w14:paraId="178DAC6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本项目位于“乌—昌—石”区域，颗粒物和非甲烷总烃执行《合成树脂工业污染物排放标准》（GB31572-2015，含2024年修改单）表5大气污染物特别排放限值。</w:t>
                  </w:r>
                </w:p>
              </w:tc>
              <w:tc>
                <w:tcPr>
                  <w:tcW w:w="353" w:type="pct"/>
                  <w:tcBorders>
                    <w:tl2br w:val="nil"/>
                    <w:tr2bl w:val="nil"/>
                  </w:tcBorders>
                  <w:shd w:val="clear" w:color="auto" w:fill="auto"/>
                  <w:tcMar>
                    <w:top w:w="0" w:type="dxa"/>
                    <w:left w:w="0" w:type="dxa"/>
                    <w:bottom w:w="0" w:type="dxa"/>
                    <w:right w:w="0" w:type="dxa"/>
                  </w:tcMar>
                  <w:vAlign w:val="center"/>
                </w:tcPr>
                <w:p w14:paraId="1D1FD73A">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2A3253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5B91B0ED">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6570A970">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A2.2-4：强化用水定额管理。</w:t>
                  </w:r>
                </w:p>
              </w:tc>
              <w:tc>
                <w:tcPr>
                  <w:tcW w:w="2201" w:type="pct"/>
                  <w:tcBorders>
                    <w:tl2br w:val="nil"/>
                    <w:tr2bl w:val="nil"/>
                  </w:tcBorders>
                  <w:shd w:val="clear" w:color="auto" w:fill="auto"/>
                  <w:tcMar>
                    <w:top w:w="0" w:type="dxa"/>
                    <w:left w:w="0" w:type="dxa"/>
                    <w:bottom w:w="0" w:type="dxa"/>
                    <w:right w:w="0" w:type="dxa"/>
                  </w:tcMar>
                  <w:vAlign w:val="center"/>
                </w:tcPr>
                <w:p w14:paraId="78CD8844">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本项目冷却水循环使用不外排，生活污水排入园区污水管网，用水量符合自治区用水定额要求。</w:t>
                  </w:r>
                </w:p>
              </w:tc>
              <w:tc>
                <w:tcPr>
                  <w:tcW w:w="353" w:type="pct"/>
                  <w:tcBorders>
                    <w:tl2br w:val="nil"/>
                    <w:tr2bl w:val="nil"/>
                  </w:tcBorders>
                  <w:shd w:val="clear" w:color="auto" w:fill="auto"/>
                  <w:tcMar>
                    <w:top w:w="0" w:type="dxa"/>
                    <w:left w:w="0" w:type="dxa"/>
                    <w:bottom w:w="0" w:type="dxa"/>
                    <w:right w:w="0" w:type="dxa"/>
                  </w:tcMar>
                  <w:vAlign w:val="center"/>
                </w:tcPr>
                <w:p w14:paraId="556C920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3E2268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41" w:type="pct"/>
                  <w:vMerge w:val="restart"/>
                  <w:tcBorders>
                    <w:tl2br w:val="nil"/>
                    <w:tr2bl w:val="nil"/>
                  </w:tcBorders>
                  <w:shd w:val="clear" w:color="auto" w:fill="auto"/>
                  <w:tcMar>
                    <w:top w:w="0" w:type="dxa"/>
                    <w:left w:w="0" w:type="dxa"/>
                    <w:bottom w:w="0" w:type="dxa"/>
                    <w:right w:w="0" w:type="dxa"/>
                  </w:tcMar>
                  <w:vAlign w:val="center"/>
                </w:tcPr>
                <w:p w14:paraId="6C4C127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A3环境风险防控</w:t>
                  </w:r>
                </w:p>
              </w:tc>
              <w:tc>
                <w:tcPr>
                  <w:tcW w:w="2003" w:type="pct"/>
                  <w:tcBorders>
                    <w:tl2br w:val="nil"/>
                    <w:tr2bl w:val="nil"/>
                  </w:tcBorders>
                  <w:shd w:val="clear" w:color="auto" w:fill="auto"/>
                  <w:tcMar>
                    <w:top w:w="0" w:type="dxa"/>
                    <w:left w:w="0" w:type="dxa"/>
                    <w:bottom w:w="0" w:type="dxa"/>
                    <w:right w:w="0" w:type="dxa"/>
                  </w:tcMar>
                  <w:vAlign w:val="center"/>
                </w:tcPr>
                <w:p w14:paraId="6AF2F4EE">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A3.1-1、A3.1-3：建立和完善重污染天气应急预案和预警应急机制，“乌—昌—石”区域内可能影响相邻行政区域大气环境的项目，兵地间、城市间必须相互征求意见。</w:t>
                  </w:r>
                </w:p>
              </w:tc>
              <w:tc>
                <w:tcPr>
                  <w:tcW w:w="2201" w:type="pct"/>
                  <w:tcBorders>
                    <w:tl2br w:val="nil"/>
                    <w:tr2bl w:val="nil"/>
                  </w:tcBorders>
                  <w:shd w:val="clear" w:color="auto" w:fill="auto"/>
                  <w:tcMar>
                    <w:top w:w="0" w:type="dxa"/>
                    <w:left w:w="0" w:type="dxa"/>
                    <w:bottom w:w="0" w:type="dxa"/>
                    <w:right w:w="0" w:type="dxa"/>
                  </w:tcMar>
                  <w:vAlign w:val="center"/>
                </w:tcPr>
                <w:p w14:paraId="37BECAE5">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本项目建设单位将严格落实重污染天气应急响应措施，编制突发环境事件应急预案并备案。</w:t>
                  </w:r>
                </w:p>
              </w:tc>
              <w:tc>
                <w:tcPr>
                  <w:tcW w:w="353" w:type="pct"/>
                  <w:tcBorders>
                    <w:tl2br w:val="nil"/>
                    <w:tr2bl w:val="nil"/>
                  </w:tcBorders>
                  <w:shd w:val="clear" w:color="auto" w:fill="auto"/>
                  <w:tcMar>
                    <w:top w:w="0" w:type="dxa"/>
                    <w:left w:w="0" w:type="dxa"/>
                    <w:bottom w:w="0" w:type="dxa"/>
                    <w:right w:w="0" w:type="dxa"/>
                  </w:tcMar>
                  <w:vAlign w:val="center"/>
                </w:tcPr>
                <w:p w14:paraId="5EAF86B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4D837F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0259F58C">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1A0C67DE">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A3.2-4：加强涉危险废物企业环境风险调查评估，实施分类分级风险管控。</w:t>
                  </w:r>
                </w:p>
              </w:tc>
              <w:tc>
                <w:tcPr>
                  <w:tcW w:w="2201" w:type="pct"/>
                  <w:tcBorders>
                    <w:tl2br w:val="nil"/>
                    <w:tr2bl w:val="nil"/>
                  </w:tcBorders>
                  <w:shd w:val="clear" w:color="auto" w:fill="auto"/>
                  <w:tcMar>
                    <w:top w:w="0" w:type="dxa"/>
                    <w:left w:w="0" w:type="dxa"/>
                    <w:bottom w:w="0" w:type="dxa"/>
                    <w:right w:w="0" w:type="dxa"/>
                  </w:tcMar>
                  <w:vAlign w:val="center"/>
                </w:tcPr>
                <w:p w14:paraId="16732BE3">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本项目危险废物年产生量约4.88吨（小于10吨），属于登记管理单位，按要求在危废贮存点暂存并委托有资质单位处置，环境风险可控。</w:t>
                  </w:r>
                </w:p>
              </w:tc>
              <w:tc>
                <w:tcPr>
                  <w:tcW w:w="353" w:type="pct"/>
                  <w:tcBorders>
                    <w:tl2br w:val="nil"/>
                    <w:tr2bl w:val="nil"/>
                  </w:tcBorders>
                  <w:shd w:val="clear" w:color="auto" w:fill="auto"/>
                  <w:tcMar>
                    <w:top w:w="0" w:type="dxa"/>
                    <w:left w:w="0" w:type="dxa"/>
                    <w:bottom w:w="0" w:type="dxa"/>
                    <w:right w:w="0" w:type="dxa"/>
                  </w:tcMar>
                  <w:vAlign w:val="center"/>
                </w:tcPr>
                <w:p w14:paraId="13E59598">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27C78F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restart"/>
                  <w:tcBorders>
                    <w:tl2br w:val="nil"/>
                    <w:tr2bl w:val="nil"/>
                  </w:tcBorders>
                  <w:shd w:val="clear" w:color="auto" w:fill="auto"/>
                  <w:tcMar>
                    <w:top w:w="0" w:type="dxa"/>
                    <w:left w:w="0" w:type="dxa"/>
                    <w:bottom w:w="0" w:type="dxa"/>
                    <w:right w:w="0" w:type="dxa"/>
                  </w:tcMar>
                  <w:vAlign w:val="center"/>
                </w:tcPr>
                <w:p w14:paraId="1461785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val="en-US" w:eastAsia="zh-CN" w:bidi="ar"/>
                    </w:rPr>
                    <w:t>A4资源利用要求</w:t>
                  </w:r>
                </w:p>
              </w:tc>
              <w:tc>
                <w:tcPr>
                  <w:tcW w:w="2003" w:type="pct"/>
                  <w:tcBorders>
                    <w:tl2br w:val="nil"/>
                    <w:tr2bl w:val="nil"/>
                  </w:tcBorders>
                  <w:shd w:val="clear" w:color="auto" w:fill="auto"/>
                  <w:tcMar>
                    <w:top w:w="0" w:type="dxa"/>
                    <w:left w:w="0" w:type="dxa"/>
                    <w:bottom w:w="0" w:type="dxa"/>
                    <w:right w:w="0" w:type="dxa"/>
                  </w:tcMar>
                  <w:vAlign w:val="center"/>
                </w:tcPr>
                <w:p w14:paraId="0020DB8E">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A4.1-1：自治区用水总量控制在国家下达指标内。</w:t>
                  </w:r>
                </w:p>
              </w:tc>
              <w:tc>
                <w:tcPr>
                  <w:tcW w:w="2201" w:type="pct"/>
                  <w:tcBorders>
                    <w:tl2br w:val="nil"/>
                    <w:tr2bl w:val="nil"/>
                  </w:tcBorders>
                  <w:shd w:val="clear" w:color="auto" w:fill="auto"/>
                  <w:tcMar>
                    <w:top w:w="0" w:type="dxa"/>
                    <w:left w:w="0" w:type="dxa"/>
                    <w:bottom w:w="0" w:type="dxa"/>
                    <w:right w:w="0" w:type="dxa"/>
                  </w:tcMar>
                  <w:vAlign w:val="center"/>
                </w:tcPr>
                <w:p w14:paraId="66FDE09D">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本项目年用水量约320m³，用水量较小，符合水资源总量控制要求。</w:t>
                  </w:r>
                </w:p>
              </w:tc>
              <w:tc>
                <w:tcPr>
                  <w:tcW w:w="353" w:type="pct"/>
                  <w:tcBorders>
                    <w:tl2br w:val="nil"/>
                    <w:tr2bl w:val="nil"/>
                  </w:tcBorders>
                  <w:shd w:val="clear" w:color="auto" w:fill="auto"/>
                  <w:tcMar>
                    <w:top w:w="0" w:type="dxa"/>
                    <w:left w:w="0" w:type="dxa"/>
                    <w:bottom w:w="0" w:type="dxa"/>
                    <w:right w:w="0" w:type="dxa"/>
                  </w:tcMar>
                  <w:vAlign w:val="center"/>
                </w:tcPr>
                <w:p w14:paraId="23606E2D">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48A86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3E28258A">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51501652">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A4.3-4：鼓励使用清洁能源或电厂热力、工业余热等替代锅炉、炉窑燃料用煤。</w:t>
                  </w:r>
                </w:p>
              </w:tc>
              <w:tc>
                <w:tcPr>
                  <w:tcW w:w="2201" w:type="pct"/>
                  <w:tcBorders>
                    <w:tl2br w:val="nil"/>
                    <w:tr2bl w:val="nil"/>
                  </w:tcBorders>
                  <w:shd w:val="clear" w:color="auto" w:fill="auto"/>
                  <w:tcMar>
                    <w:top w:w="0" w:type="dxa"/>
                    <w:left w:w="0" w:type="dxa"/>
                    <w:bottom w:w="0" w:type="dxa"/>
                    <w:right w:w="0" w:type="dxa"/>
                  </w:tcMar>
                  <w:vAlign w:val="center"/>
                </w:tcPr>
                <w:p w14:paraId="28DA8AF7">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本项目生产设备使用电能，办公室采用电采暖，不使用燃煤，符合清洁能源要求。</w:t>
                  </w:r>
                </w:p>
              </w:tc>
              <w:tc>
                <w:tcPr>
                  <w:tcW w:w="353" w:type="pct"/>
                  <w:tcBorders>
                    <w:tl2br w:val="nil"/>
                    <w:tr2bl w:val="nil"/>
                  </w:tcBorders>
                  <w:shd w:val="clear" w:color="auto" w:fill="auto"/>
                  <w:tcMar>
                    <w:top w:w="0" w:type="dxa"/>
                    <w:left w:w="0" w:type="dxa"/>
                    <w:bottom w:w="0" w:type="dxa"/>
                    <w:right w:w="0" w:type="dxa"/>
                  </w:tcMar>
                  <w:vAlign w:val="center"/>
                </w:tcPr>
                <w:p w14:paraId="27DAA486">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r w14:paraId="01F2F3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41" w:type="pct"/>
                  <w:vMerge w:val="continue"/>
                  <w:tcBorders>
                    <w:tl2br w:val="nil"/>
                    <w:tr2bl w:val="nil"/>
                  </w:tcBorders>
                  <w:shd w:val="clear" w:color="auto" w:fill="auto"/>
                  <w:tcMar>
                    <w:top w:w="0" w:type="dxa"/>
                    <w:left w:w="0" w:type="dxa"/>
                    <w:bottom w:w="0" w:type="dxa"/>
                    <w:right w:w="0" w:type="dxa"/>
                  </w:tcMar>
                  <w:vAlign w:val="center"/>
                </w:tcPr>
                <w:p w14:paraId="00031883">
                  <w:pPr>
                    <w:rPr>
                      <w:rFonts w:hint="default" w:ascii="Times New Roman" w:hAnsi="Times New Roman" w:eastAsia="宋体" w:cs="Times New Roman"/>
                      <w:color w:val="auto"/>
                      <w:sz w:val="21"/>
                      <w:szCs w:val="21"/>
                    </w:rPr>
                  </w:pPr>
                </w:p>
              </w:tc>
              <w:tc>
                <w:tcPr>
                  <w:tcW w:w="2003" w:type="pct"/>
                  <w:tcBorders>
                    <w:tl2br w:val="nil"/>
                    <w:tr2bl w:val="nil"/>
                  </w:tcBorders>
                  <w:shd w:val="clear" w:color="auto" w:fill="auto"/>
                  <w:tcMar>
                    <w:top w:w="0" w:type="dxa"/>
                    <w:left w:w="0" w:type="dxa"/>
                    <w:bottom w:w="0" w:type="dxa"/>
                    <w:right w:w="0" w:type="dxa"/>
                  </w:tcMar>
                  <w:vAlign w:val="center"/>
                </w:tcPr>
                <w:p w14:paraId="516290F8">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A4.5-1：加强固体废物源头减量、资源化利用和无害化处置。</w:t>
                  </w:r>
                </w:p>
              </w:tc>
              <w:tc>
                <w:tcPr>
                  <w:tcW w:w="2201" w:type="pct"/>
                  <w:tcBorders>
                    <w:tl2br w:val="nil"/>
                    <w:tr2bl w:val="nil"/>
                  </w:tcBorders>
                  <w:shd w:val="clear" w:color="auto" w:fill="auto"/>
                  <w:tcMar>
                    <w:top w:w="0" w:type="dxa"/>
                    <w:left w:w="0" w:type="dxa"/>
                    <w:bottom w:w="0" w:type="dxa"/>
                    <w:right w:w="0" w:type="dxa"/>
                  </w:tcMar>
                  <w:vAlign w:val="center"/>
                </w:tcPr>
                <w:p w14:paraId="44B2B43C">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本项目不合格品、布袋除尘灰回用于生产，废包装袋外售综合利用，危险废物委托有资质单位处置，固废综合利用率高。</w:t>
                  </w:r>
                </w:p>
              </w:tc>
              <w:tc>
                <w:tcPr>
                  <w:tcW w:w="353" w:type="pct"/>
                  <w:tcBorders>
                    <w:tl2br w:val="nil"/>
                    <w:tr2bl w:val="nil"/>
                  </w:tcBorders>
                  <w:shd w:val="clear" w:color="auto" w:fill="auto"/>
                  <w:tcMar>
                    <w:top w:w="0" w:type="dxa"/>
                    <w:left w:w="0" w:type="dxa"/>
                    <w:bottom w:w="0" w:type="dxa"/>
                    <w:right w:w="0" w:type="dxa"/>
                  </w:tcMar>
                  <w:vAlign w:val="center"/>
                </w:tcPr>
                <w:p w14:paraId="6127FD95">
                  <w:pPr>
                    <w:keepNext w:val="0"/>
                    <w:keepLines w:val="0"/>
                    <w:widowControl/>
                    <w:suppressLineNumbers w:val="0"/>
                    <w:spacing w:line="300" w:lineRule="atLeast"/>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符合</w:t>
                  </w:r>
                </w:p>
              </w:tc>
            </w:tr>
          </w:tbl>
          <w:p w14:paraId="41421621">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ascii="Segoe UI" w:hAnsi="Segoe UI" w:eastAsia="Segoe UI" w:cs="Segoe UI"/>
                <w:i w:val="0"/>
                <w:iCs w:val="0"/>
                <w:caps w:val="0"/>
                <w:color w:val="auto"/>
                <w:spacing w:val="0"/>
                <w:sz w:val="19"/>
                <w:szCs w:val="19"/>
              </w:rPr>
            </w:pPr>
            <w:r>
              <w:rPr>
                <w:rFonts w:hint="default" w:ascii="Times New Roman" w:hAnsi="Times New Roman" w:eastAsia="宋体" w:cs="Times New Roman"/>
                <w:snapToGrid w:val="0"/>
                <w:color w:val="auto"/>
                <w:kern w:val="0"/>
                <w:sz w:val="24"/>
                <w:szCs w:val="21"/>
                <w:lang w:val="en-US" w:eastAsia="zh-CN" w:bidi="ar-SA"/>
              </w:rPr>
              <w:t>根据上表逐条对照分析，本项目建设内容符合《新疆维吾尔自治区生态环境分区管控动态更新成果》（新环环评发〔2024〕157号）中自治区总体管控要求。</w:t>
            </w:r>
          </w:p>
          <w:p w14:paraId="778B6AB8">
            <w:pPr>
              <w:shd w:val="clear"/>
              <w:autoSpaceDE w:val="0"/>
              <w:autoSpaceDN w:val="0"/>
              <w:adjustRightInd w:val="0"/>
              <w:snapToGrid w:val="0"/>
              <w:spacing w:line="360" w:lineRule="auto"/>
              <w:rPr>
                <w:rFonts w:hint="default" w:ascii="Times New Roman" w:hAnsi="Times New Roman" w:cs="Times New Roman"/>
                <w:b/>
                <w:bCs/>
                <w:snapToGrid w:val="0"/>
                <w:color w:val="auto"/>
                <w:kern w:val="0"/>
                <w:sz w:val="24"/>
              </w:rPr>
            </w:pPr>
            <w:r>
              <w:rPr>
                <w:rFonts w:hint="default" w:ascii="Times New Roman" w:hAnsi="Times New Roman" w:cs="Times New Roman"/>
                <w:b/>
                <w:bCs/>
                <w:color w:val="auto"/>
                <w:kern w:val="0"/>
                <w:sz w:val="24"/>
              </w:rPr>
              <w:t>2.2</w:t>
            </w:r>
            <w:r>
              <w:rPr>
                <w:rFonts w:hint="default" w:ascii="Times New Roman" w:hAnsi="Times New Roman" w:cs="Times New Roman"/>
                <w:b/>
                <w:bCs/>
                <w:snapToGrid w:val="0"/>
                <w:color w:val="auto"/>
                <w:kern w:val="0"/>
                <w:sz w:val="24"/>
              </w:rPr>
              <w:t>与《新疆维吾尔自治区七大片区“三线一单”生态环境分区管控要求》（新环环评发〔2021〕162号）符合性分析</w:t>
            </w:r>
          </w:p>
          <w:p w14:paraId="4630C23E">
            <w:pPr>
              <w:shd w:val="clear"/>
              <w:adjustRightInd w:val="0"/>
              <w:snapToGrid w:val="0"/>
              <w:spacing w:line="360" w:lineRule="auto"/>
              <w:ind w:firstLine="480" w:firstLineChars="200"/>
              <w:rPr>
                <w:rFonts w:hint="eastAsia" w:ascii="Times New Roman" w:hAnsi="Times New Roman" w:eastAsia="宋体" w:cs="Times New Roman"/>
                <w:snapToGrid w:val="0"/>
                <w:color w:val="auto"/>
                <w:kern w:val="0"/>
                <w:sz w:val="24"/>
                <w:highlight w:val="none"/>
                <w:lang w:eastAsia="zh-CN"/>
              </w:rPr>
            </w:pPr>
            <w:r>
              <w:rPr>
                <w:rFonts w:hint="eastAsia" w:ascii="Times New Roman" w:hAnsi="Times New Roman" w:cs="Times New Roman"/>
                <w:snapToGrid w:val="0"/>
                <w:color w:val="auto"/>
                <w:kern w:val="0"/>
                <w:sz w:val="24"/>
                <w:lang w:val="en-US" w:eastAsia="zh-CN"/>
              </w:rPr>
              <w:t>根</w:t>
            </w:r>
            <w:r>
              <w:rPr>
                <w:rFonts w:hint="default" w:ascii="Times New Roman" w:hAnsi="Times New Roman" w:cs="Times New Roman"/>
                <w:snapToGrid w:val="0"/>
                <w:color w:val="auto"/>
                <w:kern w:val="0"/>
                <w:sz w:val="24"/>
              </w:rPr>
              <w:t>据《新疆维吾尔自治区七大片区“三线一单”生态环境分区管控要求》文件要求：</w:t>
            </w:r>
            <w:r>
              <w:rPr>
                <w:rFonts w:hint="eastAsia" w:ascii="Times New Roman" w:hAnsi="Times New Roman" w:cs="Times New Roman"/>
                <w:snapToGrid w:val="0"/>
                <w:color w:val="auto"/>
                <w:kern w:val="0"/>
                <w:sz w:val="24"/>
                <w:lang w:eastAsia="zh-CN"/>
              </w:rPr>
              <w:t>“</w:t>
            </w:r>
            <w:r>
              <w:rPr>
                <w:rFonts w:hint="default" w:ascii="Times New Roman" w:hAnsi="Times New Roman" w:cs="Times New Roman"/>
                <w:snapToGrid w:val="0"/>
                <w:color w:val="auto"/>
                <w:kern w:val="0"/>
                <w:sz w:val="24"/>
              </w:rPr>
              <w:t>除国家规划项目外,乌鲁木齐市七区一县、昌吉市、阜康市</w:t>
            </w:r>
            <w:r>
              <w:rPr>
                <w:rFonts w:hint="eastAsia" w:ascii="Times New Roman" w:hAnsi="Times New Roman" w:cs="Times New Roman"/>
                <w:snapToGrid w:val="0"/>
                <w:color w:val="auto"/>
                <w:kern w:val="0"/>
                <w:sz w:val="24"/>
                <w:lang w:eastAsia="zh-CN"/>
              </w:rPr>
              <w:t>、</w:t>
            </w:r>
            <w:r>
              <w:rPr>
                <w:rFonts w:hint="default" w:ascii="Times New Roman" w:hAnsi="Times New Roman" w:cs="Times New Roman"/>
                <w:snapToGrid w:val="0"/>
                <w:color w:val="auto"/>
                <w:kern w:val="0"/>
                <w:sz w:val="24"/>
              </w:rPr>
              <w:t>玛纳斯县、呼图壁县、沙湾市建成区及周边敏感区域内不再布局建设煤化工、电解铝、燃煤纯发电机组、金属硅、碳化硅、聚氯乙烯（电石法)、焦炭(含半焦）等新增产能项目。具备风光电清洁供暖建设条件的区域原则上不新批热电联产项目。坚持属地负责与区域大气污染联防联控相结合</w:t>
            </w:r>
            <w:r>
              <w:rPr>
                <w:rFonts w:hint="eastAsia" w:ascii="Times New Roman" w:hAnsi="Times New Roman" w:cs="Times New Roman"/>
                <w:snapToGrid w:val="0"/>
                <w:color w:val="auto"/>
                <w:kern w:val="0"/>
                <w:sz w:val="24"/>
                <w:lang w:eastAsia="zh-CN"/>
              </w:rPr>
              <w:t>，</w:t>
            </w:r>
            <w:r>
              <w:rPr>
                <w:rFonts w:hint="default" w:ascii="Times New Roman" w:hAnsi="Times New Roman" w:cs="Times New Roman"/>
                <w:snapToGrid w:val="0"/>
                <w:color w:val="auto"/>
                <w:kern w:val="0"/>
                <w:sz w:val="24"/>
              </w:rPr>
              <w:t>以明显降低细颗粒物浓度为重点</w:t>
            </w:r>
            <w:r>
              <w:rPr>
                <w:rFonts w:hint="eastAsia" w:ascii="Times New Roman" w:hAnsi="Times New Roman" w:cs="Times New Roman"/>
                <w:snapToGrid w:val="0"/>
                <w:color w:val="auto"/>
                <w:kern w:val="0"/>
                <w:sz w:val="24"/>
                <w:lang w:eastAsia="zh-CN"/>
              </w:rPr>
              <w:t>，</w:t>
            </w:r>
            <w:r>
              <w:rPr>
                <w:rFonts w:hint="default" w:ascii="Times New Roman" w:hAnsi="Times New Roman" w:cs="Times New Roman"/>
                <w:snapToGrid w:val="0"/>
                <w:color w:val="auto"/>
                <w:kern w:val="0"/>
                <w:sz w:val="24"/>
              </w:rPr>
              <w:t>协同推进</w:t>
            </w:r>
            <w:r>
              <w:rPr>
                <w:rFonts w:hint="eastAsia" w:ascii="Times New Roman" w:hAnsi="Times New Roman" w:cs="Times New Roman"/>
                <w:snapToGrid w:val="0"/>
                <w:color w:val="auto"/>
                <w:kern w:val="0"/>
                <w:sz w:val="24"/>
                <w:lang w:eastAsia="zh-CN"/>
              </w:rPr>
              <w:t>“</w:t>
            </w:r>
            <w:r>
              <w:rPr>
                <w:rFonts w:hint="default" w:ascii="Times New Roman" w:hAnsi="Times New Roman" w:cs="Times New Roman"/>
                <w:snapToGrid w:val="0"/>
                <w:color w:val="auto"/>
                <w:kern w:val="0"/>
                <w:sz w:val="24"/>
              </w:rPr>
              <w:t>乌-昌-石</w:t>
            </w:r>
            <w:r>
              <w:rPr>
                <w:rFonts w:hint="eastAsia" w:ascii="Times New Roman" w:hAnsi="Times New Roman" w:cs="Times New Roman"/>
                <w:snapToGrid w:val="0"/>
                <w:color w:val="auto"/>
                <w:kern w:val="0"/>
                <w:sz w:val="24"/>
                <w:lang w:eastAsia="zh-CN"/>
              </w:rPr>
              <w:t>”</w:t>
            </w:r>
            <w:r>
              <w:rPr>
                <w:rFonts w:hint="default" w:ascii="Times New Roman" w:hAnsi="Times New Roman" w:cs="Times New Roman"/>
                <w:snapToGrid w:val="0"/>
                <w:color w:val="auto"/>
                <w:kern w:val="0"/>
                <w:sz w:val="24"/>
              </w:rPr>
              <w:t>同防同治区域大气环境治理。所有新建、改建、扩建工业项目执行最严格的大气污染物排放标准,强化氮氧化物深度治理,确保区域环境空气质量持续改善。</w:t>
            </w:r>
            <w:r>
              <w:rPr>
                <w:rFonts w:hint="default" w:ascii="Times New Roman" w:hAnsi="Times New Roman" w:cs="Times New Roman"/>
                <w:snapToGrid w:val="0"/>
                <w:color w:val="auto"/>
                <w:kern w:val="0"/>
                <w:sz w:val="24"/>
                <w:highlight w:val="none"/>
              </w:rPr>
              <w:t>强化挥发性有机物防治措施。</w:t>
            </w:r>
            <w:r>
              <w:rPr>
                <w:rFonts w:hint="eastAsia" w:ascii="Times New Roman" w:hAnsi="Times New Roman" w:cs="Times New Roman"/>
                <w:snapToGrid w:val="0"/>
                <w:color w:val="auto"/>
                <w:kern w:val="0"/>
                <w:sz w:val="24"/>
                <w:highlight w:val="none"/>
                <w:lang w:eastAsia="zh-CN"/>
              </w:rPr>
              <w:t>”</w:t>
            </w:r>
          </w:p>
          <w:p w14:paraId="24F07682">
            <w:pPr>
              <w:pStyle w:val="68"/>
              <w:shd w:val="clear"/>
              <w:spacing w:line="360" w:lineRule="auto"/>
              <w:ind w:firstLine="48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本项目</w:t>
            </w:r>
            <w:r>
              <w:rPr>
                <w:rFonts w:hint="eastAsia" w:ascii="Times New Roman" w:hAnsi="Times New Roman" w:eastAsia="宋体" w:cs="Times New Roman"/>
                <w:snapToGrid w:val="0"/>
                <w:color w:val="auto"/>
                <w:kern w:val="0"/>
                <w:sz w:val="24"/>
                <w:szCs w:val="21"/>
                <w:lang w:val="en-US" w:eastAsia="zh-CN" w:bidi="ar-SA"/>
              </w:rPr>
              <w:t>建设</w:t>
            </w:r>
            <w:r>
              <w:rPr>
                <w:rFonts w:hint="default" w:ascii="Times New Roman" w:hAnsi="Times New Roman" w:eastAsia="宋体" w:cs="Times New Roman"/>
                <w:snapToGrid w:val="0"/>
                <w:color w:val="auto"/>
                <w:kern w:val="0"/>
                <w:sz w:val="24"/>
                <w:szCs w:val="21"/>
                <w:lang w:val="en-US" w:eastAsia="zh-CN" w:bidi="ar-SA"/>
              </w:rPr>
              <w:t>年产40万卷家用封边条项目</w:t>
            </w:r>
            <w:r>
              <w:rPr>
                <w:rFonts w:hint="eastAsia" w:ascii="Times New Roman" w:hAnsi="Times New Roman" w:eastAsia="宋体" w:cs="Times New Roman"/>
                <w:snapToGrid w:val="0"/>
                <w:color w:val="auto"/>
                <w:kern w:val="0"/>
                <w:sz w:val="24"/>
                <w:szCs w:val="21"/>
                <w:lang w:val="en-US" w:eastAsia="zh-CN" w:bidi="ar-SA"/>
              </w:rPr>
              <w:t>，加热挤出工序产生的非甲烷总烃由</w:t>
            </w:r>
            <w:r>
              <w:rPr>
                <w:rFonts w:hint="default" w:ascii="Times New Roman" w:hAnsi="Times New Roman" w:eastAsia="宋体" w:cs="Times New Roman"/>
                <w:snapToGrid w:val="0"/>
                <w:color w:val="auto"/>
                <w:kern w:val="0"/>
                <w:sz w:val="24"/>
                <w:szCs w:val="21"/>
                <w:lang w:val="en-US" w:eastAsia="zh-CN" w:bidi="ar-SA"/>
              </w:rPr>
              <w:t>集气罩</w:t>
            </w:r>
            <w:r>
              <w:rPr>
                <w:rFonts w:hint="default" w:ascii="Times New Roman" w:hAnsi="Times New Roman" w:cs="Times New Roman"/>
                <w:color w:val="auto"/>
                <w:sz w:val="24"/>
              </w:rPr>
              <w:t>收集</w:t>
            </w:r>
            <w:r>
              <w:rPr>
                <w:rFonts w:hint="eastAsia" w:cs="Times New Roman"/>
                <w:color w:val="auto"/>
                <w:sz w:val="24"/>
                <w:lang w:eastAsia="zh-CN"/>
              </w:rPr>
              <w:t>经活性炭吸附脱附+蓄热催化燃烧一体化装置（RCO）处理后</w:t>
            </w:r>
            <w:r>
              <w:rPr>
                <w:rFonts w:hint="default" w:ascii="Times New Roman" w:hAnsi="Times New Roman" w:cs="Times New Roman"/>
                <w:color w:val="auto"/>
                <w:sz w:val="24"/>
              </w:rPr>
              <w:t>，最终</w:t>
            </w:r>
            <w:r>
              <w:rPr>
                <w:rFonts w:hint="eastAsia" w:ascii="Times New Roman" w:hAnsi="Times New Roman" w:cs="Times New Roman"/>
                <w:color w:val="auto"/>
                <w:sz w:val="24"/>
                <w:lang w:val="en-US" w:eastAsia="zh-CN"/>
              </w:rPr>
              <w:t>由</w:t>
            </w:r>
            <w:r>
              <w:rPr>
                <w:rFonts w:hint="default" w:ascii="Times New Roman" w:hAnsi="Times New Roman" w:cs="Times New Roman"/>
                <w:color w:val="auto"/>
                <w:sz w:val="24"/>
              </w:rPr>
              <w:t>15m高排气筒</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DA002</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排放，</w:t>
            </w:r>
            <w:r>
              <w:rPr>
                <w:rFonts w:hint="eastAsia" w:ascii="Times New Roman" w:hAnsi="Times New Roman" w:cs="Times New Roman"/>
                <w:color w:val="auto"/>
                <w:sz w:val="24"/>
                <w:lang w:val="en-US" w:eastAsia="zh-CN"/>
              </w:rPr>
              <w:t>均</w:t>
            </w:r>
            <w:r>
              <w:rPr>
                <w:rFonts w:hint="default" w:ascii="Times New Roman" w:hAnsi="Times New Roman" w:cs="Times New Roman"/>
                <w:color w:val="auto"/>
                <w:sz w:val="24"/>
              </w:rPr>
              <w:t>可满足《合成树脂工业污染物排放标准》</w:t>
            </w:r>
            <w:r>
              <w:rPr>
                <w:rFonts w:hint="eastAsia" w:cs="Times New Roman"/>
                <w:color w:val="auto"/>
                <w:sz w:val="24"/>
                <w:lang w:eastAsia="zh-CN"/>
              </w:rPr>
              <w:t>（GB 31572-2015，含2024年修改单）</w:t>
            </w:r>
            <w:r>
              <w:rPr>
                <w:rFonts w:hint="default" w:ascii="Times New Roman" w:hAnsi="Times New Roman" w:cs="Times New Roman"/>
                <w:color w:val="auto"/>
                <w:sz w:val="24"/>
              </w:rPr>
              <w:t>表5限值</w:t>
            </w:r>
            <w:r>
              <w:rPr>
                <w:rFonts w:hint="default" w:ascii="Times New Roman" w:hAnsi="Times New Roman" w:cs="Times New Roman"/>
                <w:color w:val="auto"/>
                <w:sz w:val="24"/>
                <w:lang w:val="en-US" w:eastAsia="zh-CN"/>
              </w:rPr>
              <w:t>60</w:t>
            </w:r>
            <w:r>
              <w:rPr>
                <w:rFonts w:hint="default" w:ascii="Times New Roman" w:hAnsi="Times New Roman" w:eastAsia="宋体" w:cs="Times New Roman"/>
                <w:color w:val="auto"/>
                <w:sz w:val="24"/>
                <w:szCs w:val="24"/>
              </w:rPr>
              <w:t>mg/m</w:t>
            </w:r>
            <w:r>
              <w:rPr>
                <w:rFonts w:hint="default" w:ascii="Times New Roman" w:hAnsi="Times New Roman" w:eastAsia="宋体" w:cs="Times New Roman"/>
                <w:color w:val="auto"/>
                <w:sz w:val="24"/>
                <w:szCs w:val="24"/>
                <w:vertAlign w:val="superscript"/>
              </w:rPr>
              <w:t>3</w:t>
            </w:r>
            <w:r>
              <w:rPr>
                <w:rFonts w:hint="default" w:ascii="Times New Roman" w:hAnsi="Times New Roman" w:cs="Times New Roman"/>
                <w:color w:val="auto"/>
                <w:sz w:val="24"/>
              </w:rPr>
              <w:t>要求。</w:t>
            </w:r>
            <w:r>
              <w:rPr>
                <w:rFonts w:hint="eastAsia" w:ascii="Times New Roman" w:hAnsi="Times New Roman" w:cs="Times New Roman"/>
                <w:color w:val="auto"/>
                <w:lang w:val="en-US" w:eastAsia="zh-CN"/>
              </w:rPr>
              <w:t>因此符合《新疆维吾尔自治区七大片区“三线一单”生态环境分区管控要求》相关要求。</w:t>
            </w:r>
          </w:p>
          <w:p w14:paraId="096C5F33">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b w:val="0"/>
                <w:bCs w:val="0"/>
                <w:color w:val="auto"/>
                <w:kern w:val="0"/>
                <w:sz w:val="24"/>
                <w:szCs w:val="20"/>
                <w:lang w:val="en-US" w:eastAsia="zh-CN" w:bidi="ar-SA"/>
              </w:rPr>
            </w:pPr>
            <w:r>
              <w:rPr>
                <w:rFonts w:hint="default" w:ascii="Times New Roman" w:hAnsi="Times New Roman" w:eastAsia="宋体" w:cs="Times New Roman"/>
                <w:b/>
                <w:bCs/>
                <w:color w:val="auto"/>
                <w:kern w:val="0"/>
                <w:sz w:val="24"/>
                <w:szCs w:val="20"/>
                <w:lang w:val="en-US" w:eastAsia="zh-CN" w:bidi="ar-SA"/>
              </w:rPr>
              <w:t>2.3与《昌吉回族自治州生态环境分区管控动态更新成果》（2023版）符合性分析</w:t>
            </w:r>
          </w:p>
          <w:p w14:paraId="13B0E9F5">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cs="Times New Roman"/>
                <w:color w:val="auto"/>
              </w:rPr>
            </w:pPr>
            <w:r>
              <w:rPr>
                <w:rFonts w:hint="default" w:ascii="Times New Roman" w:hAnsi="Times New Roman" w:eastAsia="宋体" w:cs="Times New Roman"/>
                <w:b w:val="0"/>
                <w:bCs w:val="0"/>
                <w:color w:val="auto"/>
                <w:kern w:val="0"/>
                <w:sz w:val="24"/>
                <w:szCs w:val="20"/>
                <w:lang w:val="en-US" w:eastAsia="zh-CN" w:bidi="ar-SA"/>
              </w:rPr>
              <w:t>本项目位于阜康市产业园阜西区苏通小微创业园，根据《昌吉回族自治州生态环境分区管控动态更新成果》（2023版），本项目所属环境管控单元编码为ZH65230220003（阜康市重点管控单元）。本项目与该管控单元要求符合性分析见下表：项目</w:t>
            </w:r>
            <w:r>
              <w:rPr>
                <w:rFonts w:hint="default" w:ascii="Times New Roman" w:hAnsi="Times New Roman" w:cs="Times New Roman"/>
                <w:color w:val="auto"/>
              </w:rPr>
              <w:t>与其符合情况见下表1-2，环境管控单元分类图见附图</w:t>
            </w:r>
            <w:r>
              <w:rPr>
                <w:rFonts w:hint="eastAsia" w:cs="Times New Roman"/>
                <w:color w:val="auto"/>
                <w:lang w:val="en-US" w:eastAsia="zh-CN"/>
              </w:rPr>
              <w:t>5</w:t>
            </w:r>
            <w:r>
              <w:rPr>
                <w:rFonts w:hint="default" w:ascii="Times New Roman" w:hAnsi="Times New Roman" w:cs="Times New Roman"/>
                <w:color w:val="auto"/>
              </w:rPr>
              <w:t>。</w:t>
            </w:r>
          </w:p>
          <w:p w14:paraId="1C214118">
            <w:pPr>
              <w:keepNext/>
              <w:shd w:val="clear"/>
              <w:jc w:val="center"/>
              <w:outlineLvl w:val="4"/>
              <w:rPr>
                <w:rFonts w:hint="default" w:ascii="Times New Roman" w:hAnsi="Times New Roman" w:cs="Times New Roman"/>
                <w:b/>
                <w:color w:val="auto"/>
                <w:szCs w:val="20"/>
              </w:rPr>
            </w:pPr>
            <w:r>
              <w:rPr>
                <w:rFonts w:hint="default" w:ascii="Times New Roman" w:hAnsi="Times New Roman" w:cs="Times New Roman"/>
                <w:b/>
                <w:color w:val="auto"/>
                <w:szCs w:val="20"/>
              </w:rPr>
              <w:t>表1-2  项目与</w:t>
            </w:r>
            <w:r>
              <w:rPr>
                <w:rFonts w:hint="default" w:ascii="Times New Roman" w:hAnsi="Times New Roman" w:cs="Times New Roman"/>
                <w:b/>
                <w:color w:val="auto"/>
                <w:szCs w:val="20"/>
                <w:lang w:val="en-US" w:eastAsia="zh-CN"/>
              </w:rPr>
              <w:t>《昌吉回族自治州生态环境分区管控动态更新成果》</w:t>
            </w:r>
            <w:r>
              <w:rPr>
                <w:rFonts w:hint="default" w:ascii="Times New Roman" w:hAnsi="Times New Roman" w:cs="Times New Roman"/>
                <w:b/>
                <w:color w:val="auto"/>
                <w:szCs w:val="20"/>
              </w:rPr>
              <w:t>符合性分析</w:t>
            </w:r>
          </w:p>
          <w:tbl>
            <w:tblPr>
              <w:tblStyle w:val="25"/>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601"/>
              <w:gridCol w:w="2887"/>
              <w:gridCol w:w="1512"/>
              <w:gridCol w:w="694"/>
            </w:tblGrid>
            <w:tr w14:paraId="116676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tcBorders>
                    <w:tl2br w:val="nil"/>
                    <w:tr2bl w:val="nil"/>
                  </w:tcBorders>
                  <w:noWrap w:val="0"/>
                  <w:vAlign w:val="center"/>
                </w:tcPr>
                <w:p w14:paraId="542A0D68">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管控单元名称</w:t>
                  </w:r>
                </w:p>
              </w:tc>
              <w:tc>
                <w:tcPr>
                  <w:tcW w:w="3587" w:type="dxa"/>
                  <w:gridSpan w:val="2"/>
                  <w:tcBorders>
                    <w:tl2br w:val="nil"/>
                    <w:tr2bl w:val="nil"/>
                  </w:tcBorders>
                  <w:noWrap w:val="0"/>
                  <w:vAlign w:val="center"/>
                </w:tcPr>
                <w:p w14:paraId="10D5AFC6">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管控要求</w:t>
                  </w:r>
                </w:p>
              </w:tc>
              <w:tc>
                <w:tcPr>
                  <w:tcW w:w="1516" w:type="dxa"/>
                  <w:tcBorders>
                    <w:tl2br w:val="nil"/>
                    <w:tr2bl w:val="nil"/>
                  </w:tcBorders>
                  <w:noWrap w:val="0"/>
                  <w:vAlign w:val="center"/>
                </w:tcPr>
                <w:p w14:paraId="026512FB">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项目情况</w:t>
                  </w:r>
                </w:p>
              </w:tc>
              <w:tc>
                <w:tcPr>
                  <w:tcW w:w="709" w:type="dxa"/>
                  <w:tcBorders>
                    <w:tl2br w:val="nil"/>
                    <w:tr2bl w:val="nil"/>
                  </w:tcBorders>
                  <w:noWrap w:val="0"/>
                  <w:vAlign w:val="center"/>
                </w:tcPr>
                <w:p w14:paraId="45845D00">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符合性</w:t>
                  </w:r>
                </w:p>
              </w:tc>
            </w:tr>
            <w:tr w14:paraId="07F4E0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vMerge w:val="restart"/>
                  <w:tcBorders>
                    <w:tl2br w:val="nil"/>
                    <w:tr2bl w:val="nil"/>
                  </w:tcBorders>
                  <w:noWrap w:val="0"/>
                  <w:vAlign w:val="center"/>
                </w:tcPr>
                <w:p w14:paraId="307BD059">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阜康产业园区</w:t>
                  </w:r>
                </w:p>
              </w:tc>
              <w:tc>
                <w:tcPr>
                  <w:tcW w:w="611" w:type="dxa"/>
                  <w:tcBorders>
                    <w:tl2br w:val="nil"/>
                    <w:tr2bl w:val="nil"/>
                  </w:tcBorders>
                  <w:noWrap w:val="0"/>
                  <w:vAlign w:val="center"/>
                </w:tcPr>
                <w:p w14:paraId="0773E07C">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空间布局约束</w:t>
                  </w:r>
                </w:p>
              </w:tc>
              <w:tc>
                <w:tcPr>
                  <w:tcW w:w="2976" w:type="dxa"/>
                  <w:tcBorders>
                    <w:tl2br w:val="nil"/>
                    <w:tr2bl w:val="nil"/>
                  </w:tcBorders>
                  <w:noWrap w:val="0"/>
                  <w:vAlign w:val="center"/>
                </w:tcPr>
                <w:p w14:paraId="3DF2A1EA">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1、执行自治区、乌昌石片区总体准入要求中关于重点管控单元空间布局约束的准入要求（表2-3A6.1、表3.4-2B1）。</w:t>
                  </w:r>
                </w:p>
                <w:p w14:paraId="68479FEB">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2、入园企业需符合园区产业发展定位，产业发展以有色金属冶炼及精深加工、氯碱精细化工、煤电精细化工、新型建材产业、仓储物流及装备制造六大产业为主导。</w:t>
                  </w:r>
                </w:p>
                <w:p w14:paraId="27BC8D3B">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3、根据国家法律法规和产业政策要求，优化焦化产业布局，促进焦化行业转型升级，提升改造现有焦化项目符合环保要求，推动焦化产品精深加工向高端发展。</w:t>
                  </w:r>
                </w:p>
                <w:p w14:paraId="37DFA9F4">
                  <w:pPr>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4、禁止新建不符合国家产业政策的严重污染水环境的生产项目。</w:t>
                  </w:r>
                </w:p>
                <w:p w14:paraId="190E18B9">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严格按照“以水定产，量水而建”的原则建设，严格控制园区内现有的工业用水量，切实做好水资源利用工作，减少新鲜水用量，合理规划设计排水方案，切实做好排水方案和后续管理，杜绝水污染事故产生。</w:t>
                  </w:r>
                </w:p>
              </w:tc>
              <w:tc>
                <w:tcPr>
                  <w:tcW w:w="1516" w:type="dxa"/>
                  <w:tcBorders>
                    <w:tl2br w:val="nil"/>
                    <w:tr2bl w:val="nil"/>
                  </w:tcBorders>
                  <w:noWrap w:val="0"/>
                  <w:vAlign w:val="center"/>
                </w:tcPr>
                <w:p w14:paraId="3FB7605E">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1、本项目严格执行自治区、乌昌石片区总体准入要求中关于重点管控单元空间布局约束的准入要求。</w:t>
                  </w:r>
                </w:p>
                <w:p w14:paraId="3772D5DA">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2、本项目为塑料制品业，符合园区发展定位。</w:t>
                  </w:r>
                </w:p>
                <w:p w14:paraId="5478EC77">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3、本项目为塑料制品业，不涉及焦化产业。</w:t>
                  </w:r>
                </w:p>
                <w:p w14:paraId="1F697070">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4、本项目符合国家政策，不涉及水环境的污染。</w:t>
                  </w:r>
                </w:p>
                <w:p w14:paraId="50B05EB3">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5、本项目用水量较少，生产用水循环使用，不外排，杜绝了水污染事故的发生。</w:t>
                  </w:r>
                </w:p>
              </w:tc>
              <w:tc>
                <w:tcPr>
                  <w:tcW w:w="709" w:type="dxa"/>
                  <w:tcBorders>
                    <w:tl2br w:val="nil"/>
                    <w:tr2bl w:val="nil"/>
                  </w:tcBorders>
                  <w:noWrap w:val="0"/>
                  <w:vAlign w:val="center"/>
                </w:tcPr>
                <w:p w14:paraId="75E77520">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71987D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vMerge w:val="continue"/>
                  <w:tcBorders>
                    <w:tl2br w:val="nil"/>
                    <w:tr2bl w:val="nil"/>
                  </w:tcBorders>
                  <w:noWrap w:val="0"/>
                  <w:vAlign w:val="top"/>
                </w:tcPr>
                <w:p w14:paraId="20D87341">
                  <w:pPr>
                    <w:pStyle w:val="68"/>
                    <w:shd w:val="clear"/>
                    <w:spacing w:line="360" w:lineRule="auto"/>
                    <w:jc w:val="both"/>
                    <w:rPr>
                      <w:rFonts w:hint="default" w:ascii="Times New Roman" w:hAnsi="Times New Roman" w:cs="Times New Roman"/>
                      <w:color w:val="auto"/>
                      <w:sz w:val="21"/>
                      <w:szCs w:val="21"/>
                    </w:rPr>
                  </w:pPr>
                </w:p>
              </w:tc>
              <w:tc>
                <w:tcPr>
                  <w:tcW w:w="611" w:type="dxa"/>
                  <w:tcBorders>
                    <w:tl2br w:val="nil"/>
                    <w:tr2bl w:val="nil"/>
                  </w:tcBorders>
                  <w:noWrap w:val="0"/>
                  <w:vAlign w:val="center"/>
                </w:tcPr>
                <w:p w14:paraId="31746BE7">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污染物排放管控</w:t>
                  </w:r>
                </w:p>
              </w:tc>
              <w:tc>
                <w:tcPr>
                  <w:tcW w:w="2976" w:type="dxa"/>
                  <w:tcBorders>
                    <w:tl2br w:val="nil"/>
                    <w:tr2bl w:val="nil"/>
                  </w:tcBorders>
                  <w:noWrap w:val="0"/>
                  <w:vAlign w:val="center"/>
                </w:tcPr>
                <w:p w14:paraId="0E6EB3E0">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1、执行自治区、乌昌石片区总体准入要求中关于重点管控单元污染物排放管控的准入要求（表2-3 A6.2、表3.4-2 B2）。</w:t>
                  </w:r>
                </w:p>
                <w:p w14:paraId="3C9C7FE2">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2、新（改、扩）建项目应执行最严格的大气污染物排放标准。</w:t>
                  </w:r>
                </w:p>
                <w:p w14:paraId="05725089">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3、PM2.5年平均浓度不达标县市（园区），禁止新（改、扩）建未落实SO2、NOx、烟粉尘、挥发性有机物（VOCs）等四项大气污染物总量指标昌吉州区域内倍量替代的项目。</w:t>
                  </w:r>
                </w:p>
              </w:tc>
              <w:tc>
                <w:tcPr>
                  <w:tcW w:w="1516" w:type="dxa"/>
                  <w:tcBorders>
                    <w:tl2br w:val="nil"/>
                    <w:tr2bl w:val="nil"/>
                  </w:tcBorders>
                  <w:noWrap w:val="0"/>
                  <w:vAlign w:val="center"/>
                </w:tcPr>
                <w:p w14:paraId="2562628D">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1.本项目严格执行自治区、乌昌石片区总体准入要求中关于重点管控单元污染物排放管控的准入要求。</w:t>
                  </w:r>
                </w:p>
                <w:p w14:paraId="50821B38">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2.本项目产生的废气已执行最严格的大气污染物排放标准：有组织非甲烷总烃、颗粒物执行《合成树脂工业污染物排放标准》</w:t>
                  </w:r>
                  <w:r>
                    <w:rPr>
                      <w:rFonts w:hint="eastAsia" w:cs="Times New Roman"/>
                      <w:color w:val="auto"/>
                      <w:sz w:val="21"/>
                      <w:szCs w:val="21"/>
                      <w:lang w:eastAsia="zh-CN"/>
                    </w:rPr>
                    <w:t>（GB 31572-2015，含2024年修改单）</w:t>
                  </w:r>
                  <w:r>
                    <w:rPr>
                      <w:rFonts w:hint="default" w:ascii="Times New Roman" w:hAnsi="Times New Roman" w:cs="Times New Roman"/>
                      <w:color w:val="auto"/>
                      <w:sz w:val="21"/>
                      <w:szCs w:val="21"/>
                    </w:rPr>
                    <w:t>表5的排放限值；无组织非甲烷总烃、颗粒物执行《合成树脂工业污染物排放标准》</w:t>
                  </w:r>
                  <w:r>
                    <w:rPr>
                      <w:rFonts w:hint="eastAsia" w:cs="Times New Roman"/>
                      <w:color w:val="auto"/>
                      <w:sz w:val="21"/>
                      <w:szCs w:val="21"/>
                      <w:lang w:eastAsia="zh-CN"/>
                    </w:rPr>
                    <w:t>（GB 31572-2015，含2024年修改单）</w:t>
                  </w:r>
                  <w:r>
                    <w:rPr>
                      <w:rFonts w:hint="default" w:ascii="Times New Roman" w:hAnsi="Times New Roman" w:cs="Times New Roman"/>
                      <w:color w:val="auto"/>
                      <w:sz w:val="21"/>
                      <w:szCs w:val="21"/>
                    </w:rPr>
                    <w:t>表9的排放限值。</w:t>
                  </w:r>
                </w:p>
                <w:p w14:paraId="4D70BEF1">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3.本项目挥发性有机物（VOCs）大气污染物总量指标实行倍量替代。</w:t>
                  </w:r>
                </w:p>
              </w:tc>
              <w:tc>
                <w:tcPr>
                  <w:tcW w:w="709" w:type="dxa"/>
                  <w:tcBorders>
                    <w:tl2br w:val="nil"/>
                    <w:tr2bl w:val="nil"/>
                  </w:tcBorders>
                  <w:noWrap w:val="0"/>
                  <w:vAlign w:val="center"/>
                </w:tcPr>
                <w:p w14:paraId="776EC3E3">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286761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vMerge w:val="continue"/>
                  <w:tcBorders>
                    <w:tl2br w:val="nil"/>
                    <w:tr2bl w:val="nil"/>
                  </w:tcBorders>
                  <w:noWrap w:val="0"/>
                  <w:vAlign w:val="top"/>
                </w:tcPr>
                <w:p w14:paraId="4F424F32">
                  <w:pPr>
                    <w:pStyle w:val="68"/>
                    <w:shd w:val="clear"/>
                    <w:spacing w:line="360" w:lineRule="auto"/>
                    <w:jc w:val="both"/>
                    <w:rPr>
                      <w:rFonts w:hint="default" w:ascii="Times New Roman" w:hAnsi="Times New Roman" w:cs="Times New Roman"/>
                      <w:color w:val="auto"/>
                      <w:sz w:val="21"/>
                      <w:szCs w:val="21"/>
                    </w:rPr>
                  </w:pPr>
                </w:p>
              </w:tc>
              <w:tc>
                <w:tcPr>
                  <w:tcW w:w="611" w:type="dxa"/>
                  <w:tcBorders>
                    <w:tl2br w:val="nil"/>
                    <w:tr2bl w:val="nil"/>
                  </w:tcBorders>
                  <w:noWrap w:val="0"/>
                  <w:vAlign w:val="center"/>
                </w:tcPr>
                <w:p w14:paraId="2540C15A">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环境风险防控</w:t>
                  </w:r>
                </w:p>
              </w:tc>
              <w:tc>
                <w:tcPr>
                  <w:tcW w:w="2976" w:type="dxa"/>
                  <w:tcBorders>
                    <w:tl2br w:val="nil"/>
                    <w:tr2bl w:val="nil"/>
                  </w:tcBorders>
                  <w:noWrap w:val="0"/>
                  <w:vAlign w:val="center"/>
                </w:tcPr>
                <w:p w14:paraId="40A64FB1">
                  <w:pPr>
                    <w:pStyle w:val="41"/>
                    <w:shd w:val="clea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1、执行自治区、乌昌石片区总体准入要求中关于重点管控单元环境风险防控的准入要求（表2-3 A6.3、表3.4-2 B3）。</w:t>
                  </w:r>
                </w:p>
                <w:p w14:paraId="51BABC24">
                  <w:pPr>
                    <w:pStyle w:val="41"/>
                    <w:shd w:val="clea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2、做好污水和废水等的地下管槽防渗工作，防止污染地下水。</w:t>
                  </w:r>
                </w:p>
                <w:p w14:paraId="6CE64BCC">
                  <w:pPr>
                    <w:pStyle w:val="41"/>
                    <w:shd w:val="clear"/>
                    <w:jc w:val="left"/>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3、严格落实错峰生产方案和重污染天气应急响应措施。</w:t>
                  </w:r>
                </w:p>
                <w:p w14:paraId="182072A4">
                  <w:pPr>
                    <w:pStyle w:val="68"/>
                    <w:shd w:val="clear"/>
                    <w:jc w:val="both"/>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4、生产、使用、贮存、运输、回收、处置、排放有毒有害物质的单位和个人，应当采取措施，防止有毒有害物质渗漏、流失、扬散，避免土壤受到污染。</w:t>
                  </w:r>
                </w:p>
              </w:tc>
              <w:tc>
                <w:tcPr>
                  <w:tcW w:w="1516" w:type="dxa"/>
                  <w:tcBorders>
                    <w:tl2br w:val="nil"/>
                    <w:tr2bl w:val="nil"/>
                  </w:tcBorders>
                  <w:noWrap w:val="0"/>
                  <w:vAlign w:val="center"/>
                </w:tcPr>
                <w:p w14:paraId="0CD13937">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1.本项目严格执行自治区、乌昌石片区总体准入要求中关于重点管控单元环境风险防控的准入要求。</w:t>
                  </w:r>
                </w:p>
                <w:p w14:paraId="19BA1648">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2.本项目为</w:t>
                  </w:r>
                  <w:r>
                    <w:rPr>
                      <w:rFonts w:hint="eastAsia" w:ascii="Times New Roman" w:hAnsi="Times New Roman" w:cs="Times New Roman"/>
                      <w:color w:val="auto"/>
                      <w:sz w:val="21"/>
                      <w:szCs w:val="21"/>
                      <w:lang w:val="en-US" w:eastAsia="zh-CN"/>
                    </w:rPr>
                    <w:t>新建</w:t>
                  </w:r>
                  <w:r>
                    <w:rPr>
                      <w:rFonts w:hint="default" w:ascii="Times New Roman" w:hAnsi="Times New Roman" w:cs="Times New Roman"/>
                      <w:color w:val="auto"/>
                      <w:sz w:val="21"/>
                      <w:szCs w:val="21"/>
                    </w:rPr>
                    <w:t>项目，生产废水循环使用，不外排；生活污水排入市政管网，进入阜康市西部城区污水处理厂处置。</w:t>
                  </w:r>
                </w:p>
                <w:p w14:paraId="4B2109BC">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3.本项目严格落实错峰生产方案和重污染天气应急响应措施。</w:t>
                  </w:r>
                </w:p>
                <w:p w14:paraId="2245F7DA">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4.本项目产生的危险废物为废活性炭、废</w:t>
                  </w:r>
                  <w:r>
                    <w:rPr>
                      <w:rFonts w:hint="eastAsia" w:ascii="Times New Roman" w:hAnsi="Times New Roman" w:cs="Times New Roman"/>
                      <w:color w:val="auto"/>
                      <w:sz w:val="21"/>
                      <w:szCs w:val="21"/>
                      <w:lang w:val="en-US" w:eastAsia="zh-CN"/>
                    </w:rPr>
                    <w:t>滤网</w:t>
                  </w:r>
                  <w:r>
                    <w:rPr>
                      <w:rFonts w:hint="default" w:ascii="Times New Roman" w:hAnsi="Times New Roman" w:cs="Times New Roman"/>
                      <w:color w:val="auto"/>
                      <w:sz w:val="21"/>
                      <w:szCs w:val="21"/>
                    </w:rPr>
                    <w:t>、废机油，均在危废间暂存，定期委托有资质单位处理，危废间已采取防渗，杜绝了对土壤造成污染。</w:t>
                  </w:r>
                </w:p>
              </w:tc>
              <w:tc>
                <w:tcPr>
                  <w:tcW w:w="709" w:type="dxa"/>
                  <w:tcBorders>
                    <w:tl2br w:val="nil"/>
                    <w:tr2bl w:val="nil"/>
                  </w:tcBorders>
                  <w:noWrap w:val="0"/>
                  <w:vAlign w:val="center"/>
                </w:tcPr>
                <w:p w14:paraId="0B1AD0AA">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4B1558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tcBorders>
                    <w:tl2br w:val="nil"/>
                    <w:tr2bl w:val="nil"/>
                  </w:tcBorders>
                  <w:noWrap w:val="0"/>
                  <w:vAlign w:val="top"/>
                </w:tcPr>
                <w:p w14:paraId="75CD2370">
                  <w:pPr>
                    <w:pStyle w:val="68"/>
                    <w:shd w:val="clear"/>
                    <w:spacing w:line="360" w:lineRule="auto"/>
                    <w:jc w:val="both"/>
                    <w:rPr>
                      <w:rFonts w:hint="default" w:ascii="Times New Roman" w:hAnsi="Times New Roman" w:cs="Times New Roman"/>
                      <w:color w:val="auto"/>
                      <w:sz w:val="21"/>
                      <w:szCs w:val="21"/>
                    </w:rPr>
                  </w:pPr>
                </w:p>
              </w:tc>
              <w:tc>
                <w:tcPr>
                  <w:tcW w:w="611" w:type="dxa"/>
                  <w:tcBorders>
                    <w:tl2br w:val="nil"/>
                    <w:tr2bl w:val="nil"/>
                  </w:tcBorders>
                  <w:noWrap w:val="0"/>
                  <w:vAlign w:val="center"/>
                </w:tcPr>
                <w:p w14:paraId="1BD0AD31">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资源利用效率</w:t>
                  </w:r>
                </w:p>
              </w:tc>
              <w:tc>
                <w:tcPr>
                  <w:tcW w:w="2976" w:type="dxa"/>
                  <w:tcBorders>
                    <w:tl2br w:val="nil"/>
                    <w:tr2bl w:val="nil"/>
                  </w:tcBorders>
                  <w:noWrap w:val="0"/>
                  <w:vAlign w:val="center"/>
                </w:tcPr>
                <w:p w14:paraId="2DAF95C2">
                  <w:pPr>
                    <w:pStyle w:val="41"/>
                    <w:shd w:val="clea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1、执行自治区、乌昌石片区总体准入要求中关于重点管控单元资源利用效率的准入要求（表2-3A6.4、表3.4-2 B4）。</w:t>
                  </w:r>
                </w:p>
              </w:tc>
              <w:tc>
                <w:tcPr>
                  <w:tcW w:w="1516" w:type="dxa"/>
                  <w:tcBorders>
                    <w:tl2br w:val="nil"/>
                    <w:tr2bl w:val="nil"/>
                  </w:tcBorders>
                  <w:noWrap w:val="0"/>
                  <w:vAlign w:val="center"/>
                </w:tcPr>
                <w:p w14:paraId="16C90C3C">
                  <w:pPr>
                    <w:pStyle w:val="41"/>
                    <w:shd w:val="clea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本项目严格执行自治区、乌昌石片区总体准入要求中关于重点管控单元资源利用效率的准入要求。</w:t>
                  </w:r>
                </w:p>
              </w:tc>
              <w:tc>
                <w:tcPr>
                  <w:tcW w:w="709" w:type="dxa"/>
                  <w:tcBorders>
                    <w:tl2br w:val="nil"/>
                    <w:tr2bl w:val="nil"/>
                  </w:tcBorders>
                  <w:noWrap w:val="0"/>
                  <w:vAlign w:val="center"/>
                </w:tcPr>
                <w:p w14:paraId="78AC6065">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bl>
          <w:p w14:paraId="5AF0BB7F">
            <w:pPr>
              <w:shd w:val="clear"/>
              <w:spacing w:after="120"/>
              <w:rPr>
                <w:rFonts w:hint="default" w:ascii="Times New Roman" w:hAnsi="Times New Roman" w:cs="Times New Roman"/>
                <w:b/>
                <w:bCs/>
                <w:color w:val="auto"/>
                <w:kern w:val="0"/>
                <w:sz w:val="24"/>
                <w:szCs w:val="22"/>
              </w:rPr>
            </w:pPr>
            <w:r>
              <w:rPr>
                <w:rFonts w:hint="default" w:ascii="Times New Roman" w:hAnsi="Times New Roman" w:cs="Times New Roman"/>
                <w:b/>
                <w:bCs/>
                <w:color w:val="auto"/>
                <w:kern w:val="0"/>
                <w:sz w:val="24"/>
              </w:rPr>
              <w:t>3.与《</w:t>
            </w:r>
            <w:r>
              <w:rPr>
                <w:rFonts w:hint="default" w:ascii="Times New Roman" w:hAnsi="Times New Roman" w:cs="Times New Roman"/>
                <w:b/>
                <w:bCs/>
                <w:color w:val="auto"/>
                <w:kern w:val="0"/>
                <w:sz w:val="24"/>
                <w:szCs w:val="22"/>
              </w:rPr>
              <w:t>昌吉回族自治州</w:t>
            </w:r>
            <w:r>
              <w:rPr>
                <w:rFonts w:hint="default" w:ascii="Times New Roman" w:hAnsi="Times New Roman" w:cs="Times New Roman"/>
                <w:b/>
                <w:bCs/>
                <w:color w:val="auto"/>
                <w:kern w:val="0"/>
                <w:sz w:val="24"/>
              </w:rPr>
              <w:t>生态环境保护与建设“十四五”规划》的符合性分析</w:t>
            </w:r>
          </w:p>
          <w:p w14:paraId="48123281">
            <w:pPr>
              <w:shd w:val="clear"/>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昌吉回族自治州生态环境保护与建设“十四五”规划》指出：“推进石化、化工、工业涂装、家具制造、塑料、橡胶、包装印刷、汽修等重点行业领域VOCs整治，加强VOCs源头、过程、末端全流程控制，重点加强对光化学反应活性强的VOCs物质控制，开展企业深度治理和精细化管控。”</w:t>
            </w:r>
          </w:p>
          <w:p w14:paraId="0E58213B">
            <w:pPr>
              <w:shd w:val="clear"/>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本项目属于塑料制品业，项目产生的废气主要污染因子为挥发性有机物</w:t>
            </w:r>
            <w:r>
              <w:rPr>
                <w:rFonts w:hint="eastAsia" w:ascii="Times New Roman" w:hAnsi="Times New Roman" w:cs="Times New Roman"/>
                <w:color w:val="auto"/>
                <w:kern w:val="0"/>
                <w:sz w:val="24"/>
                <w:highlight w:val="none"/>
                <w:lang w:eastAsia="zh-CN"/>
              </w:rPr>
              <w:t>（</w:t>
            </w:r>
            <w:r>
              <w:rPr>
                <w:rFonts w:hint="eastAsia" w:ascii="Times New Roman" w:hAnsi="Times New Roman" w:cs="Times New Roman"/>
                <w:color w:val="auto"/>
                <w:kern w:val="0"/>
                <w:sz w:val="24"/>
                <w:highlight w:val="none"/>
                <w:lang w:val="en-US" w:eastAsia="zh-CN"/>
              </w:rPr>
              <w:t>以非甲烷总烃计</w:t>
            </w:r>
            <w:r>
              <w:rPr>
                <w:rFonts w:hint="eastAsia"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rPr>
              <w:t>，</w:t>
            </w:r>
            <w:r>
              <w:rPr>
                <w:rFonts w:hint="eastAsia" w:ascii="Times New Roman" w:hAnsi="Times New Roman" w:cs="Times New Roman"/>
                <w:color w:val="auto"/>
                <w:sz w:val="24"/>
                <w:lang w:val="en-US" w:eastAsia="zh-CN"/>
              </w:rPr>
              <w:t>热熔挤出工序产生的</w:t>
            </w:r>
            <w:r>
              <w:rPr>
                <w:rFonts w:hint="default" w:ascii="Times New Roman" w:hAnsi="Times New Roman" w:cs="Times New Roman"/>
                <w:color w:val="auto"/>
                <w:sz w:val="24"/>
              </w:rPr>
              <w:t>非甲烷总烃由集气罩收集</w:t>
            </w:r>
            <w:r>
              <w:rPr>
                <w:rFonts w:hint="eastAsia" w:cs="Times New Roman"/>
                <w:color w:val="auto"/>
                <w:sz w:val="24"/>
                <w:lang w:eastAsia="zh-CN"/>
              </w:rPr>
              <w:t>经活性炭吸附脱附+蓄热催化燃烧一体化装置（RCO）处理后</w:t>
            </w:r>
            <w:r>
              <w:rPr>
                <w:rFonts w:hint="default" w:ascii="Times New Roman" w:hAnsi="Times New Roman" w:cs="Times New Roman"/>
                <w:color w:val="auto"/>
                <w:sz w:val="24"/>
              </w:rPr>
              <w:t>，最终</w:t>
            </w:r>
            <w:r>
              <w:rPr>
                <w:rFonts w:hint="eastAsia" w:ascii="Times New Roman" w:hAnsi="Times New Roman" w:cs="Times New Roman"/>
                <w:color w:val="auto"/>
                <w:sz w:val="24"/>
                <w:lang w:val="en-US" w:eastAsia="zh-CN"/>
              </w:rPr>
              <w:t>由</w:t>
            </w:r>
            <w:r>
              <w:rPr>
                <w:rFonts w:hint="default" w:ascii="Times New Roman" w:hAnsi="Times New Roman" w:cs="Times New Roman"/>
                <w:color w:val="auto"/>
                <w:sz w:val="24"/>
              </w:rPr>
              <w:t>15m高排气筒</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DA002</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排放</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均</w:t>
            </w:r>
            <w:r>
              <w:rPr>
                <w:rFonts w:hint="default" w:ascii="Times New Roman" w:hAnsi="Times New Roman" w:cs="Times New Roman"/>
                <w:color w:val="auto"/>
                <w:kern w:val="0"/>
                <w:sz w:val="24"/>
              </w:rPr>
              <w:t>可满足《合成树脂工业污染物排放标准》</w:t>
            </w:r>
            <w:r>
              <w:rPr>
                <w:rFonts w:hint="eastAsia" w:cs="Times New Roman"/>
                <w:color w:val="auto"/>
                <w:kern w:val="0"/>
                <w:sz w:val="24"/>
                <w:lang w:eastAsia="zh-CN"/>
              </w:rPr>
              <w:t>（GB 31572-2015，含2024年修改单）</w:t>
            </w:r>
            <w:r>
              <w:rPr>
                <w:rFonts w:hint="default" w:ascii="Times New Roman" w:hAnsi="Times New Roman" w:cs="Times New Roman"/>
                <w:color w:val="auto"/>
                <w:kern w:val="0"/>
                <w:sz w:val="24"/>
              </w:rPr>
              <w:t>表5限值要求，</w:t>
            </w:r>
            <w:r>
              <w:rPr>
                <w:rFonts w:hint="eastAsia" w:ascii="Times New Roman" w:hAnsi="Times New Roman" w:cs="Times New Roman"/>
                <w:color w:val="auto"/>
                <w:kern w:val="0"/>
                <w:sz w:val="24"/>
                <w:highlight w:val="none"/>
                <w:lang w:val="en-US" w:eastAsia="zh-CN"/>
              </w:rPr>
              <w:t>无组织非甲烷总烃</w:t>
            </w:r>
            <w:r>
              <w:rPr>
                <w:rFonts w:hint="default" w:ascii="Times New Roman" w:hAnsi="Times New Roman" w:cs="Times New Roman"/>
                <w:color w:val="auto"/>
                <w:kern w:val="0"/>
                <w:sz w:val="24"/>
                <w:highlight w:val="none"/>
              </w:rPr>
              <w:t>可满足《合成树脂工业污染物排放标准》</w:t>
            </w:r>
            <w:r>
              <w:rPr>
                <w:rFonts w:hint="eastAsia" w:cs="Times New Roman"/>
                <w:color w:val="auto"/>
                <w:kern w:val="0"/>
                <w:sz w:val="24"/>
                <w:highlight w:val="none"/>
                <w:lang w:eastAsia="zh-CN"/>
              </w:rPr>
              <w:t>（GB 31572-2015，含2024年修改单）</w:t>
            </w:r>
            <w:r>
              <w:rPr>
                <w:rFonts w:hint="default" w:ascii="Times New Roman" w:hAnsi="Times New Roman" w:cs="Times New Roman"/>
                <w:color w:val="auto"/>
                <w:kern w:val="0"/>
                <w:sz w:val="24"/>
                <w:highlight w:val="none"/>
              </w:rPr>
              <w:t>表</w:t>
            </w:r>
            <w:r>
              <w:rPr>
                <w:rFonts w:hint="eastAsia" w:ascii="Times New Roman" w:hAnsi="Times New Roman" w:cs="Times New Roman"/>
                <w:color w:val="auto"/>
                <w:kern w:val="0"/>
                <w:sz w:val="24"/>
                <w:highlight w:val="none"/>
                <w:lang w:val="en-US" w:eastAsia="zh-CN"/>
              </w:rPr>
              <w:t>9</w:t>
            </w:r>
            <w:r>
              <w:rPr>
                <w:rFonts w:hint="default" w:ascii="Times New Roman" w:hAnsi="Times New Roman" w:cs="Times New Roman"/>
                <w:color w:val="auto"/>
                <w:kern w:val="0"/>
                <w:sz w:val="24"/>
                <w:highlight w:val="none"/>
              </w:rPr>
              <w:t>限值要求，对周围环境影响较小。因此</w:t>
            </w:r>
            <w:r>
              <w:rPr>
                <w:rFonts w:hint="eastAsia" w:ascii="Times New Roman" w:hAnsi="Times New Roman" w:cs="Times New Roman"/>
                <w:color w:val="auto"/>
                <w:kern w:val="0"/>
                <w:sz w:val="24"/>
                <w:highlight w:val="none"/>
                <w:lang w:val="en-US" w:eastAsia="zh-CN"/>
              </w:rPr>
              <w:t>本项目</w:t>
            </w:r>
            <w:r>
              <w:rPr>
                <w:rFonts w:hint="default" w:ascii="Times New Roman" w:hAnsi="Times New Roman" w:cs="Times New Roman"/>
                <w:color w:val="auto"/>
                <w:kern w:val="0"/>
                <w:sz w:val="24"/>
                <w:highlight w:val="none"/>
              </w:rPr>
              <w:t>与《</w:t>
            </w:r>
            <w:r>
              <w:rPr>
                <w:rFonts w:hint="default" w:ascii="Times New Roman" w:hAnsi="Times New Roman" w:cs="Times New Roman"/>
                <w:color w:val="auto"/>
                <w:kern w:val="0"/>
                <w:sz w:val="24"/>
              </w:rPr>
              <w:t>昌吉回族自治州生态环境保护与建设“十四五”规划》相符合。</w:t>
            </w:r>
          </w:p>
          <w:p w14:paraId="45EBED1A">
            <w:pPr>
              <w:shd w:val="clear"/>
              <w:autoSpaceDE w:val="0"/>
              <w:autoSpaceDN w:val="0"/>
              <w:adjustRightInd w:val="0"/>
              <w:snapToGrid w:val="0"/>
              <w:spacing w:line="360" w:lineRule="auto"/>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4.与《挥发性有机物(VOCs)污染防治技术政策》的符合性分析</w:t>
            </w:r>
          </w:p>
          <w:p w14:paraId="7ED1158E">
            <w:pPr>
              <w:widowControl/>
              <w:shd w:val="clear"/>
              <w:kinsoku w:val="0"/>
              <w:autoSpaceDE w:val="0"/>
              <w:autoSpaceDN w:val="0"/>
              <w:adjustRightInd w:val="0"/>
              <w:snapToGrid w:val="0"/>
              <w:spacing w:before="7"/>
              <w:ind w:left="107"/>
              <w:jc w:val="center"/>
              <w:textAlignment w:val="baseline"/>
              <w:rPr>
                <w:rFonts w:hint="default" w:ascii="Times New Roman" w:hAnsi="Times New Roman" w:cs="Times New Roman"/>
                <w:b/>
                <w:bCs/>
                <w:color w:val="auto"/>
                <w:kern w:val="0"/>
                <w:szCs w:val="21"/>
              </w:rPr>
            </w:pPr>
            <w:r>
              <w:rPr>
                <w:rFonts w:hint="default" w:ascii="Times New Roman" w:hAnsi="Times New Roman" w:cs="Times New Roman"/>
                <w:b/>
                <w:bCs/>
                <w:color w:val="auto"/>
                <w:spacing w:val="-8"/>
                <w:kern w:val="0"/>
                <w:szCs w:val="21"/>
              </w:rPr>
              <w:t>表</w:t>
            </w:r>
            <w:r>
              <w:rPr>
                <w:rFonts w:hint="default" w:ascii="Times New Roman" w:hAnsi="Times New Roman" w:cs="Times New Roman"/>
                <w:b/>
                <w:bCs/>
                <w:color w:val="auto"/>
                <w:spacing w:val="-6"/>
                <w:kern w:val="0"/>
                <w:szCs w:val="21"/>
              </w:rPr>
              <w:t xml:space="preserve"> 1-3   《挥发性有机物(VOCs)污染防治技术政策》的符合性分析</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3574"/>
              <w:gridCol w:w="2160"/>
            </w:tblGrid>
            <w:tr w14:paraId="71EB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noWrap w:val="0"/>
                  <w:vAlign w:val="top"/>
                </w:tcPr>
                <w:p w14:paraId="2BF65C8C">
                  <w:pPr>
                    <w:pStyle w:val="68"/>
                    <w:shd w:val="clea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3592" w:type="dxa"/>
                  <w:noWrap w:val="0"/>
                  <w:vAlign w:val="top"/>
                </w:tcPr>
                <w:p w14:paraId="15C2D0E1">
                  <w:pPr>
                    <w:pStyle w:val="68"/>
                    <w:shd w:val="clea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规范条件中要求</w:t>
                  </w:r>
                </w:p>
              </w:tc>
              <w:tc>
                <w:tcPr>
                  <w:tcW w:w="2167" w:type="dxa"/>
                  <w:noWrap w:val="0"/>
                  <w:vAlign w:val="top"/>
                </w:tcPr>
                <w:p w14:paraId="6015D921">
                  <w:pPr>
                    <w:pStyle w:val="68"/>
                    <w:shd w:val="clea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拟建项目情况</w:t>
                  </w:r>
                </w:p>
              </w:tc>
            </w:tr>
            <w:tr w14:paraId="75CC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noWrap w:val="0"/>
                  <w:vAlign w:val="center"/>
                </w:tcPr>
                <w:p w14:paraId="56E0F843">
                  <w:pPr>
                    <w:pStyle w:val="68"/>
                    <w:shd w:val="clea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592" w:type="dxa"/>
                  <w:noWrap w:val="0"/>
                  <w:vAlign w:val="center"/>
                </w:tcPr>
                <w:p w14:paraId="1D5C92AE">
                  <w:pPr>
                    <w:pStyle w:val="68"/>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十）在涂装、印刷、粘合、工业清洗等含VOCs产品的使用过程中的VOCs污染防治技术措施包括：根据涂装工艺的不同，鼓励使用水性涂料、高固份涂料、粉末涂料、紫外光固化(UV)涂料等环保型涂料；应尽量避免无VOCs净化、回收措施的露天喷涂作业。</w:t>
                  </w:r>
                </w:p>
              </w:tc>
              <w:tc>
                <w:tcPr>
                  <w:tcW w:w="2167" w:type="dxa"/>
                  <w:noWrap w:val="0"/>
                  <w:vAlign w:val="center"/>
                </w:tcPr>
                <w:p w14:paraId="5B1CF532">
                  <w:pPr>
                    <w:pStyle w:val="68"/>
                    <w:shd w:val="clear"/>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废旧塑料颗粒项目，热熔挤出工序产生的</w:t>
                  </w:r>
                  <w:r>
                    <w:rPr>
                      <w:rFonts w:hint="default" w:ascii="Times New Roman" w:hAnsi="Times New Roman" w:cs="Times New Roman"/>
                      <w:color w:val="auto"/>
                      <w:sz w:val="21"/>
                      <w:szCs w:val="21"/>
                    </w:rPr>
                    <w:t>非甲烷总烃由集气罩收集</w:t>
                  </w:r>
                  <w:r>
                    <w:rPr>
                      <w:rFonts w:hint="eastAsia" w:cs="Times New Roman"/>
                      <w:color w:val="auto"/>
                      <w:sz w:val="21"/>
                      <w:szCs w:val="21"/>
                      <w:lang w:eastAsia="zh-CN"/>
                    </w:rPr>
                    <w:t>经活性炭吸附脱附+蓄热催化燃烧一体化装置（RCO）处理后</w:t>
                  </w:r>
                  <w:r>
                    <w:rPr>
                      <w:rFonts w:hint="default" w:ascii="Times New Roman" w:hAnsi="Times New Roman" w:cs="Times New Roman"/>
                      <w:color w:val="auto"/>
                      <w:sz w:val="21"/>
                      <w:szCs w:val="21"/>
                    </w:rPr>
                    <w:t>，最终</w:t>
                  </w:r>
                  <w:r>
                    <w:rPr>
                      <w:rFonts w:hint="eastAsia" w:ascii="Times New Roman" w:hAnsi="Times New Roman" w:cs="Times New Roman"/>
                      <w:color w:val="auto"/>
                      <w:sz w:val="21"/>
                      <w:szCs w:val="21"/>
                      <w:lang w:val="en-US" w:eastAsia="zh-CN"/>
                    </w:rPr>
                    <w:t>由</w:t>
                  </w:r>
                  <w:r>
                    <w:rPr>
                      <w:rFonts w:hint="default" w:ascii="Times New Roman" w:hAnsi="Times New Roman" w:cs="Times New Roman"/>
                      <w:color w:val="auto"/>
                      <w:sz w:val="21"/>
                      <w:szCs w:val="21"/>
                    </w:rPr>
                    <w:t>15m高排气筒</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DA002</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排放</w:t>
                  </w:r>
                  <w:r>
                    <w:rPr>
                      <w:rFonts w:hint="eastAsia" w:ascii="Times New Roman" w:hAnsi="Times New Roman" w:cs="Times New Roman"/>
                      <w:color w:val="auto"/>
                      <w:sz w:val="21"/>
                      <w:szCs w:val="21"/>
                      <w:lang w:eastAsia="zh-CN"/>
                    </w:rPr>
                    <w:t>。</w:t>
                  </w:r>
                </w:p>
              </w:tc>
            </w:tr>
            <w:tr w14:paraId="1D22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noWrap w:val="0"/>
                  <w:vAlign w:val="center"/>
                </w:tcPr>
                <w:p w14:paraId="5C87F5BC">
                  <w:pPr>
                    <w:pStyle w:val="68"/>
                    <w:shd w:val="clea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3592" w:type="dxa"/>
                  <w:noWrap w:val="0"/>
                  <w:vAlign w:val="center"/>
                </w:tcPr>
                <w:p w14:paraId="7818B55A">
                  <w:pPr>
                    <w:pStyle w:val="68"/>
                    <w:shd w:val="clear"/>
                    <w:ind w:firstLine="420" w:firstLineChars="20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十五）对于含低浓度VOCs的废气，有回收价值时可采用吸附技术、吸收技术对有机溶剂回收后达标排放；不宜回收时，可采用吸附浓缩燃烧技术、生物技术、吸收技术、等离子体技术或紫外光高级氧化技术等净化后达标排放。</w:t>
                  </w:r>
                </w:p>
              </w:tc>
              <w:tc>
                <w:tcPr>
                  <w:tcW w:w="2167" w:type="dxa"/>
                  <w:noWrap w:val="0"/>
                  <w:vAlign w:val="center"/>
                </w:tcPr>
                <w:p w14:paraId="52B3B9A8">
                  <w:pPr>
                    <w:pStyle w:val="68"/>
                    <w:shd w:val="clear"/>
                    <w:jc w:val="center"/>
                    <w:rPr>
                      <w:rFonts w:hint="default" w:ascii="Times New Roman" w:hAnsi="Times New Roman" w:cs="Times New Roman"/>
                      <w:color w:val="auto"/>
                      <w:szCs w:val="21"/>
                    </w:rPr>
                  </w:pPr>
                  <w:r>
                    <w:rPr>
                      <w:rFonts w:hint="eastAsia" w:ascii="Times New Roman" w:hAnsi="Times New Roman" w:cs="Times New Roman"/>
                      <w:color w:val="auto"/>
                      <w:sz w:val="21"/>
                      <w:szCs w:val="21"/>
                      <w:lang w:val="en-US" w:eastAsia="zh-CN"/>
                    </w:rPr>
                    <w:t>废旧塑料颗粒项目，热熔挤出工序产生的</w:t>
                  </w:r>
                  <w:r>
                    <w:rPr>
                      <w:rFonts w:hint="default" w:ascii="Times New Roman" w:hAnsi="Times New Roman" w:cs="Times New Roman"/>
                      <w:color w:val="auto"/>
                      <w:sz w:val="21"/>
                      <w:szCs w:val="21"/>
                    </w:rPr>
                    <w:t>非甲烷总烃由集气罩收集</w:t>
                  </w:r>
                  <w:r>
                    <w:rPr>
                      <w:rFonts w:hint="eastAsia" w:cs="Times New Roman"/>
                      <w:color w:val="auto"/>
                      <w:sz w:val="21"/>
                      <w:szCs w:val="21"/>
                      <w:lang w:eastAsia="zh-CN"/>
                    </w:rPr>
                    <w:t>经活性炭吸附脱附+蓄热催化燃烧一体化装置（RCO）处理后</w:t>
                  </w:r>
                  <w:r>
                    <w:rPr>
                      <w:rFonts w:hint="default" w:ascii="Times New Roman" w:hAnsi="Times New Roman" w:cs="Times New Roman"/>
                      <w:color w:val="auto"/>
                      <w:sz w:val="21"/>
                      <w:szCs w:val="21"/>
                    </w:rPr>
                    <w:t>，最终</w:t>
                  </w:r>
                  <w:r>
                    <w:rPr>
                      <w:rFonts w:hint="eastAsia" w:ascii="Times New Roman" w:hAnsi="Times New Roman" w:cs="Times New Roman"/>
                      <w:color w:val="auto"/>
                      <w:sz w:val="21"/>
                      <w:szCs w:val="21"/>
                      <w:lang w:val="en-US" w:eastAsia="zh-CN"/>
                    </w:rPr>
                    <w:t>由</w:t>
                  </w:r>
                  <w:r>
                    <w:rPr>
                      <w:rFonts w:hint="default" w:ascii="Times New Roman" w:hAnsi="Times New Roman" w:cs="Times New Roman"/>
                      <w:color w:val="auto"/>
                      <w:sz w:val="21"/>
                      <w:szCs w:val="21"/>
                    </w:rPr>
                    <w:t>15m高排气筒</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DA002</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排放</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产生的有机气体，浓度低且无回收价值</w:t>
                  </w:r>
                  <w:r>
                    <w:rPr>
                      <w:rFonts w:hint="eastAsia" w:ascii="Times New Roman" w:hAnsi="Times New Roman" w:cs="Times New Roman"/>
                      <w:color w:val="auto"/>
                      <w:sz w:val="21"/>
                      <w:szCs w:val="21"/>
                      <w:lang w:eastAsia="zh-CN"/>
                    </w:rPr>
                    <w:t>。</w:t>
                  </w:r>
                </w:p>
              </w:tc>
            </w:tr>
          </w:tbl>
          <w:p w14:paraId="3BF6FD60">
            <w:pPr>
              <w:shd w:val="clear"/>
              <w:autoSpaceDE w:val="0"/>
              <w:autoSpaceDN w:val="0"/>
              <w:adjustRightInd w:val="0"/>
              <w:snapToGrid w:val="0"/>
              <w:spacing w:line="360" w:lineRule="auto"/>
              <w:rPr>
                <w:rFonts w:hint="default" w:ascii="Times New Roman" w:hAnsi="Times New Roman" w:cs="Times New Roman"/>
                <w:b/>
                <w:color w:val="auto"/>
                <w:kern w:val="0"/>
                <w:sz w:val="24"/>
                <w:szCs w:val="21"/>
              </w:rPr>
            </w:pPr>
            <w:r>
              <w:rPr>
                <w:rFonts w:hint="default" w:ascii="Times New Roman" w:hAnsi="Times New Roman" w:cs="Times New Roman"/>
                <w:b/>
                <w:color w:val="auto"/>
                <w:kern w:val="0"/>
                <w:sz w:val="24"/>
                <w:szCs w:val="21"/>
              </w:rPr>
              <w:t>5.与《重点行业挥发性有机物综合治理方案》（环大气〔2019〕53号）符合性分析</w:t>
            </w:r>
          </w:p>
          <w:p w14:paraId="05DF4EDB">
            <w:pPr>
              <w:shd w:val="clear"/>
              <w:autoSpaceDE w:val="0"/>
              <w:autoSpaceDN w:val="0"/>
              <w:adjustRightInd w:val="0"/>
              <w:snapToGrid w:val="0"/>
              <w:spacing w:line="360" w:lineRule="auto"/>
              <w:ind w:firstLine="480" w:firstLineChars="200"/>
              <w:rPr>
                <w:rFonts w:hint="eastAsia" w:ascii="Times New Roman" w:hAnsi="Times New Roman" w:eastAsia="宋体" w:cs="Times New Roman"/>
                <w:color w:val="auto"/>
                <w:kern w:val="0"/>
                <w:sz w:val="24"/>
                <w:lang w:eastAsia="zh-CN"/>
              </w:rPr>
            </w:pPr>
            <w:r>
              <w:rPr>
                <w:rFonts w:hint="default" w:ascii="Times New Roman" w:hAnsi="Times New Roman" w:cs="Times New Roman"/>
                <w:color w:val="auto"/>
                <w:kern w:val="0"/>
                <w:sz w:val="24"/>
              </w:rPr>
              <w:t>根据《重点行业挥发性有机物综合治理方案》中</w:t>
            </w:r>
            <w:r>
              <w:rPr>
                <w:rFonts w:hint="eastAsia" w:cs="Times New Roman"/>
                <w:color w:val="auto"/>
                <w:kern w:val="0"/>
                <w:sz w:val="24"/>
                <w:lang w:eastAsia="zh-CN"/>
              </w:rPr>
              <w:t>“</w:t>
            </w:r>
            <w:r>
              <w:rPr>
                <w:rFonts w:hint="default" w:ascii="Times New Roman" w:hAnsi="Times New Roman" w:cs="Times New Roman"/>
                <w:color w:val="auto"/>
                <w:kern w:val="0"/>
                <w:sz w:val="24"/>
              </w:rPr>
              <w:t>全面加强无组织排放控制。重点对含VOCs物料（包括含VOCs原辅材料、含VOCs产品、含VOCs废料以及有机聚合物材料等）储存、转移和输送、设备与管线组件泄漏、敞开液面逸散以及工艺过程等五类排放源实施管控，通过采取设备与场所密闭、工艺改进、废气有效收集等措施，削减VOCs无组织排放。提高废气收集率。遵循“应收尽收、分质收集”的原则，科学设计废气收集系统，将无组织排放转变为有组织排放进行控制。</w:t>
            </w:r>
            <w:r>
              <w:rPr>
                <w:rFonts w:hint="eastAsia" w:cs="Times New Roman"/>
                <w:color w:val="auto"/>
                <w:kern w:val="0"/>
                <w:sz w:val="24"/>
                <w:lang w:eastAsia="zh-CN"/>
              </w:rPr>
              <w:t>”</w:t>
            </w:r>
          </w:p>
          <w:p w14:paraId="771CC36E">
            <w:pPr>
              <w:shd w:val="clear"/>
              <w:autoSpaceDE w:val="0"/>
              <w:autoSpaceDN w:val="0"/>
              <w:adjustRightInd w:val="0"/>
              <w:snapToGrid w:val="0"/>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本项目通过采取设备与车间密闭设施，</w:t>
            </w:r>
            <w:r>
              <w:rPr>
                <w:rFonts w:hint="eastAsia" w:ascii="Times New Roman" w:hAnsi="Times New Roman" w:cs="Times New Roman"/>
                <w:color w:val="auto"/>
                <w:sz w:val="24"/>
                <w:lang w:val="en-US" w:eastAsia="zh-CN"/>
              </w:rPr>
              <w:t>废旧塑料颗粒项目，热熔挤出工序产生的</w:t>
            </w:r>
            <w:r>
              <w:rPr>
                <w:rFonts w:hint="default" w:ascii="Times New Roman" w:hAnsi="Times New Roman" w:cs="Times New Roman"/>
                <w:color w:val="auto"/>
                <w:sz w:val="24"/>
              </w:rPr>
              <w:t>非甲烷总烃由集气罩收集</w:t>
            </w:r>
            <w:r>
              <w:rPr>
                <w:rFonts w:hint="eastAsia" w:cs="Times New Roman"/>
                <w:color w:val="auto"/>
                <w:sz w:val="24"/>
                <w:lang w:eastAsia="zh-CN"/>
              </w:rPr>
              <w:t>经活性炭吸附脱附+蓄热催化燃烧一体化装置（RCO）处理后</w:t>
            </w:r>
            <w:r>
              <w:rPr>
                <w:rFonts w:hint="default" w:ascii="Times New Roman" w:hAnsi="Times New Roman" w:cs="Times New Roman"/>
                <w:color w:val="auto"/>
                <w:sz w:val="24"/>
              </w:rPr>
              <w:t>，最终</w:t>
            </w:r>
            <w:r>
              <w:rPr>
                <w:rFonts w:hint="eastAsia" w:ascii="Times New Roman" w:hAnsi="Times New Roman" w:cs="Times New Roman"/>
                <w:color w:val="auto"/>
                <w:sz w:val="24"/>
                <w:lang w:val="en-US" w:eastAsia="zh-CN"/>
              </w:rPr>
              <w:t>由</w:t>
            </w:r>
            <w:r>
              <w:rPr>
                <w:rFonts w:hint="default" w:ascii="Times New Roman" w:hAnsi="Times New Roman" w:cs="Times New Roman"/>
                <w:color w:val="auto"/>
                <w:sz w:val="24"/>
              </w:rPr>
              <w:t>15m高排气筒</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DA002</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排放</w:t>
            </w:r>
            <w:r>
              <w:rPr>
                <w:rFonts w:hint="eastAsia" w:ascii="Times New Roman" w:hAnsi="Times New Roman" w:cs="Times New Roman"/>
                <w:color w:val="auto"/>
                <w:sz w:val="24"/>
                <w:lang w:eastAsia="zh-CN"/>
              </w:rPr>
              <w:t>。</w:t>
            </w:r>
            <w:r>
              <w:rPr>
                <w:rFonts w:hint="default" w:ascii="Times New Roman" w:hAnsi="Times New Roman" w:cs="Times New Roman"/>
                <w:color w:val="auto"/>
                <w:kern w:val="0"/>
                <w:sz w:val="24"/>
              </w:rPr>
              <w:t>削减了VOCs无组织排放。符合《重点行业挥发性有机物综合治理方案》的相关要求。</w:t>
            </w:r>
          </w:p>
          <w:p w14:paraId="70BFDDC2">
            <w:pPr>
              <w:pStyle w:val="69"/>
              <w:shd w:val="clear"/>
              <w:rPr>
                <w:rFonts w:hint="default" w:ascii="Times New Roman" w:hAnsi="Times New Roman" w:cs="Times New Roman"/>
                <w:snapToGrid w:val="0"/>
                <w:color w:val="auto"/>
                <w:sz w:val="24"/>
                <w:szCs w:val="24"/>
                <w:highlight w:val="none"/>
                <w:lang w:val="en-US" w:eastAsia="zh-CN"/>
              </w:rPr>
            </w:pPr>
            <w:r>
              <w:rPr>
                <w:rFonts w:hint="eastAsia" w:cs="Times New Roman"/>
                <w:snapToGrid w:val="0"/>
                <w:color w:val="auto"/>
                <w:sz w:val="24"/>
                <w:szCs w:val="24"/>
                <w:highlight w:val="none"/>
                <w:lang w:val="en-US" w:eastAsia="zh-CN"/>
              </w:rPr>
              <w:t>6.与《2020年挥发性有机物治理攻坚方案》</w:t>
            </w:r>
            <w:r>
              <w:rPr>
                <w:rFonts w:hint="eastAsia" w:ascii="Times New Roman" w:hAnsi="Times New Roman" w:cs="Times New Roman"/>
                <w:snapToGrid w:val="0"/>
                <w:color w:val="auto"/>
                <w:sz w:val="24"/>
                <w:szCs w:val="24"/>
                <w:highlight w:val="none"/>
                <w:lang w:val="en-US" w:eastAsia="zh-CN"/>
              </w:rPr>
              <w:t>（环大气﹝202</w:t>
            </w:r>
            <w:r>
              <w:rPr>
                <w:rFonts w:hint="eastAsia" w:cs="Times New Roman"/>
                <w:snapToGrid w:val="0"/>
                <w:color w:val="auto"/>
                <w:sz w:val="24"/>
                <w:szCs w:val="24"/>
                <w:highlight w:val="none"/>
                <w:lang w:val="en-US" w:eastAsia="zh-CN"/>
              </w:rPr>
              <w:t>0</w:t>
            </w:r>
            <w:r>
              <w:rPr>
                <w:rFonts w:hint="eastAsia" w:ascii="Times New Roman" w:hAnsi="Times New Roman" w:cs="Times New Roman"/>
                <w:snapToGrid w:val="0"/>
                <w:color w:val="auto"/>
                <w:sz w:val="24"/>
                <w:szCs w:val="24"/>
                <w:highlight w:val="none"/>
                <w:lang w:val="en-US" w:eastAsia="zh-CN"/>
              </w:rPr>
              <w:t>〕</w:t>
            </w:r>
            <w:r>
              <w:rPr>
                <w:rFonts w:hint="eastAsia" w:cs="Times New Roman"/>
                <w:snapToGrid w:val="0"/>
                <w:color w:val="auto"/>
                <w:sz w:val="24"/>
                <w:szCs w:val="24"/>
                <w:highlight w:val="none"/>
                <w:lang w:val="en-US" w:eastAsia="zh-CN"/>
              </w:rPr>
              <w:t>33</w:t>
            </w:r>
            <w:r>
              <w:rPr>
                <w:rFonts w:hint="eastAsia" w:ascii="Times New Roman" w:hAnsi="Times New Roman" w:cs="Times New Roman"/>
                <w:snapToGrid w:val="0"/>
                <w:color w:val="auto"/>
                <w:sz w:val="24"/>
                <w:szCs w:val="24"/>
                <w:highlight w:val="none"/>
                <w:lang w:val="en-US" w:eastAsia="zh-CN"/>
              </w:rPr>
              <w:t>号）</w:t>
            </w:r>
            <w:r>
              <w:rPr>
                <w:rFonts w:hint="eastAsia" w:cs="Times New Roman"/>
                <w:snapToGrid w:val="0"/>
                <w:color w:val="auto"/>
                <w:sz w:val="24"/>
                <w:szCs w:val="24"/>
                <w:highlight w:val="none"/>
                <w:lang w:val="en-US" w:eastAsia="zh-CN"/>
              </w:rPr>
              <w:t>符合性分析</w:t>
            </w:r>
          </w:p>
          <w:p w14:paraId="0B47AFDC">
            <w:pPr>
              <w:pStyle w:val="69"/>
              <w:shd w:val="clear"/>
              <w:ind w:firstLine="480" w:firstLineChars="200"/>
              <w:rPr>
                <w:rFonts w:hint="eastAsia" w:cs="Times New Roman"/>
                <w:b w:val="0"/>
                <w:bCs/>
                <w:snapToGrid w:val="0"/>
                <w:color w:val="auto"/>
                <w:sz w:val="24"/>
                <w:szCs w:val="24"/>
                <w:highlight w:val="none"/>
                <w:lang w:val="en-US" w:eastAsia="zh-CN"/>
              </w:rPr>
            </w:pPr>
            <w:r>
              <w:rPr>
                <w:rFonts w:hint="eastAsia" w:cs="Times New Roman"/>
                <w:b w:val="0"/>
                <w:bCs/>
                <w:snapToGrid w:val="0"/>
                <w:color w:val="auto"/>
                <w:sz w:val="24"/>
                <w:szCs w:val="24"/>
                <w:highlight w:val="none"/>
                <w:lang w:val="en-US" w:eastAsia="zh-CN"/>
              </w:rPr>
              <w:t>根据《2020年挥发性有机物治理攻坚方案》中“按照“应收尽收”的原则提升废气收集率。推动取消废气排放系统旁路，因安全生产等原因必须保留的，应将保留旁路清单报当地生态环境部门，旁路在非紧急情况下保持关闭，并通过铅封、安装自动监控设施、流量计等方式加强监管，开启后应及时向当地生态环境部门报告，做好台账记录。将无组织排放转变为有组织排放进行控制，优先采用密闭设备、在密闭空间中操作或采用全密闭集气罩收集方式；对于采用局部集气罩的，应根据废气排放特点合理选择收集点位，距集气罩开口面最远处的VOCs无组织排放位置，控制风速不低于0.3米/秒，达不到要求的通过更换大功率风机、增设烟道风机、增加垂帘等方式及时改造；加强生产车间密闭管理，在符合安全生产、职业卫生相关规定前提下，采用自动卷帘门、密闭性好的塑钢门窗等，在非必要时保持关闭。按照与生产设备“同启同停”的原则提升治理设施运行率。根据处理工艺要求，在处理设施达到正常运行条件后方可启动生产设备，在生产设备停止、残留VOCs废气收集处理完毕后，方可停运处理设施。VOCs废气处理系统发生故障或检修时，对应生产工艺设备应停止运行，待检修完毕后同步投入使用；因安全等因素生产工艺设备不能停止或不能及时停止运行的，应设置废气应急处理设施或采取其他替代措施。按照“适宜高效”的原则提高治理设施去除率，不得稀释排放。企业新建治污设施或对现有治污设施实施改造，应依据排放废气特征、VOCs组分及浓度、生产工况等，合理选择治理技术，对治理难度大、单一治理工艺难以稳定达标的，要采用多种技术的组合工艺。采用活性炭吸附技术的，应选择碘值不低于800毫克/克的活性炭，并按设计要求足量添加、及时更换；各地要督促行政区域内采用一次性活性炭吸附技术的企业按期更换活性炭，对于长期未进行更换的，于7月底前全部更换一次，并将废旧活性炭交有资质的单位处理处置，记录更换时间和使用量。”</w:t>
            </w:r>
          </w:p>
          <w:p w14:paraId="4670D912">
            <w:pPr>
              <w:pStyle w:val="69"/>
              <w:shd w:val="clear"/>
              <w:ind w:firstLine="480" w:firstLineChars="200"/>
              <w:rPr>
                <w:rFonts w:hint="default" w:cs="Times New Roman"/>
                <w:b w:val="0"/>
                <w:bCs/>
                <w:snapToGrid w:val="0"/>
                <w:color w:val="auto"/>
                <w:sz w:val="24"/>
                <w:szCs w:val="24"/>
                <w:highlight w:val="none"/>
                <w:lang w:val="en-US" w:eastAsia="zh-CN"/>
              </w:rPr>
            </w:pPr>
            <w:r>
              <w:rPr>
                <w:rFonts w:hint="eastAsia" w:cs="Times New Roman"/>
                <w:b w:val="0"/>
                <w:bCs/>
                <w:snapToGrid w:val="0"/>
                <w:color w:val="auto"/>
                <w:sz w:val="24"/>
                <w:szCs w:val="24"/>
                <w:highlight w:val="none"/>
                <w:lang w:val="en-US" w:eastAsia="zh-CN"/>
              </w:rPr>
              <w:t>本项目采用局部集气罩，根据废气排放特点合理选择收集点位，距集气罩开口面最远处的VOCs无组织排放位置，控制风速不低于0.3米/秒，活性炭选择碘值不低于800毫克/克的活性炭，并按设计要求足量添加、及时更换；催化剂按照设计要求使用。废旧塑料颗粒项目废气治理设施采用活性炭吸附脱附+蓄热催化燃烧一体化装置（RCO）处理后处理废气，因此本项目符合《2020年挥发性有机物治理攻坚方案》的相关要求。</w:t>
            </w:r>
          </w:p>
          <w:p w14:paraId="764CA844">
            <w:pPr>
              <w:pStyle w:val="69"/>
              <w:shd w:val="clear"/>
              <w:rPr>
                <w:rFonts w:hint="default" w:ascii="Times New Roman" w:hAnsi="Times New Roman" w:cs="Times New Roman"/>
                <w:snapToGrid w:val="0"/>
                <w:color w:val="auto"/>
                <w:sz w:val="24"/>
                <w:szCs w:val="24"/>
                <w:highlight w:val="none"/>
                <w:lang w:val="en-US" w:eastAsia="zh-CN"/>
              </w:rPr>
            </w:pPr>
            <w:r>
              <w:rPr>
                <w:rFonts w:hint="eastAsia" w:cs="Times New Roman"/>
                <w:snapToGrid w:val="0"/>
                <w:color w:val="auto"/>
                <w:sz w:val="24"/>
                <w:szCs w:val="24"/>
                <w:highlight w:val="none"/>
                <w:lang w:val="en-US" w:eastAsia="zh-CN"/>
              </w:rPr>
              <w:t>7</w:t>
            </w:r>
            <w:r>
              <w:rPr>
                <w:rFonts w:hint="eastAsia" w:ascii="Times New Roman" w:hAnsi="Times New Roman" w:cs="Times New Roman"/>
                <w:snapToGrid w:val="0"/>
                <w:color w:val="auto"/>
                <w:sz w:val="24"/>
                <w:szCs w:val="24"/>
                <w:highlight w:val="none"/>
                <w:lang w:val="en-US" w:eastAsia="zh-CN"/>
              </w:rPr>
              <w:t>.与《挥发性有机物无组织排放控制标准》（</w:t>
            </w:r>
            <w:r>
              <w:rPr>
                <w:rFonts w:hint="eastAsia" w:cs="Times New Roman"/>
                <w:snapToGrid w:val="0"/>
                <w:color w:val="auto"/>
                <w:sz w:val="24"/>
                <w:szCs w:val="24"/>
                <w:highlight w:val="none"/>
                <w:lang w:val="en-US" w:eastAsia="zh-CN"/>
              </w:rPr>
              <w:t>GB37822-2019</w:t>
            </w:r>
            <w:r>
              <w:rPr>
                <w:rFonts w:hint="eastAsia" w:ascii="Times New Roman" w:hAnsi="Times New Roman" w:cs="Times New Roman"/>
                <w:snapToGrid w:val="0"/>
                <w:color w:val="auto"/>
                <w:sz w:val="24"/>
                <w:szCs w:val="24"/>
                <w:highlight w:val="none"/>
                <w:lang w:val="en-US" w:eastAsia="zh-CN"/>
              </w:rPr>
              <w:t>）</w:t>
            </w:r>
            <w:r>
              <w:rPr>
                <w:rFonts w:hint="eastAsia" w:cs="Times New Roman"/>
                <w:snapToGrid w:val="0"/>
                <w:color w:val="auto"/>
                <w:sz w:val="24"/>
                <w:szCs w:val="24"/>
                <w:highlight w:val="none"/>
                <w:lang w:val="en-US" w:eastAsia="zh-CN"/>
              </w:rPr>
              <w:t>符合性分析</w:t>
            </w:r>
          </w:p>
          <w:p w14:paraId="4EA12625">
            <w:pPr>
              <w:pStyle w:val="69"/>
              <w:shd w:val="clear"/>
              <w:ind w:firstLine="480" w:firstLineChars="200"/>
              <w:rPr>
                <w:rFonts w:hint="eastAsia" w:cs="Times New Roman"/>
                <w:b w:val="0"/>
                <w:bCs/>
                <w:snapToGrid w:val="0"/>
                <w:color w:val="auto"/>
                <w:sz w:val="24"/>
                <w:szCs w:val="24"/>
                <w:highlight w:val="none"/>
                <w:lang w:val="en-US" w:eastAsia="zh-CN"/>
              </w:rPr>
            </w:pPr>
            <w:r>
              <w:rPr>
                <w:rFonts w:hint="eastAsia" w:cs="Times New Roman"/>
                <w:b w:val="0"/>
                <w:bCs/>
                <w:snapToGrid w:val="0"/>
                <w:color w:val="auto"/>
                <w:sz w:val="24"/>
                <w:szCs w:val="24"/>
                <w:highlight w:val="none"/>
                <w:lang w:val="en-US" w:eastAsia="zh-CN"/>
              </w:rPr>
              <w:t>根据《挥发性有机物无组织排放控制标准》中“</w:t>
            </w:r>
            <w:r>
              <w:rPr>
                <w:rFonts w:hint="eastAsia" w:cs="Times New Roman"/>
                <w:b/>
                <w:bCs w:val="0"/>
                <w:snapToGrid w:val="0"/>
                <w:color w:val="auto"/>
                <w:sz w:val="24"/>
                <w:szCs w:val="24"/>
                <w:highlight w:val="none"/>
                <w:lang w:val="en-US" w:eastAsia="zh-CN"/>
              </w:rPr>
              <w:t>7.1.5 配料加工和含VOCs产品的包装，</w:t>
            </w:r>
            <w:r>
              <w:rPr>
                <w:rFonts w:hint="eastAsia" w:cs="Times New Roman"/>
                <w:b w:val="0"/>
                <w:bCs/>
                <w:snapToGrid w:val="0"/>
                <w:color w:val="auto"/>
                <w:sz w:val="24"/>
                <w:szCs w:val="24"/>
                <w:highlight w:val="none"/>
                <w:lang w:val="en-US" w:eastAsia="zh-CN"/>
              </w:rPr>
              <w:t>VOCs物料混合、搅拌、研磨、造粒、切片、压块等配料加工过程，以及含VOCs产品的包装（灌装、分装）过程应采用密闭设备或在密闭空间内操作，废气应排至VOCs废气收集处理系统：无法密闭的，应采取局部气体收集措施，废气应排至VOCs废气收集处理系统。”</w:t>
            </w:r>
          </w:p>
          <w:p w14:paraId="52814CDA">
            <w:pPr>
              <w:pStyle w:val="69"/>
              <w:shd w:val="clear"/>
              <w:ind w:firstLine="480" w:firstLineChars="200"/>
              <w:rPr>
                <w:rFonts w:hint="eastAsia" w:ascii="Times New Roman" w:hAnsi="Times New Roman" w:cs="Times New Roman"/>
                <w:snapToGrid w:val="0"/>
                <w:color w:val="auto"/>
                <w:sz w:val="24"/>
                <w:szCs w:val="24"/>
                <w:highlight w:val="none"/>
                <w:lang w:val="en-US" w:eastAsia="zh-CN"/>
              </w:rPr>
            </w:pPr>
            <w:r>
              <w:rPr>
                <w:rFonts w:hint="eastAsia" w:cs="Times New Roman"/>
                <w:b w:val="0"/>
                <w:bCs/>
                <w:snapToGrid w:val="0"/>
                <w:color w:val="auto"/>
                <w:sz w:val="24"/>
                <w:szCs w:val="24"/>
                <w:highlight w:val="none"/>
                <w:lang w:val="en-US" w:eastAsia="zh-CN"/>
              </w:rPr>
              <w:t>本项目废旧塑料颗粒项目和给排水管项目热熔挤出工序会产生VOCs（以非甲烷总烃表示），生产过程在密闭空间内操作，废气排放至VOCs废气收集处理系统：未收集的非甲烷总烃以无组织形式逸散至大气环境中，采用加强通风的治理措施。因此本项目符合《挥发性有机物无组织排放控制标准》的相关要求。</w:t>
            </w:r>
          </w:p>
          <w:p w14:paraId="18B5A872">
            <w:pPr>
              <w:pStyle w:val="69"/>
              <w:shd w:val="clear"/>
              <w:rPr>
                <w:rFonts w:hint="default" w:ascii="Times New Roman" w:hAnsi="Times New Roman" w:cs="Times New Roman"/>
                <w:snapToGrid w:val="0"/>
                <w:color w:val="auto"/>
                <w:sz w:val="24"/>
                <w:szCs w:val="24"/>
                <w:highlight w:val="none"/>
                <w:lang w:val="en-US" w:eastAsia="zh-CN"/>
              </w:rPr>
            </w:pPr>
            <w:r>
              <w:rPr>
                <w:rFonts w:hint="eastAsia" w:cs="Times New Roman"/>
                <w:snapToGrid w:val="0"/>
                <w:color w:val="auto"/>
                <w:sz w:val="24"/>
                <w:szCs w:val="24"/>
                <w:highlight w:val="none"/>
                <w:lang w:val="en-US" w:eastAsia="zh-CN"/>
              </w:rPr>
              <w:t>8</w:t>
            </w:r>
            <w:r>
              <w:rPr>
                <w:rFonts w:hint="eastAsia" w:ascii="Times New Roman" w:hAnsi="Times New Roman" w:cs="Times New Roman"/>
                <w:snapToGrid w:val="0"/>
                <w:color w:val="auto"/>
                <w:sz w:val="24"/>
                <w:szCs w:val="24"/>
                <w:highlight w:val="none"/>
                <w:lang w:val="en-US" w:eastAsia="zh-CN"/>
              </w:rPr>
              <w:t>.与《关于加快解决当前挥发性有机物治理突出问题的通知》（环大气﹝2021〕65号）</w:t>
            </w:r>
            <w:r>
              <w:rPr>
                <w:rFonts w:hint="eastAsia" w:cs="Times New Roman"/>
                <w:snapToGrid w:val="0"/>
                <w:color w:val="auto"/>
                <w:sz w:val="24"/>
                <w:szCs w:val="24"/>
                <w:highlight w:val="none"/>
                <w:lang w:val="en-US" w:eastAsia="zh-CN"/>
              </w:rPr>
              <w:t>符合性分析</w:t>
            </w:r>
          </w:p>
          <w:p w14:paraId="51773CA0">
            <w:pPr>
              <w:shd w:val="clear"/>
              <w:autoSpaceDE w:val="0"/>
              <w:autoSpaceDN w:val="0"/>
              <w:adjustRightInd w:val="0"/>
              <w:snapToGrid w:val="0"/>
              <w:spacing w:line="360" w:lineRule="auto"/>
              <w:ind w:firstLine="480" w:firstLineChars="200"/>
              <w:rPr>
                <w:rFonts w:hint="eastAsia" w:cs="Times New Roman"/>
                <w:color w:val="auto"/>
                <w:kern w:val="0"/>
                <w:sz w:val="24"/>
                <w:highlight w:val="none"/>
                <w:lang w:val="en-US" w:eastAsia="zh-CN"/>
              </w:rPr>
            </w:pPr>
            <w:r>
              <w:rPr>
                <w:rFonts w:hint="eastAsia" w:ascii="Times New Roman" w:hAnsi="Times New Roman" w:cs="Times New Roman"/>
                <w:color w:val="auto"/>
                <w:kern w:val="0"/>
                <w:sz w:val="24"/>
                <w:highlight w:val="none"/>
                <w:lang w:val="en-US" w:eastAsia="zh-CN"/>
              </w:rPr>
              <w:t>根据</w:t>
            </w:r>
            <w:r>
              <w:rPr>
                <w:rFonts w:hint="eastAsia" w:cs="Times New Roman"/>
                <w:color w:val="auto"/>
                <w:kern w:val="0"/>
                <w:sz w:val="24"/>
                <w:highlight w:val="none"/>
                <w:lang w:val="en-US" w:eastAsia="zh-CN"/>
              </w:rPr>
              <w:t>《关于加快解决当前挥发性有机物治理突出问题的通知》中“</w:t>
            </w:r>
            <w:r>
              <w:rPr>
                <w:rFonts w:hint="eastAsia" w:cs="Times New Roman"/>
                <w:b/>
                <w:bCs/>
                <w:color w:val="auto"/>
                <w:kern w:val="0"/>
                <w:sz w:val="24"/>
                <w:highlight w:val="none"/>
                <w:lang w:val="en-US" w:eastAsia="zh-CN"/>
              </w:rPr>
              <w:t>二、针对当前的突出问题开展排查整治</w:t>
            </w:r>
            <w:r>
              <w:rPr>
                <w:rFonts w:hint="eastAsia" w:cs="Times New Roman"/>
                <w:color w:val="auto"/>
                <w:kern w:val="0"/>
                <w:sz w:val="24"/>
                <w:highlight w:val="none"/>
                <w:lang w:val="en-US" w:eastAsia="zh-CN"/>
              </w:rPr>
              <w:t>各地要以石油炼制、石油化工、合成树脂等石化行业，有机化工、煤化工、焦化（含兰炭）、制药、农药、涂料、油墨、胶粘剂等化工行业，涉及工业涂装的汽车、家具、零部件、钢结构、彩涂板等行业，包装印刷行业以及油品储运销为重点，并结合本地特色产业，组织企业针对挥发性有机液体储罐、装卸、敞开液面、泄漏检测与修复（LDAR）、废气收集、废气旁路、治理设施、加油站、非正常工况、产品VOCs含量等10个关键环节，认真对照大气污染防治法、排污许可证、相关排放标准和产品VOCs含量限值标准等开展排查整治，具体要求见附件。”</w:t>
            </w:r>
          </w:p>
          <w:p w14:paraId="41270758">
            <w:pPr>
              <w:shd w:val="clear"/>
              <w:autoSpaceDE w:val="0"/>
              <w:autoSpaceDN w:val="0"/>
              <w:adjustRightInd w:val="0"/>
              <w:snapToGrid w:val="0"/>
              <w:spacing w:line="360" w:lineRule="auto"/>
              <w:ind w:firstLine="480" w:firstLineChars="200"/>
              <w:rPr>
                <w:rFonts w:hint="default"/>
                <w:color w:val="auto"/>
                <w:highlight w:val="none"/>
                <w:lang w:val="en-US" w:eastAsia="zh-CN"/>
              </w:rPr>
            </w:pPr>
            <w:r>
              <w:rPr>
                <w:rFonts w:hint="eastAsia" w:cs="Times New Roman"/>
                <w:color w:val="auto"/>
                <w:kern w:val="0"/>
                <w:sz w:val="24"/>
                <w:highlight w:val="none"/>
                <w:lang w:val="en-US" w:eastAsia="zh-CN"/>
              </w:rPr>
              <w:t>本项目属于合成树脂行业，项目废气治理设施采用催活性炭吸附脱附+蓄热催化燃烧一体化装置（RCO）处理废气，非正常工况详见报告废气环境影响分析及防治措施章节。因此本项目符合《关于加快解决当前挥发性有机物治理突出问题的通知》的相关要求。</w:t>
            </w:r>
          </w:p>
          <w:p w14:paraId="45CC7748">
            <w:pPr>
              <w:shd w:val="clear"/>
              <w:autoSpaceDE w:val="0"/>
              <w:autoSpaceDN w:val="0"/>
              <w:adjustRightInd w:val="0"/>
              <w:snapToGrid w:val="0"/>
              <w:spacing w:line="360" w:lineRule="auto"/>
              <w:rPr>
                <w:rFonts w:hint="default" w:ascii="Times New Roman" w:hAnsi="Times New Roman" w:cs="Times New Roman"/>
                <w:color w:val="auto"/>
                <w:kern w:val="0"/>
                <w:sz w:val="24"/>
              </w:rPr>
            </w:pPr>
            <w:r>
              <w:rPr>
                <w:rFonts w:hint="eastAsia" w:cs="Times New Roman"/>
                <w:b/>
                <w:bCs/>
                <w:color w:val="auto"/>
                <w:kern w:val="0"/>
                <w:sz w:val="24"/>
                <w:lang w:val="en-US" w:eastAsia="zh-CN"/>
              </w:rPr>
              <w:t>9</w:t>
            </w:r>
            <w:r>
              <w:rPr>
                <w:rFonts w:hint="default" w:ascii="Times New Roman" w:hAnsi="Times New Roman" w:cs="Times New Roman"/>
                <w:b/>
                <w:bCs/>
                <w:color w:val="auto"/>
                <w:kern w:val="0"/>
                <w:sz w:val="24"/>
              </w:rPr>
              <w:t>.项目选址合理性分析</w:t>
            </w:r>
          </w:p>
          <w:p w14:paraId="43545A9E">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本项目位于阜康产业园阜西区苏通小微创业园，为依法合规设立的产业园区内工业用地。项目选址不涉及生态保护红线、自然保护区、风景名胜区、饮用水水源保护区、永久基本农田等环境敏感区，远离河流和居民区，周边无重点保护野生动植物及文物古迹等人文景观。</w:t>
            </w:r>
          </w:p>
          <w:p w14:paraId="4394351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b/>
                <w:bCs/>
                <w:color w:val="auto"/>
                <w:kern w:val="2"/>
                <w:sz w:val="24"/>
                <w:szCs w:val="24"/>
                <w:shd w:val="clear" w:color="auto" w:fill="auto"/>
                <w:lang w:val="en-US" w:eastAsia="zh-CN" w:bidi="ar-SA"/>
              </w:rPr>
              <w:t>（1）用地来源及权属</w:t>
            </w:r>
          </w:p>
          <w:p w14:paraId="434BCB95">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本项目利用建设单位自有已建成的空置厂房进行建设，用地性质为工业用地，已取得不动产权证书（详见附件</w:t>
            </w:r>
            <w:r>
              <w:rPr>
                <w:rFonts w:hint="eastAsia" w:cs="Times New Roman"/>
                <w:color w:val="auto"/>
                <w:kern w:val="2"/>
                <w:sz w:val="24"/>
                <w:szCs w:val="24"/>
                <w:shd w:val="clear" w:color="auto" w:fill="auto"/>
                <w:lang w:val="en-US" w:eastAsia="zh-CN" w:bidi="ar-SA"/>
              </w:rPr>
              <w:t>3</w:t>
            </w:r>
            <w:r>
              <w:rPr>
                <w:rFonts w:hint="default" w:ascii="Times New Roman" w:hAnsi="Times New Roman" w:eastAsia="宋体" w:cs="Times New Roman"/>
                <w:color w:val="auto"/>
                <w:kern w:val="2"/>
                <w:sz w:val="24"/>
                <w:szCs w:val="24"/>
                <w:shd w:val="clear" w:color="auto" w:fill="auto"/>
                <w:lang w:val="en-US" w:eastAsia="zh-CN" w:bidi="ar-SA"/>
              </w:rPr>
              <w:t>），用地面积3390m²。本项目不新增用地，不涉及土建施工。项目位于阜康产业园阜西区苏通小微创业园内。园区以新型建材产业为主导，集研发孵化、生产加工、商贸交易、物流配送为一体，本项目属于塑料制品业，符合园区产业定位。</w:t>
            </w:r>
          </w:p>
          <w:p w14:paraId="76EB1C88">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（2）与“500”水库及西延干渠的空间关系</w:t>
            </w:r>
          </w:p>
          <w:p w14:paraId="06CB398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根据《甘泉堡工业园区总体规划（2016-2030年）环境影响报告书》，园区生态保护红线划定如下</w:t>
            </w:r>
            <w:r>
              <w:rPr>
                <w:rFonts w:hint="default" w:ascii="Times New Roman" w:hAnsi="Times New Roman" w:eastAsia="宋体" w:cs="Times New Roman"/>
                <w:color w:val="auto"/>
                <w:kern w:val="2"/>
                <w:sz w:val="24"/>
                <w:szCs w:val="24"/>
                <w:shd w:val="clear" w:color="auto" w:fill="auto"/>
                <w:lang w:val="en-US" w:eastAsia="zh-CN" w:bidi="ar-SA"/>
              </w:rPr>
              <w:fldChar w:fldCharType="begin"/>
            </w:r>
            <w:r>
              <w:rPr>
                <w:rFonts w:hint="default" w:ascii="Times New Roman" w:hAnsi="Times New Roman" w:eastAsia="宋体" w:cs="Times New Roman"/>
                <w:color w:val="auto"/>
                <w:kern w:val="2"/>
                <w:sz w:val="24"/>
                <w:szCs w:val="24"/>
                <w:shd w:val="clear" w:color="auto" w:fill="auto"/>
                <w:lang w:val="en-US" w:eastAsia="zh-CN" w:bidi="ar-SA"/>
              </w:rPr>
              <w:instrText xml:space="preserve"> HYPERLINK "https://sthjt.xinjiang.gov.cn/xjepd/sthjt_hjyxpj/202105/f0d805fdaf6b4b5393ed4baa07b8ee0d/files/%E6%96%B0%E7%96%86%E4%B8%AD%E6%B3%B0%E6%96%B0%E9%91%AB%E5%8C%96%E5%B7%A5%E7%A7%91%E6%8A%80%E8%82%A1%E4%BB%BD%E6%9C%89%E9%99%90%E5%85%AC%E5%8F%B8CPVC%E9%A1%B9%E7%9B%AE%E4%BA%A7%E5%93%81%E5%A4%9A%E5%85%83%E5%8C%96%E5%8D%87%E7%BA%A7%E6%8A%80%E6%9C%AF%E6%94%B9%E9%80%A0%E9%A1%B9%E7%9B%AE-%E5%85%AC%E7%A4%BA.pdf" \l "51#47" \t "https://chat.deepseek.com/a/chat/s/_blank" </w:instrText>
            </w:r>
            <w:r>
              <w:rPr>
                <w:rFonts w:hint="default" w:ascii="Times New Roman" w:hAnsi="Times New Roman" w:eastAsia="宋体" w:cs="Times New Roman"/>
                <w:color w:val="auto"/>
                <w:kern w:val="2"/>
                <w:sz w:val="24"/>
                <w:szCs w:val="24"/>
                <w:shd w:val="clear" w:color="auto" w:fill="auto"/>
                <w:lang w:val="en-US" w:eastAsia="zh-CN" w:bidi="ar-SA"/>
              </w:rPr>
              <w:fldChar w:fldCharType="separate"/>
            </w:r>
            <w:r>
              <w:rPr>
                <w:rFonts w:hint="default" w:ascii="Times New Roman" w:hAnsi="Times New Roman" w:eastAsia="宋体" w:cs="Times New Roman"/>
                <w:color w:val="auto"/>
                <w:kern w:val="2"/>
                <w:sz w:val="24"/>
                <w:szCs w:val="24"/>
                <w:shd w:val="clear" w:color="auto" w:fill="auto"/>
                <w:lang w:val="en-US" w:eastAsia="zh-CN" w:bidi="ar-SA"/>
              </w:rPr>
              <w:fldChar w:fldCharType="end"/>
            </w:r>
            <w:r>
              <w:rPr>
                <w:rFonts w:hint="default" w:ascii="Times New Roman" w:hAnsi="Times New Roman" w:eastAsia="宋体" w:cs="Times New Roman"/>
                <w:color w:val="auto"/>
                <w:kern w:val="2"/>
                <w:sz w:val="24"/>
                <w:szCs w:val="24"/>
                <w:shd w:val="clear" w:color="auto" w:fill="auto"/>
                <w:lang w:val="en-US" w:eastAsia="zh-CN" w:bidi="ar-SA"/>
              </w:rPr>
              <w:fldChar w:fldCharType="begin"/>
            </w:r>
            <w:r>
              <w:rPr>
                <w:rFonts w:hint="default" w:ascii="Times New Roman" w:hAnsi="Times New Roman" w:eastAsia="宋体" w:cs="Times New Roman"/>
                <w:color w:val="auto"/>
                <w:kern w:val="2"/>
                <w:sz w:val="24"/>
                <w:szCs w:val="24"/>
                <w:shd w:val="clear" w:color="auto" w:fill="auto"/>
                <w:lang w:val="en-US" w:eastAsia="zh-CN" w:bidi="ar-SA"/>
              </w:rPr>
              <w:instrText xml:space="preserve"> HYPERLINK "https://sthjt.xinjiang.gov.cn/xjepd/hjyxpjsl/202111/18364e98d1bf457684fb2c483513d6c0/files/%e5%a4%9a%e6%99%b6%e7%a1%85%e6%b7%b1%e5%8c%96%e5%86%b7%e6%b0%a2%e5%8c%96%e5%85%b3%e9%94%ae%e7%bb%bf%e8%89%b2%e6%8a%80%e6%9c%af%e4%ba%a7%e4%b8%9a%e5%8c%96%e9%a1%b9%e7%9b%ae(%e9%80%81%e5%ae%a1%e7%a8%bf)-%e5%85%ac%e7%a4%ba%e7%89%88(1).pdf" \l "50#7" \t "https://chat.deepseek.com/a/chat/s/_blank" </w:instrText>
            </w:r>
            <w:r>
              <w:rPr>
                <w:rFonts w:hint="default" w:ascii="Times New Roman" w:hAnsi="Times New Roman" w:eastAsia="宋体" w:cs="Times New Roman"/>
                <w:color w:val="auto"/>
                <w:kern w:val="2"/>
                <w:sz w:val="24"/>
                <w:szCs w:val="24"/>
                <w:shd w:val="clear" w:color="auto" w:fill="auto"/>
                <w:lang w:val="en-US" w:eastAsia="zh-CN" w:bidi="ar-SA"/>
              </w:rPr>
              <w:fldChar w:fldCharType="separate"/>
            </w:r>
            <w:r>
              <w:rPr>
                <w:rFonts w:hint="default" w:ascii="Times New Roman" w:hAnsi="Times New Roman" w:eastAsia="宋体" w:cs="Times New Roman"/>
                <w:color w:val="auto"/>
                <w:kern w:val="2"/>
                <w:sz w:val="24"/>
                <w:szCs w:val="24"/>
                <w:shd w:val="clear" w:color="auto" w:fill="auto"/>
                <w:lang w:val="en-US" w:eastAsia="zh-CN" w:bidi="ar-SA"/>
              </w:rPr>
              <w:fldChar w:fldCharType="end"/>
            </w:r>
            <w:r>
              <w:rPr>
                <w:rFonts w:hint="default" w:ascii="Times New Roman" w:hAnsi="Times New Roman" w:eastAsia="宋体" w:cs="Times New Roman"/>
                <w:color w:val="auto"/>
                <w:kern w:val="2"/>
                <w:sz w:val="24"/>
                <w:szCs w:val="24"/>
                <w:shd w:val="clear" w:color="auto" w:fill="auto"/>
                <w:lang w:val="en-US" w:eastAsia="zh-CN" w:bidi="ar-SA"/>
              </w:rPr>
              <w:t>：</w:t>
            </w:r>
          </w:p>
          <w:p w14:paraId="7D54C4E2">
            <w:pPr>
              <w:pStyle w:val="2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“500”水库是乌鲁木齐市集中式饮用水水源地，将距离“500”水库坝沿外延1500米范围划定为生态保护红线（禁止开发区保护红线）</w:t>
            </w:r>
            <w:r>
              <w:rPr>
                <w:rFonts w:hint="default" w:ascii="Times New Roman" w:hAnsi="Times New Roman" w:eastAsia="宋体" w:cs="Times New Roman"/>
                <w:color w:val="auto"/>
                <w:kern w:val="2"/>
                <w:sz w:val="24"/>
                <w:szCs w:val="24"/>
                <w:shd w:val="clear" w:color="auto" w:fill="auto"/>
                <w:lang w:val="en-US" w:eastAsia="zh-CN" w:bidi="ar-SA"/>
              </w:rPr>
              <w:fldChar w:fldCharType="begin"/>
            </w:r>
            <w:r>
              <w:rPr>
                <w:rFonts w:hint="default" w:ascii="Times New Roman" w:hAnsi="Times New Roman" w:eastAsia="宋体" w:cs="Times New Roman"/>
                <w:color w:val="auto"/>
                <w:kern w:val="2"/>
                <w:sz w:val="24"/>
                <w:szCs w:val="24"/>
                <w:shd w:val="clear" w:color="auto" w:fill="auto"/>
                <w:lang w:val="en-US" w:eastAsia="zh-CN" w:bidi="ar-SA"/>
              </w:rPr>
              <w:instrText xml:space="preserve"> HYPERLINK "https://sthjt.xinjiang.gov.cn/xjepd/sthjt_hjyxpj/202105/f0d805fdaf6b4b5393ed4baa07b8ee0d/files/%E6%96%B0%E7%96%86%E4%B8%AD%E6%B3%B0%E6%96%B0%E9%91%AB%E5%8C%96%E5%B7%A5%E7%A7%91%E6%8A%80%E8%82%A1%E4%BB%BD%E6%9C%89%E9%99%90%E5%85%AC%E5%8F%B8CPVC%E9%A1%B9%E7%9B%AE%E4%BA%A7%E5%93%81%E5%A4%9A%E5%85%83%E5%8C%96%E5%8D%87%E7%BA%A7%E6%8A%80%E6%9C%AF%E6%94%B9%E9%80%A0%E9%A1%B9%E7%9B%AE-%E5%85%AC%E7%A4%BA.pdf" \l "51#47" \t "https://chat.deepseek.com/a/chat/s/_blank" </w:instrText>
            </w:r>
            <w:r>
              <w:rPr>
                <w:rFonts w:hint="default" w:ascii="Times New Roman" w:hAnsi="Times New Roman" w:eastAsia="宋体" w:cs="Times New Roman"/>
                <w:color w:val="auto"/>
                <w:kern w:val="2"/>
                <w:sz w:val="24"/>
                <w:szCs w:val="24"/>
                <w:shd w:val="clear" w:color="auto" w:fill="auto"/>
                <w:lang w:val="en-US" w:eastAsia="zh-CN" w:bidi="ar-SA"/>
              </w:rPr>
              <w:fldChar w:fldCharType="separate"/>
            </w:r>
            <w:r>
              <w:rPr>
                <w:rFonts w:hint="default" w:ascii="Times New Roman" w:hAnsi="Times New Roman" w:eastAsia="宋体" w:cs="Times New Roman"/>
                <w:color w:val="auto"/>
                <w:kern w:val="2"/>
                <w:sz w:val="24"/>
                <w:szCs w:val="24"/>
                <w:shd w:val="clear" w:color="auto" w:fill="auto"/>
                <w:lang w:val="en-US" w:eastAsia="zh-CN" w:bidi="ar-SA"/>
              </w:rPr>
              <w:fldChar w:fldCharType="end"/>
            </w:r>
            <w:r>
              <w:rPr>
                <w:rFonts w:hint="default" w:ascii="Times New Roman" w:hAnsi="Times New Roman" w:eastAsia="宋体" w:cs="Times New Roman"/>
                <w:color w:val="auto"/>
                <w:kern w:val="2"/>
                <w:sz w:val="24"/>
                <w:szCs w:val="24"/>
                <w:shd w:val="clear" w:color="auto" w:fill="auto"/>
                <w:lang w:val="en-US" w:eastAsia="zh-CN" w:bidi="ar-SA"/>
              </w:rPr>
              <w:t>；</w:t>
            </w:r>
          </w:p>
          <w:p w14:paraId="0581F16D">
            <w:pPr>
              <w:pStyle w:val="2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西延干渠作为“500”水库排水工程的一部分，将西延干渠两侧250米范围划定为生态保护红线</w:t>
            </w:r>
            <w:r>
              <w:rPr>
                <w:rFonts w:hint="default" w:ascii="Times New Roman" w:hAnsi="Times New Roman" w:eastAsia="宋体" w:cs="Times New Roman"/>
                <w:color w:val="auto"/>
                <w:kern w:val="2"/>
                <w:sz w:val="24"/>
                <w:szCs w:val="24"/>
                <w:shd w:val="clear" w:color="auto" w:fill="auto"/>
                <w:lang w:val="en-US" w:eastAsia="zh-CN" w:bidi="ar-SA"/>
              </w:rPr>
              <w:fldChar w:fldCharType="begin"/>
            </w:r>
            <w:r>
              <w:rPr>
                <w:rFonts w:hint="default" w:ascii="Times New Roman" w:hAnsi="Times New Roman" w:eastAsia="宋体" w:cs="Times New Roman"/>
                <w:color w:val="auto"/>
                <w:kern w:val="2"/>
                <w:sz w:val="24"/>
                <w:szCs w:val="24"/>
                <w:shd w:val="clear" w:color="auto" w:fill="auto"/>
                <w:lang w:val="en-US" w:eastAsia="zh-CN" w:bidi="ar-SA"/>
              </w:rPr>
              <w:instrText xml:space="preserve"> HYPERLINK "https://sthjt.xinjiang.gov.cn/xjepd/sthjt_hjyxpj/202105/f0d805fdaf6b4b5393ed4baa07b8ee0d/files/%E6%96%B0%E7%96%86%E4%B8%AD%E6%B3%B0%E6%96%B0%E9%91%AB%E5%8C%96%E5%B7%A5%E7%A7%91%E6%8A%80%E8%82%A1%E4%BB%BD%E6%9C%89%E9%99%90%E5%85%AC%E5%8F%B8CPVC%E9%A1%B9%E7%9B%AE%E4%BA%A7%E5%93%81%E5%A4%9A%E5%85%83%E5%8C%96%E5%8D%87%E7%BA%A7%E6%8A%80%E6%9C%AF%E6%94%B9%E9%80%A0%E9%A1%B9%E7%9B%AE-%E5%85%AC%E7%A4%BA.pdf" \l "51#47" \t "https://chat.deepseek.com/a/chat/s/_blank" </w:instrText>
            </w:r>
            <w:r>
              <w:rPr>
                <w:rFonts w:hint="default" w:ascii="Times New Roman" w:hAnsi="Times New Roman" w:eastAsia="宋体" w:cs="Times New Roman"/>
                <w:color w:val="auto"/>
                <w:kern w:val="2"/>
                <w:sz w:val="24"/>
                <w:szCs w:val="24"/>
                <w:shd w:val="clear" w:color="auto" w:fill="auto"/>
                <w:lang w:val="en-US" w:eastAsia="zh-CN" w:bidi="ar-SA"/>
              </w:rPr>
              <w:fldChar w:fldCharType="separate"/>
            </w:r>
            <w:r>
              <w:rPr>
                <w:rFonts w:hint="default" w:ascii="Times New Roman" w:hAnsi="Times New Roman" w:eastAsia="宋体" w:cs="Times New Roman"/>
                <w:color w:val="auto"/>
                <w:kern w:val="2"/>
                <w:sz w:val="24"/>
                <w:szCs w:val="24"/>
                <w:shd w:val="clear" w:color="auto" w:fill="auto"/>
                <w:lang w:val="en-US" w:eastAsia="zh-CN" w:bidi="ar-SA"/>
              </w:rPr>
              <w:fldChar w:fldCharType="end"/>
            </w:r>
            <w:r>
              <w:rPr>
                <w:rFonts w:hint="default" w:ascii="Times New Roman" w:hAnsi="Times New Roman" w:eastAsia="宋体" w:cs="Times New Roman"/>
                <w:color w:val="auto"/>
                <w:kern w:val="2"/>
                <w:sz w:val="24"/>
                <w:szCs w:val="24"/>
                <w:shd w:val="clear" w:color="auto" w:fill="auto"/>
                <w:lang w:val="en-US" w:eastAsia="zh-CN" w:bidi="ar-SA"/>
              </w:rPr>
              <w:t>。</w:t>
            </w:r>
          </w:p>
          <w:p w14:paraId="5D5F59DA">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本项目位于甘泉堡工业园小微企业创新区（苏通小微创业园），项目区北侧距“500”水库直线距离约</w:t>
            </w:r>
            <w:r>
              <w:rPr>
                <w:rFonts w:hint="eastAsia" w:cs="Times New Roman"/>
                <w:color w:val="auto"/>
                <w:kern w:val="2"/>
                <w:sz w:val="24"/>
                <w:szCs w:val="24"/>
                <w:shd w:val="clear" w:color="auto" w:fill="auto"/>
                <w:lang w:val="en-US" w:eastAsia="zh-CN" w:bidi="ar-SA"/>
              </w:rPr>
              <w:t>6.6</w:t>
            </w:r>
            <w:r>
              <w:rPr>
                <w:rFonts w:hint="default" w:ascii="Times New Roman" w:hAnsi="Times New Roman" w:eastAsia="宋体" w:cs="Times New Roman"/>
                <w:color w:val="auto"/>
                <w:kern w:val="2"/>
                <w:sz w:val="24"/>
                <w:szCs w:val="24"/>
                <w:shd w:val="clear" w:color="auto" w:fill="auto"/>
                <w:lang w:val="en-US" w:eastAsia="zh-CN" w:bidi="ar-SA"/>
              </w:rPr>
              <w:t>km，大于1500米的生态保护红线管控距离，不在“500”水库生态保护红线范围内。项目区与西延干渠的距离大于250米，不在西延干渠生态保护红线范围内</w:t>
            </w:r>
            <w:r>
              <w:rPr>
                <w:rFonts w:hint="default" w:ascii="Times New Roman" w:hAnsi="Times New Roman" w:eastAsia="宋体" w:cs="Times New Roman"/>
                <w:color w:val="auto"/>
                <w:kern w:val="2"/>
                <w:sz w:val="24"/>
                <w:szCs w:val="24"/>
                <w:shd w:val="clear" w:color="auto" w:fill="auto"/>
                <w:lang w:val="en-US" w:eastAsia="zh-CN" w:bidi="ar-SA"/>
              </w:rPr>
              <w:fldChar w:fldCharType="begin"/>
            </w:r>
            <w:r>
              <w:rPr>
                <w:rFonts w:hint="default" w:ascii="Times New Roman" w:hAnsi="Times New Roman" w:eastAsia="宋体" w:cs="Times New Roman"/>
                <w:color w:val="auto"/>
                <w:kern w:val="2"/>
                <w:sz w:val="24"/>
                <w:szCs w:val="24"/>
                <w:shd w:val="clear" w:color="auto" w:fill="auto"/>
                <w:lang w:val="en-US" w:eastAsia="zh-CN" w:bidi="ar-SA"/>
              </w:rPr>
              <w:instrText xml:space="preserve"> HYPERLINK "https://sthjt.xinjiang.gov.cn/xjepd/hjyxpjsl/201604/9f5bb5c178604390b091722df400d7e4/files/(%E5%85%AC%E7%A4%BA%EF%BC%89%E4%BC%8A%E6%B3%B0%E6%96%B0%E7%96%86%E8%83%BD%E6%BA%90%E6%9C%89%E9%99%90%E5%85%AC%E5%8F%B8%E4%BC%8A%E6%B3%B0%E7%94%98%E6%B3%89%E5%A0%A1200%E4%B8%87%E5%90%A8%E5%B9%B4%E7%85%A4%E5%88%B6%E6%B2%B9%E7%A4%BA%E8%8C%83%E9%A1%B9%E7%9B%AE...(4).pdf" \l "28#9" \t "https://chat.deepseek.com/a/chat/s/_blank" </w:instrText>
            </w:r>
            <w:r>
              <w:rPr>
                <w:rFonts w:hint="default" w:ascii="Times New Roman" w:hAnsi="Times New Roman" w:eastAsia="宋体" w:cs="Times New Roman"/>
                <w:color w:val="auto"/>
                <w:kern w:val="2"/>
                <w:sz w:val="24"/>
                <w:szCs w:val="24"/>
                <w:shd w:val="clear" w:color="auto" w:fill="auto"/>
                <w:lang w:val="en-US" w:eastAsia="zh-CN" w:bidi="ar-SA"/>
              </w:rPr>
              <w:fldChar w:fldCharType="separate"/>
            </w:r>
            <w:r>
              <w:rPr>
                <w:rFonts w:hint="default" w:ascii="Times New Roman" w:hAnsi="Times New Roman" w:eastAsia="宋体" w:cs="Times New Roman"/>
                <w:color w:val="auto"/>
                <w:kern w:val="2"/>
                <w:sz w:val="24"/>
                <w:szCs w:val="24"/>
                <w:shd w:val="clear" w:color="auto" w:fill="auto"/>
                <w:lang w:val="en-US" w:eastAsia="zh-CN" w:bidi="ar-SA"/>
              </w:rPr>
              <w:fldChar w:fldCharType="end"/>
            </w:r>
            <w:r>
              <w:rPr>
                <w:rFonts w:hint="default" w:ascii="Times New Roman" w:hAnsi="Times New Roman" w:eastAsia="宋体" w:cs="Times New Roman"/>
                <w:color w:val="auto"/>
                <w:kern w:val="2"/>
                <w:sz w:val="24"/>
                <w:szCs w:val="24"/>
                <w:shd w:val="clear" w:color="auto" w:fill="auto"/>
                <w:lang w:val="en-US" w:eastAsia="zh-CN" w:bidi="ar-SA"/>
              </w:rPr>
              <w:t>。</w:t>
            </w:r>
          </w:p>
          <w:p w14:paraId="5CD81AAC">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（3）对周边水环境的影响分析</w:t>
            </w:r>
          </w:p>
          <w:p w14:paraId="60F6924E">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本项目冷却水循环使用不外排，生活污水经园区污水管网排入阜康市西部城区污水处理厂集中处理，与“500”水库及西延干渠无直接水力联系，不会对“500”水库及周边地表水体产生影响。</w:t>
            </w:r>
          </w:p>
          <w:p w14:paraId="7FD40B04">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（4）基础设施及公辅条件</w:t>
            </w:r>
          </w:p>
          <w:p w14:paraId="636E9C6A">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项目所在区域交通便利（紧邻阜德路、阜溪路，邻近216国道和吐乌大高等级公路），供水、排水、供电等公共设施完善，可满足本项目建设需求。项目运营期产生的废气、废水、噪声及固废在采取相应的污染防治措施后，均能实现达标排放或妥善处置，对周边环境影响可接受。</w:t>
            </w:r>
          </w:p>
          <w:p w14:paraId="2A41327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shd w:val="clear" w:color="auto" w:fill="auto"/>
                <w:lang w:val="en-US" w:eastAsia="zh-CN" w:bidi="ar-SA"/>
              </w:rPr>
            </w:pPr>
            <w:r>
              <w:rPr>
                <w:rFonts w:hint="default" w:ascii="Times New Roman" w:hAnsi="Times New Roman" w:eastAsia="宋体" w:cs="Times New Roman"/>
                <w:color w:val="auto"/>
                <w:kern w:val="2"/>
                <w:sz w:val="24"/>
                <w:szCs w:val="24"/>
                <w:shd w:val="clear" w:color="auto" w:fill="auto"/>
                <w:lang w:val="en-US" w:eastAsia="zh-CN" w:bidi="ar-SA"/>
              </w:rPr>
              <w:t>综上，从环保角度分析，本项目选址合理可行。</w:t>
            </w:r>
          </w:p>
          <w:p w14:paraId="053102BD">
            <w:pPr>
              <w:pStyle w:val="69"/>
              <w:shd w:val="clear"/>
              <w:spacing w:line="360" w:lineRule="auto"/>
              <w:rPr>
                <w:rFonts w:hint="default" w:ascii="Times New Roman" w:hAnsi="Times New Roman" w:cs="Times New Roman"/>
                <w:color w:val="auto"/>
                <w:sz w:val="24"/>
                <w:szCs w:val="20"/>
              </w:rPr>
            </w:pPr>
            <w:r>
              <w:rPr>
                <w:rFonts w:hint="eastAsia" w:cs="Times New Roman"/>
                <w:color w:val="auto"/>
                <w:sz w:val="24"/>
                <w:szCs w:val="20"/>
                <w:lang w:val="en-US" w:eastAsia="zh-CN"/>
              </w:rPr>
              <w:t>10</w:t>
            </w:r>
            <w:r>
              <w:rPr>
                <w:rFonts w:hint="default" w:ascii="Times New Roman" w:hAnsi="Times New Roman" w:cs="Times New Roman"/>
                <w:color w:val="auto"/>
                <w:sz w:val="24"/>
                <w:szCs w:val="20"/>
              </w:rPr>
              <w:t>.与国务院关于加快建立健全绿色低碳循环发展经济体系的指导意见（国发〔2021〕4号）相符性分析</w:t>
            </w:r>
          </w:p>
          <w:p w14:paraId="64E21857">
            <w:pPr>
              <w:pStyle w:val="68"/>
              <w:shd w:val="clear"/>
              <w:spacing w:line="360" w:lineRule="auto"/>
              <w:ind w:firstLine="480" w:firstLineChars="200"/>
              <w:jc w:val="both"/>
              <w:rPr>
                <w:rFonts w:hint="default" w:ascii="Times New Roman" w:hAnsi="Times New Roman" w:eastAsia="宋体" w:cs="Times New Roman"/>
                <w:color w:val="auto"/>
                <w:kern w:val="2"/>
                <w:sz w:val="24"/>
                <w:szCs w:val="24"/>
                <w:shd w:val="clear" w:color="auto" w:fill="auto"/>
              </w:rPr>
            </w:pPr>
            <w:r>
              <w:rPr>
                <w:rFonts w:hint="default" w:ascii="Times New Roman" w:hAnsi="Times New Roman" w:eastAsia="宋体" w:cs="Times New Roman"/>
                <w:color w:val="auto"/>
                <w:kern w:val="2"/>
                <w:sz w:val="24"/>
                <w:szCs w:val="24"/>
              </w:rPr>
              <w:t>意见中指出“</w:t>
            </w:r>
            <w:r>
              <w:rPr>
                <w:rFonts w:hint="default" w:ascii="Times New Roman" w:hAnsi="Times New Roman" w:eastAsia="宋体" w:cs="Times New Roman"/>
                <w:color w:val="auto"/>
                <w:kern w:val="2"/>
                <w:sz w:val="24"/>
                <w:szCs w:val="24"/>
                <w:shd w:val="clear" w:color="auto" w:fill="auto"/>
              </w:rPr>
              <w:t>加快构建废旧物资循环利用体系，加强废纸、废塑料、废旧轮胎、废金属、废玻璃等再生资源回收利用，提升资源产出率和回收利用率。”</w:t>
            </w:r>
          </w:p>
          <w:p w14:paraId="4D0F1E5B">
            <w:pPr>
              <w:pStyle w:val="68"/>
              <w:shd w:val="clear"/>
              <w:spacing w:line="360" w:lineRule="auto"/>
              <w:ind w:firstLine="480" w:firstLineChars="200"/>
              <w:rPr>
                <w:rFonts w:hint="eastAsia" w:ascii="Times New Roman" w:hAnsi="Times New Roman" w:eastAsia="宋体" w:cs="Times New Roman"/>
                <w:b w:val="0"/>
                <w:bCs w:val="0"/>
                <w:color w:val="auto"/>
                <w:kern w:val="0"/>
                <w:szCs w:val="21"/>
                <w:lang w:val="en-US" w:eastAsia="zh-CN"/>
              </w:rPr>
            </w:pPr>
            <w:r>
              <w:rPr>
                <w:rFonts w:hint="default" w:ascii="Times New Roman" w:hAnsi="Times New Roman" w:eastAsia="宋体" w:cs="Times New Roman"/>
                <w:color w:val="auto"/>
                <w:kern w:val="2"/>
                <w:sz w:val="24"/>
                <w:szCs w:val="24"/>
                <w:shd w:val="clear" w:color="auto" w:fill="auto"/>
              </w:rPr>
              <w:t>本项目为废旧塑料造粒项目，符合意见中加强废纸、废塑料、废旧轮胎、废金属、废玻璃等再生资源回收利用等相关要求。</w:t>
            </w:r>
          </w:p>
          <w:p w14:paraId="1594747B">
            <w:pPr>
              <w:shd w:val="clear"/>
              <w:autoSpaceDE w:val="0"/>
              <w:autoSpaceDN w:val="0"/>
              <w:adjustRightInd w:val="0"/>
              <w:snapToGrid w:val="0"/>
              <w:spacing w:line="360" w:lineRule="auto"/>
              <w:rPr>
                <w:rFonts w:hint="default" w:ascii="Times New Roman" w:hAnsi="Times New Roman" w:cs="Times New Roman"/>
                <w:b/>
                <w:bCs/>
                <w:color w:val="auto"/>
                <w:kern w:val="0"/>
                <w:szCs w:val="21"/>
              </w:rPr>
            </w:pPr>
          </w:p>
          <w:p w14:paraId="01833D4B">
            <w:pPr>
              <w:pStyle w:val="9"/>
              <w:shd w:val="clear"/>
              <w:rPr>
                <w:rFonts w:hint="default" w:ascii="Times New Roman" w:hAnsi="Times New Roman" w:cs="Times New Roman"/>
                <w:b/>
                <w:bCs/>
                <w:color w:val="auto"/>
                <w:kern w:val="0"/>
                <w:szCs w:val="21"/>
              </w:rPr>
            </w:pPr>
          </w:p>
          <w:p w14:paraId="3759CE9B">
            <w:pPr>
              <w:shd w:val="clear"/>
              <w:rPr>
                <w:rFonts w:hint="default" w:ascii="Times New Roman" w:hAnsi="Times New Roman" w:cs="Times New Roman"/>
                <w:b/>
                <w:bCs/>
                <w:color w:val="auto"/>
                <w:kern w:val="0"/>
                <w:szCs w:val="21"/>
              </w:rPr>
            </w:pPr>
          </w:p>
          <w:p w14:paraId="32D9838F">
            <w:pPr>
              <w:shd w:val="clear"/>
              <w:rPr>
                <w:rFonts w:hint="default" w:ascii="Times New Roman" w:hAnsi="Times New Roman" w:cs="Times New Roman"/>
                <w:b/>
                <w:bCs/>
                <w:color w:val="auto"/>
                <w:kern w:val="0"/>
                <w:szCs w:val="21"/>
              </w:rPr>
            </w:pPr>
          </w:p>
          <w:p w14:paraId="337D89CF">
            <w:pPr>
              <w:pStyle w:val="2"/>
              <w:rPr>
                <w:rFonts w:hint="default"/>
                <w:color w:val="auto"/>
              </w:rPr>
            </w:pPr>
          </w:p>
          <w:p w14:paraId="436A4E99">
            <w:pPr>
              <w:shd w:val="clear"/>
              <w:rPr>
                <w:rFonts w:hint="default" w:ascii="Times New Roman" w:hAnsi="Times New Roman" w:cs="Times New Roman"/>
                <w:b/>
                <w:bCs/>
                <w:color w:val="auto"/>
                <w:kern w:val="0"/>
                <w:szCs w:val="21"/>
              </w:rPr>
            </w:pPr>
          </w:p>
          <w:p w14:paraId="2F74C923">
            <w:pPr>
              <w:shd w:val="clear"/>
              <w:rPr>
                <w:rFonts w:hint="default" w:ascii="Times New Roman" w:hAnsi="Times New Roman" w:cs="Times New Roman"/>
                <w:b/>
                <w:bCs/>
                <w:color w:val="auto"/>
                <w:kern w:val="0"/>
                <w:szCs w:val="21"/>
              </w:rPr>
            </w:pPr>
          </w:p>
          <w:p w14:paraId="045A47A3">
            <w:pPr>
              <w:shd w:val="clear"/>
              <w:rPr>
                <w:rFonts w:hint="default" w:ascii="Times New Roman" w:hAnsi="Times New Roman" w:cs="Times New Roman"/>
                <w:b/>
                <w:bCs/>
                <w:color w:val="auto"/>
                <w:kern w:val="0"/>
                <w:szCs w:val="21"/>
              </w:rPr>
            </w:pPr>
          </w:p>
          <w:p w14:paraId="40BDA62D">
            <w:pPr>
              <w:shd w:val="clear"/>
              <w:rPr>
                <w:rStyle w:val="32"/>
                <w:rFonts w:hint="default" w:ascii="Times New Roman" w:hAnsi="Times New Roman" w:cs="Times New Roman"/>
                <w:color w:val="auto"/>
              </w:rPr>
            </w:pPr>
          </w:p>
        </w:tc>
      </w:tr>
    </w:tbl>
    <w:p w14:paraId="2A3D52E4">
      <w:pPr>
        <w:pageBreakBefore w:val="0"/>
        <w:widowControl/>
        <w:shd w:val="clear"/>
        <w:kinsoku/>
        <w:topLinePunct w:val="0"/>
        <w:bidi w:val="0"/>
        <w:spacing w:beforeAutospacing="0" w:afterAutospacing="0"/>
        <w:ind w:left="0" w:leftChars="0" w:right="0" w:rightChars="0"/>
        <w:jc w:val="left"/>
        <w:rPr>
          <w:rFonts w:hint="default" w:ascii="Times New Roman" w:hAnsi="Times New Roman" w:eastAsia="黑体" w:cs="Times New Roman"/>
          <w:bCs/>
          <w:color w:val="auto"/>
          <w:kern w:val="44"/>
          <w:sz w:val="28"/>
          <w:szCs w:val="44"/>
        </w:rPr>
      </w:pPr>
      <w:r>
        <w:rPr>
          <w:rFonts w:hint="default" w:ascii="Times New Roman" w:hAnsi="Times New Roman" w:cs="Times New Roman"/>
          <w:color w:val="auto"/>
        </w:rPr>
        <w:br w:type="page"/>
      </w:r>
    </w:p>
    <w:p w14:paraId="5F3493E2">
      <w:pPr>
        <w:pStyle w:val="6"/>
        <w:pageBreakBefore w:val="0"/>
        <w:numPr>
          <w:ilvl w:val="0"/>
          <w:numId w:val="0"/>
        </w:numPr>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color w:val="auto"/>
        </w:rPr>
      </w:pPr>
      <w:bookmarkStart w:id="1" w:name="_Toc109993627"/>
      <w:r>
        <w:rPr>
          <w:rFonts w:hint="eastAsia" w:ascii="Times New Roman" w:hAnsi="Times New Roman" w:eastAsia="黑体" w:cs="Times New Roman"/>
          <w:bCs/>
          <w:color w:val="auto"/>
          <w:kern w:val="44"/>
          <w:sz w:val="28"/>
          <w:szCs w:val="44"/>
          <w:lang w:val="en-US" w:eastAsia="zh-CN" w:bidi="ar-SA"/>
        </w:rPr>
        <w:t>二、</w:t>
      </w:r>
      <w:r>
        <w:rPr>
          <w:rFonts w:hint="default" w:ascii="Times New Roman" w:hAnsi="Times New Roman" w:cs="Times New Roman"/>
          <w:color w:val="auto"/>
        </w:rPr>
        <w:t>建设项目工程分析</w:t>
      </w:r>
      <w:bookmarkEnd w:id="1"/>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4"/>
        <w:gridCol w:w="7592"/>
      </w:tblGrid>
      <w:tr w14:paraId="4AAE3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704" w:type="dxa"/>
            <w:tcBorders>
              <w:tl2br w:val="nil"/>
              <w:tr2bl w:val="nil"/>
            </w:tcBorders>
            <w:shd w:val="clear" w:color="auto" w:fill="auto"/>
            <w:vAlign w:val="center"/>
          </w:tcPr>
          <w:p w14:paraId="71BAEB26">
            <w:pPr>
              <w:pStyle w:val="35"/>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r>
              <w:rPr>
                <w:rFonts w:hint="default" w:ascii="Times New Roman" w:hAnsi="Times New Roman" w:cs="Times New Roman"/>
                <w:color w:val="auto"/>
              </w:rPr>
              <w:t>建设内容</w:t>
            </w:r>
          </w:p>
        </w:tc>
        <w:tc>
          <w:tcPr>
            <w:tcW w:w="7592" w:type="dxa"/>
            <w:tcBorders>
              <w:tl2br w:val="nil"/>
              <w:tr2bl w:val="nil"/>
            </w:tcBorders>
            <w:shd w:val="clear" w:color="auto" w:fill="auto"/>
          </w:tcPr>
          <w:p w14:paraId="379ECE16">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Times New Roman" w:hAnsi="Times New Roman" w:eastAsia="宋体" w:cs="Times New Roman"/>
                <w:b/>
                <w:bCs/>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
                <w:bCs/>
                <w:i w:val="0"/>
                <w:iCs w:val="0"/>
                <w:caps w:val="0"/>
                <w:color w:val="auto"/>
                <w:spacing w:val="0"/>
                <w:kern w:val="0"/>
                <w:sz w:val="24"/>
                <w:szCs w:val="24"/>
                <w:shd w:val="clear" w:fill="FFFFFF"/>
                <w:lang w:val="en-US" w:eastAsia="zh-CN" w:bidi="ar-SA"/>
              </w:rPr>
              <w:t>1</w:t>
            </w:r>
            <w:r>
              <w:rPr>
                <w:rFonts w:hint="default" w:ascii="Times New Roman" w:hAnsi="Times New Roman" w:cs="Times New Roman"/>
                <w:b/>
                <w:bCs/>
                <w:i w:val="0"/>
                <w:iCs w:val="0"/>
                <w:caps w:val="0"/>
                <w:color w:val="auto"/>
                <w:spacing w:val="0"/>
                <w:kern w:val="0"/>
                <w:sz w:val="24"/>
                <w:szCs w:val="24"/>
                <w:shd w:val="clear" w:fill="FFFFFF"/>
                <w:lang w:val="en-US" w:eastAsia="zh-CN" w:bidi="ar-SA"/>
              </w:rPr>
              <w:t>.</w:t>
            </w:r>
            <w:r>
              <w:rPr>
                <w:rFonts w:hint="default" w:ascii="Times New Roman" w:hAnsi="Times New Roman" w:eastAsia="宋体" w:cs="Times New Roman"/>
                <w:b/>
                <w:bCs/>
                <w:i w:val="0"/>
                <w:iCs w:val="0"/>
                <w:caps w:val="0"/>
                <w:color w:val="auto"/>
                <w:spacing w:val="0"/>
                <w:kern w:val="0"/>
                <w:sz w:val="24"/>
                <w:szCs w:val="24"/>
                <w:shd w:val="clear" w:fill="FFFFFF"/>
                <w:lang w:val="en-US" w:eastAsia="zh-CN" w:bidi="ar-SA"/>
              </w:rPr>
              <w:t>项目基本情况</w:t>
            </w:r>
          </w:p>
          <w:p w14:paraId="0D398EE5">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i w:val="0"/>
                <w:iCs w:val="0"/>
                <w:caps w:val="0"/>
                <w:color w:val="auto"/>
                <w:spacing w:val="0"/>
                <w:kern w:val="0"/>
                <w:sz w:val="24"/>
                <w:szCs w:val="24"/>
                <w:shd w:val="clear" w:fill="FFFFFF"/>
                <w:lang w:val="en-US" w:eastAsia="zh-CN" w:bidi="ar-SA"/>
              </w:rPr>
              <w:t>项目名</w:t>
            </w:r>
            <w:r>
              <w:rPr>
                <w:rFonts w:hint="default" w:ascii="Times New Roman" w:hAnsi="Times New Roman" w:eastAsia="宋体" w:cs="Times New Roman"/>
                <w:b/>
                <w:bCs/>
                <w:i w:val="0"/>
                <w:iCs w:val="0"/>
                <w:caps w:val="0"/>
                <w:color w:val="auto"/>
                <w:spacing w:val="0"/>
                <w:sz w:val="24"/>
                <w:szCs w:val="24"/>
                <w:shd w:val="clear" w:fill="FFFFFF"/>
              </w:rPr>
              <w:t>称：</w:t>
            </w:r>
            <w:r>
              <w:rPr>
                <w:rFonts w:hint="default" w:ascii="Times New Roman" w:hAnsi="Times New Roman" w:eastAsia="宋体" w:cs="Times New Roman"/>
                <w:i w:val="0"/>
                <w:iCs w:val="0"/>
                <w:caps w:val="0"/>
                <w:color w:val="auto"/>
                <w:spacing w:val="0"/>
                <w:sz w:val="24"/>
                <w:szCs w:val="24"/>
                <w:shd w:val="clear" w:fill="FFFFFF"/>
              </w:rPr>
              <w:t>新疆鑫三环家居装饰材料制造有限公司建设年产40万卷家用封边条项目</w:t>
            </w:r>
          </w:p>
          <w:p w14:paraId="54EA977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i w:val="0"/>
                <w:iCs w:val="0"/>
                <w:caps w:val="0"/>
                <w:color w:val="auto"/>
                <w:spacing w:val="0"/>
                <w:sz w:val="24"/>
                <w:szCs w:val="24"/>
                <w:shd w:val="clear" w:fill="FFFFFF"/>
              </w:rPr>
              <w:t>项目代码：</w:t>
            </w:r>
            <w:r>
              <w:rPr>
                <w:rFonts w:hint="default" w:ascii="Times New Roman" w:hAnsi="Times New Roman" w:eastAsia="宋体" w:cs="Times New Roman"/>
                <w:i w:val="0"/>
                <w:iCs w:val="0"/>
                <w:caps w:val="0"/>
                <w:color w:val="auto"/>
                <w:spacing w:val="0"/>
                <w:sz w:val="24"/>
                <w:szCs w:val="24"/>
                <w:shd w:val="clear" w:fill="FFFFFF"/>
              </w:rPr>
              <w:t>2604-652302-04-01-299581</w:t>
            </w:r>
          </w:p>
          <w:p w14:paraId="3D0F3F1E">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rPr>
            </w:pPr>
            <w:r>
              <w:rPr>
                <w:rFonts w:hint="default" w:ascii="Times New Roman" w:hAnsi="Times New Roman" w:eastAsia="宋体" w:cs="Times New Roman"/>
                <w:b/>
                <w:bCs/>
                <w:i w:val="0"/>
                <w:iCs w:val="0"/>
                <w:caps w:val="0"/>
                <w:color w:val="auto"/>
                <w:spacing w:val="0"/>
                <w:sz w:val="24"/>
                <w:szCs w:val="24"/>
                <w:shd w:val="clear" w:fill="FFFFFF"/>
              </w:rPr>
              <w:t>建设地点：</w:t>
            </w:r>
            <w:r>
              <w:rPr>
                <w:rFonts w:hint="default" w:ascii="Times New Roman" w:hAnsi="Times New Roman" w:eastAsia="宋体" w:cs="Times New Roman"/>
                <w:i w:val="0"/>
                <w:iCs w:val="0"/>
                <w:caps w:val="0"/>
                <w:color w:val="auto"/>
                <w:spacing w:val="0"/>
                <w:sz w:val="24"/>
                <w:szCs w:val="24"/>
                <w:shd w:val="clear" w:fill="FFFFFF"/>
              </w:rPr>
              <w:t>新昌吉州阜康产业园阜西区苏通小微创业园、</w:t>
            </w:r>
            <w:r>
              <w:rPr>
                <w:rFonts w:hint="default" w:ascii="Times New Roman" w:hAnsi="Times New Roman" w:eastAsia="宋体" w:cs="Times New Roman"/>
                <w:i w:val="0"/>
                <w:iCs w:val="0"/>
                <w:caps w:val="0"/>
                <w:color w:val="auto"/>
                <w:spacing w:val="0"/>
                <w:sz w:val="24"/>
                <w:szCs w:val="24"/>
                <w:shd w:val="clear" w:fill="FFFFFF"/>
                <w:lang w:val="en-US" w:eastAsia="zh-CN"/>
              </w:rPr>
              <w:t>项目区北侧为新疆塑圣新型建材有限公司，项目区南侧为阜溪路，项目区东侧</w:t>
            </w:r>
            <w:r>
              <w:rPr>
                <w:rFonts w:hint="default" w:ascii="Times New Roman" w:hAnsi="Times New Roman" w:eastAsia="宋体" w:cs="Times New Roman"/>
                <w:i w:val="0"/>
                <w:iCs w:val="0"/>
                <w:caps w:val="0"/>
                <w:color w:val="auto"/>
                <w:spacing w:val="0"/>
                <w:sz w:val="24"/>
                <w:szCs w:val="24"/>
                <w:shd w:val="clear" w:fill="FFFFFF"/>
              </w:rPr>
              <w:t>阜康市鑫辰阳物资有限公司、</w:t>
            </w:r>
            <w:r>
              <w:rPr>
                <w:rFonts w:hint="default" w:ascii="Times New Roman" w:hAnsi="Times New Roman" w:eastAsia="宋体" w:cs="Times New Roman"/>
                <w:i w:val="0"/>
                <w:iCs w:val="0"/>
                <w:caps w:val="0"/>
                <w:color w:val="auto"/>
                <w:spacing w:val="0"/>
                <w:sz w:val="24"/>
                <w:szCs w:val="24"/>
                <w:shd w:val="clear" w:fill="FFFFFF"/>
                <w:lang w:val="en-US" w:eastAsia="zh-CN"/>
              </w:rPr>
              <w:t>项目区西侧为阜</w:t>
            </w:r>
            <w:r>
              <w:rPr>
                <w:rFonts w:hint="default" w:ascii="Times New Roman" w:hAnsi="Times New Roman" w:cs="Times New Roman"/>
                <w:i w:val="0"/>
                <w:iCs w:val="0"/>
                <w:caps w:val="0"/>
                <w:color w:val="auto"/>
                <w:spacing w:val="0"/>
                <w:sz w:val="24"/>
                <w:szCs w:val="24"/>
                <w:shd w:val="clear" w:fill="FFFFFF"/>
                <w:lang w:val="en-US" w:eastAsia="zh-CN"/>
              </w:rPr>
              <w:t>德</w:t>
            </w:r>
            <w:r>
              <w:rPr>
                <w:rFonts w:hint="default" w:ascii="Times New Roman" w:hAnsi="Times New Roman" w:eastAsia="宋体" w:cs="Times New Roman"/>
                <w:i w:val="0"/>
                <w:iCs w:val="0"/>
                <w:caps w:val="0"/>
                <w:color w:val="auto"/>
                <w:spacing w:val="0"/>
                <w:sz w:val="24"/>
                <w:szCs w:val="24"/>
                <w:shd w:val="clear" w:fill="FFFFFF"/>
                <w:lang w:val="en-US" w:eastAsia="zh-CN"/>
              </w:rPr>
              <w:t>路</w:t>
            </w:r>
            <w:r>
              <w:rPr>
                <w:rFonts w:hint="default" w:ascii="Times New Roman" w:hAnsi="Times New Roman" w:cs="Times New Roman"/>
                <w:i w:val="0"/>
                <w:iCs w:val="0"/>
                <w:caps w:val="0"/>
                <w:color w:val="auto"/>
                <w:spacing w:val="0"/>
                <w:sz w:val="24"/>
                <w:szCs w:val="24"/>
                <w:shd w:val="clear" w:fill="FFFFFF"/>
                <w:lang w:val="en-US" w:eastAsia="zh-CN"/>
              </w:rPr>
              <w:t>。</w:t>
            </w:r>
          </w:p>
          <w:p w14:paraId="46D674D7">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建设规模：</w:t>
            </w:r>
            <w:r>
              <w:rPr>
                <w:rFonts w:hint="default" w:ascii="Times New Roman" w:hAnsi="Times New Roman" w:eastAsia="宋体" w:cs="Times New Roman"/>
                <w:i w:val="0"/>
                <w:iCs w:val="0"/>
                <w:caps w:val="0"/>
                <w:color w:val="auto"/>
                <w:spacing w:val="0"/>
                <w:sz w:val="24"/>
                <w:szCs w:val="24"/>
                <w:shd w:val="clear" w:fill="FFFFFF"/>
              </w:rPr>
              <w:t>年产40万卷家用封边条</w:t>
            </w:r>
          </w:p>
          <w:p w14:paraId="7A45F0A9">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i w:val="0"/>
                <w:iCs w:val="0"/>
                <w:caps w:val="0"/>
                <w:color w:val="auto"/>
                <w:spacing w:val="0"/>
                <w:sz w:val="24"/>
                <w:szCs w:val="24"/>
                <w:shd w:val="clear" w:fill="FFFFFF"/>
                <w:lang w:eastAsia="zh-CN"/>
              </w:rPr>
            </w:pPr>
            <w:r>
              <w:rPr>
                <w:rFonts w:hint="default" w:ascii="Times New Roman" w:hAnsi="Times New Roman" w:eastAsia="宋体" w:cs="Times New Roman"/>
                <w:b/>
                <w:bCs/>
                <w:i w:val="0"/>
                <w:iCs w:val="0"/>
                <w:caps w:val="0"/>
                <w:color w:val="auto"/>
                <w:spacing w:val="0"/>
                <w:sz w:val="24"/>
                <w:szCs w:val="24"/>
                <w:shd w:val="clear" w:fill="FFFFFF"/>
              </w:rPr>
              <w:t>建设内容：</w:t>
            </w:r>
            <w:r>
              <w:rPr>
                <w:rFonts w:hint="default" w:ascii="Times New Roman" w:hAnsi="Times New Roman" w:eastAsia="宋体" w:cs="Times New Roman"/>
                <w:i w:val="0"/>
                <w:iCs w:val="0"/>
                <w:caps w:val="0"/>
                <w:color w:val="auto"/>
                <w:spacing w:val="0"/>
                <w:sz w:val="24"/>
                <w:szCs w:val="24"/>
                <w:shd w:val="clear" w:fill="FFFFFF"/>
              </w:rPr>
              <w:t>新建年总产40万卷家用封边条生产线八条及配套设施</w:t>
            </w:r>
            <w:r>
              <w:rPr>
                <w:rFonts w:hint="default" w:ascii="Times New Roman" w:hAnsi="Times New Roman" w:eastAsia="宋体" w:cs="Times New Roman"/>
                <w:i w:val="0"/>
                <w:iCs w:val="0"/>
                <w:caps w:val="0"/>
                <w:color w:val="auto"/>
                <w:spacing w:val="0"/>
                <w:sz w:val="24"/>
                <w:szCs w:val="24"/>
                <w:shd w:val="clear" w:fill="FFFFFF"/>
                <w:lang w:eastAsia="zh-CN"/>
              </w:rPr>
              <w:t>。</w:t>
            </w:r>
          </w:p>
          <w:p w14:paraId="51BFE355">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cs="Times New Roman"/>
                <w:color w:val="auto"/>
                <w:sz w:val="24"/>
                <w:szCs w:val="24"/>
              </w:rPr>
            </w:pPr>
            <w:r>
              <w:rPr>
                <w:rFonts w:hint="default" w:ascii="Times New Roman" w:hAnsi="Times New Roman" w:eastAsia="宋体" w:cs="Times New Roman"/>
                <w:b/>
                <w:bCs/>
                <w:i w:val="0"/>
                <w:iCs w:val="0"/>
                <w:caps w:val="0"/>
                <w:color w:val="auto"/>
                <w:spacing w:val="0"/>
                <w:sz w:val="24"/>
                <w:szCs w:val="24"/>
                <w:shd w:val="clear" w:fill="FFFFFF"/>
              </w:rPr>
              <w:t>用地来源及建设方式：</w:t>
            </w:r>
            <w:r>
              <w:rPr>
                <w:rFonts w:hint="default" w:ascii="Times New Roman" w:hAnsi="Times New Roman" w:eastAsia="宋体" w:cs="Times New Roman"/>
                <w:i w:val="0"/>
                <w:iCs w:val="0"/>
                <w:caps w:val="0"/>
                <w:color w:val="auto"/>
                <w:spacing w:val="0"/>
                <w:sz w:val="24"/>
                <w:szCs w:val="24"/>
                <w:shd w:val="clear" w:fill="FFFFFF"/>
              </w:rPr>
              <w:t>本项目位于阜康产业园阜西区苏通小微创业园，用地为建设单位自有工业用地，已取得不动产权证书（详见附件</w:t>
            </w:r>
            <w:r>
              <w:rPr>
                <w:rFonts w:hint="eastAsia" w:cs="Times New Roman"/>
                <w:i w:val="0"/>
                <w:iCs w:val="0"/>
                <w:caps w:val="0"/>
                <w:color w:val="auto"/>
                <w:spacing w:val="0"/>
                <w:sz w:val="24"/>
                <w:szCs w:val="24"/>
                <w:shd w:val="clear" w:fill="FFFFFF"/>
                <w:lang w:val="en-US" w:eastAsia="zh-CN"/>
              </w:rPr>
              <w:t>3</w:t>
            </w:r>
            <w:r>
              <w:rPr>
                <w:rFonts w:hint="default" w:ascii="Times New Roman" w:hAnsi="Times New Roman" w:eastAsia="宋体" w:cs="Times New Roman"/>
                <w:i w:val="0"/>
                <w:iCs w:val="0"/>
                <w:caps w:val="0"/>
                <w:color w:val="auto"/>
                <w:spacing w:val="0"/>
                <w:sz w:val="24"/>
                <w:szCs w:val="24"/>
                <w:shd w:val="clear" w:fill="FFFFFF"/>
              </w:rPr>
              <w:t>），用地面积3390m²。本项目利用厂区内现有已建成的空置厂房进行建设，不新增用地，不涉及土建施工。经现场踏勘及核实，所利用厂房此前为空置状态，无遗留固体废物、废液等历史环境污染问题。</w:t>
            </w:r>
            <w:r>
              <w:rPr>
                <w:rFonts w:hint="default" w:ascii="Times New Roman" w:hAnsi="Times New Roman" w:cs="Times New Roman"/>
                <w:color w:val="auto"/>
                <w:sz w:val="24"/>
                <w:szCs w:val="24"/>
                <w:lang w:val="en-US" w:eastAsia="zh-CN"/>
              </w:rPr>
              <w:t>项目组成详见表2-1。</w:t>
            </w:r>
          </w:p>
          <w:p w14:paraId="0565AD20">
            <w:pPr>
              <w:pStyle w:val="4"/>
              <w:keepNext w:val="0"/>
              <w:keepLines w:val="0"/>
              <w:pageBreakBefore w:val="0"/>
              <w:widowControl w:val="0"/>
              <w:shd w:val="clear"/>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表</w:t>
            </w:r>
            <w:r>
              <w:rPr>
                <w:rFonts w:hint="default" w:ascii="Times New Roman" w:hAnsi="Times New Roman" w:eastAsia="黑体" w:cs="Times New Roman"/>
                <w:color w:val="auto"/>
                <w:lang w:val="en-US" w:eastAsia="zh-CN"/>
              </w:rPr>
              <w:t>2-1</w:t>
            </w:r>
            <w:r>
              <w:rPr>
                <w:rFonts w:hint="default" w:ascii="Times New Roman" w:hAnsi="Times New Roman" w:eastAsia="黑体" w:cs="Times New Roman"/>
                <w:color w:val="auto"/>
              </w:rPr>
              <w:t xml:space="preserve">  项目组成一览表</w:t>
            </w:r>
          </w:p>
          <w:tbl>
            <w:tblPr>
              <w:tblStyle w:val="25"/>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0"/>
              <w:gridCol w:w="438"/>
              <w:gridCol w:w="677"/>
              <w:gridCol w:w="4897"/>
              <w:gridCol w:w="720"/>
            </w:tblGrid>
            <w:tr w14:paraId="672833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8" w:hRule="atLeast"/>
                <w:jc w:val="center"/>
              </w:trPr>
              <w:tc>
                <w:tcPr>
                  <w:tcW w:w="1190" w:type="pct"/>
                  <w:gridSpan w:val="3"/>
                  <w:noWrap w:val="0"/>
                  <w:vAlign w:val="center"/>
                </w:tcPr>
                <w:p w14:paraId="03DC36EC">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工程组成</w:t>
                  </w:r>
                </w:p>
              </w:tc>
              <w:tc>
                <w:tcPr>
                  <w:tcW w:w="3320" w:type="pct"/>
                  <w:noWrap w:val="0"/>
                  <w:vAlign w:val="center"/>
                </w:tcPr>
                <w:p w14:paraId="18C1A960">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主要工程内容</w:t>
                  </w:r>
                </w:p>
              </w:tc>
              <w:tc>
                <w:tcPr>
                  <w:tcW w:w="488" w:type="pct"/>
                  <w:noWrap w:val="0"/>
                  <w:vAlign w:val="center"/>
                </w:tcPr>
                <w:p w14:paraId="06EB5B25">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备注</w:t>
                  </w:r>
                </w:p>
              </w:tc>
            </w:tr>
            <w:tr w14:paraId="0AC18B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noWrap w:val="0"/>
                  <w:vAlign w:val="center"/>
                </w:tcPr>
                <w:p w14:paraId="5251627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主体工程</w:t>
                  </w:r>
                </w:p>
              </w:tc>
              <w:tc>
                <w:tcPr>
                  <w:tcW w:w="756" w:type="pct"/>
                  <w:gridSpan w:val="2"/>
                  <w:noWrap w:val="0"/>
                  <w:vAlign w:val="center"/>
                </w:tcPr>
                <w:p w14:paraId="127742B3">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生产车间</w:t>
                  </w:r>
                </w:p>
              </w:tc>
              <w:tc>
                <w:tcPr>
                  <w:tcW w:w="3320" w:type="pct"/>
                  <w:noWrap w:val="0"/>
                  <w:vAlign w:val="center"/>
                </w:tcPr>
                <w:p w14:paraId="3764F446">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占地面积约3000m2，内设8条家用封边条生产线</w:t>
                  </w:r>
                </w:p>
              </w:tc>
              <w:tc>
                <w:tcPr>
                  <w:tcW w:w="488" w:type="pct"/>
                  <w:noWrap w:val="0"/>
                  <w:vAlign w:val="center"/>
                </w:tcPr>
                <w:p w14:paraId="0792DB32">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现有</w:t>
                  </w:r>
                </w:p>
              </w:tc>
            </w:tr>
            <w:tr w14:paraId="7C02B2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noWrap w:val="0"/>
                  <w:vAlign w:val="center"/>
                </w:tcPr>
                <w:p w14:paraId="52A4479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left"/>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bidi="ar"/>
                    </w:rPr>
                    <w:t>辅助工程</w:t>
                  </w:r>
                </w:p>
              </w:tc>
              <w:tc>
                <w:tcPr>
                  <w:tcW w:w="756" w:type="pct"/>
                  <w:gridSpan w:val="2"/>
                  <w:noWrap w:val="0"/>
                  <w:vAlign w:val="center"/>
                </w:tcPr>
                <w:p w14:paraId="258D600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办公区</w:t>
                  </w:r>
                </w:p>
              </w:tc>
              <w:tc>
                <w:tcPr>
                  <w:tcW w:w="3320" w:type="pct"/>
                  <w:noWrap w:val="0"/>
                  <w:vAlign w:val="center"/>
                </w:tcPr>
                <w:p w14:paraId="646827F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位于厂房内南侧，占地面积约750m</w:t>
                  </w:r>
                  <w:r>
                    <w:rPr>
                      <w:rFonts w:hint="default" w:ascii="Times New Roman" w:hAnsi="Times New Roman" w:eastAsia="宋体" w:cs="Times New Roman"/>
                      <w:color w:val="auto"/>
                      <w:spacing w:val="6"/>
                      <w:sz w:val="21"/>
                      <w:szCs w:val="21"/>
                      <w:vertAlign w:val="superscript"/>
                      <w:lang w:val="en-US" w:eastAsia="zh-CN"/>
                    </w:rPr>
                    <w:t>2</w:t>
                  </w:r>
                  <w:r>
                    <w:rPr>
                      <w:rFonts w:hint="default" w:ascii="Times New Roman" w:hAnsi="Times New Roman" w:eastAsia="宋体" w:cs="Times New Roman"/>
                      <w:color w:val="auto"/>
                      <w:spacing w:val="6"/>
                      <w:sz w:val="21"/>
                      <w:szCs w:val="21"/>
                      <w:lang w:val="en-US" w:eastAsia="zh-CN"/>
                    </w:rPr>
                    <w:t>。</w:t>
                  </w:r>
                </w:p>
              </w:tc>
              <w:tc>
                <w:tcPr>
                  <w:tcW w:w="488" w:type="pct"/>
                  <w:noWrap w:val="0"/>
                  <w:vAlign w:val="center"/>
                </w:tcPr>
                <w:p w14:paraId="5D61C8BC">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lang w:val="en-US" w:eastAsia="zh-CN"/>
                    </w:rPr>
                    <w:t>现有</w:t>
                  </w:r>
                </w:p>
              </w:tc>
            </w:tr>
            <w:tr w14:paraId="0979A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434" w:type="pct"/>
                  <w:vMerge w:val="restart"/>
                  <w:noWrap w:val="0"/>
                  <w:vAlign w:val="center"/>
                </w:tcPr>
                <w:p w14:paraId="5639AD6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left"/>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储运工程</w:t>
                  </w:r>
                </w:p>
              </w:tc>
              <w:tc>
                <w:tcPr>
                  <w:tcW w:w="756" w:type="pct"/>
                  <w:gridSpan w:val="2"/>
                  <w:noWrap w:val="0"/>
                  <w:vAlign w:val="center"/>
                </w:tcPr>
                <w:p w14:paraId="4ABFBCCF">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原料堆放区</w:t>
                  </w:r>
                </w:p>
              </w:tc>
              <w:tc>
                <w:tcPr>
                  <w:tcW w:w="3320" w:type="pct"/>
                  <w:noWrap w:val="0"/>
                  <w:vAlign w:val="center"/>
                </w:tcPr>
                <w:p w14:paraId="11617CC4">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位于车间内，用于储存PVC粉、钙粉、色母粉、稳定剂、钛白粉、石蜡、油墨、胶黏剂等</w:t>
                  </w:r>
                </w:p>
              </w:tc>
              <w:tc>
                <w:tcPr>
                  <w:tcW w:w="488" w:type="pct"/>
                  <w:vMerge w:val="restart"/>
                  <w:noWrap w:val="0"/>
                  <w:vAlign w:val="center"/>
                </w:tcPr>
                <w:p w14:paraId="24568CB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新建</w:t>
                  </w:r>
                </w:p>
              </w:tc>
            </w:tr>
            <w:tr w14:paraId="54D242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8" w:hRule="atLeast"/>
                <w:jc w:val="center"/>
              </w:trPr>
              <w:tc>
                <w:tcPr>
                  <w:tcW w:w="434" w:type="pct"/>
                  <w:vMerge w:val="continue"/>
                  <w:noWrap w:val="0"/>
                  <w:vAlign w:val="center"/>
                </w:tcPr>
                <w:p w14:paraId="797BCAB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left"/>
                    <w:textAlignment w:val="auto"/>
                    <w:rPr>
                      <w:rFonts w:hint="default" w:ascii="Times New Roman" w:hAnsi="Times New Roman" w:eastAsia="宋体" w:cs="Times New Roman"/>
                      <w:color w:val="auto"/>
                      <w:kern w:val="0"/>
                      <w:sz w:val="21"/>
                      <w:szCs w:val="21"/>
                      <w:lang w:val="en-US" w:eastAsia="zh-CN" w:bidi="ar"/>
                    </w:rPr>
                  </w:pPr>
                </w:p>
              </w:tc>
              <w:tc>
                <w:tcPr>
                  <w:tcW w:w="756" w:type="pct"/>
                  <w:gridSpan w:val="2"/>
                  <w:noWrap w:val="0"/>
                  <w:vAlign w:val="center"/>
                </w:tcPr>
                <w:p w14:paraId="0028534B">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产品堆放区</w:t>
                  </w:r>
                </w:p>
              </w:tc>
              <w:tc>
                <w:tcPr>
                  <w:tcW w:w="3320" w:type="pct"/>
                  <w:noWrap w:val="0"/>
                  <w:vAlign w:val="center"/>
                </w:tcPr>
                <w:p w14:paraId="36391B6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位于项目区东侧，占地200m</w:t>
                  </w:r>
                  <w:r>
                    <w:rPr>
                      <w:rFonts w:hint="default" w:ascii="Times New Roman" w:hAnsi="Times New Roman" w:eastAsia="宋体" w:cs="Times New Roman"/>
                      <w:color w:val="auto"/>
                      <w:spacing w:val="6"/>
                      <w:sz w:val="21"/>
                      <w:szCs w:val="21"/>
                      <w:vertAlign w:val="superscript"/>
                      <w:lang w:val="en-US" w:eastAsia="zh-CN"/>
                    </w:rPr>
                    <w:t>2</w:t>
                  </w:r>
                </w:p>
              </w:tc>
              <w:tc>
                <w:tcPr>
                  <w:tcW w:w="488" w:type="pct"/>
                  <w:vMerge w:val="continue"/>
                  <w:noWrap w:val="0"/>
                  <w:vAlign w:val="center"/>
                </w:tcPr>
                <w:p w14:paraId="3CB84667">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r>
            <w:tr w14:paraId="3B5001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vMerge w:val="restart"/>
                  <w:noWrap w:val="0"/>
                  <w:vAlign w:val="center"/>
                </w:tcPr>
                <w:p w14:paraId="6F2F7976">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公用工程</w:t>
                  </w:r>
                </w:p>
              </w:tc>
              <w:tc>
                <w:tcPr>
                  <w:tcW w:w="756" w:type="pct"/>
                  <w:gridSpan w:val="2"/>
                  <w:noWrap w:val="0"/>
                  <w:vAlign w:val="center"/>
                </w:tcPr>
                <w:p w14:paraId="406DCD7E">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供水</w:t>
                  </w:r>
                </w:p>
              </w:tc>
              <w:tc>
                <w:tcPr>
                  <w:tcW w:w="3320" w:type="pct"/>
                  <w:noWrap w:val="0"/>
                  <w:vAlign w:val="center"/>
                </w:tcPr>
                <w:p w14:paraId="14DF56C5">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依托园区供水管网</w:t>
                  </w:r>
                </w:p>
              </w:tc>
              <w:tc>
                <w:tcPr>
                  <w:tcW w:w="488" w:type="pct"/>
                  <w:noWrap w:val="0"/>
                  <w:vAlign w:val="center"/>
                </w:tcPr>
                <w:p w14:paraId="6F443471">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现有</w:t>
                  </w:r>
                </w:p>
              </w:tc>
            </w:tr>
            <w:tr w14:paraId="558B0D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4" w:type="pct"/>
                  <w:vMerge w:val="continue"/>
                  <w:noWrap w:val="0"/>
                  <w:vAlign w:val="center"/>
                </w:tcPr>
                <w:p w14:paraId="34D57CF6">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1E68927B">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排水</w:t>
                  </w:r>
                </w:p>
              </w:tc>
              <w:tc>
                <w:tcPr>
                  <w:tcW w:w="3320" w:type="pct"/>
                  <w:noWrap w:val="0"/>
                  <w:vAlign w:val="center"/>
                </w:tcPr>
                <w:p w14:paraId="2CCF2CC7">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依托园区排水管网</w:t>
                  </w:r>
                </w:p>
              </w:tc>
              <w:tc>
                <w:tcPr>
                  <w:tcW w:w="488" w:type="pct"/>
                  <w:noWrap w:val="0"/>
                  <w:vAlign w:val="center"/>
                </w:tcPr>
                <w:p w14:paraId="5E354B4A">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现有</w:t>
                  </w:r>
                </w:p>
              </w:tc>
            </w:tr>
            <w:tr w14:paraId="61E50A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vMerge w:val="continue"/>
                  <w:noWrap w:val="0"/>
                  <w:vAlign w:val="center"/>
                </w:tcPr>
                <w:p w14:paraId="4DBF0CE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61EC3768">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供热</w:t>
                  </w:r>
                </w:p>
              </w:tc>
              <w:tc>
                <w:tcPr>
                  <w:tcW w:w="3320" w:type="pct"/>
                  <w:noWrap w:val="0"/>
                  <w:vAlign w:val="center"/>
                </w:tcPr>
                <w:p w14:paraId="128736E7">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项目冬季不生产，不新建燃气锅炉，办公室采用电采暖</w:t>
                  </w:r>
                </w:p>
              </w:tc>
              <w:tc>
                <w:tcPr>
                  <w:tcW w:w="488" w:type="pct"/>
                  <w:noWrap w:val="0"/>
                  <w:vAlign w:val="center"/>
                </w:tcPr>
                <w:p w14:paraId="5E26B739">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lang w:eastAsia="zh-CN"/>
                    </w:rPr>
                    <w:t>依托</w:t>
                  </w:r>
                </w:p>
              </w:tc>
            </w:tr>
            <w:tr w14:paraId="40ABFB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4" w:type="pct"/>
                  <w:vMerge w:val="continue"/>
                  <w:noWrap w:val="0"/>
                  <w:vAlign w:val="center"/>
                </w:tcPr>
                <w:p w14:paraId="3BFE04DC">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22DA8F4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供电</w:t>
                  </w:r>
                </w:p>
              </w:tc>
              <w:tc>
                <w:tcPr>
                  <w:tcW w:w="3320" w:type="pct"/>
                  <w:noWrap w:val="0"/>
                  <w:vAlign w:val="center"/>
                </w:tcPr>
                <w:p w14:paraId="0070BB6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依托园区供电系统</w:t>
                  </w:r>
                </w:p>
              </w:tc>
              <w:tc>
                <w:tcPr>
                  <w:tcW w:w="488" w:type="pct"/>
                  <w:noWrap w:val="0"/>
                  <w:vAlign w:val="center"/>
                </w:tcPr>
                <w:p w14:paraId="67BF6E1B">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现有</w:t>
                  </w:r>
                </w:p>
              </w:tc>
            </w:tr>
            <w:tr w14:paraId="79B82C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4" w:type="pct"/>
                  <w:vMerge w:val="restart"/>
                  <w:noWrap w:val="0"/>
                  <w:vAlign w:val="center"/>
                </w:tcPr>
                <w:p w14:paraId="500F1ECE">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环保工程</w:t>
                  </w:r>
                </w:p>
              </w:tc>
              <w:tc>
                <w:tcPr>
                  <w:tcW w:w="756" w:type="pct"/>
                  <w:gridSpan w:val="2"/>
                  <w:noWrap w:val="0"/>
                  <w:vAlign w:val="center"/>
                </w:tcPr>
                <w:p w14:paraId="04751847">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废气</w:t>
                  </w:r>
                </w:p>
              </w:tc>
              <w:tc>
                <w:tcPr>
                  <w:tcW w:w="3320" w:type="pct"/>
                  <w:noWrap w:val="0"/>
                  <w:vAlign w:val="center"/>
                </w:tcPr>
                <w:p w14:paraId="64593CC0">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①投料、混合粉尘：集气罩+布袋除尘器+15m排气筒；</w:t>
                  </w:r>
                </w:p>
                <w:p w14:paraId="42A39DE4">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②造粒、挤出、背胶、印刷有机废气：集气罩收集+活性炭吸附脱附+蓄热催化燃烧一体化装置（RCO）+15m排气筒</w:t>
                  </w:r>
                </w:p>
              </w:tc>
              <w:tc>
                <w:tcPr>
                  <w:tcW w:w="488" w:type="pct"/>
                  <w:noWrap w:val="0"/>
                  <w:vAlign w:val="center"/>
                </w:tcPr>
                <w:p w14:paraId="2C55CFF5">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新建</w:t>
                  </w:r>
                </w:p>
              </w:tc>
            </w:tr>
            <w:tr w14:paraId="4A0A63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434" w:type="pct"/>
                  <w:vMerge w:val="continue"/>
                  <w:noWrap w:val="0"/>
                  <w:vAlign w:val="center"/>
                </w:tcPr>
                <w:p w14:paraId="43CD7B83">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297" w:type="pct"/>
                  <w:vMerge w:val="restart"/>
                  <w:noWrap w:val="0"/>
                  <w:vAlign w:val="center"/>
                </w:tcPr>
                <w:p w14:paraId="590F7F16">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废水</w:t>
                  </w:r>
                </w:p>
              </w:tc>
              <w:tc>
                <w:tcPr>
                  <w:tcW w:w="459" w:type="pct"/>
                  <w:noWrap w:val="0"/>
                  <w:vAlign w:val="center"/>
                </w:tcPr>
                <w:p w14:paraId="0F77BDCB">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生产废水</w:t>
                  </w:r>
                </w:p>
              </w:tc>
              <w:tc>
                <w:tcPr>
                  <w:tcW w:w="3320" w:type="pct"/>
                  <w:noWrap w:val="0"/>
                  <w:vAlign w:val="center"/>
                </w:tcPr>
                <w:p w14:paraId="51B11D1A">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冷却水循环使用不外排，项目生产无用水工艺</w:t>
                  </w:r>
                </w:p>
              </w:tc>
              <w:tc>
                <w:tcPr>
                  <w:tcW w:w="488" w:type="pct"/>
                  <w:noWrap w:val="0"/>
                  <w:vAlign w:val="center"/>
                </w:tcPr>
                <w:p w14:paraId="2F1311DB">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r>
            <w:tr w14:paraId="7BA7A1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434" w:type="pct"/>
                  <w:vMerge w:val="continue"/>
                  <w:noWrap w:val="0"/>
                  <w:vAlign w:val="center"/>
                </w:tcPr>
                <w:p w14:paraId="559E732F">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297" w:type="pct"/>
                  <w:vMerge w:val="continue"/>
                  <w:noWrap w:val="0"/>
                  <w:vAlign w:val="center"/>
                </w:tcPr>
                <w:p w14:paraId="02F9ECE9">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p>
              </w:tc>
              <w:tc>
                <w:tcPr>
                  <w:tcW w:w="459" w:type="pct"/>
                  <w:noWrap w:val="0"/>
                  <w:vAlign w:val="center"/>
                </w:tcPr>
                <w:p w14:paraId="3A6E81DB">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办公污水</w:t>
                  </w:r>
                </w:p>
              </w:tc>
              <w:tc>
                <w:tcPr>
                  <w:tcW w:w="3320" w:type="pct"/>
                  <w:noWrap w:val="0"/>
                  <w:vAlign w:val="center"/>
                </w:tcPr>
                <w:p w14:paraId="263A10D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项目生活污水依托园区污水管网排入阜西污水处理厂处理；</w:t>
                  </w:r>
                </w:p>
              </w:tc>
              <w:tc>
                <w:tcPr>
                  <w:tcW w:w="488" w:type="pct"/>
                  <w:noWrap w:val="0"/>
                  <w:vAlign w:val="center"/>
                </w:tcPr>
                <w:p w14:paraId="66B1727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r>
            <w:tr w14:paraId="62CB72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vMerge w:val="continue"/>
                  <w:noWrap w:val="0"/>
                  <w:vAlign w:val="center"/>
                </w:tcPr>
                <w:p w14:paraId="7B206620">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4ECBF0F8">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噪声</w:t>
                  </w:r>
                </w:p>
              </w:tc>
              <w:tc>
                <w:tcPr>
                  <w:tcW w:w="3320" w:type="pct"/>
                  <w:noWrap w:val="0"/>
                  <w:vAlign w:val="center"/>
                </w:tcPr>
                <w:p w14:paraId="0F9E4C62">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iCs w:val="0"/>
                      <w:color w:val="auto"/>
                      <w:kern w:val="0"/>
                      <w:sz w:val="21"/>
                      <w:szCs w:val="21"/>
                      <w:u w:val="none"/>
                      <w:lang w:val="en-US" w:eastAsia="zh-CN" w:bidi="ar"/>
                    </w:rPr>
                    <w:t>选用低噪声设备、基础减振、厂房隔声</w:t>
                  </w:r>
                </w:p>
              </w:tc>
              <w:tc>
                <w:tcPr>
                  <w:tcW w:w="488" w:type="pct"/>
                  <w:noWrap w:val="0"/>
                  <w:vAlign w:val="center"/>
                </w:tcPr>
                <w:p w14:paraId="352BD8EF">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r>
            <w:tr w14:paraId="575509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vMerge w:val="continue"/>
                  <w:noWrap w:val="0"/>
                  <w:vAlign w:val="center"/>
                </w:tcPr>
                <w:p w14:paraId="30B72034">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7D433044">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iCs w:val="0"/>
                      <w:color w:val="auto"/>
                      <w:kern w:val="0"/>
                      <w:sz w:val="21"/>
                      <w:szCs w:val="21"/>
                      <w:u w:val="none"/>
                      <w:lang w:val="en-US" w:eastAsia="zh-CN" w:bidi="ar"/>
                    </w:rPr>
                    <w:t>一般固废</w:t>
                  </w:r>
                </w:p>
              </w:tc>
              <w:tc>
                <w:tcPr>
                  <w:tcW w:w="3320" w:type="pct"/>
                  <w:noWrap w:val="0"/>
                  <w:vAlign w:val="center"/>
                </w:tcPr>
                <w:p w14:paraId="733363FE">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一般固废暂存区；危险废物贮存点；布袋除尘灰收集后回用于生产；</w:t>
                  </w:r>
                </w:p>
              </w:tc>
              <w:tc>
                <w:tcPr>
                  <w:tcW w:w="488" w:type="pct"/>
                  <w:noWrap w:val="0"/>
                  <w:vAlign w:val="center"/>
                </w:tcPr>
                <w:p w14:paraId="3B49BF1A">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r>
            <w:tr w14:paraId="512E27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vMerge w:val="continue"/>
                  <w:noWrap w:val="0"/>
                  <w:vAlign w:val="center"/>
                </w:tcPr>
                <w:p w14:paraId="7D15ADBE">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24F38C9D">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iCs w:val="0"/>
                      <w:color w:val="auto"/>
                      <w:kern w:val="0"/>
                      <w:sz w:val="21"/>
                      <w:szCs w:val="21"/>
                      <w:u w:val="none"/>
                      <w:lang w:val="en-US" w:eastAsia="zh-CN" w:bidi="ar"/>
                    </w:rPr>
                    <w:t>危废</w:t>
                  </w:r>
                </w:p>
              </w:tc>
              <w:tc>
                <w:tcPr>
                  <w:tcW w:w="3320" w:type="pct"/>
                  <w:noWrap w:val="0"/>
                  <w:vAlign w:val="center"/>
                </w:tcPr>
                <w:p w14:paraId="6FD07420">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废活性炭、废油墨桶等危废委托有资质单位处置危险废物：设置危废贮存点（20m²），位于生产车间内西北侧；废胶桶、废油墨桶、废催化剂、废机油、含油废抹布、废UV灯管等危废分类分区暂存，委托有资质单位定期处置</w:t>
                  </w:r>
                </w:p>
              </w:tc>
              <w:tc>
                <w:tcPr>
                  <w:tcW w:w="488" w:type="pct"/>
                  <w:noWrap w:val="0"/>
                  <w:vAlign w:val="center"/>
                </w:tcPr>
                <w:p w14:paraId="27759B57">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新建</w:t>
                  </w:r>
                </w:p>
              </w:tc>
            </w:tr>
            <w:tr w14:paraId="1A7BD6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34" w:type="pct"/>
                  <w:vMerge w:val="continue"/>
                  <w:noWrap w:val="0"/>
                  <w:vAlign w:val="center"/>
                </w:tcPr>
                <w:p w14:paraId="00527462">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p>
              </w:tc>
              <w:tc>
                <w:tcPr>
                  <w:tcW w:w="756" w:type="pct"/>
                  <w:gridSpan w:val="2"/>
                  <w:noWrap w:val="0"/>
                  <w:vAlign w:val="center"/>
                </w:tcPr>
                <w:p w14:paraId="377BB349">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风险防范措施</w:t>
                  </w:r>
                </w:p>
              </w:tc>
              <w:tc>
                <w:tcPr>
                  <w:tcW w:w="3320" w:type="pct"/>
                  <w:noWrap w:val="0"/>
                  <w:vAlign w:val="center"/>
                </w:tcPr>
                <w:p w14:paraId="72C899B9">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编制突发环境事件应预案</w:t>
                  </w:r>
                </w:p>
              </w:tc>
              <w:tc>
                <w:tcPr>
                  <w:tcW w:w="488" w:type="pct"/>
                  <w:noWrap w:val="0"/>
                  <w:vAlign w:val="center"/>
                </w:tcPr>
                <w:p w14:paraId="3A68F088">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p>
              </w:tc>
            </w:tr>
          </w:tbl>
          <w:p w14:paraId="49BD6394">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2.主要生产设备</w:t>
            </w:r>
          </w:p>
          <w:p w14:paraId="5CA2E1A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根据建设单位提供的设备购置合同及设备配置清单，本项目主要生产设备见下表：</w:t>
            </w:r>
          </w:p>
          <w:p w14:paraId="0E2E1E75">
            <w:pPr>
              <w:pStyle w:val="11"/>
              <w:keepNext w:val="0"/>
              <w:keepLines w:val="0"/>
              <w:pageBreakBefore w:val="0"/>
              <w:suppressLineNumbers w:val="0"/>
              <w:shd w:val="clear"/>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黑体" w:cs="Times New Roman"/>
                <w:b w:val="0"/>
                <w:bCs w:val="0"/>
                <w:color w:val="auto"/>
                <w:spacing w:val="0"/>
                <w:position w:val="0"/>
                <w:sz w:val="21"/>
                <w:szCs w:val="21"/>
                <w:highlight w:val="none"/>
                <w:lang w:val="en-US" w:eastAsia="zh-CN"/>
              </w:rPr>
            </w:pPr>
            <w:r>
              <w:rPr>
                <w:rFonts w:hint="default" w:ascii="Times New Roman" w:hAnsi="Times New Roman" w:eastAsia="黑体" w:cs="Times New Roman"/>
                <w:b w:val="0"/>
                <w:bCs w:val="0"/>
                <w:color w:val="auto"/>
                <w:sz w:val="21"/>
                <w:szCs w:val="21"/>
                <w:lang w:val="en-US" w:eastAsia="zh-CN"/>
              </w:rPr>
              <w:t xml:space="preserve">表2-2   </w:t>
            </w:r>
            <w:r>
              <w:rPr>
                <w:rFonts w:hint="default" w:ascii="Times New Roman" w:hAnsi="Times New Roman" w:eastAsia="黑体" w:cs="Times New Roman"/>
                <w:b w:val="0"/>
                <w:bCs w:val="0"/>
                <w:color w:val="auto"/>
                <w:spacing w:val="0"/>
                <w:position w:val="0"/>
                <w:sz w:val="21"/>
                <w:szCs w:val="21"/>
                <w:highlight w:val="none"/>
                <w:u w:val="none"/>
              </w:rPr>
              <w:t xml:space="preserve"> </w:t>
            </w:r>
            <w:r>
              <w:rPr>
                <w:rFonts w:hint="default" w:ascii="Times New Roman" w:hAnsi="Times New Roman" w:eastAsia="黑体" w:cs="Times New Roman"/>
                <w:b w:val="0"/>
                <w:bCs w:val="0"/>
                <w:color w:val="auto"/>
                <w:spacing w:val="0"/>
                <w:position w:val="0"/>
                <w:sz w:val="21"/>
                <w:szCs w:val="21"/>
                <w:highlight w:val="none"/>
                <w:u w:val="none"/>
                <w:lang w:eastAsia="zh-CN"/>
              </w:rPr>
              <w:t>项目</w:t>
            </w:r>
            <w:r>
              <w:rPr>
                <w:rFonts w:hint="default" w:ascii="Times New Roman" w:hAnsi="Times New Roman" w:eastAsia="黑体" w:cs="Times New Roman"/>
                <w:b w:val="0"/>
                <w:bCs w:val="0"/>
                <w:color w:val="auto"/>
                <w:spacing w:val="0"/>
                <w:position w:val="0"/>
                <w:sz w:val="21"/>
                <w:szCs w:val="21"/>
                <w:highlight w:val="none"/>
                <w:u w:val="none"/>
              </w:rPr>
              <w:t>主要</w:t>
            </w:r>
            <w:r>
              <w:rPr>
                <w:rFonts w:hint="default" w:ascii="Times New Roman" w:hAnsi="Times New Roman" w:eastAsia="黑体" w:cs="Times New Roman"/>
                <w:b w:val="0"/>
                <w:bCs w:val="0"/>
                <w:color w:val="auto"/>
                <w:spacing w:val="0"/>
                <w:position w:val="0"/>
                <w:sz w:val="21"/>
                <w:szCs w:val="21"/>
                <w:highlight w:val="none"/>
                <w:u w:val="none"/>
                <w:lang w:val="en-US" w:eastAsia="zh-CN"/>
              </w:rPr>
              <w:t>生产设备</w:t>
            </w:r>
            <w:r>
              <w:rPr>
                <w:rFonts w:hint="default" w:ascii="Times New Roman" w:hAnsi="Times New Roman" w:eastAsia="黑体" w:cs="Times New Roman"/>
                <w:b w:val="0"/>
                <w:bCs w:val="0"/>
                <w:color w:val="auto"/>
                <w:spacing w:val="0"/>
                <w:position w:val="0"/>
                <w:sz w:val="21"/>
                <w:szCs w:val="21"/>
                <w:highlight w:val="none"/>
                <w:u w:val="none"/>
                <w:lang w:eastAsia="zh-CN"/>
              </w:rPr>
              <w:t>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0"/>
              <w:gridCol w:w="3456"/>
              <w:gridCol w:w="1769"/>
              <w:gridCol w:w="683"/>
              <w:gridCol w:w="723"/>
            </w:tblGrid>
            <w:tr w14:paraId="181EF1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bottom w:val="single" w:color="auto" w:sz="12" w:space="0"/>
                  </w:tcBorders>
                  <w:shd w:val="clear" w:color="auto" w:fill="auto"/>
                  <w:vAlign w:val="center"/>
                </w:tcPr>
                <w:p w14:paraId="574D511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3456" w:type="dxa"/>
                  <w:tcBorders>
                    <w:bottom w:val="single" w:color="auto" w:sz="12" w:space="0"/>
                  </w:tcBorders>
                  <w:shd w:val="clear" w:color="auto" w:fill="auto"/>
                  <w:vAlign w:val="center"/>
                </w:tcPr>
                <w:p w14:paraId="313CB4A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设备名称</w:t>
                  </w:r>
                </w:p>
              </w:tc>
              <w:tc>
                <w:tcPr>
                  <w:tcW w:w="1769" w:type="dxa"/>
                  <w:tcBorders>
                    <w:bottom w:val="single" w:color="auto" w:sz="12" w:space="0"/>
                  </w:tcBorders>
                  <w:shd w:val="clear" w:color="auto" w:fill="auto"/>
                  <w:vAlign w:val="center"/>
                </w:tcPr>
                <w:p w14:paraId="04A000F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规格型号</w:t>
                  </w:r>
                </w:p>
              </w:tc>
              <w:tc>
                <w:tcPr>
                  <w:tcW w:w="683" w:type="dxa"/>
                  <w:tcBorders>
                    <w:bottom w:val="single" w:color="auto" w:sz="12" w:space="0"/>
                  </w:tcBorders>
                  <w:shd w:val="clear" w:color="auto" w:fill="auto"/>
                  <w:vAlign w:val="center"/>
                </w:tcPr>
                <w:p w14:paraId="7F9BC16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数量</w:t>
                  </w:r>
                </w:p>
              </w:tc>
              <w:tc>
                <w:tcPr>
                  <w:tcW w:w="723" w:type="dxa"/>
                  <w:tcBorders>
                    <w:bottom w:val="single" w:color="auto" w:sz="12" w:space="0"/>
                  </w:tcBorders>
                  <w:shd w:val="clear" w:color="auto" w:fill="auto"/>
                  <w:vAlign w:val="center"/>
                </w:tcPr>
                <w:p w14:paraId="48E5DC4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单位</w:t>
                  </w:r>
                </w:p>
              </w:tc>
            </w:tr>
            <w:tr w14:paraId="7D5693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op w:val="single" w:color="auto" w:sz="12" w:space="0"/>
                    <w:tl2br w:val="nil"/>
                    <w:tr2bl w:val="nil"/>
                  </w:tcBorders>
                  <w:shd w:val="clear" w:color="auto" w:fill="auto"/>
                  <w:vAlign w:val="center"/>
                </w:tcPr>
                <w:p w14:paraId="0CB6FE5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3456" w:type="dxa"/>
                  <w:tcBorders>
                    <w:top w:val="single" w:color="auto" w:sz="12" w:space="0"/>
                    <w:tl2br w:val="nil"/>
                    <w:tr2bl w:val="nil"/>
                  </w:tcBorders>
                  <w:shd w:val="clear" w:color="auto" w:fill="auto"/>
                  <w:vAlign w:val="center"/>
                </w:tcPr>
                <w:p w14:paraId="53975A5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SJ-65挤出机生产线（一出一）</w:t>
                  </w:r>
                </w:p>
              </w:tc>
              <w:tc>
                <w:tcPr>
                  <w:tcW w:w="1769" w:type="dxa"/>
                  <w:tcBorders>
                    <w:top w:val="single" w:color="auto" w:sz="12" w:space="0"/>
                    <w:tl2br w:val="nil"/>
                    <w:tr2bl w:val="nil"/>
                  </w:tcBorders>
                  <w:shd w:val="clear" w:color="auto" w:fill="auto"/>
                  <w:vAlign w:val="center"/>
                </w:tcPr>
                <w:p w14:paraId="5799625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SJ-65/25</w:t>
                  </w:r>
                </w:p>
              </w:tc>
              <w:tc>
                <w:tcPr>
                  <w:tcW w:w="683" w:type="dxa"/>
                  <w:tcBorders>
                    <w:top w:val="single" w:color="auto" w:sz="12" w:space="0"/>
                    <w:tl2br w:val="nil"/>
                    <w:tr2bl w:val="nil"/>
                  </w:tcBorders>
                  <w:shd w:val="clear" w:color="auto" w:fill="auto"/>
                  <w:vAlign w:val="center"/>
                </w:tcPr>
                <w:p w14:paraId="748969C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723" w:type="dxa"/>
                  <w:tcBorders>
                    <w:top w:val="single" w:color="auto" w:sz="12" w:space="0"/>
                    <w:tl2br w:val="nil"/>
                    <w:tr2bl w:val="nil"/>
                  </w:tcBorders>
                  <w:shd w:val="clear" w:color="auto" w:fill="auto"/>
                  <w:vAlign w:val="center"/>
                </w:tcPr>
                <w:p w14:paraId="4E095C5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r>
            <w:tr w14:paraId="29788C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384D8E0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3456" w:type="dxa"/>
                  <w:tcBorders>
                    <w:tl2br w:val="nil"/>
                    <w:tr2bl w:val="nil"/>
                  </w:tcBorders>
                  <w:shd w:val="clear" w:color="auto" w:fill="auto"/>
                  <w:vAlign w:val="center"/>
                </w:tcPr>
                <w:p w14:paraId="62C849C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SJ-65挤出机生产线（一出一二）</w:t>
                  </w:r>
                </w:p>
              </w:tc>
              <w:tc>
                <w:tcPr>
                  <w:tcW w:w="1769" w:type="dxa"/>
                  <w:tcBorders>
                    <w:tl2br w:val="nil"/>
                    <w:tr2bl w:val="nil"/>
                  </w:tcBorders>
                  <w:shd w:val="clear" w:color="auto" w:fill="auto"/>
                  <w:vAlign w:val="center"/>
                </w:tcPr>
                <w:p w14:paraId="145D086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SJ-65/25</w:t>
                  </w:r>
                </w:p>
              </w:tc>
              <w:tc>
                <w:tcPr>
                  <w:tcW w:w="683" w:type="dxa"/>
                  <w:tcBorders>
                    <w:tl2br w:val="nil"/>
                    <w:tr2bl w:val="nil"/>
                  </w:tcBorders>
                  <w:shd w:val="clear" w:color="auto" w:fill="auto"/>
                  <w:vAlign w:val="center"/>
                </w:tcPr>
                <w:p w14:paraId="606A629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5D0B2B4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r>
            <w:tr w14:paraId="69C137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7F4D584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3456" w:type="dxa"/>
                  <w:tcBorders>
                    <w:tl2br w:val="nil"/>
                    <w:tr2bl w:val="nil"/>
                  </w:tcBorders>
                  <w:shd w:val="clear" w:color="auto" w:fill="auto"/>
                  <w:vAlign w:val="center"/>
                </w:tcPr>
                <w:p w14:paraId="39CEAB1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SJSZ-80造粒机（含震动筛）</w:t>
                  </w:r>
                </w:p>
              </w:tc>
              <w:tc>
                <w:tcPr>
                  <w:tcW w:w="1769" w:type="dxa"/>
                  <w:tcBorders>
                    <w:tl2br w:val="nil"/>
                    <w:tr2bl w:val="nil"/>
                  </w:tcBorders>
                  <w:shd w:val="clear" w:color="auto" w:fill="auto"/>
                  <w:vAlign w:val="center"/>
                </w:tcPr>
                <w:p w14:paraId="0A70F79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SJSZ-80×156</w:t>
                  </w:r>
                </w:p>
              </w:tc>
              <w:tc>
                <w:tcPr>
                  <w:tcW w:w="683" w:type="dxa"/>
                  <w:tcBorders>
                    <w:tl2br w:val="nil"/>
                    <w:tr2bl w:val="nil"/>
                  </w:tcBorders>
                  <w:shd w:val="clear" w:color="auto" w:fill="auto"/>
                  <w:vAlign w:val="center"/>
                </w:tcPr>
                <w:p w14:paraId="00AC5F3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4922FDB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r>
            <w:tr w14:paraId="0DA322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61BA7BB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3456" w:type="dxa"/>
                  <w:tcBorders>
                    <w:tl2br w:val="nil"/>
                    <w:tr2bl w:val="nil"/>
                  </w:tcBorders>
                  <w:shd w:val="clear" w:color="auto" w:fill="auto"/>
                  <w:vAlign w:val="center"/>
                </w:tcPr>
                <w:p w14:paraId="25329A0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SJ-45共挤机</w:t>
                  </w:r>
                </w:p>
              </w:tc>
              <w:tc>
                <w:tcPr>
                  <w:tcW w:w="1769" w:type="dxa"/>
                  <w:tcBorders>
                    <w:tl2br w:val="nil"/>
                    <w:tr2bl w:val="nil"/>
                  </w:tcBorders>
                  <w:shd w:val="clear" w:color="auto" w:fill="auto"/>
                  <w:vAlign w:val="center"/>
                </w:tcPr>
                <w:p w14:paraId="36680C1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SJ-45/25</w:t>
                  </w:r>
                </w:p>
              </w:tc>
              <w:tc>
                <w:tcPr>
                  <w:tcW w:w="683" w:type="dxa"/>
                  <w:tcBorders>
                    <w:tl2br w:val="nil"/>
                    <w:tr2bl w:val="nil"/>
                  </w:tcBorders>
                  <w:shd w:val="clear" w:color="auto" w:fill="auto"/>
                  <w:vAlign w:val="center"/>
                </w:tcPr>
                <w:p w14:paraId="55E6653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7F4088A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478694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0CE1C61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3456" w:type="dxa"/>
                  <w:tcBorders>
                    <w:tl2br w:val="nil"/>
                    <w:tr2bl w:val="nil"/>
                  </w:tcBorders>
                  <w:shd w:val="clear" w:color="auto" w:fill="auto"/>
                  <w:vAlign w:val="center"/>
                </w:tcPr>
                <w:p w14:paraId="27651AD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300L高速混合机</w:t>
                  </w:r>
                </w:p>
              </w:tc>
              <w:tc>
                <w:tcPr>
                  <w:tcW w:w="1769" w:type="dxa"/>
                  <w:tcBorders>
                    <w:tl2br w:val="nil"/>
                    <w:tr2bl w:val="nil"/>
                  </w:tcBorders>
                  <w:shd w:val="clear" w:color="auto" w:fill="auto"/>
                  <w:vAlign w:val="center"/>
                </w:tcPr>
                <w:p w14:paraId="7E5D663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300L</w:t>
                  </w:r>
                </w:p>
              </w:tc>
              <w:tc>
                <w:tcPr>
                  <w:tcW w:w="683" w:type="dxa"/>
                  <w:tcBorders>
                    <w:tl2br w:val="nil"/>
                    <w:tr2bl w:val="nil"/>
                  </w:tcBorders>
                  <w:shd w:val="clear" w:color="auto" w:fill="auto"/>
                  <w:vAlign w:val="center"/>
                </w:tcPr>
                <w:p w14:paraId="67F8331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23" w:type="dxa"/>
                  <w:tcBorders>
                    <w:tl2br w:val="nil"/>
                    <w:tr2bl w:val="nil"/>
                  </w:tcBorders>
                  <w:shd w:val="clear" w:color="auto" w:fill="auto"/>
                  <w:vAlign w:val="center"/>
                </w:tcPr>
                <w:p w14:paraId="595FA43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4CDB7E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13C8286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p>
              </w:tc>
              <w:tc>
                <w:tcPr>
                  <w:tcW w:w="3456" w:type="dxa"/>
                  <w:tcBorders>
                    <w:tl2br w:val="nil"/>
                    <w:tr2bl w:val="nil"/>
                  </w:tcBorders>
                  <w:shd w:val="clear" w:color="auto" w:fill="auto"/>
                  <w:vAlign w:val="center"/>
                </w:tcPr>
                <w:p w14:paraId="79EDA1F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调色压片机</w:t>
                  </w:r>
                </w:p>
              </w:tc>
              <w:tc>
                <w:tcPr>
                  <w:tcW w:w="1769" w:type="dxa"/>
                  <w:tcBorders>
                    <w:tl2br w:val="nil"/>
                    <w:tr2bl w:val="nil"/>
                  </w:tcBorders>
                  <w:shd w:val="clear" w:color="auto" w:fill="auto"/>
                  <w:vAlign w:val="center"/>
                </w:tcPr>
                <w:p w14:paraId="136C8CA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683" w:type="dxa"/>
                  <w:tcBorders>
                    <w:tl2br w:val="nil"/>
                    <w:tr2bl w:val="nil"/>
                  </w:tcBorders>
                  <w:shd w:val="clear" w:color="auto" w:fill="auto"/>
                  <w:vAlign w:val="center"/>
                </w:tcPr>
                <w:p w14:paraId="56B86D3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423A4A2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0B4ED2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60A4D06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3456" w:type="dxa"/>
                  <w:tcBorders>
                    <w:tl2br w:val="nil"/>
                    <w:tr2bl w:val="nil"/>
                  </w:tcBorders>
                  <w:shd w:val="clear" w:color="auto" w:fill="auto"/>
                  <w:vAlign w:val="center"/>
                </w:tcPr>
                <w:p w14:paraId="3D403D1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封边条印刷机（整线）</w:t>
                  </w:r>
                </w:p>
              </w:tc>
              <w:tc>
                <w:tcPr>
                  <w:tcW w:w="1769" w:type="dxa"/>
                  <w:tcBorders>
                    <w:tl2br w:val="nil"/>
                    <w:tr2bl w:val="nil"/>
                  </w:tcBorders>
                  <w:shd w:val="clear" w:color="auto" w:fill="auto"/>
                  <w:vAlign w:val="center"/>
                </w:tcPr>
                <w:p w14:paraId="7901932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YBW-240</w:t>
                  </w:r>
                </w:p>
              </w:tc>
              <w:tc>
                <w:tcPr>
                  <w:tcW w:w="683" w:type="dxa"/>
                  <w:tcBorders>
                    <w:tl2br w:val="nil"/>
                    <w:tr2bl w:val="nil"/>
                  </w:tcBorders>
                  <w:shd w:val="clear" w:color="auto" w:fill="auto"/>
                  <w:vAlign w:val="center"/>
                </w:tcPr>
                <w:p w14:paraId="4484997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2204355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r>
            <w:tr w14:paraId="10D1E6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762E99B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c>
                <w:tcPr>
                  <w:tcW w:w="3456" w:type="dxa"/>
                  <w:tcBorders>
                    <w:tl2br w:val="nil"/>
                    <w:tr2bl w:val="nil"/>
                  </w:tcBorders>
                  <w:shd w:val="clear" w:color="auto" w:fill="auto"/>
                  <w:vAlign w:val="center"/>
                </w:tcPr>
                <w:p w14:paraId="346AFA7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双组打底机组</w:t>
                  </w:r>
                </w:p>
              </w:tc>
              <w:tc>
                <w:tcPr>
                  <w:tcW w:w="1769" w:type="dxa"/>
                  <w:tcBorders>
                    <w:tl2br w:val="nil"/>
                    <w:tr2bl w:val="nil"/>
                  </w:tcBorders>
                  <w:shd w:val="clear" w:color="auto" w:fill="auto"/>
                  <w:vAlign w:val="center"/>
                </w:tcPr>
                <w:p w14:paraId="4CC3A68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78095DE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788740E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23C72F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7E0F713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c>
                <w:tcPr>
                  <w:tcW w:w="3456" w:type="dxa"/>
                  <w:tcBorders>
                    <w:tl2br w:val="nil"/>
                    <w:tr2bl w:val="nil"/>
                  </w:tcBorders>
                  <w:shd w:val="clear" w:color="auto" w:fill="auto"/>
                  <w:vAlign w:val="center"/>
                </w:tcPr>
                <w:p w14:paraId="3CB5460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印刷机组</w:t>
                  </w:r>
                </w:p>
              </w:tc>
              <w:tc>
                <w:tcPr>
                  <w:tcW w:w="1769" w:type="dxa"/>
                  <w:tcBorders>
                    <w:tl2br w:val="nil"/>
                    <w:tr2bl w:val="nil"/>
                  </w:tcBorders>
                  <w:shd w:val="clear" w:color="auto" w:fill="auto"/>
                  <w:vAlign w:val="center"/>
                </w:tcPr>
                <w:p w14:paraId="58A5CE7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4EE5451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723" w:type="dxa"/>
                  <w:tcBorders>
                    <w:tl2br w:val="nil"/>
                    <w:tr2bl w:val="nil"/>
                  </w:tcBorders>
                  <w:shd w:val="clear" w:color="auto" w:fill="auto"/>
                  <w:vAlign w:val="center"/>
                </w:tcPr>
                <w:p w14:paraId="51F6744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68D0F1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641CD61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3456" w:type="dxa"/>
                  <w:tcBorders>
                    <w:tl2br w:val="nil"/>
                    <w:tr2bl w:val="nil"/>
                  </w:tcBorders>
                  <w:shd w:val="clear" w:color="auto" w:fill="auto"/>
                  <w:vAlign w:val="center"/>
                </w:tcPr>
                <w:p w14:paraId="01C6D78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双组上光机组</w:t>
                  </w:r>
                </w:p>
              </w:tc>
              <w:tc>
                <w:tcPr>
                  <w:tcW w:w="1769" w:type="dxa"/>
                  <w:tcBorders>
                    <w:tl2br w:val="nil"/>
                    <w:tr2bl w:val="nil"/>
                  </w:tcBorders>
                  <w:shd w:val="clear" w:color="auto" w:fill="auto"/>
                  <w:vAlign w:val="center"/>
                </w:tcPr>
                <w:p w14:paraId="5360162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5B6826D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2AD26E2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7DB40A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5B92CB7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w:t>
                  </w:r>
                </w:p>
              </w:tc>
              <w:tc>
                <w:tcPr>
                  <w:tcW w:w="3456" w:type="dxa"/>
                  <w:tcBorders>
                    <w:tl2br w:val="nil"/>
                    <w:tr2bl w:val="nil"/>
                  </w:tcBorders>
                  <w:shd w:val="clear" w:color="auto" w:fill="auto"/>
                  <w:vAlign w:val="center"/>
                </w:tcPr>
                <w:p w14:paraId="752F80D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5米加热烘道</w:t>
                  </w:r>
                </w:p>
              </w:tc>
              <w:tc>
                <w:tcPr>
                  <w:tcW w:w="1769" w:type="dxa"/>
                  <w:tcBorders>
                    <w:tl2br w:val="nil"/>
                    <w:tr2bl w:val="nil"/>
                  </w:tcBorders>
                  <w:shd w:val="clear" w:color="auto" w:fill="auto"/>
                  <w:vAlign w:val="center"/>
                </w:tcPr>
                <w:p w14:paraId="7233CE4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3D80E54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37D9ADA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78A3E4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612FFEB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w:t>
                  </w:r>
                </w:p>
              </w:tc>
              <w:tc>
                <w:tcPr>
                  <w:tcW w:w="3456" w:type="dxa"/>
                  <w:tcBorders>
                    <w:tl2br w:val="nil"/>
                    <w:tr2bl w:val="nil"/>
                  </w:tcBorders>
                  <w:shd w:val="clear" w:color="auto" w:fill="auto"/>
                  <w:vAlign w:val="center"/>
                </w:tcPr>
                <w:p w14:paraId="1FA8CA6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UV干燥机</w:t>
                  </w:r>
                </w:p>
              </w:tc>
              <w:tc>
                <w:tcPr>
                  <w:tcW w:w="1769" w:type="dxa"/>
                  <w:tcBorders>
                    <w:tl2br w:val="nil"/>
                    <w:tr2bl w:val="nil"/>
                  </w:tcBorders>
                  <w:shd w:val="clear" w:color="auto" w:fill="auto"/>
                  <w:vAlign w:val="center"/>
                </w:tcPr>
                <w:p w14:paraId="326F6C6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0175685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092EDC0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47562C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7202558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13</w:t>
                  </w:r>
                </w:p>
              </w:tc>
              <w:tc>
                <w:tcPr>
                  <w:tcW w:w="3456" w:type="dxa"/>
                  <w:tcBorders>
                    <w:tl2br w:val="nil"/>
                    <w:tr2bl w:val="nil"/>
                  </w:tcBorders>
                  <w:shd w:val="clear" w:color="auto" w:fill="auto"/>
                  <w:vAlign w:val="center"/>
                </w:tcPr>
                <w:p w14:paraId="52A7A29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放卷台</w:t>
                  </w:r>
                </w:p>
              </w:tc>
              <w:tc>
                <w:tcPr>
                  <w:tcW w:w="1769" w:type="dxa"/>
                  <w:tcBorders>
                    <w:tl2br w:val="nil"/>
                    <w:tr2bl w:val="nil"/>
                  </w:tcBorders>
                  <w:shd w:val="clear" w:color="auto" w:fill="auto"/>
                  <w:vAlign w:val="center"/>
                </w:tcPr>
                <w:p w14:paraId="03B237A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2173039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23" w:type="dxa"/>
                  <w:tcBorders>
                    <w:tl2br w:val="nil"/>
                    <w:tr2bl w:val="nil"/>
                  </w:tcBorders>
                  <w:shd w:val="clear" w:color="auto" w:fill="auto"/>
                  <w:vAlign w:val="center"/>
                </w:tcPr>
                <w:p w14:paraId="34C051E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3B8263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6ECB820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w:t>
                  </w:r>
                </w:p>
              </w:tc>
              <w:tc>
                <w:tcPr>
                  <w:tcW w:w="3456" w:type="dxa"/>
                  <w:tcBorders>
                    <w:tl2br w:val="nil"/>
                    <w:tr2bl w:val="nil"/>
                  </w:tcBorders>
                  <w:shd w:val="clear" w:color="auto" w:fill="auto"/>
                  <w:vAlign w:val="center"/>
                </w:tcPr>
                <w:p w14:paraId="62C6808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气泵</w:t>
                  </w:r>
                </w:p>
              </w:tc>
              <w:tc>
                <w:tcPr>
                  <w:tcW w:w="1769" w:type="dxa"/>
                  <w:tcBorders>
                    <w:tl2br w:val="nil"/>
                    <w:tr2bl w:val="nil"/>
                  </w:tcBorders>
                  <w:shd w:val="clear" w:color="auto" w:fill="auto"/>
                  <w:vAlign w:val="center"/>
                </w:tcPr>
                <w:p w14:paraId="2A5C67E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印刷机配套</w:t>
                  </w:r>
                </w:p>
              </w:tc>
              <w:tc>
                <w:tcPr>
                  <w:tcW w:w="683" w:type="dxa"/>
                  <w:tcBorders>
                    <w:tl2br w:val="nil"/>
                    <w:tr2bl w:val="nil"/>
                  </w:tcBorders>
                  <w:shd w:val="clear" w:color="auto" w:fill="auto"/>
                  <w:vAlign w:val="center"/>
                </w:tcPr>
                <w:p w14:paraId="19FFB167">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723" w:type="dxa"/>
                  <w:tcBorders>
                    <w:tl2br w:val="nil"/>
                    <w:tr2bl w:val="nil"/>
                  </w:tcBorders>
                  <w:shd w:val="clear" w:color="auto" w:fill="auto"/>
                  <w:vAlign w:val="center"/>
                </w:tcPr>
                <w:p w14:paraId="5B6AC2A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24F078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3F4DF5C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c>
                <w:tcPr>
                  <w:tcW w:w="3456" w:type="dxa"/>
                  <w:tcBorders>
                    <w:tl2br w:val="nil"/>
                    <w:tr2bl w:val="nil"/>
                  </w:tcBorders>
                  <w:shd w:val="clear" w:color="auto" w:fill="auto"/>
                  <w:vAlign w:val="center"/>
                </w:tcPr>
                <w:p w14:paraId="0444296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双牵引上胶机</w:t>
                  </w:r>
                </w:p>
              </w:tc>
              <w:tc>
                <w:tcPr>
                  <w:tcW w:w="1769" w:type="dxa"/>
                  <w:tcBorders>
                    <w:tl2br w:val="nil"/>
                    <w:tr2bl w:val="nil"/>
                  </w:tcBorders>
                  <w:shd w:val="clear" w:color="auto" w:fill="auto"/>
                  <w:vAlign w:val="center"/>
                </w:tcPr>
                <w:p w14:paraId="2E51EF37">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683" w:type="dxa"/>
                  <w:tcBorders>
                    <w:tl2br w:val="nil"/>
                    <w:tr2bl w:val="nil"/>
                  </w:tcBorders>
                  <w:shd w:val="clear" w:color="auto" w:fill="auto"/>
                  <w:vAlign w:val="center"/>
                </w:tcPr>
                <w:p w14:paraId="4A3CD6D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723" w:type="dxa"/>
                  <w:tcBorders>
                    <w:tl2br w:val="nil"/>
                    <w:tr2bl w:val="nil"/>
                  </w:tcBorders>
                  <w:shd w:val="clear" w:color="auto" w:fill="auto"/>
                  <w:vAlign w:val="center"/>
                </w:tcPr>
                <w:p w14:paraId="1502766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3F8BC9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2863AC4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w:t>
                  </w:r>
                </w:p>
              </w:tc>
              <w:tc>
                <w:tcPr>
                  <w:tcW w:w="3456" w:type="dxa"/>
                  <w:tcBorders>
                    <w:tl2br w:val="nil"/>
                    <w:tr2bl w:val="nil"/>
                  </w:tcBorders>
                  <w:shd w:val="clear" w:color="auto" w:fill="auto"/>
                  <w:vAlign w:val="center"/>
                </w:tcPr>
                <w:p w14:paraId="0E5AFB9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半自动收卷机</w:t>
                  </w:r>
                </w:p>
              </w:tc>
              <w:tc>
                <w:tcPr>
                  <w:tcW w:w="1769" w:type="dxa"/>
                  <w:tcBorders>
                    <w:tl2br w:val="nil"/>
                    <w:tr2bl w:val="nil"/>
                  </w:tcBorders>
                  <w:shd w:val="clear" w:color="auto" w:fill="auto"/>
                  <w:vAlign w:val="center"/>
                </w:tcPr>
                <w:p w14:paraId="4650924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Φ800</w:t>
                  </w:r>
                </w:p>
              </w:tc>
              <w:tc>
                <w:tcPr>
                  <w:tcW w:w="683" w:type="dxa"/>
                  <w:tcBorders>
                    <w:tl2br w:val="nil"/>
                    <w:tr2bl w:val="nil"/>
                  </w:tcBorders>
                  <w:shd w:val="clear" w:color="auto" w:fill="auto"/>
                  <w:vAlign w:val="center"/>
                </w:tcPr>
                <w:p w14:paraId="27A3024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723" w:type="dxa"/>
                  <w:tcBorders>
                    <w:tl2br w:val="nil"/>
                    <w:tr2bl w:val="nil"/>
                  </w:tcBorders>
                  <w:shd w:val="clear" w:color="auto" w:fill="auto"/>
                  <w:vAlign w:val="center"/>
                </w:tcPr>
                <w:p w14:paraId="2E6039F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52B6B6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60E2B8B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17</w:t>
                  </w:r>
                </w:p>
              </w:tc>
              <w:tc>
                <w:tcPr>
                  <w:tcW w:w="3456" w:type="dxa"/>
                  <w:tcBorders>
                    <w:tl2br w:val="nil"/>
                    <w:tr2bl w:val="nil"/>
                  </w:tcBorders>
                  <w:shd w:val="clear" w:color="auto" w:fill="auto"/>
                  <w:vAlign w:val="center"/>
                </w:tcPr>
                <w:p w14:paraId="1EF224B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封闭式除尘投料站</w:t>
                  </w:r>
                </w:p>
              </w:tc>
              <w:tc>
                <w:tcPr>
                  <w:tcW w:w="1769" w:type="dxa"/>
                  <w:tcBorders>
                    <w:tl2br w:val="nil"/>
                    <w:tr2bl w:val="nil"/>
                  </w:tcBorders>
                  <w:shd w:val="clear" w:color="auto" w:fill="auto"/>
                  <w:vAlign w:val="center"/>
                </w:tcPr>
                <w:p w14:paraId="0FF912D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683" w:type="dxa"/>
                  <w:tcBorders>
                    <w:tl2br w:val="nil"/>
                    <w:tr2bl w:val="nil"/>
                  </w:tcBorders>
                  <w:shd w:val="clear" w:color="auto" w:fill="auto"/>
                  <w:vAlign w:val="center"/>
                </w:tcPr>
                <w:p w14:paraId="74D268B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23" w:type="dxa"/>
                  <w:tcBorders>
                    <w:tl2br w:val="nil"/>
                    <w:tr2bl w:val="nil"/>
                  </w:tcBorders>
                  <w:shd w:val="clear" w:color="auto" w:fill="auto"/>
                  <w:vAlign w:val="center"/>
                </w:tcPr>
                <w:p w14:paraId="5F29AC8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4169D6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0B285DF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w:t>
                  </w:r>
                </w:p>
              </w:tc>
              <w:tc>
                <w:tcPr>
                  <w:tcW w:w="3456" w:type="dxa"/>
                  <w:tcBorders>
                    <w:tl2br w:val="nil"/>
                    <w:tr2bl w:val="nil"/>
                  </w:tcBorders>
                  <w:shd w:val="clear" w:color="auto" w:fill="auto"/>
                  <w:vAlign w:val="center"/>
                </w:tcPr>
                <w:p w14:paraId="443B102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封闭式移动过渡仓</w:t>
                  </w:r>
                </w:p>
              </w:tc>
              <w:tc>
                <w:tcPr>
                  <w:tcW w:w="1769" w:type="dxa"/>
                  <w:tcBorders>
                    <w:tl2br w:val="nil"/>
                    <w:tr2bl w:val="nil"/>
                  </w:tcBorders>
                  <w:shd w:val="clear" w:color="auto" w:fill="auto"/>
                  <w:vAlign w:val="center"/>
                </w:tcPr>
                <w:p w14:paraId="36654C1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683" w:type="dxa"/>
                  <w:tcBorders>
                    <w:tl2br w:val="nil"/>
                    <w:tr2bl w:val="nil"/>
                  </w:tcBorders>
                  <w:shd w:val="clear" w:color="auto" w:fill="auto"/>
                  <w:vAlign w:val="center"/>
                </w:tcPr>
                <w:p w14:paraId="10B0D177">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723" w:type="dxa"/>
                  <w:tcBorders>
                    <w:tl2br w:val="nil"/>
                    <w:tr2bl w:val="nil"/>
                  </w:tcBorders>
                  <w:shd w:val="clear" w:color="auto" w:fill="auto"/>
                  <w:vAlign w:val="center"/>
                </w:tcPr>
                <w:p w14:paraId="6215662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0A0CED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170FC03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19</w:t>
                  </w:r>
                </w:p>
              </w:tc>
              <w:tc>
                <w:tcPr>
                  <w:tcW w:w="3456" w:type="dxa"/>
                  <w:tcBorders>
                    <w:tl2br w:val="nil"/>
                    <w:tr2bl w:val="nil"/>
                  </w:tcBorders>
                  <w:shd w:val="clear" w:color="auto" w:fill="auto"/>
                  <w:vAlign w:val="center"/>
                </w:tcPr>
                <w:p w14:paraId="5D50843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挤出机真空上料机</w:t>
                  </w:r>
                </w:p>
              </w:tc>
              <w:tc>
                <w:tcPr>
                  <w:tcW w:w="1769" w:type="dxa"/>
                  <w:tcBorders>
                    <w:tl2br w:val="nil"/>
                    <w:tr2bl w:val="nil"/>
                  </w:tcBorders>
                  <w:shd w:val="clear" w:color="auto" w:fill="auto"/>
                  <w:vAlign w:val="center"/>
                </w:tcPr>
                <w:p w14:paraId="494ADA6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LC8300</w:t>
                  </w:r>
                </w:p>
              </w:tc>
              <w:tc>
                <w:tcPr>
                  <w:tcW w:w="683" w:type="dxa"/>
                  <w:tcBorders>
                    <w:tl2br w:val="nil"/>
                    <w:tr2bl w:val="nil"/>
                  </w:tcBorders>
                  <w:shd w:val="clear" w:color="auto" w:fill="auto"/>
                  <w:vAlign w:val="center"/>
                </w:tcPr>
                <w:p w14:paraId="44E86F6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087F82B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1BE075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4844B93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3456" w:type="dxa"/>
                  <w:tcBorders>
                    <w:tl2br w:val="nil"/>
                    <w:tr2bl w:val="nil"/>
                  </w:tcBorders>
                  <w:shd w:val="clear" w:color="auto" w:fill="auto"/>
                  <w:vAlign w:val="center"/>
                </w:tcPr>
                <w:p w14:paraId="3B1A814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热混排风粉尘收集器</w:t>
                  </w:r>
                </w:p>
              </w:tc>
              <w:tc>
                <w:tcPr>
                  <w:tcW w:w="1769" w:type="dxa"/>
                  <w:tcBorders>
                    <w:tl2br w:val="nil"/>
                    <w:tr2bl w:val="nil"/>
                  </w:tcBorders>
                  <w:shd w:val="clear" w:color="auto" w:fill="auto"/>
                  <w:vAlign w:val="center"/>
                </w:tcPr>
                <w:p w14:paraId="478797E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683" w:type="dxa"/>
                  <w:tcBorders>
                    <w:tl2br w:val="nil"/>
                    <w:tr2bl w:val="nil"/>
                  </w:tcBorders>
                  <w:shd w:val="clear" w:color="auto" w:fill="auto"/>
                  <w:vAlign w:val="center"/>
                </w:tcPr>
                <w:p w14:paraId="03BB9B4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23" w:type="dxa"/>
                  <w:tcBorders>
                    <w:tl2br w:val="nil"/>
                    <w:tr2bl w:val="nil"/>
                  </w:tcBorders>
                  <w:shd w:val="clear" w:color="auto" w:fill="auto"/>
                  <w:vAlign w:val="center"/>
                </w:tcPr>
                <w:p w14:paraId="6B10A1B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r w14:paraId="5EE162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0" w:type="dxa"/>
                  <w:tcBorders>
                    <w:tl2br w:val="nil"/>
                    <w:tr2bl w:val="nil"/>
                  </w:tcBorders>
                  <w:shd w:val="clear" w:color="auto" w:fill="auto"/>
                  <w:vAlign w:val="center"/>
                </w:tcPr>
                <w:p w14:paraId="0EE15A77">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21</w:t>
                  </w:r>
                </w:p>
              </w:tc>
              <w:tc>
                <w:tcPr>
                  <w:tcW w:w="3456" w:type="dxa"/>
                  <w:tcBorders>
                    <w:tl2br w:val="nil"/>
                    <w:tr2bl w:val="nil"/>
                  </w:tcBorders>
                  <w:shd w:val="clear" w:color="auto" w:fill="auto"/>
                  <w:vAlign w:val="center"/>
                </w:tcPr>
                <w:p w14:paraId="578EEC8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物料输送真空泵</w:t>
                  </w:r>
                </w:p>
              </w:tc>
              <w:tc>
                <w:tcPr>
                  <w:tcW w:w="1769" w:type="dxa"/>
                  <w:tcBorders>
                    <w:tl2br w:val="nil"/>
                    <w:tr2bl w:val="nil"/>
                  </w:tcBorders>
                  <w:shd w:val="clear" w:color="auto" w:fill="auto"/>
                  <w:vAlign w:val="center"/>
                </w:tcPr>
                <w:p w14:paraId="6C293A9A">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TCY-80加长型</w:t>
                  </w:r>
                </w:p>
              </w:tc>
              <w:tc>
                <w:tcPr>
                  <w:tcW w:w="683" w:type="dxa"/>
                  <w:tcBorders>
                    <w:tl2br w:val="nil"/>
                    <w:tr2bl w:val="nil"/>
                  </w:tcBorders>
                  <w:shd w:val="clear" w:color="auto" w:fill="auto"/>
                  <w:vAlign w:val="center"/>
                </w:tcPr>
                <w:p w14:paraId="16BDFAA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23" w:type="dxa"/>
                  <w:tcBorders>
                    <w:tl2br w:val="nil"/>
                    <w:tr2bl w:val="nil"/>
                  </w:tcBorders>
                  <w:shd w:val="clear" w:color="auto" w:fill="auto"/>
                  <w:vAlign w:val="center"/>
                </w:tcPr>
                <w:p w14:paraId="1C3057F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r>
          </w:tbl>
          <w:p w14:paraId="4BA7587C">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3.原辅材料及能源消耗</w:t>
            </w:r>
          </w:p>
          <w:p w14:paraId="331D57B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rightChars="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eastAsia" w:cs="Times New Roman"/>
                <w:b/>
                <w:bCs/>
                <w:i w:val="0"/>
                <w:iCs w:val="0"/>
                <w:caps w:val="0"/>
                <w:color w:val="auto"/>
                <w:spacing w:val="0"/>
                <w:sz w:val="24"/>
                <w:szCs w:val="24"/>
                <w:shd w:val="clear" w:fill="FFFFFF"/>
                <w:lang w:val="en-US" w:eastAsia="zh-CN" w:bidi="ar-SA"/>
              </w:rPr>
              <w:t>6.1</w:t>
            </w:r>
            <w:r>
              <w:rPr>
                <w:rFonts w:hint="default" w:ascii="Times New Roman" w:hAnsi="Times New Roman" w:eastAsia="宋体" w:cs="Times New Roman"/>
                <w:b/>
                <w:bCs/>
                <w:i w:val="0"/>
                <w:iCs w:val="0"/>
                <w:caps w:val="0"/>
                <w:color w:val="auto"/>
                <w:spacing w:val="0"/>
                <w:sz w:val="24"/>
                <w:szCs w:val="24"/>
                <w:shd w:val="clear" w:fill="FFFFFF"/>
                <w:lang w:val="en-US" w:eastAsia="zh-CN" w:bidi="ar-SA"/>
              </w:rPr>
              <w:t>原辅材料消耗</w:t>
            </w:r>
          </w:p>
          <w:p w14:paraId="1BB322CF">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bCs/>
                <w:color w:val="auto"/>
                <w:spacing w:val="0"/>
                <w:position w:val="0"/>
                <w:sz w:val="21"/>
                <w:szCs w:val="21"/>
                <w:highlight w:val="none"/>
                <w:u w:val="none"/>
              </w:rPr>
            </w:pPr>
            <w:r>
              <w:rPr>
                <w:rFonts w:hint="default" w:ascii="Times New Roman" w:hAnsi="Times New Roman" w:eastAsia="宋体" w:cs="Times New Roman"/>
                <w:i w:val="0"/>
                <w:iCs w:val="0"/>
                <w:caps w:val="0"/>
                <w:color w:val="auto"/>
                <w:spacing w:val="0"/>
                <w:sz w:val="24"/>
                <w:szCs w:val="24"/>
                <w:shd w:val="clear" w:fill="FFFFFF"/>
                <w:lang w:val="en-US" w:eastAsia="zh-CN" w:bidi="ar-SA"/>
              </w:rPr>
              <w:t>本项目主要原辅材料及能源消耗情况见下表</w:t>
            </w:r>
          </w:p>
          <w:p w14:paraId="4E1E218F">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i w:val="0"/>
                <w:iCs w:val="0"/>
                <w:caps w:val="0"/>
                <w:color w:val="auto"/>
                <w:spacing w:val="0"/>
                <w:sz w:val="21"/>
                <w:szCs w:val="21"/>
                <w:shd w:val="clear" w:fill="FFFFFF"/>
                <w:lang w:val="en-US" w:eastAsia="zh-CN" w:bidi="ar-SA"/>
              </w:rPr>
            </w:pPr>
            <w:r>
              <w:rPr>
                <w:rFonts w:hint="default" w:ascii="Times New Roman" w:hAnsi="Times New Roman" w:eastAsia="宋体" w:cs="Times New Roman"/>
                <w:b/>
                <w:bCs/>
                <w:color w:val="auto"/>
                <w:spacing w:val="0"/>
                <w:position w:val="0"/>
                <w:sz w:val="21"/>
                <w:szCs w:val="21"/>
                <w:highlight w:val="none"/>
                <w:u w:val="none"/>
                <w:lang w:val="en-US" w:eastAsia="zh-CN"/>
              </w:rPr>
              <w:t>表2-3</w:t>
            </w:r>
            <w:r>
              <w:rPr>
                <w:rFonts w:hint="default" w:ascii="Times New Roman" w:hAnsi="Times New Roman" w:eastAsia="宋体" w:cs="Times New Roman"/>
                <w:b/>
                <w:bCs/>
                <w:color w:val="auto"/>
                <w:spacing w:val="0"/>
                <w:position w:val="0"/>
                <w:sz w:val="21"/>
                <w:szCs w:val="21"/>
                <w:highlight w:val="none"/>
                <w:u w:val="none"/>
                <w:lang w:eastAsia="zh-CN"/>
              </w:rPr>
              <w:t>项目</w:t>
            </w:r>
            <w:r>
              <w:rPr>
                <w:rFonts w:hint="default" w:ascii="Times New Roman" w:hAnsi="Times New Roman" w:eastAsia="宋体" w:cs="Times New Roman"/>
                <w:b/>
                <w:bCs/>
                <w:color w:val="auto"/>
                <w:spacing w:val="0"/>
                <w:position w:val="0"/>
                <w:sz w:val="21"/>
                <w:szCs w:val="21"/>
                <w:highlight w:val="none"/>
                <w:u w:val="none"/>
              </w:rPr>
              <w:t>主要原辅材料消耗</w:t>
            </w:r>
            <w:r>
              <w:rPr>
                <w:rFonts w:hint="default" w:ascii="Times New Roman" w:hAnsi="Times New Roman" w:eastAsia="宋体" w:cs="Times New Roman"/>
                <w:b/>
                <w:bCs/>
                <w:color w:val="auto"/>
                <w:spacing w:val="0"/>
                <w:position w:val="0"/>
                <w:sz w:val="21"/>
                <w:szCs w:val="21"/>
                <w:highlight w:val="none"/>
                <w:u w:val="none"/>
                <w:lang w:eastAsia="zh-CN"/>
              </w:rPr>
              <w:t>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64"/>
              <w:gridCol w:w="1541"/>
              <w:gridCol w:w="824"/>
              <w:gridCol w:w="914"/>
              <w:gridCol w:w="1172"/>
              <w:gridCol w:w="1043"/>
              <w:gridCol w:w="1044"/>
            </w:tblGrid>
            <w:tr w14:paraId="7CDB31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75F4F70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1541" w:type="dxa"/>
                  <w:tcBorders>
                    <w:tl2br w:val="nil"/>
                    <w:tr2bl w:val="nil"/>
                  </w:tcBorders>
                  <w:shd w:val="clear" w:color="auto" w:fill="auto"/>
                  <w:vAlign w:val="center"/>
                </w:tcPr>
                <w:p w14:paraId="4D2A693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名称</w:t>
                  </w:r>
                </w:p>
              </w:tc>
              <w:tc>
                <w:tcPr>
                  <w:tcW w:w="824" w:type="dxa"/>
                  <w:tcBorders>
                    <w:tl2br w:val="nil"/>
                    <w:tr2bl w:val="nil"/>
                  </w:tcBorders>
                  <w:shd w:val="clear" w:color="auto" w:fill="auto"/>
                  <w:vAlign w:val="center"/>
                </w:tcPr>
                <w:p w14:paraId="48B27AC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年用量</w:t>
                  </w:r>
                </w:p>
              </w:tc>
              <w:tc>
                <w:tcPr>
                  <w:tcW w:w="914" w:type="dxa"/>
                  <w:tcBorders>
                    <w:tl2br w:val="nil"/>
                    <w:tr2bl w:val="nil"/>
                  </w:tcBorders>
                  <w:shd w:val="clear" w:color="auto" w:fill="auto"/>
                  <w:vAlign w:val="center"/>
                </w:tcPr>
                <w:p w14:paraId="28C0632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单位</w:t>
                  </w:r>
                </w:p>
              </w:tc>
              <w:tc>
                <w:tcPr>
                  <w:tcW w:w="1172" w:type="dxa"/>
                  <w:tcBorders>
                    <w:tl2br w:val="nil"/>
                    <w:tr2bl w:val="nil"/>
                  </w:tcBorders>
                  <w:shd w:val="clear" w:color="auto" w:fill="auto"/>
                  <w:vAlign w:val="center"/>
                </w:tcPr>
                <w:p w14:paraId="4E15E87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形态</w:t>
                  </w:r>
                </w:p>
              </w:tc>
              <w:tc>
                <w:tcPr>
                  <w:tcW w:w="1043" w:type="dxa"/>
                  <w:tcBorders>
                    <w:tl2br w:val="nil"/>
                    <w:tr2bl w:val="nil"/>
                  </w:tcBorders>
                  <w:shd w:val="clear" w:color="auto" w:fill="auto"/>
                  <w:vAlign w:val="center"/>
                </w:tcPr>
                <w:p w14:paraId="5571238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包装规格</w:t>
                  </w:r>
                </w:p>
              </w:tc>
              <w:tc>
                <w:tcPr>
                  <w:tcW w:w="1044" w:type="dxa"/>
                  <w:tcBorders>
                    <w:tl2br w:val="nil"/>
                    <w:tr2bl w:val="nil"/>
                  </w:tcBorders>
                  <w:shd w:val="clear" w:color="auto" w:fill="auto"/>
                  <w:vAlign w:val="center"/>
                </w:tcPr>
                <w:p w14:paraId="669C071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最大储存量</w:t>
                  </w:r>
                </w:p>
              </w:tc>
            </w:tr>
            <w:tr w14:paraId="48644A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4DCD48C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541" w:type="dxa"/>
                  <w:tcBorders>
                    <w:tl2br w:val="nil"/>
                    <w:tr2bl w:val="nil"/>
                  </w:tcBorders>
                  <w:shd w:val="clear" w:color="auto" w:fill="auto"/>
                  <w:vAlign w:val="center"/>
                </w:tcPr>
                <w:p w14:paraId="39F703B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PVC树脂粉</w:t>
                  </w:r>
                </w:p>
              </w:tc>
              <w:tc>
                <w:tcPr>
                  <w:tcW w:w="824" w:type="dxa"/>
                  <w:tcBorders>
                    <w:tl2br w:val="nil"/>
                    <w:tr2bl w:val="nil"/>
                  </w:tcBorders>
                  <w:shd w:val="clear" w:color="auto" w:fill="auto"/>
                  <w:vAlign w:val="center"/>
                </w:tcPr>
                <w:p w14:paraId="4D55CD6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800</w:t>
                  </w:r>
                </w:p>
              </w:tc>
              <w:tc>
                <w:tcPr>
                  <w:tcW w:w="914" w:type="dxa"/>
                  <w:tcBorders>
                    <w:tl2br w:val="nil"/>
                    <w:tr2bl w:val="nil"/>
                  </w:tcBorders>
                  <w:shd w:val="clear" w:color="auto" w:fill="auto"/>
                  <w:vAlign w:val="center"/>
                </w:tcPr>
                <w:p w14:paraId="7AA50C3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0F558E5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粉状</w:t>
                  </w:r>
                </w:p>
              </w:tc>
              <w:tc>
                <w:tcPr>
                  <w:tcW w:w="1043" w:type="dxa"/>
                  <w:tcBorders>
                    <w:tl2br w:val="nil"/>
                    <w:tr2bl w:val="nil"/>
                  </w:tcBorders>
                  <w:shd w:val="clear" w:color="auto" w:fill="auto"/>
                  <w:vAlign w:val="center"/>
                </w:tcPr>
                <w:p w14:paraId="4F77C1F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25kg/袋</w:t>
                  </w:r>
                </w:p>
              </w:tc>
              <w:tc>
                <w:tcPr>
                  <w:tcW w:w="1044" w:type="dxa"/>
                  <w:tcBorders>
                    <w:tl2br w:val="nil"/>
                    <w:tr2bl w:val="nil"/>
                  </w:tcBorders>
                  <w:shd w:val="clear" w:color="auto" w:fill="auto"/>
                  <w:vAlign w:val="center"/>
                </w:tcPr>
                <w:p w14:paraId="4504B31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50吨</w:t>
                  </w:r>
                </w:p>
              </w:tc>
            </w:tr>
            <w:tr w14:paraId="6A5F6C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5B6A8BE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1541" w:type="dxa"/>
                  <w:tcBorders>
                    <w:tl2br w:val="nil"/>
                    <w:tr2bl w:val="nil"/>
                  </w:tcBorders>
                  <w:shd w:val="clear" w:color="auto" w:fill="auto"/>
                  <w:vAlign w:val="center"/>
                </w:tcPr>
                <w:p w14:paraId="2A49883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碳酸钙（钙粉）</w:t>
                  </w:r>
                </w:p>
              </w:tc>
              <w:tc>
                <w:tcPr>
                  <w:tcW w:w="824" w:type="dxa"/>
                  <w:tcBorders>
                    <w:tl2br w:val="nil"/>
                    <w:tr2bl w:val="nil"/>
                  </w:tcBorders>
                  <w:shd w:val="clear" w:color="auto" w:fill="auto"/>
                  <w:vAlign w:val="center"/>
                </w:tcPr>
                <w:p w14:paraId="2F7FFD9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400</w:t>
                  </w:r>
                </w:p>
              </w:tc>
              <w:tc>
                <w:tcPr>
                  <w:tcW w:w="914" w:type="dxa"/>
                  <w:tcBorders>
                    <w:tl2br w:val="nil"/>
                    <w:tr2bl w:val="nil"/>
                  </w:tcBorders>
                  <w:shd w:val="clear" w:color="auto" w:fill="auto"/>
                  <w:vAlign w:val="center"/>
                </w:tcPr>
                <w:p w14:paraId="5F33ACE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5B9FDEA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粉状</w:t>
                  </w:r>
                </w:p>
              </w:tc>
              <w:tc>
                <w:tcPr>
                  <w:tcW w:w="1043" w:type="dxa"/>
                  <w:tcBorders>
                    <w:tl2br w:val="nil"/>
                    <w:tr2bl w:val="nil"/>
                  </w:tcBorders>
                  <w:shd w:val="clear" w:color="auto" w:fill="auto"/>
                  <w:vAlign w:val="center"/>
                </w:tcPr>
                <w:p w14:paraId="1DDB2E3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25kg/袋</w:t>
                  </w:r>
                </w:p>
              </w:tc>
              <w:tc>
                <w:tcPr>
                  <w:tcW w:w="1044" w:type="dxa"/>
                  <w:tcBorders>
                    <w:tl2br w:val="nil"/>
                    <w:tr2bl w:val="nil"/>
                  </w:tcBorders>
                  <w:shd w:val="clear" w:color="auto" w:fill="auto"/>
                  <w:vAlign w:val="center"/>
                </w:tcPr>
                <w:p w14:paraId="55A4FCC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30吨</w:t>
                  </w:r>
                </w:p>
              </w:tc>
            </w:tr>
            <w:tr w14:paraId="3F7536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762986E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41" w:type="dxa"/>
                  <w:tcBorders>
                    <w:tl2br w:val="nil"/>
                    <w:tr2bl w:val="nil"/>
                  </w:tcBorders>
                  <w:shd w:val="clear" w:color="auto" w:fill="auto"/>
                  <w:vAlign w:val="center"/>
                </w:tcPr>
                <w:p w14:paraId="456FE28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复合稳定剂</w:t>
                  </w:r>
                </w:p>
              </w:tc>
              <w:tc>
                <w:tcPr>
                  <w:tcW w:w="824" w:type="dxa"/>
                  <w:tcBorders>
                    <w:tl2br w:val="nil"/>
                    <w:tr2bl w:val="nil"/>
                  </w:tcBorders>
                  <w:shd w:val="clear" w:color="auto" w:fill="auto"/>
                  <w:vAlign w:val="center"/>
                </w:tcPr>
                <w:p w14:paraId="3986122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w:t>
                  </w:r>
                </w:p>
              </w:tc>
              <w:tc>
                <w:tcPr>
                  <w:tcW w:w="914" w:type="dxa"/>
                  <w:tcBorders>
                    <w:tl2br w:val="nil"/>
                    <w:tr2bl w:val="nil"/>
                  </w:tcBorders>
                  <w:shd w:val="clear" w:color="auto" w:fill="auto"/>
                  <w:vAlign w:val="center"/>
                </w:tcPr>
                <w:p w14:paraId="336DC1A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73577F3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粉状</w:t>
                  </w:r>
                </w:p>
              </w:tc>
              <w:tc>
                <w:tcPr>
                  <w:tcW w:w="1043" w:type="dxa"/>
                  <w:tcBorders>
                    <w:tl2br w:val="nil"/>
                    <w:tr2bl w:val="nil"/>
                  </w:tcBorders>
                  <w:shd w:val="clear" w:color="auto" w:fill="auto"/>
                  <w:vAlign w:val="center"/>
                </w:tcPr>
                <w:p w14:paraId="079B647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25kg/袋</w:t>
                  </w:r>
                </w:p>
              </w:tc>
              <w:tc>
                <w:tcPr>
                  <w:tcW w:w="1044" w:type="dxa"/>
                  <w:tcBorders>
                    <w:tl2br w:val="nil"/>
                    <w:tr2bl w:val="nil"/>
                  </w:tcBorders>
                  <w:shd w:val="clear" w:color="auto" w:fill="auto"/>
                  <w:vAlign w:val="center"/>
                </w:tcPr>
                <w:p w14:paraId="3E3A42A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2吨</w:t>
                  </w:r>
                </w:p>
              </w:tc>
            </w:tr>
            <w:tr w14:paraId="1F54B8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1245F09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41" w:type="dxa"/>
                  <w:tcBorders>
                    <w:tl2br w:val="nil"/>
                    <w:tr2bl w:val="nil"/>
                  </w:tcBorders>
                  <w:shd w:val="clear" w:color="auto" w:fill="auto"/>
                  <w:vAlign w:val="center"/>
                </w:tcPr>
                <w:p w14:paraId="3E4E4EB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色母粉</w:t>
                  </w:r>
                </w:p>
              </w:tc>
              <w:tc>
                <w:tcPr>
                  <w:tcW w:w="824" w:type="dxa"/>
                  <w:tcBorders>
                    <w:tl2br w:val="nil"/>
                    <w:tr2bl w:val="nil"/>
                  </w:tcBorders>
                  <w:shd w:val="clear" w:color="auto" w:fill="auto"/>
                  <w:vAlign w:val="center"/>
                </w:tcPr>
                <w:p w14:paraId="4AAD7E0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914" w:type="dxa"/>
                  <w:tcBorders>
                    <w:tl2br w:val="nil"/>
                    <w:tr2bl w:val="nil"/>
                  </w:tcBorders>
                  <w:shd w:val="clear" w:color="auto" w:fill="auto"/>
                  <w:vAlign w:val="center"/>
                </w:tcPr>
                <w:p w14:paraId="03FBF6D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141B745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粉状/粒状</w:t>
                  </w:r>
                </w:p>
              </w:tc>
              <w:tc>
                <w:tcPr>
                  <w:tcW w:w="1043" w:type="dxa"/>
                  <w:tcBorders>
                    <w:tl2br w:val="nil"/>
                    <w:tr2bl w:val="nil"/>
                  </w:tcBorders>
                  <w:shd w:val="clear" w:color="auto" w:fill="auto"/>
                  <w:vAlign w:val="center"/>
                </w:tcPr>
                <w:p w14:paraId="6B3F2DB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25kg/袋</w:t>
                  </w:r>
                </w:p>
              </w:tc>
              <w:tc>
                <w:tcPr>
                  <w:tcW w:w="1044" w:type="dxa"/>
                  <w:tcBorders>
                    <w:tl2br w:val="nil"/>
                    <w:tr2bl w:val="nil"/>
                  </w:tcBorders>
                  <w:shd w:val="clear" w:color="auto" w:fill="auto"/>
                  <w:vAlign w:val="center"/>
                </w:tcPr>
                <w:p w14:paraId="0308EBB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0.5吨</w:t>
                  </w:r>
                </w:p>
              </w:tc>
            </w:tr>
            <w:tr w14:paraId="4CB4AE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0E05FB6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41" w:type="dxa"/>
                  <w:tcBorders>
                    <w:tl2br w:val="nil"/>
                    <w:tr2bl w:val="nil"/>
                  </w:tcBorders>
                  <w:shd w:val="clear" w:color="auto" w:fill="auto"/>
                  <w:vAlign w:val="center"/>
                </w:tcPr>
                <w:p w14:paraId="0D60954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钛白粉</w:t>
                  </w:r>
                </w:p>
              </w:tc>
              <w:tc>
                <w:tcPr>
                  <w:tcW w:w="824" w:type="dxa"/>
                  <w:tcBorders>
                    <w:tl2br w:val="nil"/>
                    <w:tr2bl w:val="nil"/>
                  </w:tcBorders>
                  <w:shd w:val="clear" w:color="auto" w:fill="auto"/>
                  <w:vAlign w:val="center"/>
                </w:tcPr>
                <w:p w14:paraId="1718900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914" w:type="dxa"/>
                  <w:tcBorders>
                    <w:tl2br w:val="nil"/>
                    <w:tr2bl w:val="nil"/>
                  </w:tcBorders>
                  <w:shd w:val="clear" w:color="auto" w:fill="auto"/>
                  <w:vAlign w:val="center"/>
                </w:tcPr>
                <w:p w14:paraId="1346569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55351DF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粉状</w:t>
                  </w:r>
                </w:p>
              </w:tc>
              <w:tc>
                <w:tcPr>
                  <w:tcW w:w="1043" w:type="dxa"/>
                  <w:tcBorders>
                    <w:tl2br w:val="nil"/>
                    <w:tr2bl w:val="nil"/>
                  </w:tcBorders>
                  <w:shd w:val="clear" w:color="auto" w:fill="auto"/>
                  <w:vAlign w:val="center"/>
                </w:tcPr>
                <w:p w14:paraId="555B045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25kg/袋</w:t>
                  </w:r>
                </w:p>
              </w:tc>
              <w:tc>
                <w:tcPr>
                  <w:tcW w:w="1044" w:type="dxa"/>
                  <w:tcBorders>
                    <w:tl2br w:val="nil"/>
                    <w:tr2bl w:val="nil"/>
                  </w:tcBorders>
                  <w:shd w:val="clear" w:color="auto" w:fill="auto"/>
                  <w:vAlign w:val="center"/>
                </w:tcPr>
                <w:p w14:paraId="32E3539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1吨</w:t>
                  </w:r>
                </w:p>
              </w:tc>
            </w:tr>
            <w:tr w14:paraId="17A81D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632738E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41" w:type="dxa"/>
                  <w:tcBorders>
                    <w:tl2br w:val="nil"/>
                    <w:tr2bl w:val="nil"/>
                  </w:tcBorders>
                  <w:shd w:val="clear" w:color="auto" w:fill="auto"/>
                  <w:vAlign w:val="center"/>
                </w:tcPr>
                <w:p w14:paraId="116B954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石蜡</w:t>
                  </w:r>
                </w:p>
              </w:tc>
              <w:tc>
                <w:tcPr>
                  <w:tcW w:w="824" w:type="dxa"/>
                  <w:tcBorders>
                    <w:tl2br w:val="nil"/>
                    <w:tr2bl w:val="nil"/>
                  </w:tcBorders>
                  <w:shd w:val="clear" w:color="auto" w:fill="auto"/>
                  <w:vAlign w:val="center"/>
                </w:tcPr>
                <w:p w14:paraId="341BD4C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914" w:type="dxa"/>
                  <w:tcBorders>
                    <w:tl2br w:val="nil"/>
                    <w:tr2bl w:val="nil"/>
                  </w:tcBorders>
                  <w:shd w:val="clear" w:color="auto" w:fill="auto"/>
                  <w:vAlign w:val="center"/>
                </w:tcPr>
                <w:p w14:paraId="3E49983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081608C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粉状/片状</w:t>
                  </w:r>
                </w:p>
              </w:tc>
              <w:tc>
                <w:tcPr>
                  <w:tcW w:w="1043" w:type="dxa"/>
                  <w:tcBorders>
                    <w:tl2br w:val="nil"/>
                    <w:tr2bl w:val="nil"/>
                  </w:tcBorders>
                  <w:shd w:val="clear" w:color="auto" w:fill="auto"/>
                  <w:vAlign w:val="center"/>
                </w:tcPr>
                <w:p w14:paraId="1E522C6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25kg/袋</w:t>
                  </w:r>
                </w:p>
              </w:tc>
              <w:tc>
                <w:tcPr>
                  <w:tcW w:w="1044" w:type="dxa"/>
                  <w:tcBorders>
                    <w:tl2br w:val="nil"/>
                    <w:tr2bl w:val="nil"/>
                  </w:tcBorders>
                  <w:shd w:val="clear" w:color="auto" w:fill="auto"/>
                  <w:vAlign w:val="center"/>
                </w:tcPr>
                <w:p w14:paraId="5530C2D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0.2吨</w:t>
                  </w:r>
                </w:p>
              </w:tc>
            </w:tr>
            <w:tr w14:paraId="05322F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66031E8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1541" w:type="dxa"/>
                  <w:tcBorders>
                    <w:tl2br w:val="nil"/>
                    <w:tr2bl w:val="nil"/>
                  </w:tcBorders>
                  <w:shd w:val="clear" w:color="auto" w:fill="auto"/>
                  <w:vAlign w:val="center"/>
                </w:tcPr>
                <w:p w14:paraId="10F6019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底胶</w:t>
                  </w:r>
                </w:p>
              </w:tc>
              <w:tc>
                <w:tcPr>
                  <w:tcW w:w="824" w:type="dxa"/>
                  <w:tcBorders>
                    <w:tl2br w:val="nil"/>
                    <w:tr2bl w:val="nil"/>
                  </w:tcBorders>
                  <w:shd w:val="clear" w:color="auto" w:fill="auto"/>
                  <w:vAlign w:val="center"/>
                </w:tcPr>
                <w:p w14:paraId="4A8EACA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914" w:type="dxa"/>
                  <w:tcBorders>
                    <w:tl2br w:val="nil"/>
                    <w:tr2bl w:val="nil"/>
                  </w:tcBorders>
                  <w:shd w:val="clear" w:color="auto" w:fill="auto"/>
                  <w:vAlign w:val="center"/>
                </w:tcPr>
                <w:p w14:paraId="6CD583B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5883397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液体</w:t>
                  </w:r>
                </w:p>
              </w:tc>
              <w:tc>
                <w:tcPr>
                  <w:tcW w:w="1043" w:type="dxa"/>
                  <w:tcBorders>
                    <w:tl2br w:val="nil"/>
                    <w:tr2bl w:val="nil"/>
                  </w:tcBorders>
                  <w:shd w:val="clear" w:color="auto" w:fill="auto"/>
                  <w:vAlign w:val="center"/>
                </w:tcPr>
                <w:p w14:paraId="354874D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桶装</w:t>
                  </w:r>
                </w:p>
              </w:tc>
              <w:tc>
                <w:tcPr>
                  <w:tcW w:w="1044" w:type="dxa"/>
                  <w:tcBorders>
                    <w:tl2br w:val="nil"/>
                    <w:tr2bl w:val="nil"/>
                  </w:tcBorders>
                  <w:shd w:val="clear" w:color="auto" w:fill="auto"/>
                  <w:vAlign w:val="center"/>
                </w:tcPr>
                <w:p w14:paraId="557A6D1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1吨</w:t>
                  </w:r>
                </w:p>
              </w:tc>
            </w:tr>
            <w:tr w14:paraId="4E55E0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29FAD8C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c>
                <w:tcPr>
                  <w:tcW w:w="1541" w:type="dxa"/>
                  <w:tcBorders>
                    <w:tl2br w:val="nil"/>
                    <w:tr2bl w:val="nil"/>
                  </w:tcBorders>
                  <w:shd w:val="clear" w:color="auto" w:fill="auto"/>
                  <w:vAlign w:val="center"/>
                </w:tcPr>
                <w:p w14:paraId="63E834E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水性油墨</w:t>
                  </w:r>
                </w:p>
              </w:tc>
              <w:tc>
                <w:tcPr>
                  <w:tcW w:w="824" w:type="dxa"/>
                  <w:tcBorders>
                    <w:tl2br w:val="nil"/>
                    <w:tr2bl w:val="nil"/>
                  </w:tcBorders>
                  <w:shd w:val="clear" w:color="auto" w:fill="auto"/>
                  <w:vAlign w:val="center"/>
                </w:tcPr>
                <w:p w14:paraId="42E218A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914" w:type="dxa"/>
                  <w:tcBorders>
                    <w:tl2br w:val="nil"/>
                    <w:tr2bl w:val="nil"/>
                  </w:tcBorders>
                  <w:shd w:val="clear" w:color="auto" w:fill="auto"/>
                  <w:vAlign w:val="center"/>
                </w:tcPr>
                <w:p w14:paraId="0B003FE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5836842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液体</w:t>
                  </w:r>
                </w:p>
              </w:tc>
              <w:tc>
                <w:tcPr>
                  <w:tcW w:w="1043" w:type="dxa"/>
                  <w:tcBorders>
                    <w:tl2br w:val="nil"/>
                    <w:tr2bl w:val="nil"/>
                  </w:tcBorders>
                  <w:shd w:val="clear" w:color="auto" w:fill="auto"/>
                  <w:vAlign w:val="center"/>
                </w:tcPr>
                <w:p w14:paraId="733E15C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桶装</w:t>
                  </w:r>
                </w:p>
              </w:tc>
              <w:tc>
                <w:tcPr>
                  <w:tcW w:w="1044" w:type="dxa"/>
                  <w:tcBorders>
                    <w:tl2br w:val="nil"/>
                    <w:tr2bl w:val="nil"/>
                  </w:tcBorders>
                  <w:shd w:val="clear" w:color="auto" w:fill="auto"/>
                  <w:vAlign w:val="center"/>
                </w:tcPr>
                <w:p w14:paraId="4E0EEA0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0.5吨</w:t>
                  </w:r>
                </w:p>
              </w:tc>
            </w:tr>
            <w:tr w14:paraId="54A20D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73F9648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c>
                <w:tcPr>
                  <w:tcW w:w="1541" w:type="dxa"/>
                  <w:tcBorders>
                    <w:tl2br w:val="nil"/>
                    <w:tr2bl w:val="nil"/>
                  </w:tcBorders>
                  <w:shd w:val="clear" w:color="auto" w:fill="auto"/>
                  <w:vAlign w:val="center"/>
                </w:tcPr>
                <w:p w14:paraId="7787F19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UV油墨</w:t>
                  </w:r>
                </w:p>
              </w:tc>
              <w:tc>
                <w:tcPr>
                  <w:tcW w:w="824" w:type="dxa"/>
                  <w:tcBorders>
                    <w:tl2br w:val="nil"/>
                    <w:tr2bl w:val="nil"/>
                  </w:tcBorders>
                  <w:shd w:val="clear" w:color="auto" w:fill="auto"/>
                  <w:vAlign w:val="center"/>
                </w:tcPr>
                <w:p w14:paraId="5672ED4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914" w:type="dxa"/>
                  <w:tcBorders>
                    <w:tl2br w:val="nil"/>
                    <w:tr2bl w:val="nil"/>
                  </w:tcBorders>
                  <w:shd w:val="clear" w:color="auto" w:fill="auto"/>
                  <w:vAlign w:val="center"/>
                </w:tcPr>
                <w:p w14:paraId="53A9A6E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172" w:type="dxa"/>
                  <w:tcBorders>
                    <w:tl2br w:val="nil"/>
                    <w:tr2bl w:val="nil"/>
                  </w:tcBorders>
                  <w:shd w:val="clear" w:color="auto" w:fill="auto"/>
                  <w:vAlign w:val="center"/>
                </w:tcPr>
                <w:p w14:paraId="540DA56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液体</w:t>
                  </w:r>
                </w:p>
              </w:tc>
              <w:tc>
                <w:tcPr>
                  <w:tcW w:w="1043" w:type="dxa"/>
                  <w:tcBorders>
                    <w:tl2br w:val="nil"/>
                    <w:tr2bl w:val="nil"/>
                  </w:tcBorders>
                  <w:shd w:val="clear" w:color="auto" w:fill="auto"/>
                  <w:vAlign w:val="center"/>
                </w:tcPr>
                <w:p w14:paraId="0CD1CDA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桶装</w:t>
                  </w:r>
                </w:p>
              </w:tc>
              <w:tc>
                <w:tcPr>
                  <w:tcW w:w="1044" w:type="dxa"/>
                  <w:tcBorders>
                    <w:tl2br w:val="nil"/>
                    <w:tr2bl w:val="nil"/>
                  </w:tcBorders>
                  <w:shd w:val="clear" w:color="auto" w:fill="auto"/>
                  <w:vAlign w:val="center"/>
                </w:tcPr>
                <w:p w14:paraId="67BE05D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0.2吨</w:t>
                  </w:r>
                </w:p>
              </w:tc>
            </w:tr>
            <w:tr w14:paraId="04D6C1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2422BA2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1" w:type="dxa"/>
                  <w:tcBorders>
                    <w:tl2br w:val="nil"/>
                    <w:tr2bl w:val="nil"/>
                  </w:tcBorders>
                  <w:shd w:val="clear" w:color="auto" w:fill="auto"/>
                  <w:vAlign w:val="center"/>
                </w:tcPr>
                <w:p w14:paraId="6930E3D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能源</w:t>
                  </w:r>
                </w:p>
              </w:tc>
              <w:tc>
                <w:tcPr>
                  <w:tcW w:w="824" w:type="dxa"/>
                  <w:tcBorders>
                    <w:tl2br w:val="nil"/>
                    <w:tr2bl w:val="nil"/>
                  </w:tcBorders>
                  <w:shd w:val="clear" w:color="auto" w:fill="auto"/>
                  <w:vAlign w:val="center"/>
                </w:tcPr>
                <w:p w14:paraId="1F52214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水</w:t>
                  </w:r>
                </w:p>
              </w:tc>
              <w:tc>
                <w:tcPr>
                  <w:tcW w:w="914" w:type="dxa"/>
                  <w:tcBorders>
                    <w:tl2br w:val="nil"/>
                    <w:tr2bl w:val="nil"/>
                  </w:tcBorders>
                  <w:shd w:val="clear" w:color="auto" w:fill="auto"/>
                  <w:vAlign w:val="center"/>
                </w:tcPr>
                <w:p w14:paraId="1559CE7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约300</w:t>
                  </w:r>
                </w:p>
              </w:tc>
              <w:tc>
                <w:tcPr>
                  <w:tcW w:w="1172" w:type="dxa"/>
                  <w:tcBorders>
                    <w:tl2br w:val="nil"/>
                    <w:tr2bl w:val="nil"/>
                  </w:tcBorders>
                  <w:shd w:val="clear" w:color="auto" w:fill="auto"/>
                  <w:vAlign w:val="center"/>
                </w:tcPr>
                <w:p w14:paraId="754040F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吨</w:t>
                  </w:r>
                </w:p>
              </w:tc>
              <w:tc>
                <w:tcPr>
                  <w:tcW w:w="1043" w:type="dxa"/>
                  <w:tcBorders>
                    <w:tl2br w:val="nil"/>
                    <w:tr2bl w:val="nil"/>
                  </w:tcBorders>
                  <w:shd w:val="clear" w:color="auto" w:fill="auto"/>
                  <w:vAlign w:val="center"/>
                </w:tcPr>
                <w:p w14:paraId="2DDDBB7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44" w:type="dxa"/>
                  <w:tcBorders>
                    <w:tl2br w:val="nil"/>
                    <w:tr2bl w:val="nil"/>
                  </w:tcBorders>
                  <w:shd w:val="clear" w:color="auto" w:fill="auto"/>
                  <w:vAlign w:val="center"/>
                </w:tcPr>
                <w:p w14:paraId="0A4B441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76F22C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4" w:type="dxa"/>
                  <w:tcBorders>
                    <w:tl2br w:val="nil"/>
                    <w:tr2bl w:val="nil"/>
                  </w:tcBorders>
                  <w:shd w:val="clear" w:color="auto" w:fill="auto"/>
                  <w:vAlign w:val="center"/>
                </w:tcPr>
                <w:p w14:paraId="19F22CF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1" w:type="dxa"/>
                  <w:tcBorders>
                    <w:tl2br w:val="nil"/>
                    <w:tr2bl w:val="nil"/>
                  </w:tcBorders>
                  <w:shd w:val="clear" w:color="auto" w:fill="auto"/>
                  <w:vAlign w:val="center"/>
                </w:tcPr>
                <w:p w14:paraId="3F67FBC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电</w:t>
                  </w:r>
                </w:p>
              </w:tc>
              <w:tc>
                <w:tcPr>
                  <w:tcW w:w="824" w:type="dxa"/>
                  <w:tcBorders>
                    <w:tl2br w:val="nil"/>
                    <w:tr2bl w:val="nil"/>
                  </w:tcBorders>
                  <w:shd w:val="clear" w:color="auto" w:fill="auto"/>
                  <w:vAlign w:val="center"/>
                </w:tcPr>
                <w:p w14:paraId="101928C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约50</w:t>
                  </w:r>
                </w:p>
              </w:tc>
              <w:tc>
                <w:tcPr>
                  <w:tcW w:w="914" w:type="dxa"/>
                  <w:tcBorders>
                    <w:tl2br w:val="nil"/>
                    <w:tr2bl w:val="nil"/>
                  </w:tcBorders>
                  <w:shd w:val="clear" w:color="auto" w:fill="auto"/>
                  <w:vAlign w:val="center"/>
                </w:tcPr>
                <w:p w14:paraId="69466B3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万kWh</w:t>
                  </w:r>
                </w:p>
              </w:tc>
              <w:tc>
                <w:tcPr>
                  <w:tcW w:w="1172" w:type="dxa"/>
                  <w:tcBorders>
                    <w:tl2br w:val="nil"/>
                    <w:tr2bl w:val="nil"/>
                  </w:tcBorders>
                  <w:shd w:val="clear" w:color="auto" w:fill="auto"/>
                  <w:vAlign w:val="center"/>
                </w:tcPr>
                <w:p w14:paraId="7695C9A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43" w:type="dxa"/>
                  <w:tcBorders>
                    <w:tl2br w:val="nil"/>
                    <w:tr2bl w:val="nil"/>
                  </w:tcBorders>
                  <w:shd w:val="clear" w:color="auto" w:fill="auto"/>
                  <w:vAlign w:val="center"/>
                </w:tcPr>
                <w:p w14:paraId="0B2C79A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44" w:type="dxa"/>
                  <w:tcBorders>
                    <w:tl2br w:val="nil"/>
                    <w:tr2bl w:val="nil"/>
                  </w:tcBorders>
                  <w:shd w:val="clear" w:color="auto" w:fill="auto"/>
                  <w:vAlign w:val="center"/>
                </w:tcPr>
                <w:p w14:paraId="71EB5AA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bl>
          <w:p w14:paraId="709131C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rightChars="0"/>
              <w:textAlignment w:val="auto"/>
              <w:rPr>
                <w:rFonts w:hint="default" w:ascii="Times New Roman" w:hAnsi="Times New Roman" w:eastAsia="宋体" w:cs="Times New Roman"/>
                <w:b/>
                <w:bCs/>
                <w:color w:val="auto"/>
                <w:sz w:val="24"/>
                <w:szCs w:val="24"/>
                <w:lang w:val="en-US" w:eastAsia="zh-CN" w:bidi="ar-SA"/>
              </w:rPr>
            </w:pPr>
            <w:r>
              <w:rPr>
                <w:rFonts w:hint="eastAsia" w:cs="Times New Roman"/>
                <w:b/>
                <w:bCs/>
                <w:color w:val="auto"/>
                <w:sz w:val="24"/>
                <w:szCs w:val="24"/>
                <w:lang w:val="en-US" w:eastAsia="zh-CN" w:bidi="ar-SA"/>
              </w:rPr>
              <w:t>6.2</w:t>
            </w:r>
            <w:r>
              <w:rPr>
                <w:rFonts w:hint="default" w:ascii="Times New Roman" w:hAnsi="Times New Roman" w:eastAsia="宋体" w:cs="Times New Roman"/>
                <w:b/>
                <w:bCs/>
                <w:color w:val="auto"/>
                <w:sz w:val="24"/>
                <w:szCs w:val="24"/>
                <w:lang w:val="en-US" w:eastAsia="zh-CN" w:bidi="ar-SA"/>
              </w:rPr>
              <w:t>原料来源要求：</w:t>
            </w:r>
          </w:p>
          <w:p w14:paraId="206182AD">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本项目所用PVC树脂粉、碳酸钙（钙粉）、复合稳定剂、色母粉、钛白粉、石蜡等原辅材料均为外购新料，禁止使用废塑料再生料或回收料进行生产。</w:t>
            </w:r>
          </w:p>
          <w:p w14:paraId="337246F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bCs/>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本项目严格以新料PVC树脂粉为主要原料，通过挤出、压延、印刷等工艺生产家用封边条产品，不涉及废塑料的回收、分选、清洗、熔融造粒等以废塑料为原料的生产工序，符合《建设项目环境影响评价分类管理名录（2021年版）》“二十六、橡胶和塑料制品业29”中“53塑料制品业292”报告表类别的编制要求（即以新料生产的塑料制品制造）。同时，采用新料生产可确保产品品质稳定，满足下游板式家具、厨柜、衣柜等行业对封边条产品一致性、色差控制及环保性能的严格要求。</w:t>
            </w:r>
          </w:p>
          <w:p w14:paraId="5CDC8E82">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textAlignment w:val="auto"/>
              <w:rPr>
                <w:rFonts w:hint="default" w:ascii="Times New Roman" w:hAnsi="Times New Roman" w:eastAsia="宋体" w:cs="Times New Roman"/>
                <w:b/>
                <w:bCs/>
                <w:color w:val="auto"/>
                <w:sz w:val="24"/>
                <w:szCs w:val="24"/>
                <w:lang w:val="en-US" w:eastAsia="zh-CN" w:bidi="ar-SA"/>
              </w:rPr>
            </w:pPr>
            <w:r>
              <w:rPr>
                <w:rFonts w:hint="eastAsia" w:cs="Times New Roman"/>
                <w:b/>
                <w:bCs/>
                <w:color w:val="auto"/>
                <w:sz w:val="24"/>
                <w:szCs w:val="24"/>
                <w:lang w:val="en-US" w:eastAsia="zh-CN" w:bidi="ar-SA"/>
              </w:rPr>
              <w:t>6.3</w:t>
            </w:r>
            <w:r>
              <w:rPr>
                <w:rFonts w:hint="default" w:ascii="Times New Roman" w:hAnsi="Times New Roman" w:eastAsia="宋体" w:cs="Times New Roman"/>
                <w:b/>
                <w:bCs/>
                <w:color w:val="auto"/>
                <w:sz w:val="24"/>
                <w:szCs w:val="24"/>
                <w:lang w:val="en-US" w:eastAsia="zh-CN" w:bidi="ar-SA"/>
              </w:rPr>
              <w:t>主要原辅材料理化性质：</w:t>
            </w:r>
          </w:p>
          <w:p w14:paraId="33342FFA">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PVC树脂粉：</w:t>
            </w:r>
            <w:r>
              <w:rPr>
                <w:rFonts w:hint="default" w:ascii="Times New Roman" w:hAnsi="Times New Roman" w:eastAsia="宋体" w:cs="Times New Roman"/>
                <w:color w:val="auto"/>
                <w:sz w:val="24"/>
                <w:szCs w:val="24"/>
                <w:lang w:val="en-US" w:eastAsia="zh-CN" w:bidi="ar-SA"/>
              </w:rPr>
              <w:t>主要成分为聚氯乙烯，是由氯乙烯在引发剂作用下聚合而成的热塑性树脂，玻璃化温度77~90℃，热稳定性较差，在170℃左右开始分解，释放氯化氢气体。本项目挤出加工温度约150~180℃，造粒加工温度约160~190℃。</w:t>
            </w:r>
          </w:p>
          <w:p w14:paraId="19E848B7">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复合稳定剂：</w:t>
            </w:r>
            <w:r>
              <w:rPr>
                <w:rFonts w:hint="default" w:ascii="Times New Roman" w:hAnsi="Times New Roman" w:eastAsia="宋体" w:cs="Times New Roman"/>
                <w:color w:val="auto"/>
                <w:sz w:val="24"/>
                <w:szCs w:val="24"/>
                <w:lang w:val="en-US" w:eastAsia="zh-CN" w:bidi="ar-SA"/>
              </w:rPr>
              <w:t>一般为钙锌复合稳定剂，具有优良的热稳定性和润滑性，可有效抑制PVC加工过程中的热分解。</w:t>
            </w:r>
          </w:p>
          <w:p w14:paraId="7D35B4D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水性油墨：</w:t>
            </w:r>
            <w:r>
              <w:rPr>
                <w:rFonts w:hint="default" w:ascii="Times New Roman" w:hAnsi="Times New Roman" w:eastAsia="宋体" w:cs="Times New Roman"/>
                <w:color w:val="auto"/>
                <w:sz w:val="24"/>
                <w:szCs w:val="24"/>
                <w:lang w:val="en-US" w:eastAsia="zh-CN" w:bidi="ar-SA"/>
              </w:rPr>
              <w:t>以水为主要溶剂，含有颜料、树脂、助剂等，挥发性有机物含量较低，属于环保型油墨。本项目印刷及烘干工序会产生少量有机废气，主要污染因子为VOCs。</w:t>
            </w:r>
          </w:p>
          <w:p w14:paraId="7620DCDA">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UV油墨：</w:t>
            </w:r>
            <w:r>
              <w:rPr>
                <w:rFonts w:hint="default" w:ascii="Times New Roman" w:hAnsi="Times New Roman" w:eastAsia="宋体" w:cs="Times New Roman"/>
                <w:color w:val="auto"/>
                <w:sz w:val="24"/>
                <w:szCs w:val="24"/>
                <w:lang w:val="en-US" w:eastAsia="zh-CN" w:bidi="ar-SA"/>
              </w:rPr>
              <w:t>紫外光固化油墨，在UV光照射下通过光引发剂作用瞬间固化，主要成分为预聚物、单体、光引发剂、颜料等，固化过程中仅少量未反应单体挥发。</w:t>
            </w:r>
          </w:p>
          <w:p w14:paraId="4EEA3B1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石蜡：</w:t>
            </w:r>
            <w:r>
              <w:rPr>
                <w:rFonts w:hint="default" w:ascii="Times New Roman" w:hAnsi="Times New Roman" w:eastAsia="宋体" w:cs="Times New Roman"/>
                <w:color w:val="auto"/>
                <w:sz w:val="24"/>
                <w:szCs w:val="24"/>
                <w:lang w:val="en-US" w:eastAsia="zh-CN" w:bidi="ar-SA"/>
              </w:rPr>
              <w:t>用作PVC加工的外润滑剂，改善PVC熔体流动性和制品表面光洁度。</w:t>
            </w:r>
          </w:p>
          <w:p w14:paraId="7E82987D">
            <w:pPr>
              <w:keepNext w:val="0"/>
              <w:keepLines w:val="0"/>
              <w:pageBreakBefore w:val="0"/>
              <w:shd w:val="clear"/>
              <w:kinsoku/>
              <w:wordWrap/>
              <w:overflowPunct w:val="0"/>
              <w:topLinePunct w:val="0"/>
              <w:autoSpaceDE/>
              <w:autoSpaceDN/>
              <w:bidi w:val="0"/>
              <w:adjustRightInd w:val="0"/>
              <w:snapToGrid w:val="0"/>
              <w:spacing w:beforeAutospacing="0" w:afterAutospacing="0"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highlight w:val="none"/>
              </w:rPr>
            </w:pPr>
            <w:r>
              <w:rPr>
                <w:rFonts w:hint="default" w:ascii="Times New Roman" w:hAnsi="Times New Roman" w:eastAsia="宋体" w:cs="Times New Roman"/>
                <w:b/>
                <w:bCs/>
                <w:color w:val="auto"/>
                <w:spacing w:val="0"/>
                <w:position w:val="0"/>
                <w:sz w:val="24"/>
                <w:highlight w:val="none"/>
                <w:lang w:val="en-US" w:eastAsia="zh-CN"/>
              </w:rPr>
              <w:t>4.</w:t>
            </w:r>
            <w:r>
              <w:rPr>
                <w:rFonts w:hint="default" w:ascii="Times New Roman" w:hAnsi="Times New Roman" w:eastAsia="宋体" w:cs="Times New Roman"/>
                <w:b/>
                <w:bCs/>
                <w:color w:val="auto"/>
                <w:spacing w:val="0"/>
                <w:position w:val="0"/>
                <w:sz w:val="24"/>
                <w:highlight w:val="none"/>
              </w:rPr>
              <w:t>项目产品方案：</w:t>
            </w:r>
          </w:p>
          <w:p w14:paraId="6A547428">
            <w:pPr>
              <w:pStyle w:val="36"/>
              <w:keepNext w:val="0"/>
              <w:keepLines w:val="0"/>
              <w:pageBreakBefore w:val="0"/>
              <w:shd w:val="clear"/>
              <w:kinsoku/>
              <w:wordWrap/>
              <w:topLinePunct w:val="0"/>
              <w:autoSpaceDE/>
              <w:autoSpaceDN/>
              <w:bidi w:val="0"/>
              <w:spacing w:beforeAutospacing="0" w:afterAutospacing="0"/>
              <w:ind w:left="0" w:leftChars="0" w:right="0" w:rightChars="0" w:firstLine="480" w:firstLineChars="200"/>
              <w:jc w:val="left"/>
              <w:textAlignment w:val="auto"/>
              <w:rPr>
                <w:rFonts w:hint="default" w:ascii="Times New Roman" w:hAnsi="Times New Roman" w:eastAsia="宋体" w:cs="Times New Roman"/>
                <w:b w:val="0"/>
                <w:color w:val="auto"/>
                <w:sz w:val="24"/>
                <w:szCs w:val="24"/>
                <w:lang w:val="en-US" w:eastAsia="zh-CN" w:bidi="ar-SA"/>
              </w:rPr>
            </w:pPr>
            <w:r>
              <w:rPr>
                <w:rFonts w:hint="default" w:ascii="Times New Roman" w:hAnsi="Times New Roman" w:eastAsia="宋体" w:cs="Times New Roman"/>
                <w:b w:val="0"/>
                <w:color w:val="auto"/>
                <w:sz w:val="24"/>
                <w:szCs w:val="24"/>
                <w:lang w:val="en-US" w:eastAsia="zh-CN" w:bidi="ar-SA"/>
              </w:rPr>
              <w:t>本项目建设年产40万卷家用封边条生产线8条，产品为PVC材质的家具封边条，主要用于板式家具、厨房橱柜、衣柜、办公家具等板材边缘的封边装饰，兼具保护板材和美化装饰功能</w:t>
            </w:r>
            <w:r>
              <w:rPr>
                <w:rFonts w:hint="default" w:ascii="Times New Roman" w:hAnsi="Times New Roman" w:eastAsia="宋体" w:cs="Times New Roman"/>
                <w:b w:val="0"/>
                <w:color w:val="auto"/>
                <w:sz w:val="24"/>
                <w:szCs w:val="24"/>
                <w:lang w:val="en-US" w:eastAsia="zh-CN" w:bidi="ar-SA"/>
              </w:rPr>
              <w:fldChar w:fldCharType="begin"/>
            </w:r>
            <w:r>
              <w:rPr>
                <w:rFonts w:hint="default" w:ascii="Times New Roman" w:hAnsi="Times New Roman" w:eastAsia="宋体" w:cs="Times New Roman"/>
                <w:b w:val="0"/>
                <w:color w:val="auto"/>
                <w:sz w:val="24"/>
                <w:szCs w:val="24"/>
                <w:lang w:val="en-US" w:eastAsia="zh-CN" w:bidi="ar-SA"/>
              </w:rPr>
              <w:instrText xml:space="preserve"> HYPERLINK "https://www.wlmq.gov.cn/wlmqs/c119218/202502/a46ca93f80df47acbc1d4cc1dc9cf7d6.shtml" \t "https://chat.deepseek.com/a/chat/s/_blank" </w:instrText>
            </w:r>
            <w:r>
              <w:rPr>
                <w:rFonts w:hint="default" w:ascii="Times New Roman" w:hAnsi="Times New Roman" w:eastAsia="宋体" w:cs="Times New Roman"/>
                <w:b w:val="0"/>
                <w:color w:val="auto"/>
                <w:sz w:val="24"/>
                <w:szCs w:val="24"/>
                <w:lang w:val="en-US" w:eastAsia="zh-CN" w:bidi="ar-SA"/>
              </w:rPr>
              <w:fldChar w:fldCharType="separate"/>
            </w:r>
            <w:r>
              <w:rPr>
                <w:rFonts w:hint="default" w:ascii="Times New Roman" w:hAnsi="Times New Roman" w:eastAsia="宋体" w:cs="Times New Roman"/>
                <w:b w:val="0"/>
                <w:color w:val="auto"/>
                <w:sz w:val="24"/>
                <w:szCs w:val="24"/>
                <w:lang w:val="en-US" w:eastAsia="zh-CN" w:bidi="ar-SA"/>
              </w:rPr>
              <w:fldChar w:fldCharType="end"/>
            </w:r>
            <w:r>
              <w:rPr>
                <w:rFonts w:hint="default" w:ascii="Times New Roman" w:hAnsi="Times New Roman" w:eastAsia="宋体" w:cs="Times New Roman"/>
                <w:b w:val="0"/>
                <w:color w:val="auto"/>
                <w:sz w:val="24"/>
                <w:szCs w:val="24"/>
                <w:lang w:val="en-US" w:eastAsia="zh-CN" w:bidi="ar-SA"/>
              </w:rPr>
              <w:t>。封边条的基本形态为条带状，宽度一般为19mm~54mm，厚度一般为0.4mm~3mm，可根据客户需求定制不同颜色（木纹、纯色等）和表面处理效果，，产品方案见下表本项目产品方案见表2-4。</w:t>
            </w:r>
          </w:p>
          <w:p w14:paraId="5CDCDE48">
            <w:pPr>
              <w:pStyle w:val="44"/>
              <w:pageBreakBefore w:val="0"/>
              <w:shd w:val="clear"/>
              <w:kinsoku/>
              <w:topLinePunct w:val="0"/>
              <w:bidi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spacing w:val="0"/>
                <w:position w:val="0"/>
                <w:sz w:val="21"/>
                <w:szCs w:val="18"/>
                <w:highlight w:val="none"/>
                <w:lang w:eastAsia="zh-CN"/>
              </w:rPr>
            </w:pPr>
            <w:r>
              <w:rPr>
                <w:rFonts w:hint="default" w:ascii="Times New Roman" w:hAnsi="Times New Roman" w:cs="Times New Roman"/>
                <w:color w:val="auto"/>
                <w:spacing w:val="0"/>
                <w:position w:val="0"/>
                <w:sz w:val="21"/>
                <w:szCs w:val="18"/>
                <w:highlight w:val="none"/>
              </w:rPr>
              <w:t>表</w:t>
            </w:r>
            <w:r>
              <w:rPr>
                <w:rFonts w:hint="default" w:ascii="Times New Roman" w:hAnsi="Times New Roman" w:cs="Times New Roman"/>
                <w:color w:val="auto"/>
                <w:spacing w:val="0"/>
                <w:position w:val="0"/>
                <w:sz w:val="21"/>
                <w:szCs w:val="18"/>
                <w:highlight w:val="none"/>
                <w:lang w:val="en-US" w:eastAsia="zh-CN"/>
              </w:rPr>
              <w:t>2-4</w:t>
            </w:r>
            <w:r>
              <w:rPr>
                <w:rFonts w:hint="default" w:ascii="Times New Roman" w:hAnsi="Times New Roman" w:cs="Times New Roman"/>
                <w:color w:val="auto"/>
                <w:spacing w:val="0"/>
                <w:position w:val="0"/>
                <w:sz w:val="21"/>
                <w:szCs w:val="18"/>
                <w:highlight w:val="none"/>
              </w:rPr>
              <w:t xml:space="preserve"> </w:t>
            </w:r>
            <w:r>
              <w:rPr>
                <w:rFonts w:hint="default" w:ascii="Times New Roman" w:hAnsi="Times New Roman" w:cs="Times New Roman"/>
                <w:color w:val="auto"/>
                <w:spacing w:val="0"/>
                <w:position w:val="0"/>
                <w:sz w:val="21"/>
                <w:szCs w:val="18"/>
                <w:highlight w:val="none"/>
                <w:lang w:val="en-US" w:eastAsia="zh-CN"/>
              </w:rPr>
              <w:t xml:space="preserve"> </w:t>
            </w:r>
            <w:r>
              <w:rPr>
                <w:rFonts w:hint="default" w:ascii="Times New Roman" w:hAnsi="Times New Roman" w:cs="Times New Roman"/>
                <w:color w:val="auto"/>
                <w:spacing w:val="0"/>
                <w:position w:val="0"/>
                <w:sz w:val="21"/>
                <w:szCs w:val="18"/>
                <w:highlight w:val="none"/>
              </w:rPr>
              <w:t xml:space="preserve"> 产品</w:t>
            </w:r>
            <w:r>
              <w:rPr>
                <w:rFonts w:hint="default" w:ascii="Times New Roman" w:hAnsi="Times New Roman" w:cs="Times New Roman"/>
                <w:color w:val="auto"/>
                <w:spacing w:val="0"/>
                <w:position w:val="0"/>
                <w:sz w:val="21"/>
                <w:szCs w:val="18"/>
                <w:highlight w:val="none"/>
                <w:lang w:val="en-US" w:eastAsia="zh-CN"/>
              </w:rPr>
              <w:t>方案</w:t>
            </w:r>
          </w:p>
          <w:tbl>
            <w:tblPr>
              <w:tblStyle w:val="25"/>
              <w:tblW w:w="73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7"/>
              <w:gridCol w:w="1103"/>
              <w:gridCol w:w="796"/>
              <w:gridCol w:w="1231"/>
              <w:gridCol w:w="1366"/>
              <w:gridCol w:w="2012"/>
            </w:tblGrid>
            <w:tr w14:paraId="6B5C5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7"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5193870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名称</w:t>
                  </w:r>
                </w:p>
              </w:tc>
              <w:tc>
                <w:tcPr>
                  <w:tcW w:w="1103"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57EAD86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生产规模</w:t>
                  </w:r>
                </w:p>
              </w:tc>
              <w:tc>
                <w:tcPr>
                  <w:tcW w:w="796"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65F67F7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单位</w:t>
                  </w:r>
                </w:p>
              </w:tc>
              <w:tc>
                <w:tcPr>
                  <w:tcW w:w="1231"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3A846A9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重量（</w:t>
                  </w:r>
                  <w:r>
                    <w:rPr>
                      <w:rStyle w:val="64"/>
                      <w:rFonts w:hint="default" w:ascii="Times New Roman" w:hAnsi="Times New Roman" w:eastAsia="宋体" w:cs="Times New Roman"/>
                      <w:b/>
                      <w:bCs/>
                      <w:color w:val="auto"/>
                      <w:sz w:val="21"/>
                      <w:szCs w:val="21"/>
                      <w:lang w:val="en-US" w:eastAsia="zh-CN" w:bidi="ar"/>
                    </w:rPr>
                    <w:t>t/a</w:t>
                  </w:r>
                  <w:r>
                    <w:rPr>
                      <w:rStyle w:val="65"/>
                      <w:rFonts w:hint="default" w:ascii="Times New Roman" w:hAnsi="Times New Roman" w:eastAsia="宋体" w:cs="Times New Roman"/>
                      <w:b/>
                      <w:bCs/>
                      <w:color w:val="auto"/>
                      <w:sz w:val="21"/>
                      <w:szCs w:val="21"/>
                      <w:lang w:val="en-US" w:eastAsia="zh-CN" w:bidi="ar"/>
                    </w:rPr>
                    <w:t>）</w:t>
                  </w:r>
                </w:p>
              </w:tc>
              <w:tc>
                <w:tcPr>
                  <w:tcW w:w="1366"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205571C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年运行时间</w:t>
                  </w:r>
                </w:p>
              </w:tc>
              <w:tc>
                <w:tcPr>
                  <w:tcW w:w="2012" w:type="dxa"/>
                  <w:tcBorders>
                    <w:top w:val="single" w:color="000000" w:sz="12" w:space="0"/>
                    <w:left w:val="single" w:color="000000" w:sz="8" w:space="0"/>
                    <w:bottom w:val="single" w:color="000000" w:sz="12" w:space="0"/>
                    <w:right w:val="nil"/>
                  </w:tcBorders>
                  <w:shd w:val="clear" w:color="auto" w:fill="auto"/>
                  <w:vAlign w:val="center"/>
                </w:tcPr>
                <w:p w14:paraId="4EEE0E6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产品用途</w:t>
                  </w:r>
                </w:p>
              </w:tc>
            </w:tr>
            <w:tr w14:paraId="1B073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867"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46EEC57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家用封边条</w:t>
                  </w:r>
                </w:p>
              </w:tc>
              <w:tc>
                <w:tcPr>
                  <w:tcW w:w="1103"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5F0908C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c>
                <w:tcPr>
                  <w:tcW w:w="796"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6BACA19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万卷</w:t>
                  </w:r>
                </w:p>
              </w:tc>
              <w:tc>
                <w:tcPr>
                  <w:tcW w:w="1231"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40C1672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1227</w:t>
                  </w:r>
                </w:p>
              </w:tc>
              <w:tc>
                <w:tcPr>
                  <w:tcW w:w="1366" w:type="dxa"/>
                  <w:tcBorders>
                    <w:top w:val="single" w:color="000000" w:sz="12" w:space="0"/>
                    <w:left w:val="single" w:color="000000" w:sz="8" w:space="0"/>
                    <w:bottom w:val="single" w:color="000000" w:sz="12" w:space="0"/>
                    <w:right w:val="single" w:color="000000" w:sz="8" w:space="0"/>
                  </w:tcBorders>
                  <w:shd w:val="clear" w:color="auto" w:fill="auto"/>
                  <w:vAlign w:val="center"/>
                </w:tcPr>
                <w:p w14:paraId="58FD8E4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2400h</w:t>
                  </w:r>
                </w:p>
              </w:tc>
              <w:tc>
                <w:tcPr>
                  <w:tcW w:w="2012" w:type="dxa"/>
                  <w:tcBorders>
                    <w:top w:val="single" w:color="000000" w:sz="12" w:space="0"/>
                    <w:left w:val="single" w:color="000000" w:sz="8" w:space="0"/>
                    <w:bottom w:val="single" w:color="000000" w:sz="12" w:space="0"/>
                    <w:right w:val="nil"/>
                  </w:tcBorders>
                  <w:shd w:val="clear" w:color="auto" w:fill="auto"/>
                  <w:vAlign w:val="center"/>
                </w:tcPr>
                <w:p w14:paraId="33C46B6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板式家具、厨柜、衣柜等封边装饰</w:t>
                  </w:r>
                </w:p>
              </w:tc>
            </w:tr>
          </w:tbl>
          <w:p w14:paraId="7BDFC89A">
            <w:pPr>
              <w:pStyle w:val="7"/>
              <w:keepNext w:val="0"/>
              <w:keepLines w:val="0"/>
              <w:pageBreakBefore w:val="0"/>
              <w:widowControl/>
              <w:suppressLineNumbers w:val="0"/>
              <w:shd w:val="clear"/>
              <w:kinsoku/>
              <w:wordWrap/>
              <w:overflowPunct/>
              <w:topLinePunct w:val="0"/>
              <w:autoSpaceDE/>
              <w:autoSpaceDN/>
              <w:bidi w:val="0"/>
              <w:adjustRightInd/>
              <w:snapToGrid/>
              <w:spacing w:beforeLines="0" w:beforeAutospacing="0" w:afterLines="0" w:afterAutospacing="0"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position w:val="0"/>
                <w:sz w:val="24"/>
                <w:szCs w:val="24"/>
                <w:highlight w:val="none"/>
                <w:lang w:val="en-US" w:eastAsia="zh-CN" w:bidi="ar-SA"/>
              </w:rPr>
              <w:t>5.物料平衡</w:t>
            </w:r>
          </w:p>
          <w:p w14:paraId="41B093D3">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本项目物料平衡情况见表2-5。</w:t>
            </w:r>
          </w:p>
          <w:p w14:paraId="226D5710">
            <w:pPr>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cs="Times New Roman"/>
                <w:b/>
                <w:color w:val="auto"/>
                <w:spacing w:val="0"/>
                <w:position w:val="0"/>
                <w:sz w:val="21"/>
                <w:szCs w:val="18"/>
                <w:highlight w:val="none"/>
              </w:rPr>
            </w:pPr>
            <w:r>
              <w:rPr>
                <w:rFonts w:hint="default" w:ascii="Times New Roman" w:hAnsi="Times New Roman" w:cs="Times New Roman"/>
                <w:b/>
                <w:color w:val="auto"/>
                <w:spacing w:val="0"/>
                <w:position w:val="0"/>
                <w:sz w:val="21"/>
                <w:szCs w:val="18"/>
                <w:highlight w:val="none"/>
              </w:rPr>
              <w:t>表2-5项目物料平衡一览表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25"/>
              <w:gridCol w:w="1639"/>
              <w:gridCol w:w="2172"/>
              <w:gridCol w:w="1666"/>
            </w:tblGrid>
            <w:tr w14:paraId="22CD9A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825" w:type="dxa"/>
                  <w:tcBorders>
                    <w:bottom w:val="single" w:color="auto" w:sz="12" w:space="0"/>
                  </w:tcBorders>
                  <w:shd w:val="clear" w:color="auto" w:fill="auto"/>
                  <w:vAlign w:val="center"/>
                </w:tcPr>
                <w:p w14:paraId="3909CEC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输入项</w:t>
                  </w:r>
                </w:p>
              </w:tc>
              <w:tc>
                <w:tcPr>
                  <w:tcW w:w="1639" w:type="dxa"/>
                  <w:tcBorders>
                    <w:bottom w:val="single" w:color="auto" w:sz="12" w:space="0"/>
                  </w:tcBorders>
                  <w:shd w:val="clear" w:color="auto" w:fill="auto"/>
                  <w:vAlign w:val="center"/>
                </w:tcPr>
                <w:p w14:paraId="7964542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输入量（t/a）</w:t>
                  </w:r>
                </w:p>
              </w:tc>
              <w:tc>
                <w:tcPr>
                  <w:tcW w:w="2172" w:type="dxa"/>
                  <w:tcBorders>
                    <w:bottom w:val="single" w:color="auto" w:sz="12" w:space="0"/>
                  </w:tcBorders>
                  <w:shd w:val="clear" w:color="auto" w:fill="auto"/>
                  <w:vAlign w:val="center"/>
                </w:tcPr>
                <w:p w14:paraId="2007AF27">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输出项</w:t>
                  </w:r>
                </w:p>
              </w:tc>
              <w:tc>
                <w:tcPr>
                  <w:tcW w:w="1666" w:type="dxa"/>
                  <w:tcBorders>
                    <w:bottom w:val="single" w:color="auto" w:sz="12" w:space="0"/>
                  </w:tcBorders>
                  <w:shd w:val="clear" w:color="auto" w:fill="auto"/>
                  <w:vAlign w:val="center"/>
                </w:tcPr>
                <w:p w14:paraId="4C761EA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输出量（t/a）</w:t>
                  </w:r>
                </w:p>
              </w:tc>
            </w:tr>
            <w:tr w14:paraId="039A4E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op w:val="single" w:color="auto" w:sz="12" w:space="0"/>
                    <w:tl2br w:val="nil"/>
                    <w:tr2bl w:val="nil"/>
                  </w:tcBorders>
                  <w:shd w:val="clear" w:color="auto" w:fill="auto"/>
                  <w:vAlign w:val="center"/>
                </w:tcPr>
                <w:p w14:paraId="1C93F0C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PVC树脂粉</w:t>
                  </w:r>
                </w:p>
              </w:tc>
              <w:tc>
                <w:tcPr>
                  <w:tcW w:w="1639" w:type="dxa"/>
                  <w:tcBorders>
                    <w:top w:val="single" w:color="auto" w:sz="12" w:space="0"/>
                    <w:tl2br w:val="nil"/>
                    <w:tr2bl w:val="nil"/>
                  </w:tcBorders>
                  <w:shd w:val="clear" w:color="auto" w:fill="auto"/>
                  <w:vAlign w:val="center"/>
                </w:tcPr>
                <w:p w14:paraId="6F85DEC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800</w:t>
                  </w:r>
                </w:p>
              </w:tc>
              <w:tc>
                <w:tcPr>
                  <w:tcW w:w="2172" w:type="dxa"/>
                  <w:tcBorders>
                    <w:top w:val="single" w:color="auto" w:sz="12" w:space="0"/>
                    <w:tl2br w:val="nil"/>
                    <w:tr2bl w:val="nil"/>
                  </w:tcBorders>
                  <w:shd w:val="clear" w:color="auto" w:fill="auto"/>
                  <w:vAlign w:val="center"/>
                </w:tcPr>
                <w:p w14:paraId="6F87D8A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封边条产品</w:t>
                  </w:r>
                </w:p>
              </w:tc>
              <w:tc>
                <w:tcPr>
                  <w:tcW w:w="1666" w:type="dxa"/>
                  <w:tcBorders>
                    <w:top w:val="single" w:color="auto" w:sz="12" w:space="0"/>
                    <w:tl2br w:val="nil"/>
                    <w:tr2bl w:val="nil"/>
                  </w:tcBorders>
                  <w:shd w:val="clear" w:color="auto" w:fill="auto"/>
                  <w:vAlign w:val="center"/>
                </w:tcPr>
                <w:p w14:paraId="1543B3F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1202.5</w:t>
                  </w:r>
                </w:p>
              </w:tc>
            </w:tr>
            <w:tr w14:paraId="3BC190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6AA1322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碳酸钙</w:t>
                  </w:r>
                </w:p>
              </w:tc>
              <w:tc>
                <w:tcPr>
                  <w:tcW w:w="1639" w:type="dxa"/>
                  <w:tcBorders>
                    <w:tl2br w:val="nil"/>
                    <w:tr2bl w:val="nil"/>
                  </w:tcBorders>
                  <w:shd w:val="clear" w:color="auto" w:fill="auto"/>
                  <w:vAlign w:val="center"/>
                </w:tcPr>
                <w:p w14:paraId="47E8428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400</w:t>
                  </w:r>
                </w:p>
              </w:tc>
              <w:tc>
                <w:tcPr>
                  <w:tcW w:w="2172" w:type="dxa"/>
                  <w:tcBorders>
                    <w:tl2br w:val="nil"/>
                    <w:tr2bl w:val="nil"/>
                  </w:tcBorders>
                  <w:shd w:val="clear" w:color="auto" w:fill="auto"/>
                  <w:vAlign w:val="center"/>
                </w:tcPr>
                <w:p w14:paraId="22A0245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有组织排放粉尘</w:t>
                  </w:r>
                </w:p>
              </w:tc>
              <w:tc>
                <w:tcPr>
                  <w:tcW w:w="1666" w:type="dxa"/>
                  <w:tcBorders>
                    <w:tl2br w:val="nil"/>
                    <w:tr2bl w:val="nil"/>
                  </w:tcBorders>
                  <w:shd w:val="clear" w:color="auto" w:fill="auto"/>
                  <w:vAlign w:val="center"/>
                </w:tcPr>
                <w:p w14:paraId="684E77F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0.0033</w:t>
                  </w:r>
                </w:p>
              </w:tc>
            </w:tr>
            <w:tr w14:paraId="6D93D9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7ED527B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复合稳定剂</w:t>
                  </w:r>
                </w:p>
              </w:tc>
              <w:tc>
                <w:tcPr>
                  <w:tcW w:w="1639" w:type="dxa"/>
                  <w:tcBorders>
                    <w:tl2br w:val="nil"/>
                    <w:tr2bl w:val="nil"/>
                  </w:tcBorders>
                  <w:shd w:val="clear" w:color="auto" w:fill="auto"/>
                  <w:vAlign w:val="center"/>
                </w:tcPr>
                <w:p w14:paraId="33AFB98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12</w:t>
                  </w:r>
                </w:p>
              </w:tc>
              <w:tc>
                <w:tcPr>
                  <w:tcW w:w="2172" w:type="dxa"/>
                  <w:tcBorders>
                    <w:tl2br w:val="nil"/>
                    <w:tr2bl w:val="nil"/>
                  </w:tcBorders>
                  <w:shd w:val="clear" w:color="auto" w:fill="auto"/>
                  <w:vAlign w:val="center"/>
                </w:tcPr>
                <w:p w14:paraId="2BB7DD7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无组织排放粉尘</w:t>
                  </w:r>
                </w:p>
              </w:tc>
              <w:tc>
                <w:tcPr>
                  <w:tcW w:w="1666" w:type="dxa"/>
                  <w:tcBorders>
                    <w:tl2br w:val="nil"/>
                    <w:tr2bl w:val="nil"/>
                  </w:tcBorders>
                  <w:shd w:val="clear" w:color="auto" w:fill="auto"/>
                  <w:vAlign w:val="center"/>
                </w:tcPr>
                <w:p w14:paraId="51EAF38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0.037</w:t>
                  </w:r>
                </w:p>
              </w:tc>
            </w:tr>
            <w:tr w14:paraId="0D2BBF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08DE7E0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色母粉</w:t>
                  </w:r>
                </w:p>
              </w:tc>
              <w:tc>
                <w:tcPr>
                  <w:tcW w:w="1639" w:type="dxa"/>
                  <w:tcBorders>
                    <w:tl2br w:val="nil"/>
                    <w:tr2bl w:val="nil"/>
                  </w:tcBorders>
                  <w:shd w:val="clear" w:color="auto" w:fill="auto"/>
                  <w:vAlign w:val="center"/>
                </w:tcPr>
                <w:p w14:paraId="3E66F11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4</w:t>
                  </w:r>
                </w:p>
              </w:tc>
              <w:tc>
                <w:tcPr>
                  <w:tcW w:w="2172" w:type="dxa"/>
                  <w:tcBorders>
                    <w:tl2br w:val="nil"/>
                    <w:tr2bl w:val="nil"/>
                  </w:tcBorders>
                  <w:shd w:val="clear" w:color="auto" w:fill="auto"/>
                  <w:vAlign w:val="center"/>
                </w:tcPr>
                <w:p w14:paraId="3BA5CFE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有组织VOCs排放</w:t>
                  </w:r>
                </w:p>
              </w:tc>
              <w:tc>
                <w:tcPr>
                  <w:tcW w:w="1666" w:type="dxa"/>
                  <w:tcBorders>
                    <w:tl2br w:val="nil"/>
                    <w:tr2bl w:val="nil"/>
                  </w:tcBorders>
                  <w:shd w:val="clear" w:color="auto" w:fill="auto"/>
                  <w:vAlign w:val="center"/>
                </w:tcPr>
                <w:p w14:paraId="06F5D9D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0.251</w:t>
                  </w:r>
                </w:p>
              </w:tc>
            </w:tr>
            <w:tr w14:paraId="33A4AD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2573EBB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钛白粉</w:t>
                  </w:r>
                </w:p>
              </w:tc>
              <w:tc>
                <w:tcPr>
                  <w:tcW w:w="1639" w:type="dxa"/>
                  <w:tcBorders>
                    <w:tl2br w:val="nil"/>
                    <w:tr2bl w:val="nil"/>
                  </w:tcBorders>
                  <w:shd w:val="clear" w:color="auto" w:fill="auto"/>
                  <w:vAlign w:val="center"/>
                </w:tcPr>
                <w:p w14:paraId="6AB1AD2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10</w:t>
                  </w:r>
                </w:p>
              </w:tc>
              <w:tc>
                <w:tcPr>
                  <w:tcW w:w="2172" w:type="dxa"/>
                  <w:tcBorders>
                    <w:tl2br w:val="nil"/>
                    <w:tr2bl w:val="nil"/>
                  </w:tcBorders>
                  <w:shd w:val="clear" w:color="auto" w:fill="auto"/>
                  <w:vAlign w:val="center"/>
                </w:tcPr>
                <w:p w14:paraId="3014065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无组织VOCs排放</w:t>
                  </w:r>
                </w:p>
              </w:tc>
              <w:tc>
                <w:tcPr>
                  <w:tcW w:w="1666" w:type="dxa"/>
                  <w:tcBorders>
                    <w:tl2br w:val="nil"/>
                    <w:tr2bl w:val="nil"/>
                  </w:tcBorders>
                  <w:shd w:val="clear" w:color="auto" w:fill="auto"/>
                  <w:vAlign w:val="center"/>
                </w:tcPr>
                <w:p w14:paraId="0EEA25D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0.279</w:t>
                  </w:r>
                </w:p>
              </w:tc>
            </w:tr>
            <w:tr w14:paraId="747083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109DE4A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石蜡</w:t>
                  </w:r>
                </w:p>
              </w:tc>
              <w:tc>
                <w:tcPr>
                  <w:tcW w:w="1639" w:type="dxa"/>
                  <w:tcBorders>
                    <w:tl2br w:val="nil"/>
                    <w:tr2bl w:val="nil"/>
                  </w:tcBorders>
                  <w:shd w:val="clear" w:color="auto" w:fill="auto"/>
                  <w:vAlign w:val="center"/>
                </w:tcPr>
                <w:p w14:paraId="56494CD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w:t>
                  </w:r>
                </w:p>
              </w:tc>
              <w:tc>
                <w:tcPr>
                  <w:tcW w:w="2172" w:type="dxa"/>
                  <w:tcBorders>
                    <w:tl2br w:val="nil"/>
                    <w:tr2bl w:val="nil"/>
                  </w:tcBorders>
                  <w:shd w:val="clear" w:color="auto" w:fill="auto"/>
                  <w:vAlign w:val="center"/>
                </w:tcPr>
                <w:p w14:paraId="1B98D1F3">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不合格品（回用）</w:t>
                  </w:r>
                </w:p>
              </w:tc>
              <w:tc>
                <w:tcPr>
                  <w:tcW w:w="1666" w:type="dxa"/>
                  <w:tcBorders>
                    <w:tl2br w:val="nil"/>
                    <w:tr2bl w:val="nil"/>
                  </w:tcBorders>
                  <w:shd w:val="clear" w:color="auto" w:fill="auto"/>
                  <w:vAlign w:val="center"/>
                </w:tcPr>
                <w:p w14:paraId="1A3F52D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12</w:t>
                  </w:r>
                </w:p>
              </w:tc>
            </w:tr>
            <w:tr w14:paraId="0B9436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5DE9232C">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底胶</w:t>
                  </w:r>
                </w:p>
              </w:tc>
              <w:tc>
                <w:tcPr>
                  <w:tcW w:w="1639" w:type="dxa"/>
                  <w:tcBorders>
                    <w:tl2br w:val="nil"/>
                    <w:tr2bl w:val="nil"/>
                  </w:tcBorders>
                  <w:shd w:val="clear" w:color="auto" w:fill="auto"/>
                  <w:vAlign w:val="center"/>
                </w:tcPr>
                <w:p w14:paraId="3BF1568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10</w:t>
                  </w:r>
                </w:p>
              </w:tc>
              <w:tc>
                <w:tcPr>
                  <w:tcW w:w="2172" w:type="dxa"/>
                  <w:tcBorders>
                    <w:tl2br w:val="nil"/>
                    <w:tr2bl w:val="nil"/>
                  </w:tcBorders>
                  <w:shd w:val="clear" w:color="auto" w:fill="auto"/>
                  <w:vAlign w:val="center"/>
                </w:tcPr>
                <w:p w14:paraId="12DAC65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布袋除尘灰（回用）</w:t>
                  </w:r>
                </w:p>
              </w:tc>
              <w:tc>
                <w:tcPr>
                  <w:tcW w:w="1666" w:type="dxa"/>
                  <w:tcBorders>
                    <w:tl2br w:val="nil"/>
                    <w:tr2bl w:val="nil"/>
                  </w:tcBorders>
                  <w:shd w:val="clear" w:color="auto" w:fill="auto"/>
                  <w:vAlign w:val="center"/>
                </w:tcPr>
                <w:p w14:paraId="3BE7DFA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0.328</w:t>
                  </w:r>
                </w:p>
              </w:tc>
            </w:tr>
            <w:tr w14:paraId="6955F9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5B9C858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水性油墨</w:t>
                  </w:r>
                </w:p>
              </w:tc>
              <w:tc>
                <w:tcPr>
                  <w:tcW w:w="1639" w:type="dxa"/>
                  <w:tcBorders>
                    <w:tl2br w:val="nil"/>
                    <w:tr2bl w:val="nil"/>
                  </w:tcBorders>
                  <w:shd w:val="clear" w:color="auto" w:fill="auto"/>
                  <w:vAlign w:val="center"/>
                </w:tcPr>
                <w:p w14:paraId="4E6D62C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7</w:t>
                  </w:r>
                </w:p>
              </w:tc>
              <w:tc>
                <w:tcPr>
                  <w:tcW w:w="2172" w:type="dxa"/>
                  <w:tcBorders>
                    <w:tl2br w:val="nil"/>
                    <w:tr2bl w:val="nil"/>
                  </w:tcBorders>
                  <w:shd w:val="clear" w:color="auto" w:fill="auto"/>
                  <w:vAlign w:val="center"/>
                </w:tcPr>
                <w:p w14:paraId="6EF1DE0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废包装材料</w:t>
                  </w:r>
                </w:p>
              </w:tc>
              <w:tc>
                <w:tcPr>
                  <w:tcW w:w="1666" w:type="dxa"/>
                  <w:tcBorders>
                    <w:tl2br w:val="nil"/>
                    <w:tr2bl w:val="nil"/>
                  </w:tcBorders>
                  <w:shd w:val="clear" w:color="auto" w:fill="auto"/>
                  <w:vAlign w:val="center"/>
                </w:tcPr>
                <w:p w14:paraId="236288E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约5</w:t>
                  </w:r>
                </w:p>
              </w:tc>
            </w:tr>
            <w:tr w14:paraId="5A35C0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00FAF26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UV油墨</w:t>
                  </w:r>
                </w:p>
              </w:tc>
              <w:tc>
                <w:tcPr>
                  <w:tcW w:w="1639" w:type="dxa"/>
                  <w:tcBorders>
                    <w:tl2br w:val="nil"/>
                    <w:tr2bl w:val="nil"/>
                  </w:tcBorders>
                  <w:shd w:val="clear" w:color="auto" w:fill="auto"/>
                  <w:vAlign w:val="center"/>
                </w:tcPr>
                <w:p w14:paraId="0FC1ABA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2</w:t>
                  </w:r>
                </w:p>
              </w:tc>
              <w:tc>
                <w:tcPr>
                  <w:tcW w:w="2172" w:type="dxa"/>
                  <w:tcBorders>
                    <w:tl2br w:val="nil"/>
                    <w:tr2bl w:val="nil"/>
                  </w:tcBorders>
                  <w:shd w:val="clear" w:color="auto" w:fill="auto"/>
                  <w:vAlign w:val="center"/>
                </w:tcPr>
                <w:p w14:paraId="354F98D7">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废胶/油墨桶</w:t>
                  </w:r>
                </w:p>
              </w:tc>
              <w:tc>
                <w:tcPr>
                  <w:tcW w:w="1666" w:type="dxa"/>
                  <w:tcBorders>
                    <w:tl2br w:val="nil"/>
                    <w:tr2bl w:val="nil"/>
                  </w:tcBorders>
                  <w:shd w:val="clear" w:color="auto" w:fill="auto"/>
                  <w:vAlign w:val="center"/>
                </w:tcPr>
                <w:p w14:paraId="3FA201F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约1.5</w:t>
                  </w:r>
                </w:p>
              </w:tc>
            </w:tr>
            <w:tr w14:paraId="14AB99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1E924D5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p>
              </w:tc>
              <w:tc>
                <w:tcPr>
                  <w:tcW w:w="1639" w:type="dxa"/>
                  <w:tcBorders>
                    <w:tl2br w:val="nil"/>
                    <w:tr2bl w:val="nil"/>
                  </w:tcBorders>
                  <w:shd w:val="clear" w:color="auto" w:fill="auto"/>
                  <w:vAlign w:val="center"/>
                </w:tcPr>
                <w:p w14:paraId="00592C0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p>
              </w:tc>
              <w:tc>
                <w:tcPr>
                  <w:tcW w:w="2172" w:type="dxa"/>
                  <w:tcBorders>
                    <w:tl2br w:val="nil"/>
                    <w:tr2bl w:val="nil"/>
                  </w:tcBorders>
                  <w:shd w:val="clear" w:color="auto" w:fill="auto"/>
                  <w:vAlign w:val="center"/>
                </w:tcPr>
                <w:p w14:paraId="57F7935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废活性炭</w:t>
                  </w:r>
                </w:p>
              </w:tc>
              <w:tc>
                <w:tcPr>
                  <w:tcW w:w="1666" w:type="dxa"/>
                  <w:tcBorders>
                    <w:tl2br w:val="nil"/>
                    <w:tr2bl w:val="nil"/>
                  </w:tcBorders>
                  <w:shd w:val="clear" w:color="auto" w:fill="auto"/>
                  <w:vAlign w:val="center"/>
                </w:tcPr>
                <w:p w14:paraId="52AAC41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约5~8</w:t>
                  </w:r>
                </w:p>
              </w:tc>
            </w:tr>
            <w:tr w14:paraId="3A921D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1B72E81F">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p>
              </w:tc>
              <w:tc>
                <w:tcPr>
                  <w:tcW w:w="1639" w:type="dxa"/>
                  <w:tcBorders>
                    <w:tl2br w:val="nil"/>
                    <w:tr2bl w:val="nil"/>
                  </w:tcBorders>
                  <w:shd w:val="clear" w:color="auto" w:fill="auto"/>
                  <w:vAlign w:val="center"/>
                </w:tcPr>
                <w:p w14:paraId="2936C04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p>
              </w:tc>
              <w:tc>
                <w:tcPr>
                  <w:tcW w:w="2172" w:type="dxa"/>
                  <w:tcBorders>
                    <w:tl2br w:val="nil"/>
                    <w:tr2bl w:val="nil"/>
                  </w:tcBorders>
                  <w:shd w:val="clear" w:color="auto" w:fill="auto"/>
                  <w:vAlign w:val="center"/>
                </w:tcPr>
                <w:p w14:paraId="573B48C8">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其他损耗及残留</w:t>
                  </w:r>
                </w:p>
              </w:tc>
              <w:tc>
                <w:tcPr>
                  <w:tcW w:w="1666" w:type="dxa"/>
                  <w:tcBorders>
                    <w:tl2br w:val="nil"/>
                    <w:tr2bl w:val="nil"/>
                  </w:tcBorders>
                  <w:shd w:val="clear" w:color="auto" w:fill="auto"/>
                  <w:vAlign w:val="center"/>
                </w:tcPr>
                <w:p w14:paraId="6FB996FD">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约4.6</w:t>
                  </w:r>
                </w:p>
              </w:tc>
            </w:tr>
            <w:tr w14:paraId="195345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825" w:type="dxa"/>
                  <w:tcBorders>
                    <w:tl2br w:val="nil"/>
                    <w:tr2bl w:val="nil"/>
                  </w:tcBorders>
                  <w:shd w:val="clear" w:color="auto" w:fill="auto"/>
                  <w:vAlign w:val="center"/>
                </w:tcPr>
                <w:p w14:paraId="526CEED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合计</w:t>
                  </w:r>
                </w:p>
              </w:tc>
              <w:tc>
                <w:tcPr>
                  <w:tcW w:w="1639" w:type="dxa"/>
                  <w:tcBorders>
                    <w:tl2br w:val="nil"/>
                    <w:tr2bl w:val="nil"/>
                  </w:tcBorders>
                  <w:shd w:val="clear" w:color="auto" w:fill="auto"/>
                  <w:vAlign w:val="center"/>
                </w:tcPr>
                <w:p w14:paraId="1CCD5F1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1246（含辅料）</w:t>
                  </w:r>
                </w:p>
              </w:tc>
              <w:tc>
                <w:tcPr>
                  <w:tcW w:w="2172" w:type="dxa"/>
                  <w:tcBorders>
                    <w:tl2br w:val="nil"/>
                    <w:tr2bl w:val="nil"/>
                  </w:tcBorders>
                  <w:shd w:val="clear" w:color="auto" w:fill="auto"/>
                  <w:vAlign w:val="center"/>
                </w:tcPr>
                <w:p w14:paraId="306D45D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合计</w:t>
                  </w:r>
                </w:p>
              </w:tc>
              <w:tc>
                <w:tcPr>
                  <w:tcW w:w="1666" w:type="dxa"/>
                  <w:tcBorders>
                    <w:tl2br w:val="nil"/>
                    <w:tr2bl w:val="nil"/>
                  </w:tcBorders>
                  <w:shd w:val="clear" w:color="auto" w:fill="auto"/>
                  <w:vAlign w:val="center"/>
                </w:tcPr>
                <w:p w14:paraId="658D62F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Segoe UI" w:cs="Times New Roman"/>
                      <w:i w:val="0"/>
                      <w:iCs w:val="0"/>
                      <w:color w:val="auto"/>
                      <w:sz w:val="21"/>
                      <w:szCs w:val="21"/>
                      <w:u w:val="none"/>
                    </w:rPr>
                  </w:pPr>
                  <w:r>
                    <w:rPr>
                      <w:rFonts w:hint="default" w:ascii="Times New Roman" w:hAnsi="Times New Roman" w:eastAsia="Segoe UI" w:cs="Times New Roman"/>
                      <w:i w:val="0"/>
                      <w:iCs w:val="0"/>
                      <w:color w:val="auto"/>
                      <w:kern w:val="0"/>
                      <w:sz w:val="21"/>
                      <w:szCs w:val="21"/>
                      <w:u w:val="none"/>
                      <w:lang w:val="en-US" w:eastAsia="zh-CN" w:bidi="ar"/>
                    </w:rPr>
                    <w:t>约1246</w:t>
                  </w:r>
                </w:p>
              </w:tc>
            </w:tr>
          </w:tbl>
          <w:p w14:paraId="2BF86646">
            <w:pPr>
              <w:pStyle w:val="23"/>
              <w:pageBreakBefore w:val="0"/>
              <w:shd w:val="clear"/>
              <w:kinsoku/>
              <w:topLinePunct w:val="0"/>
              <w:bidi w:val="0"/>
              <w:spacing w:beforeAutospacing="0" w:after="0" w:afterAutospacing="0" w:line="360" w:lineRule="auto"/>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eastAsia" w:ascii="Times New Roman" w:hAnsi="Times New Roman" w:cs="Times New Roman"/>
                <w:b/>
                <w:bCs/>
                <w:color w:val="auto"/>
                <w:spacing w:val="0"/>
                <w:position w:val="0"/>
                <w:sz w:val="24"/>
                <w:highlight w:val="none"/>
                <w:lang w:val="en-US" w:eastAsia="zh-CN"/>
              </w:rPr>
              <w:t>6</w:t>
            </w:r>
            <w:r>
              <w:rPr>
                <w:rFonts w:hint="default" w:ascii="Times New Roman" w:hAnsi="Times New Roman" w:cs="Times New Roman"/>
                <w:b/>
                <w:bCs/>
                <w:color w:val="auto"/>
                <w:spacing w:val="0"/>
                <w:position w:val="0"/>
                <w:sz w:val="24"/>
                <w:highlight w:val="none"/>
              </w:rPr>
              <w:t>.生产制度及劳动定员</w:t>
            </w:r>
          </w:p>
          <w:p w14:paraId="2EA3528A">
            <w:pPr>
              <w:pageBreakBefore w:val="0"/>
              <w:shd w:val="clear"/>
              <w:kinsoku/>
              <w:overflowPunct w:val="0"/>
              <w:topLinePunct w:val="0"/>
              <w:bidi w:val="0"/>
              <w:adjustRightInd w:val="0"/>
              <w:snapToGrid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本项目劳动定员共</w:t>
            </w:r>
            <w:r>
              <w:rPr>
                <w:rFonts w:hint="eastAsia" w:cs="Times New Roman"/>
                <w:color w:val="auto"/>
                <w:spacing w:val="0"/>
                <w:position w:val="0"/>
                <w:sz w:val="24"/>
                <w:highlight w:val="none"/>
                <w:lang w:val="en-US" w:eastAsia="zh-CN"/>
              </w:rPr>
              <w:t>20</w:t>
            </w:r>
            <w:r>
              <w:rPr>
                <w:rFonts w:hint="default" w:ascii="Times New Roman" w:hAnsi="Times New Roman" w:cs="Times New Roman"/>
                <w:color w:val="auto"/>
                <w:spacing w:val="0"/>
                <w:position w:val="0"/>
                <w:sz w:val="24"/>
                <w:highlight w:val="none"/>
              </w:rPr>
              <w:t>人，年工作</w:t>
            </w:r>
            <w:r>
              <w:rPr>
                <w:rFonts w:hint="eastAsia" w:cs="Times New Roman"/>
                <w:color w:val="auto"/>
                <w:spacing w:val="0"/>
                <w:position w:val="0"/>
                <w:sz w:val="24"/>
                <w:highlight w:val="none"/>
                <w:lang w:val="en-US" w:eastAsia="zh-CN"/>
              </w:rPr>
              <w:t>300</w:t>
            </w:r>
            <w:r>
              <w:rPr>
                <w:rFonts w:hint="default" w:ascii="Times New Roman" w:hAnsi="Times New Roman" w:cs="Times New Roman"/>
                <w:color w:val="auto"/>
                <w:spacing w:val="0"/>
                <w:position w:val="0"/>
                <w:sz w:val="24"/>
                <w:highlight w:val="none"/>
              </w:rPr>
              <w:t>天，</w:t>
            </w:r>
            <w:r>
              <w:rPr>
                <w:rFonts w:hint="default" w:ascii="Times New Roman" w:hAnsi="Times New Roman" w:cs="Times New Roman"/>
                <w:color w:val="auto"/>
                <w:spacing w:val="0"/>
                <w:position w:val="0"/>
                <w:sz w:val="24"/>
                <w:szCs w:val="24"/>
                <w:highlight w:val="none"/>
                <w:u w:val="none"/>
              </w:rPr>
              <w:t>每天</w:t>
            </w:r>
            <w:r>
              <w:rPr>
                <w:rFonts w:hint="eastAsia" w:cs="Times New Roman"/>
                <w:color w:val="auto"/>
                <w:spacing w:val="0"/>
                <w:position w:val="0"/>
                <w:sz w:val="24"/>
                <w:szCs w:val="24"/>
                <w:highlight w:val="none"/>
                <w:u w:val="none"/>
                <w:lang w:val="en-US" w:eastAsia="zh-CN"/>
              </w:rPr>
              <w:t>一</w:t>
            </w:r>
            <w:r>
              <w:rPr>
                <w:rFonts w:hint="default" w:ascii="Times New Roman" w:hAnsi="Times New Roman" w:cs="Times New Roman"/>
                <w:color w:val="auto"/>
                <w:spacing w:val="0"/>
                <w:position w:val="0"/>
                <w:sz w:val="24"/>
                <w:szCs w:val="24"/>
                <w:highlight w:val="none"/>
                <w:u w:val="none"/>
              </w:rPr>
              <w:t>班</w:t>
            </w:r>
            <w:r>
              <w:rPr>
                <w:rFonts w:hint="default" w:ascii="Times New Roman" w:hAnsi="Times New Roman" w:cs="Times New Roman"/>
                <w:color w:val="auto"/>
                <w:spacing w:val="0"/>
                <w:position w:val="0"/>
                <w:sz w:val="24"/>
                <w:szCs w:val="24"/>
                <w:highlight w:val="none"/>
                <w:u w:val="none"/>
                <w:lang w:eastAsia="zh-CN"/>
              </w:rPr>
              <w:t>，</w:t>
            </w:r>
            <w:r>
              <w:rPr>
                <w:rFonts w:hint="default" w:ascii="Times New Roman" w:hAnsi="Times New Roman" w:cs="Times New Roman"/>
                <w:color w:val="auto"/>
                <w:spacing w:val="0"/>
                <w:position w:val="0"/>
                <w:sz w:val="24"/>
                <w:szCs w:val="24"/>
                <w:highlight w:val="none"/>
                <w:u w:val="none"/>
              </w:rPr>
              <w:t>每班8小时，</w:t>
            </w:r>
            <w:r>
              <w:rPr>
                <w:rFonts w:hint="default" w:ascii="Times New Roman" w:hAnsi="Times New Roman" w:cs="Times New Roman"/>
                <w:color w:val="auto"/>
                <w:spacing w:val="0"/>
                <w:position w:val="0"/>
                <w:sz w:val="24"/>
                <w:highlight w:val="none"/>
              </w:rPr>
              <w:t>年工作</w:t>
            </w:r>
            <w:r>
              <w:rPr>
                <w:rFonts w:hint="eastAsia" w:cs="Times New Roman"/>
                <w:color w:val="auto"/>
                <w:spacing w:val="0"/>
                <w:position w:val="0"/>
                <w:sz w:val="24"/>
                <w:highlight w:val="none"/>
                <w:lang w:val="en-US" w:eastAsia="zh-CN"/>
              </w:rPr>
              <w:t>240</w:t>
            </w:r>
            <w:r>
              <w:rPr>
                <w:rFonts w:hint="default" w:ascii="Times New Roman" w:hAnsi="Times New Roman" w:cs="Times New Roman"/>
                <w:color w:val="auto"/>
                <w:spacing w:val="0"/>
                <w:position w:val="0"/>
                <w:sz w:val="24"/>
                <w:highlight w:val="none"/>
                <w:lang w:val="en-US" w:eastAsia="zh-CN"/>
              </w:rPr>
              <w:t>0</w:t>
            </w:r>
            <w:r>
              <w:rPr>
                <w:rFonts w:hint="default" w:ascii="Times New Roman" w:hAnsi="Times New Roman" w:cs="Times New Roman"/>
                <w:color w:val="auto"/>
                <w:spacing w:val="0"/>
                <w:position w:val="0"/>
                <w:sz w:val="24"/>
                <w:highlight w:val="none"/>
              </w:rPr>
              <w:t>小时。</w:t>
            </w:r>
          </w:p>
          <w:p w14:paraId="3E6F8510">
            <w:pPr>
              <w:pageBreakBefore w:val="0"/>
              <w:shd w:val="clear"/>
              <w:kinsoku/>
              <w:topLinePunct w:val="0"/>
              <w:bidi w:val="0"/>
              <w:adjustRightInd w:val="0"/>
              <w:snapToGrid w:val="0"/>
              <w:spacing w:beforeAutospacing="0" w:afterAutospacing="0" w:line="360" w:lineRule="auto"/>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eastAsia" w:ascii="Times New Roman" w:hAnsi="Times New Roman" w:cs="Times New Roman"/>
                <w:b/>
                <w:bCs/>
                <w:color w:val="auto"/>
                <w:spacing w:val="0"/>
                <w:position w:val="0"/>
                <w:sz w:val="24"/>
                <w:highlight w:val="none"/>
                <w:lang w:val="en-US" w:eastAsia="zh-CN"/>
              </w:rPr>
              <w:t>7</w:t>
            </w:r>
            <w:r>
              <w:rPr>
                <w:rFonts w:hint="default" w:ascii="Times New Roman" w:hAnsi="Times New Roman" w:cs="Times New Roman"/>
                <w:b/>
                <w:bCs/>
                <w:color w:val="auto"/>
                <w:spacing w:val="0"/>
                <w:position w:val="0"/>
                <w:sz w:val="24"/>
                <w:highlight w:val="none"/>
                <w:lang w:val="en-US" w:eastAsia="zh-CN"/>
              </w:rPr>
              <w:t>.</w:t>
            </w:r>
            <w:r>
              <w:rPr>
                <w:rFonts w:hint="default" w:ascii="Times New Roman" w:hAnsi="Times New Roman" w:cs="Times New Roman"/>
                <w:b/>
                <w:bCs/>
                <w:color w:val="auto"/>
                <w:spacing w:val="0"/>
                <w:position w:val="0"/>
                <w:sz w:val="24"/>
                <w:highlight w:val="none"/>
              </w:rPr>
              <w:t>公用工程</w:t>
            </w:r>
          </w:p>
          <w:p w14:paraId="58BDDA64">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eastAsia" w:ascii="Times New Roman" w:hAnsi="Times New Roman" w:cs="Times New Roman"/>
                <w:b/>
                <w:bCs/>
                <w:color w:val="auto"/>
                <w:spacing w:val="0"/>
                <w:position w:val="0"/>
                <w:sz w:val="24"/>
                <w:highlight w:val="none"/>
                <w:lang w:val="en-US" w:eastAsia="zh-CN"/>
              </w:rPr>
              <w:t>7</w:t>
            </w:r>
            <w:r>
              <w:rPr>
                <w:rFonts w:hint="default" w:ascii="Times New Roman" w:hAnsi="Times New Roman" w:cs="Times New Roman"/>
                <w:b/>
                <w:bCs/>
                <w:color w:val="auto"/>
                <w:spacing w:val="0"/>
                <w:position w:val="0"/>
                <w:sz w:val="24"/>
                <w:highlight w:val="none"/>
              </w:rPr>
              <w:t>.1供水</w:t>
            </w:r>
          </w:p>
          <w:p w14:paraId="1F3C4B0F">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baseline"/>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项目用水主要为办公生活用水，用水接自园区给水管道，可满足项目区用水需求。</w:t>
            </w:r>
          </w:p>
          <w:p w14:paraId="5D1185C6">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2" w:firstLineChars="200"/>
              <w:textAlignment w:val="baseline"/>
              <w:rPr>
                <w:rFonts w:hint="default" w:ascii="Times New Roman" w:hAnsi="Times New Roman" w:eastAsia="宋体" w:cs="Times New Roman"/>
                <w:b/>
                <w:bCs/>
                <w:color w:val="auto"/>
                <w:spacing w:val="0"/>
                <w:position w:val="0"/>
                <w:sz w:val="24"/>
                <w:szCs w:val="21"/>
                <w:highlight w:val="none"/>
                <w:lang w:val="en-US" w:eastAsia="zh-CN" w:bidi="ar-SA"/>
              </w:rPr>
            </w:pPr>
            <w:r>
              <w:rPr>
                <w:rFonts w:hint="eastAsia" w:ascii="Times New Roman" w:hAnsi="Times New Roman" w:eastAsia="宋体" w:cs="Times New Roman"/>
                <w:b/>
                <w:bCs/>
                <w:color w:val="auto"/>
                <w:spacing w:val="0"/>
                <w:position w:val="0"/>
                <w:sz w:val="24"/>
                <w:szCs w:val="21"/>
                <w:highlight w:val="none"/>
                <w:lang w:val="en-US" w:eastAsia="zh-CN" w:bidi="ar-SA"/>
              </w:rPr>
              <w:t>（1）</w:t>
            </w:r>
            <w:r>
              <w:rPr>
                <w:rFonts w:hint="default" w:ascii="Times New Roman" w:hAnsi="Times New Roman" w:eastAsia="宋体" w:cs="Times New Roman"/>
                <w:b/>
                <w:bCs/>
                <w:color w:val="auto"/>
                <w:spacing w:val="0"/>
                <w:position w:val="0"/>
                <w:sz w:val="24"/>
                <w:szCs w:val="21"/>
                <w:highlight w:val="none"/>
                <w:lang w:val="en-US" w:eastAsia="zh-CN" w:bidi="ar-SA"/>
              </w:rPr>
              <w:t>生活用水</w:t>
            </w:r>
          </w:p>
          <w:p w14:paraId="3D665314">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baseline"/>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本项目劳动定员20人，年生产天数300天。参照《新疆维吾尔自治区用水定额标准》并结合同类封边条项目环评报告，员工生活用水量按50L/人·d计，年用水量300m³。</w:t>
            </w:r>
          </w:p>
          <w:p w14:paraId="26CAE067">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2" w:firstLineChars="200"/>
              <w:textAlignment w:val="baseline"/>
              <w:rPr>
                <w:rFonts w:hint="default" w:ascii="Times New Roman" w:hAnsi="Times New Roman" w:eastAsia="宋体" w:cs="Times New Roman"/>
                <w:b/>
                <w:bCs/>
                <w:color w:val="auto"/>
                <w:spacing w:val="0"/>
                <w:position w:val="0"/>
                <w:sz w:val="24"/>
                <w:szCs w:val="21"/>
                <w:highlight w:val="none"/>
                <w:lang w:val="en-US" w:eastAsia="zh-CN" w:bidi="ar-SA"/>
              </w:rPr>
            </w:pPr>
            <w:r>
              <w:rPr>
                <w:rFonts w:hint="default" w:ascii="Times New Roman" w:hAnsi="Times New Roman" w:eastAsia="宋体" w:cs="Times New Roman"/>
                <w:b/>
                <w:bCs/>
                <w:color w:val="auto"/>
                <w:spacing w:val="0"/>
                <w:position w:val="0"/>
                <w:sz w:val="24"/>
                <w:szCs w:val="21"/>
                <w:highlight w:val="none"/>
                <w:lang w:val="en-US" w:eastAsia="zh-CN" w:bidi="ar-SA"/>
              </w:rPr>
              <w:t>（</w:t>
            </w:r>
            <w:r>
              <w:rPr>
                <w:rFonts w:hint="eastAsia" w:ascii="Times New Roman" w:hAnsi="Times New Roman" w:eastAsia="宋体" w:cs="Times New Roman"/>
                <w:b/>
                <w:bCs/>
                <w:color w:val="auto"/>
                <w:spacing w:val="0"/>
                <w:position w:val="0"/>
                <w:sz w:val="24"/>
                <w:szCs w:val="21"/>
                <w:highlight w:val="none"/>
                <w:lang w:val="en-US" w:eastAsia="zh-CN" w:bidi="ar-SA"/>
              </w:rPr>
              <w:t>2</w:t>
            </w:r>
            <w:r>
              <w:rPr>
                <w:rFonts w:hint="default" w:ascii="Times New Roman" w:hAnsi="Times New Roman" w:eastAsia="宋体" w:cs="Times New Roman"/>
                <w:b/>
                <w:bCs/>
                <w:color w:val="auto"/>
                <w:spacing w:val="0"/>
                <w:position w:val="0"/>
                <w:sz w:val="24"/>
                <w:szCs w:val="21"/>
                <w:highlight w:val="none"/>
                <w:lang w:val="en-US" w:eastAsia="zh-CN" w:bidi="ar-SA"/>
              </w:rPr>
              <w:t>）冷却循环水</w:t>
            </w:r>
          </w:p>
          <w:p w14:paraId="5A3C4132">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baseline"/>
              <w:rPr>
                <w:rFonts w:hint="eastAsia"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挤出成型后的封边条半成品需通过冷却水槽进行冷却定型。冷却水槽尺寸为3000mm×400mm×150mm，有效容积约0.18m³。冷却水循环使用，因蒸发损耗和少量排空，需定期补充新鲜水。</w:t>
            </w:r>
            <w:r>
              <w:rPr>
                <w:rFonts w:hint="eastAsia" w:ascii="Times New Roman" w:hAnsi="Times New Roman" w:eastAsia="宋体" w:cs="Times New Roman"/>
                <w:color w:val="auto"/>
                <w:spacing w:val="0"/>
                <w:position w:val="0"/>
                <w:sz w:val="24"/>
                <w:szCs w:val="21"/>
                <w:highlight w:val="none"/>
                <w:lang w:val="en-US" w:eastAsia="zh-CN" w:bidi="ar-SA"/>
              </w:rPr>
              <w:t>本项目</w:t>
            </w:r>
            <w:r>
              <w:rPr>
                <w:rFonts w:hint="default" w:ascii="Times New Roman" w:hAnsi="Times New Roman" w:eastAsia="宋体" w:cs="Times New Roman"/>
                <w:color w:val="auto"/>
                <w:spacing w:val="0"/>
                <w:position w:val="0"/>
                <w:sz w:val="24"/>
                <w:szCs w:val="21"/>
                <w:highlight w:val="none"/>
                <w:lang w:val="en-US" w:eastAsia="zh-CN" w:bidi="ar-SA"/>
              </w:rPr>
              <w:t>循环冷却水槽数量：4个（每条SJ-65挤出机生产线配套一个冷却水槽）单槽有效容积：约0.18 m³</w:t>
            </w:r>
            <w:r>
              <w:rPr>
                <w:rFonts w:hint="eastAsia" w:ascii="Times New Roman" w:hAnsi="Times New Roman" w:eastAsia="宋体" w:cs="Times New Roman"/>
                <w:color w:val="auto"/>
                <w:spacing w:val="0"/>
                <w:position w:val="0"/>
                <w:sz w:val="24"/>
                <w:szCs w:val="21"/>
                <w:highlight w:val="none"/>
                <w:lang w:val="en-US" w:eastAsia="zh-CN" w:bidi="ar-SA"/>
              </w:rPr>
              <w:t>；</w:t>
            </w:r>
            <w:r>
              <w:rPr>
                <w:rFonts w:hint="default" w:ascii="Times New Roman" w:hAnsi="Times New Roman" w:eastAsia="宋体" w:cs="Times New Roman"/>
                <w:color w:val="auto"/>
                <w:spacing w:val="0"/>
                <w:position w:val="0"/>
                <w:sz w:val="24"/>
                <w:szCs w:val="21"/>
                <w:highlight w:val="none"/>
                <w:lang w:val="en-US" w:eastAsia="zh-CN" w:bidi="ar-SA"/>
              </w:rPr>
              <w:t>总循环水量：约0.72 m³</w:t>
            </w:r>
            <w:r>
              <w:rPr>
                <w:rFonts w:hint="eastAsia" w:ascii="Times New Roman" w:hAnsi="Times New Roman" w:eastAsia="宋体" w:cs="Times New Roman"/>
                <w:color w:val="auto"/>
                <w:spacing w:val="0"/>
                <w:position w:val="0"/>
                <w:sz w:val="24"/>
                <w:szCs w:val="21"/>
                <w:highlight w:val="none"/>
                <w:lang w:val="en-US" w:eastAsia="zh-CN" w:bidi="ar-SA"/>
              </w:rPr>
              <w:t>；</w:t>
            </w:r>
            <w:r>
              <w:rPr>
                <w:rFonts w:hint="default" w:ascii="Times New Roman" w:hAnsi="Times New Roman" w:eastAsia="宋体" w:cs="Times New Roman"/>
                <w:color w:val="auto"/>
                <w:spacing w:val="0"/>
                <w:position w:val="0"/>
                <w:sz w:val="24"/>
                <w:szCs w:val="21"/>
                <w:highlight w:val="none"/>
                <w:lang w:val="en-US" w:eastAsia="zh-CN" w:bidi="ar-SA"/>
              </w:rPr>
              <w:t>蒸发损耗：按每天损耗循环水量的5%计，年损耗约10.8 m³</w:t>
            </w:r>
            <w:r>
              <w:rPr>
                <w:rFonts w:hint="eastAsia" w:ascii="Times New Roman" w:hAnsi="Times New Roman" w:eastAsia="宋体" w:cs="Times New Roman"/>
                <w:color w:val="auto"/>
                <w:spacing w:val="0"/>
                <w:position w:val="0"/>
                <w:sz w:val="24"/>
                <w:szCs w:val="21"/>
                <w:highlight w:val="none"/>
                <w:lang w:val="en-US" w:eastAsia="zh-CN" w:bidi="ar-SA"/>
              </w:rPr>
              <w:t>；</w:t>
            </w:r>
            <w:r>
              <w:rPr>
                <w:rFonts w:hint="default" w:ascii="Times New Roman" w:hAnsi="Times New Roman" w:eastAsia="宋体" w:cs="Times New Roman"/>
                <w:color w:val="auto"/>
                <w:spacing w:val="0"/>
                <w:position w:val="0"/>
                <w:sz w:val="24"/>
                <w:szCs w:val="21"/>
                <w:highlight w:val="none"/>
                <w:lang w:val="en-US" w:eastAsia="zh-CN" w:bidi="ar-SA"/>
              </w:rPr>
              <w:t>定期补充新鲜水，年补水量约20 m³</w:t>
            </w:r>
            <w:r>
              <w:rPr>
                <w:rFonts w:hint="eastAsia" w:ascii="Times New Roman" w:hAnsi="Times New Roman" w:eastAsia="宋体" w:cs="Times New Roman"/>
                <w:color w:val="auto"/>
                <w:spacing w:val="0"/>
                <w:position w:val="0"/>
                <w:sz w:val="24"/>
                <w:szCs w:val="21"/>
                <w:highlight w:val="none"/>
                <w:lang w:val="en-US" w:eastAsia="zh-CN" w:bidi="ar-SA"/>
              </w:rPr>
              <w:t>；</w:t>
            </w:r>
            <w:r>
              <w:rPr>
                <w:rFonts w:hint="default" w:ascii="Times New Roman" w:hAnsi="Times New Roman" w:eastAsia="宋体" w:cs="Times New Roman"/>
                <w:color w:val="auto"/>
                <w:spacing w:val="0"/>
                <w:position w:val="0"/>
                <w:sz w:val="24"/>
                <w:szCs w:val="21"/>
                <w:highlight w:val="none"/>
                <w:lang w:val="en-US" w:eastAsia="zh-CN" w:bidi="ar-SA"/>
              </w:rPr>
              <w:t>冷却水循环使用</w:t>
            </w:r>
            <w:r>
              <w:rPr>
                <w:rFonts w:hint="eastAsia" w:ascii="Times New Roman" w:hAnsi="Times New Roman" w:eastAsia="宋体" w:cs="Times New Roman"/>
                <w:color w:val="auto"/>
                <w:spacing w:val="0"/>
                <w:position w:val="0"/>
                <w:sz w:val="24"/>
                <w:szCs w:val="21"/>
                <w:highlight w:val="none"/>
                <w:lang w:val="en-US" w:eastAsia="zh-CN" w:bidi="ar-SA"/>
              </w:rPr>
              <w:t>不外排。</w:t>
            </w:r>
          </w:p>
          <w:p w14:paraId="35A1877D">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0" w:firstLineChars="0"/>
              <w:textAlignment w:val="baseline"/>
              <w:rPr>
                <w:rFonts w:hint="default" w:ascii="Times New Roman" w:hAnsi="Times New Roman" w:cs="Times New Roman"/>
                <w:b/>
                <w:bCs/>
                <w:color w:val="auto"/>
                <w:spacing w:val="0"/>
                <w:position w:val="0"/>
                <w:highlight w:val="none"/>
              </w:rPr>
            </w:pPr>
            <w:r>
              <w:rPr>
                <w:rFonts w:hint="eastAsia" w:ascii="Times New Roman" w:hAnsi="Times New Roman" w:cs="Times New Roman"/>
                <w:b/>
                <w:bCs/>
                <w:color w:val="auto"/>
                <w:spacing w:val="0"/>
                <w:position w:val="0"/>
                <w:highlight w:val="none"/>
                <w:lang w:val="en-US" w:eastAsia="zh-CN"/>
              </w:rPr>
              <w:t>7</w:t>
            </w:r>
            <w:r>
              <w:rPr>
                <w:rFonts w:hint="default" w:ascii="Times New Roman" w:hAnsi="Times New Roman" w:cs="Times New Roman"/>
                <w:b/>
                <w:bCs/>
                <w:color w:val="auto"/>
                <w:spacing w:val="0"/>
                <w:position w:val="0"/>
                <w:highlight w:val="none"/>
              </w:rPr>
              <w:t>.2排水</w:t>
            </w:r>
          </w:p>
          <w:p w14:paraId="056D10B8">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2" w:firstLineChars="200"/>
              <w:textAlignment w:val="baseline"/>
              <w:rPr>
                <w:rFonts w:hint="default" w:ascii="Times New Roman" w:hAnsi="Times New Roman" w:cs="Times New Roman"/>
                <w:b/>
                <w:bCs/>
                <w:color w:val="auto"/>
                <w:spacing w:val="0"/>
                <w:position w:val="0"/>
                <w:highlight w:val="none"/>
                <w:lang w:eastAsia="zh-CN"/>
              </w:rPr>
            </w:pPr>
            <w:r>
              <w:rPr>
                <w:rFonts w:hint="default" w:ascii="Times New Roman" w:hAnsi="Times New Roman" w:cs="Times New Roman"/>
                <w:b/>
                <w:bCs/>
                <w:color w:val="auto"/>
                <w:spacing w:val="0"/>
                <w:position w:val="0"/>
                <w:highlight w:val="none"/>
              </w:rPr>
              <w:t>生活污水</w:t>
            </w:r>
          </w:p>
          <w:p w14:paraId="0F1474B5">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baseline"/>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生活污水产生量按用水量的80%计，年产生量约24</w:t>
            </w:r>
            <w:r>
              <w:rPr>
                <w:rFonts w:hint="eastAsia" w:cs="Times New Roman"/>
                <w:color w:val="auto"/>
                <w:spacing w:val="0"/>
                <w:position w:val="0"/>
                <w:sz w:val="24"/>
                <w:szCs w:val="21"/>
                <w:highlight w:val="none"/>
                <w:lang w:val="en-US" w:eastAsia="zh-CN" w:bidi="ar-SA"/>
              </w:rPr>
              <w:t>0</w:t>
            </w:r>
            <w:r>
              <w:rPr>
                <w:rFonts w:hint="default" w:ascii="Times New Roman" w:hAnsi="Times New Roman" w:eastAsia="宋体" w:cs="Times New Roman"/>
                <w:color w:val="auto"/>
                <w:spacing w:val="0"/>
                <w:position w:val="0"/>
                <w:sz w:val="24"/>
                <w:szCs w:val="21"/>
                <w:highlight w:val="none"/>
                <w:lang w:val="en-US" w:eastAsia="zh-CN" w:bidi="ar-SA"/>
              </w:rPr>
              <w:t>m³。生活污水通过园区污水管网排入</w:t>
            </w:r>
            <w:r>
              <w:rPr>
                <w:rFonts w:hint="default" w:ascii="Times New Roman" w:hAnsi="Times New Roman" w:eastAsia="宋体" w:cs="Times New Roman"/>
                <w:color w:val="auto"/>
                <w:spacing w:val="0"/>
                <w:position w:val="0"/>
                <w:sz w:val="24"/>
                <w:szCs w:val="24"/>
                <w:highlight w:val="none"/>
              </w:rPr>
              <w:t>阜康市</w:t>
            </w:r>
            <w:r>
              <w:rPr>
                <w:rFonts w:hint="default" w:ascii="Times New Roman" w:hAnsi="Times New Roman" w:eastAsia="宋体" w:cs="Times New Roman"/>
                <w:color w:val="auto"/>
                <w:spacing w:val="0"/>
                <w:position w:val="0"/>
                <w:sz w:val="24"/>
                <w:szCs w:val="21"/>
                <w:highlight w:val="none"/>
                <w:lang w:val="en-US" w:eastAsia="zh-CN" w:bidi="ar-SA"/>
              </w:rPr>
              <w:t>西部城区污水处理厂</w:t>
            </w:r>
            <w:r>
              <w:rPr>
                <w:rFonts w:hint="eastAsia" w:ascii="Times New Roman" w:hAnsi="Times New Roman" w:eastAsia="宋体" w:cs="Times New Roman"/>
                <w:color w:val="auto"/>
                <w:spacing w:val="0"/>
                <w:position w:val="0"/>
                <w:sz w:val="24"/>
                <w:szCs w:val="21"/>
                <w:highlight w:val="none"/>
                <w:lang w:val="en-US" w:eastAsia="zh-CN" w:bidi="ar-SA"/>
              </w:rPr>
              <w:t>，本项目水平衡见表2-6，水平衡图见图2-1</w:t>
            </w:r>
            <w:r>
              <w:rPr>
                <w:rFonts w:hint="default" w:ascii="Times New Roman" w:hAnsi="Times New Roman" w:eastAsia="宋体" w:cs="Times New Roman"/>
                <w:color w:val="auto"/>
                <w:spacing w:val="0"/>
                <w:position w:val="0"/>
                <w:sz w:val="24"/>
                <w:szCs w:val="21"/>
                <w:highlight w:val="none"/>
                <w:lang w:val="en-US" w:eastAsia="zh-CN" w:bidi="ar-SA"/>
              </w:rPr>
              <w:t>。</w:t>
            </w:r>
          </w:p>
          <w:p w14:paraId="7CCE0CC7">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baseline"/>
              <w:rPr>
                <w:rFonts w:hint="eastAsia" w:ascii="黑体" w:hAnsi="黑体" w:eastAsia="黑体" w:cs="黑体"/>
                <w:color w:val="auto"/>
                <w:spacing w:val="0"/>
                <w:position w:val="0"/>
                <w:sz w:val="21"/>
                <w:szCs w:val="18"/>
                <w:highlight w:val="none"/>
                <w:lang w:val="en-US" w:eastAsia="zh-CN" w:bidi="ar-SA"/>
              </w:rPr>
            </w:pPr>
            <w:r>
              <w:rPr>
                <w:rFonts w:hint="eastAsia" w:ascii="黑体" w:hAnsi="黑体" w:eastAsia="黑体" w:cs="黑体"/>
                <w:color w:val="auto"/>
                <w:spacing w:val="0"/>
                <w:position w:val="0"/>
                <w:sz w:val="21"/>
                <w:szCs w:val="18"/>
                <w:highlight w:val="none"/>
                <w:lang w:val="en-US" w:eastAsia="zh-CN" w:bidi="ar-SA"/>
              </w:rPr>
              <w:t>表2-6   项目水平衡一览表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64"/>
              <w:gridCol w:w="1169"/>
              <w:gridCol w:w="1283"/>
              <w:gridCol w:w="1417"/>
              <w:gridCol w:w="2069"/>
            </w:tblGrid>
            <w:tr w14:paraId="57E245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364" w:type="dxa"/>
                  <w:tcBorders>
                    <w:bottom w:val="single" w:color="auto" w:sz="12" w:space="0"/>
                  </w:tcBorders>
                  <w:shd w:val="clear" w:color="auto" w:fill="auto"/>
                  <w:vAlign w:val="center"/>
                </w:tcPr>
                <w:p w14:paraId="5A357BF5">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用水项目</w:t>
                  </w:r>
                </w:p>
              </w:tc>
              <w:tc>
                <w:tcPr>
                  <w:tcW w:w="1169" w:type="dxa"/>
                  <w:tcBorders>
                    <w:bottom w:val="single" w:color="auto" w:sz="12" w:space="0"/>
                  </w:tcBorders>
                  <w:shd w:val="clear" w:color="auto" w:fill="auto"/>
                  <w:vAlign w:val="center"/>
                </w:tcPr>
                <w:p w14:paraId="63EF462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年用水量（m³/a）</w:t>
                  </w:r>
                </w:p>
              </w:tc>
              <w:tc>
                <w:tcPr>
                  <w:tcW w:w="1283" w:type="dxa"/>
                  <w:tcBorders>
                    <w:bottom w:val="single" w:color="auto" w:sz="12" w:space="0"/>
                  </w:tcBorders>
                  <w:shd w:val="clear" w:color="auto" w:fill="auto"/>
                  <w:vAlign w:val="center"/>
                </w:tcPr>
                <w:p w14:paraId="47E024F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年损耗量（m³/a）</w:t>
                  </w:r>
                </w:p>
              </w:tc>
              <w:tc>
                <w:tcPr>
                  <w:tcW w:w="1417" w:type="dxa"/>
                  <w:tcBorders>
                    <w:bottom w:val="single" w:color="auto" w:sz="12" w:space="0"/>
                  </w:tcBorders>
                  <w:shd w:val="clear" w:color="auto" w:fill="auto"/>
                  <w:vAlign w:val="center"/>
                </w:tcPr>
                <w:p w14:paraId="75C5E03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年排水量（m³/a）</w:t>
                  </w:r>
                </w:p>
              </w:tc>
              <w:tc>
                <w:tcPr>
                  <w:tcW w:w="2069" w:type="dxa"/>
                  <w:tcBorders>
                    <w:bottom w:val="single" w:color="auto" w:sz="12" w:space="0"/>
                  </w:tcBorders>
                  <w:shd w:val="clear" w:color="auto" w:fill="auto"/>
                  <w:vAlign w:val="center"/>
                </w:tcPr>
                <w:p w14:paraId="4AF12BF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排水去向</w:t>
                  </w:r>
                </w:p>
              </w:tc>
            </w:tr>
            <w:tr w14:paraId="48D9BB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364" w:type="dxa"/>
                  <w:tcBorders>
                    <w:top w:val="single" w:color="auto" w:sz="12" w:space="0"/>
                    <w:tl2br w:val="nil"/>
                    <w:tr2bl w:val="nil"/>
                  </w:tcBorders>
                  <w:shd w:val="clear" w:color="auto" w:fill="auto"/>
                  <w:vAlign w:val="center"/>
                </w:tcPr>
                <w:p w14:paraId="11AA1CA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冷却循环水</w:t>
                  </w:r>
                </w:p>
              </w:tc>
              <w:tc>
                <w:tcPr>
                  <w:tcW w:w="1169" w:type="dxa"/>
                  <w:tcBorders>
                    <w:top w:val="single" w:color="auto" w:sz="12" w:space="0"/>
                    <w:tl2br w:val="nil"/>
                    <w:tr2bl w:val="nil"/>
                  </w:tcBorders>
                  <w:shd w:val="clear" w:color="auto" w:fill="auto"/>
                  <w:vAlign w:val="center"/>
                </w:tcPr>
                <w:p w14:paraId="159A8A9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283" w:type="dxa"/>
                  <w:tcBorders>
                    <w:top w:val="single" w:color="auto" w:sz="12" w:space="0"/>
                    <w:tl2br w:val="nil"/>
                    <w:tr2bl w:val="nil"/>
                  </w:tcBorders>
                  <w:shd w:val="clear" w:color="auto" w:fill="auto"/>
                  <w:vAlign w:val="center"/>
                </w:tcPr>
                <w:p w14:paraId="4B04E072">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19.28</w:t>
                  </w:r>
                </w:p>
              </w:tc>
              <w:tc>
                <w:tcPr>
                  <w:tcW w:w="1417" w:type="dxa"/>
                  <w:tcBorders>
                    <w:top w:val="single" w:color="auto" w:sz="12" w:space="0"/>
                    <w:tl2br w:val="nil"/>
                    <w:tr2bl w:val="nil"/>
                  </w:tcBorders>
                  <w:shd w:val="clear" w:color="auto" w:fill="auto"/>
                  <w:vAlign w:val="center"/>
                </w:tcPr>
                <w:p w14:paraId="677E8701">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0</w:t>
                  </w:r>
                </w:p>
              </w:tc>
              <w:tc>
                <w:tcPr>
                  <w:tcW w:w="2069" w:type="dxa"/>
                  <w:tcBorders>
                    <w:top w:val="single" w:color="auto" w:sz="12" w:space="0"/>
                    <w:tl2br w:val="nil"/>
                    <w:tr2bl w:val="nil"/>
                  </w:tcBorders>
                  <w:shd w:val="clear" w:color="auto" w:fill="auto"/>
                  <w:vAlign w:val="center"/>
                </w:tcPr>
                <w:p w14:paraId="00450220">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eastAsia" w:ascii="Times New Roman" w:hAnsi="Times New Roman" w:eastAsia="宋体" w:cs="Times New Roman"/>
                      <w:i w:val="0"/>
                      <w:iCs w:val="0"/>
                      <w:color w:val="auto"/>
                      <w:sz w:val="21"/>
                      <w:szCs w:val="21"/>
                      <w:u w:val="none"/>
                      <w:lang w:val="en-US" w:eastAsia="zh-CN"/>
                    </w:rPr>
                    <w:t>循环使用不外排</w:t>
                  </w:r>
                </w:p>
              </w:tc>
            </w:tr>
            <w:tr w14:paraId="776C16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364" w:type="dxa"/>
                  <w:tcBorders>
                    <w:tl2br w:val="nil"/>
                    <w:tr2bl w:val="nil"/>
                  </w:tcBorders>
                  <w:shd w:val="clear" w:color="auto" w:fill="auto"/>
                  <w:vAlign w:val="center"/>
                </w:tcPr>
                <w:p w14:paraId="0617C03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生活用水</w:t>
                  </w:r>
                </w:p>
              </w:tc>
              <w:tc>
                <w:tcPr>
                  <w:tcW w:w="1169" w:type="dxa"/>
                  <w:tcBorders>
                    <w:tl2br w:val="nil"/>
                    <w:tr2bl w:val="nil"/>
                  </w:tcBorders>
                  <w:shd w:val="clear" w:color="auto" w:fill="auto"/>
                  <w:vAlign w:val="center"/>
                </w:tcPr>
                <w:p w14:paraId="2F7EFF6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300</w:t>
                  </w:r>
                </w:p>
              </w:tc>
              <w:tc>
                <w:tcPr>
                  <w:tcW w:w="1283" w:type="dxa"/>
                  <w:tcBorders>
                    <w:tl2br w:val="nil"/>
                    <w:tr2bl w:val="nil"/>
                  </w:tcBorders>
                  <w:shd w:val="clear" w:color="auto" w:fill="auto"/>
                  <w:vAlign w:val="center"/>
                </w:tcPr>
                <w:p w14:paraId="0430B13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w:t>
                  </w:r>
                </w:p>
              </w:tc>
              <w:tc>
                <w:tcPr>
                  <w:tcW w:w="1417" w:type="dxa"/>
                  <w:tcBorders>
                    <w:tl2br w:val="nil"/>
                    <w:tr2bl w:val="nil"/>
                  </w:tcBorders>
                  <w:shd w:val="clear" w:color="auto" w:fill="auto"/>
                  <w:vAlign w:val="center"/>
                </w:tcPr>
                <w:p w14:paraId="386993A4">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240</w:t>
                  </w:r>
                </w:p>
              </w:tc>
              <w:tc>
                <w:tcPr>
                  <w:tcW w:w="2069" w:type="dxa"/>
                  <w:tcBorders>
                    <w:tl2br w:val="nil"/>
                    <w:tr2bl w:val="nil"/>
                  </w:tcBorders>
                  <w:shd w:val="clear" w:color="auto" w:fill="auto"/>
                  <w:vAlign w:val="center"/>
                </w:tcPr>
                <w:p w14:paraId="41B734A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园区污水管网</w:t>
                  </w:r>
                </w:p>
              </w:tc>
            </w:tr>
            <w:tr w14:paraId="30358B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364" w:type="dxa"/>
                  <w:tcBorders>
                    <w:tl2br w:val="nil"/>
                    <w:tr2bl w:val="nil"/>
                  </w:tcBorders>
                  <w:shd w:val="clear" w:color="auto" w:fill="auto"/>
                  <w:vAlign w:val="center"/>
                </w:tcPr>
                <w:p w14:paraId="0DFDB369">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合计</w:t>
                  </w:r>
                </w:p>
              </w:tc>
              <w:tc>
                <w:tcPr>
                  <w:tcW w:w="1169" w:type="dxa"/>
                  <w:tcBorders>
                    <w:tl2br w:val="nil"/>
                    <w:tr2bl w:val="nil"/>
                  </w:tcBorders>
                  <w:shd w:val="clear" w:color="auto" w:fill="auto"/>
                  <w:vAlign w:val="center"/>
                </w:tcPr>
                <w:p w14:paraId="212F851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320</w:t>
                  </w:r>
                </w:p>
              </w:tc>
              <w:tc>
                <w:tcPr>
                  <w:tcW w:w="1283" w:type="dxa"/>
                  <w:tcBorders>
                    <w:tl2br w:val="nil"/>
                    <w:tr2bl w:val="nil"/>
                  </w:tcBorders>
                  <w:shd w:val="clear" w:color="auto" w:fill="auto"/>
                  <w:vAlign w:val="center"/>
                </w:tcPr>
                <w:p w14:paraId="1DD2C0DE">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79.28</w:t>
                  </w:r>
                </w:p>
              </w:tc>
              <w:tc>
                <w:tcPr>
                  <w:tcW w:w="1417" w:type="dxa"/>
                  <w:tcBorders>
                    <w:tl2br w:val="nil"/>
                    <w:tr2bl w:val="nil"/>
                  </w:tcBorders>
                  <w:shd w:val="clear" w:color="auto" w:fill="auto"/>
                  <w:vAlign w:val="center"/>
                </w:tcPr>
                <w:p w14:paraId="38FFEEFB">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240.72</w:t>
                  </w:r>
                </w:p>
              </w:tc>
              <w:tc>
                <w:tcPr>
                  <w:tcW w:w="2069" w:type="dxa"/>
                  <w:tcBorders>
                    <w:tl2br w:val="nil"/>
                    <w:tr2bl w:val="nil"/>
                  </w:tcBorders>
                  <w:shd w:val="clear" w:color="auto" w:fill="auto"/>
                  <w:vAlign w:val="center"/>
                </w:tcPr>
                <w:p w14:paraId="004E16F6">
                  <w:pPr>
                    <w:keepNext w:val="0"/>
                    <w:keepLines w:val="0"/>
                    <w:pageBreakBefore w:val="0"/>
                    <w:widowControl/>
                    <w:suppressLineNumbers w:val="0"/>
                    <w:shd w:val="clear"/>
                    <w:kinsoku/>
                    <w:topLinePunct w:val="0"/>
                    <w:bidi w:val="0"/>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bl>
          <w:p w14:paraId="5F063BB1">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0" w:firstLineChars="0"/>
              <w:textAlignment w:val="baseline"/>
              <w:rPr>
                <w:rFonts w:hint="default" w:ascii="Times New Roman" w:hAnsi="Times New Roman" w:eastAsia="宋体" w:cs="Times New Roman"/>
                <w:b/>
                <w:bCs/>
                <w:color w:val="auto"/>
                <w:spacing w:val="0"/>
                <w:position w:val="0"/>
                <w:highlight w:val="none"/>
              </w:rPr>
            </w:pPr>
            <w:r>
              <w:rPr>
                <w:rFonts w:hint="eastAsia" w:ascii="Times New Roman" w:hAnsi="Times New Roman" w:eastAsia="宋体" w:cs="Times New Roman"/>
                <w:b/>
                <w:bCs/>
                <w:color w:val="auto"/>
                <w:spacing w:val="0"/>
                <w:position w:val="0"/>
                <w:highlight w:val="none"/>
                <w:lang w:val="en-US" w:eastAsia="zh-CN"/>
              </w:rPr>
              <w:t>7</w:t>
            </w:r>
            <w:r>
              <w:rPr>
                <w:rFonts w:hint="default" w:ascii="Times New Roman" w:hAnsi="Times New Roman" w:eastAsia="宋体" w:cs="Times New Roman"/>
                <w:b/>
                <w:bCs/>
                <w:color w:val="auto"/>
                <w:spacing w:val="0"/>
                <w:position w:val="0"/>
                <w:highlight w:val="none"/>
                <w:lang w:val="en-US" w:eastAsia="zh-CN"/>
              </w:rPr>
              <w:t>.3</w:t>
            </w:r>
            <w:r>
              <w:rPr>
                <w:rFonts w:hint="default" w:ascii="Times New Roman" w:hAnsi="Times New Roman" w:eastAsia="宋体" w:cs="Times New Roman"/>
                <w:b/>
                <w:bCs/>
                <w:color w:val="auto"/>
                <w:spacing w:val="0"/>
                <w:position w:val="0"/>
                <w:highlight w:val="none"/>
              </w:rPr>
              <w:t>供暖：</w:t>
            </w:r>
          </w:p>
          <w:p w14:paraId="448C6887">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baseline"/>
              <w:rPr>
                <w:rFonts w:hint="default" w:ascii="Times New Roman" w:hAnsi="Times New Roman" w:eastAsia="宋体" w:cs="Times New Roman"/>
                <w:color w:val="auto"/>
                <w:spacing w:val="0"/>
                <w:position w:val="0"/>
                <w:highlight w:val="none"/>
              </w:rPr>
            </w:pPr>
            <w:r>
              <w:rPr>
                <w:rFonts w:hint="default" w:ascii="Times New Roman" w:hAnsi="Times New Roman" w:cs="Times New Roman"/>
                <w:color w:val="auto"/>
                <w:spacing w:val="0"/>
                <w:position w:val="0"/>
                <w:highlight w:val="none"/>
              </w:rPr>
              <w:t>项目生活办公区供热为集中供暖</w:t>
            </w:r>
            <w:r>
              <w:rPr>
                <w:rFonts w:hint="default" w:ascii="Times New Roman" w:hAnsi="Times New Roman" w:cs="Times New Roman"/>
                <w:color w:val="auto"/>
                <w:spacing w:val="0"/>
                <w:position w:val="0"/>
                <w:highlight w:val="none"/>
                <w:lang w:eastAsia="zh-CN"/>
              </w:rPr>
              <w:t>。</w:t>
            </w:r>
          </w:p>
          <w:p w14:paraId="33B54EA3">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0" w:firstLineChars="0"/>
              <w:textAlignment w:val="baseline"/>
              <w:rPr>
                <w:rFonts w:hint="default" w:ascii="Times New Roman" w:hAnsi="Times New Roman" w:eastAsia="宋体" w:cs="Times New Roman"/>
                <w:b/>
                <w:bCs/>
                <w:color w:val="auto"/>
                <w:spacing w:val="0"/>
                <w:position w:val="0"/>
                <w:highlight w:val="none"/>
              </w:rPr>
            </w:pPr>
            <w:r>
              <w:rPr>
                <w:rFonts w:hint="eastAsia" w:ascii="Times New Roman" w:hAnsi="Times New Roman" w:eastAsia="宋体" w:cs="Times New Roman"/>
                <w:b/>
                <w:bCs/>
                <w:color w:val="auto"/>
                <w:spacing w:val="0"/>
                <w:position w:val="0"/>
                <w:highlight w:val="none"/>
                <w:lang w:val="en-US" w:eastAsia="zh-CN"/>
              </w:rPr>
              <w:t>7</w:t>
            </w:r>
            <w:r>
              <w:rPr>
                <w:rFonts w:hint="default" w:ascii="Times New Roman" w:hAnsi="Times New Roman" w:eastAsia="宋体" w:cs="Times New Roman"/>
                <w:b/>
                <w:bCs/>
                <w:color w:val="auto"/>
                <w:spacing w:val="0"/>
                <w:position w:val="0"/>
                <w:highlight w:val="none"/>
                <w:lang w:val="en-US" w:eastAsia="zh-CN"/>
              </w:rPr>
              <w:t>.4</w:t>
            </w:r>
            <w:r>
              <w:rPr>
                <w:rFonts w:hint="default" w:ascii="Times New Roman" w:hAnsi="Times New Roman" w:eastAsia="宋体" w:cs="Times New Roman"/>
                <w:b/>
                <w:bCs/>
                <w:color w:val="auto"/>
                <w:spacing w:val="0"/>
                <w:position w:val="0"/>
                <w:highlight w:val="none"/>
              </w:rPr>
              <w:t>供电：</w:t>
            </w:r>
          </w:p>
          <w:p w14:paraId="343479E8">
            <w:pPr>
              <w:pStyle w:val="66"/>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baseline"/>
              <w:rPr>
                <w:rFonts w:hint="default" w:ascii="Times New Roman" w:hAnsi="Times New Roman" w:eastAsia="宋体" w:cs="Times New Roman"/>
                <w:color w:val="auto"/>
                <w:spacing w:val="0"/>
                <w:position w:val="0"/>
                <w:highlight w:val="none"/>
              </w:rPr>
            </w:pPr>
            <w:r>
              <w:rPr>
                <w:rFonts w:hint="default" w:ascii="Times New Roman" w:hAnsi="Times New Roman" w:eastAsia="宋体" w:cs="Times New Roman"/>
                <w:color w:val="auto"/>
                <w:spacing w:val="0"/>
                <w:position w:val="0"/>
                <w:highlight w:val="none"/>
                <w:lang w:val="en-US" w:eastAsia="zh-CN"/>
              </w:rPr>
              <w:t>依托园区供电管网供给，本项目</w:t>
            </w:r>
            <w:r>
              <w:rPr>
                <w:rFonts w:hint="default" w:ascii="Times New Roman" w:hAnsi="Times New Roman" w:eastAsia="宋体" w:cs="Times New Roman"/>
                <w:color w:val="auto"/>
                <w:spacing w:val="0"/>
                <w:position w:val="0"/>
                <w:highlight w:val="none"/>
              </w:rPr>
              <w:t>年耗电量：35万千万时；</w:t>
            </w:r>
          </w:p>
          <w:p w14:paraId="1B6C4D74">
            <w:pPr>
              <w:pStyle w:val="36"/>
              <w:pageBreakBefore w:val="0"/>
              <w:shd w:val="clear"/>
              <w:kinsoku/>
              <w:topLinePunct w:val="0"/>
              <w:bidi w:val="0"/>
              <w:spacing w:beforeAutospacing="0" w:afterAutospacing="0"/>
              <w:ind w:left="0" w:leftChars="0" w:right="0" w:rightChars="0" w:firstLine="562" w:firstLineChars="200"/>
              <w:rPr>
                <w:rFonts w:hint="default" w:ascii="Times New Roman" w:hAnsi="Times New Roman" w:eastAsia="宋体" w:cs="Times New Roman"/>
                <w:b w:val="0"/>
                <w:color w:val="auto"/>
                <w:sz w:val="24"/>
                <w:szCs w:val="24"/>
                <w:lang w:val="en-US" w:eastAsia="zh-CN" w:bidi="ar-SA"/>
              </w:rPr>
            </w:pPr>
            <w:r>
              <w:rPr>
                <w:rFonts w:hint="default" w:ascii="Times New Roman" w:hAnsi="Times New Roman" w:eastAsia="黑体" w:cs="Times New Roman"/>
                <w:color w:val="auto"/>
                <w:sz w:val="28"/>
                <w:szCs w:val="28"/>
                <w:lang w:val="en-US" w:eastAsia="zh-CN"/>
              </w:rPr>
              <w:drawing>
                <wp:inline distT="0" distB="0" distL="114300" distR="114300">
                  <wp:extent cx="2204720" cy="4249420"/>
                  <wp:effectExtent l="0" t="0" r="5080" b="17780"/>
                  <wp:docPr id="14" name="E657119C-6982-421D-8BA7-E74DEB70A7D9-1" descr="C:/Users/RL/AppData/Local/Temp/wps.ArgUuK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657119C-6982-421D-8BA7-E74DEB70A7D9-1" descr="C:/Users/RL/AppData/Local/Temp/wps.ArgUuKwps"/>
                          <pic:cNvPicPr>
                            <a:picLocks noChangeAspect="1"/>
                          </pic:cNvPicPr>
                        </pic:nvPicPr>
                        <pic:blipFill>
                          <a:blip r:embed="rId6"/>
                          <a:stretch>
                            <a:fillRect/>
                          </a:stretch>
                        </pic:blipFill>
                        <pic:spPr>
                          <a:xfrm>
                            <a:off x="0" y="0"/>
                            <a:ext cx="2204720" cy="4249420"/>
                          </a:xfrm>
                          <a:prstGeom prst="rect">
                            <a:avLst/>
                          </a:prstGeom>
                        </pic:spPr>
                      </pic:pic>
                    </a:graphicData>
                  </a:graphic>
                </wp:inline>
              </w:drawing>
            </w:r>
          </w:p>
          <w:p w14:paraId="4D74FDF7">
            <w:pPr>
              <w:pStyle w:val="36"/>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422" w:firstLineChars="200"/>
              <w:textAlignment w:val="auto"/>
              <w:rPr>
                <w:rFonts w:hint="default" w:ascii="Times New Roman" w:hAnsi="Times New Roman" w:eastAsia="宋体" w:cs="Times New Roman"/>
                <w:b/>
                <w:bCs/>
                <w:color w:val="auto"/>
                <w:spacing w:val="0"/>
                <w:position w:val="0"/>
                <w:sz w:val="21"/>
                <w:szCs w:val="18"/>
                <w:highlight w:val="none"/>
                <w:lang w:val="en-US" w:eastAsia="zh-CN" w:bidi="ar-SA"/>
              </w:rPr>
            </w:pPr>
            <w:r>
              <w:rPr>
                <w:rFonts w:hint="default" w:ascii="Times New Roman" w:hAnsi="Times New Roman" w:eastAsia="宋体" w:cs="Times New Roman"/>
                <w:b/>
                <w:bCs/>
                <w:color w:val="auto"/>
                <w:spacing w:val="0"/>
                <w:position w:val="0"/>
                <w:sz w:val="21"/>
                <w:szCs w:val="18"/>
                <w:highlight w:val="none"/>
                <w:lang w:val="en-US" w:eastAsia="zh-CN" w:bidi="ar-SA"/>
              </w:rPr>
              <w:t xml:space="preserve">图 </w:t>
            </w:r>
            <w:r>
              <w:rPr>
                <w:rFonts w:hint="default" w:ascii="Times New Roman" w:hAnsi="Times New Roman" w:eastAsia="宋体" w:cs="Times New Roman"/>
                <w:b/>
                <w:bCs/>
                <w:color w:val="auto"/>
                <w:spacing w:val="0"/>
                <w:position w:val="0"/>
                <w:sz w:val="21"/>
                <w:szCs w:val="18"/>
                <w:highlight w:val="none"/>
                <w:lang w:val="en-US" w:eastAsia="zh-CN" w:bidi="ar-SA"/>
              </w:rPr>
              <w:fldChar w:fldCharType="begin"/>
            </w:r>
            <w:r>
              <w:rPr>
                <w:rFonts w:hint="default" w:ascii="Times New Roman" w:hAnsi="Times New Roman" w:eastAsia="宋体" w:cs="Times New Roman"/>
                <w:b/>
                <w:bCs/>
                <w:color w:val="auto"/>
                <w:spacing w:val="0"/>
                <w:position w:val="0"/>
                <w:sz w:val="21"/>
                <w:szCs w:val="18"/>
                <w:highlight w:val="none"/>
                <w:lang w:val="en-US" w:eastAsia="zh-CN" w:bidi="ar-SA"/>
              </w:rPr>
              <w:instrText xml:space="preserve"> SEQ 图 \* ARABIC </w:instrText>
            </w:r>
            <w:r>
              <w:rPr>
                <w:rFonts w:hint="default" w:ascii="Times New Roman" w:hAnsi="Times New Roman" w:eastAsia="宋体" w:cs="Times New Roman"/>
                <w:b/>
                <w:bCs/>
                <w:color w:val="auto"/>
                <w:spacing w:val="0"/>
                <w:position w:val="0"/>
                <w:sz w:val="21"/>
                <w:szCs w:val="18"/>
                <w:highlight w:val="none"/>
                <w:lang w:val="en-US" w:eastAsia="zh-CN" w:bidi="ar-SA"/>
              </w:rPr>
              <w:fldChar w:fldCharType="separate"/>
            </w:r>
            <w:r>
              <w:rPr>
                <w:rFonts w:hint="default" w:ascii="Times New Roman" w:hAnsi="Times New Roman" w:eastAsia="宋体" w:cs="Times New Roman"/>
                <w:b/>
                <w:bCs/>
                <w:color w:val="auto"/>
                <w:spacing w:val="0"/>
                <w:position w:val="0"/>
                <w:sz w:val="21"/>
                <w:szCs w:val="18"/>
                <w:highlight w:val="none"/>
                <w:lang w:val="en-US" w:eastAsia="zh-CN" w:bidi="ar-SA"/>
              </w:rPr>
              <w:t>1</w:t>
            </w:r>
            <w:r>
              <w:rPr>
                <w:rFonts w:hint="default" w:ascii="Times New Roman" w:hAnsi="Times New Roman" w:eastAsia="宋体" w:cs="Times New Roman"/>
                <w:b/>
                <w:bCs/>
                <w:color w:val="auto"/>
                <w:spacing w:val="0"/>
                <w:position w:val="0"/>
                <w:sz w:val="21"/>
                <w:szCs w:val="18"/>
                <w:highlight w:val="none"/>
                <w:lang w:val="en-US" w:eastAsia="zh-CN" w:bidi="ar-SA"/>
              </w:rPr>
              <w:fldChar w:fldCharType="end"/>
            </w:r>
            <w:r>
              <w:rPr>
                <w:rFonts w:hint="default" w:ascii="Times New Roman" w:hAnsi="Times New Roman" w:eastAsia="宋体" w:cs="Times New Roman"/>
                <w:b/>
                <w:bCs/>
                <w:color w:val="auto"/>
                <w:spacing w:val="0"/>
                <w:position w:val="0"/>
                <w:sz w:val="21"/>
                <w:szCs w:val="18"/>
                <w:highlight w:val="none"/>
                <w:lang w:val="en-US" w:eastAsia="zh-CN" w:bidi="ar-SA"/>
              </w:rPr>
              <w:t xml:space="preserve">  厂区平面布置图</w:t>
            </w:r>
          </w:p>
          <w:p w14:paraId="058DBF6A">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0"/>
              <w:textAlignment w:val="auto"/>
              <w:rPr>
                <w:rFonts w:hint="default" w:ascii="Times New Roman" w:hAnsi="Times New Roman" w:eastAsia="宋体" w:cs="Times New Roman"/>
                <w:b/>
                <w:bCs w:val="0"/>
                <w:color w:val="auto"/>
                <w:spacing w:val="0"/>
                <w:position w:val="0"/>
                <w:sz w:val="24"/>
                <w:szCs w:val="21"/>
                <w:highlight w:val="none"/>
                <w:lang w:val="en-US" w:eastAsia="zh-CN" w:bidi="ar-SA"/>
              </w:rPr>
            </w:pPr>
            <w:r>
              <w:rPr>
                <w:rFonts w:hint="eastAsia" w:ascii="Times New Roman" w:hAnsi="Times New Roman" w:eastAsia="宋体" w:cs="Times New Roman"/>
                <w:b/>
                <w:bCs w:val="0"/>
                <w:color w:val="auto"/>
                <w:spacing w:val="0"/>
                <w:position w:val="0"/>
                <w:sz w:val="24"/>
                <w:szCs w:val="21"/>
                <w:highlight w:val="none"/>
                <w:lang w:val="en-US" w:eastAsia="zh-CN" w:bidi="ar-SA"/>
              </w:rPr>
              <w:t>8.</w:t>
            </w:r>
            <w:r>
              <w:rPr>
                <w:rFonts w:hint="default" w:ascii="Times New Roman" w:hAnsi="Times New Roman" w:eastAsia="宋体" w:cs="Times New Roman"/>
                <w:b/>
                <w:bCs w:val="0"/>
                <w:color w:val="auto"/>
                <w:spacing w:val="0"/>
                <w:position w:val="0"/>
                <w:sz w:val="24"/>
                <w:szCs w:val="21"/>
                <w:highlight w:val="none"/>
                <w:lang w:val="en-US" w:eastAsia="zh-CN" w:bidi="ar-SA"/>
              </w:rPr>
              <w:t>平面布置合理</w:t>
            </w:r>
          </w:p>
          <w:p w14:paraId="21DBF68B">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功能分区明确。根据生产工艺流程，将生产车间划分为原料堆放区、投料混合区、造粒区、挤出成型区、冷却区、上胶区、印刷区、收卷包装区、成品堆放区、办公区及环保设施区等功能区块，各功能区相对独立、互不干扰，便于生产管理和物料流转。</w:t>
            </w:r>
          </w:p>
          <w:p w14:paraId="0A8FBF9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（2）工艺流程顺畅。按照“原料入库→混合→造粒→挤出成型→冷却→上胶（背胶）→印刷→收卷→包装入库”的生产流程顺序布置各工序，确保物料流动向一致，避免往返交叉和无效搬运，提高生产效率。</w:t>
            </w:r>
          </w:p>
          <w:p w14:paraId="1B403FB4">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3）满足消防及安全规范。车间设置合理的安全通道和消防通道，主要通道宽度不小于3m，满足消防车辆通行及人员疏散要求。车间内各功能区与通道相接，原料区、成品区等物料存放区域与其他生产区域之间保持足够的防火间距。</w:t>
            </w:r>
          </w:p>
          <w:p w14:paraId="71BF66B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（4）环保设施布局合理。废气处理设施（布袋除尘器、活性炭吸附脱附+蓄热催化燃烧一体化装置（RCO）及排气筒）布置在靠近产污点位置，减少废气收集管路长度，提高收集效率。危险废物</w:t>
            </w:r>
            <w:r>
              <w:rPr>
                <w:rFonts w:hint="eastAsia" w:cs="Times New Roman"/>
                <w:color w:val="auto"/>
                <w:spacing w:val="0"/>
                <w:position w:val="0"/>
                <w:sz w:val="24"/>
                <w:szCs w:val="21"/>
                <w:highlight w:val="none"/>
                <w:lang w:val="en-US" w:eastAsia="zh-CN" w:bidi="ar-SA"/>
              </w:rPr>
              <w:t>贮存点</w:t>
            </w:r>
            <w:r>
              <w:rPr>
                <w:rFonts w:hint="default" w:ascii="Times New Roman" w:hAnsi="Times New Roman" w:eastAsia="宋体" w:cs="Times New Roman"/>
                <w:color w:val="auto"/>
                <w:spacing w:val="0"/>
                <w:position w:val="0"/>
                <w:sz w:val="24"/>
                <w:szCs w:val="21"/>
                <w:highlight w:val="none"/>
                <w:lang w:val="en-US" w:eastAsia="zh-CN" w:bidi="ar-SA"/>
              </w:rPr>
              <w:t>独立设置，远离办公区及人员密集区域，地面按要求进行防渗处理。噪声源设备（风机、真空泵、混合机等）集中布置并采取隔声、消声措施，减少对办公区和周边环境的影响。</w:t>
            </w:r>
          </w:p>
          <w:p w14:paraId="0FA537E4">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tc>
      </w:tr>
      <w:tr w14:paraId="19F31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c>
          <w:tcPr>
            <w:tcW w:w="704" w:type="dxa"/>
            <w:tcBorders>
              <w:tl2br w:val="nil"/>
              <w:tr2bl w:val="nil"/>
            </w:tcBorders>
            <w:shd w:val="clear" w:color="auto" w:fill="auto"/>
            <w:vAlign w:val="center"/>
          </w:tcPr>
          <w:p w14:paraId="4277D006">
            <w:pPr>
              <w:pStyle w:val="35"/>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r>
              <w:rPr>
                <w:rFonts w:hint="default" w:ascii="Times New Roman" w:hAnsi="Times New Roman" w:cs="Times New Roman"/>
                <w:color w:val="auto"/>
              </w:rPr>
              <w:t>工艺流程和产排污环节</w:t>
            </w:r>
          </w:p>
        </w:tc>
        <w:tc>
          <w:tcPr>
            <w:tcW w:w="7592" w:type="dxa"/>
            <w:tcBorders>
              <w:tl2br w:val="nil"/>
              <w:tr2bl w:val="nil"/>
            </w:tcBorders>
            <w:shd w:val="clear" w:color="auto" w:fill="auto"/>
          </w:tcPr>
          <w:p w14:paraId="16495A8F">
            <w:pPr>
              <w:pageBreakBefore w:val="0"/>
              <w:shd w:val="clear"/>
              <w:kinsoku/>
              <w:topLinePunct w:val="0"/>
              <w:bidi w:val="0"/>
              <w:adjustRightInd w:val="0"/>
              <w:snapToGrid w:val="0"/>
              <w:spacing w:beforeAutospacing="0" w:afterAutospacing="0" w:line="360" w:lineRule="auto"/>
              <w:ind w:left="0" w:leftChars="0" w:right="0" w:rightChars="0" w:firstLine="0" w:firstLineChars="0"/>
              <w:rPr>
                <w:rFonts w:hint="default"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1.</w:t>
            </w:r>
            <w:r>
              <w:rPr>
                <w:rFonts w:hint="default" w:ascii="Times New Roman" w:hAnsi="Times New Roman" w:cs="Times New Roman"/>
                <w:b/>
                <w:bCs/>
                <w:color w:val="auto"/>
                <w:sz w:val="24"/>
                <w:szCs w:val="24"/>
              </w:rPr>
              <w:t>运营期工艺流程</w:t>
            </w:r>
          </w:p>
          <w:p w14:paraId="3BE4530C">
            <w:pPr>
              <w:keepNext w:val="0"/>
              <w:keepLines w:val="0"/>
              <w:pageBreakBefore w:val="0"/>
              <w:shd w:val="clear"/>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运营期详见如下工艺流程图：</w:t>
            </w:r>
          </w:p>
          <w:p w14:paraId="329C530D">
            <w:pPr>
              <w:keepNext w:val="0"/>
              <w:keepLines w:val="0"/>
              <w:pageBreakBefore w:val="0"/>
              <w:shd w:val="clear"/>
              <w:kinsoku/>
              <w:wordWrap/>
              <w:overflowPunct/>
              <w:topLinePunct w:val="0"/>
              <w:autoSpaceDE/>
              <w:autoSpaceDN/>
              <w:bidi w:val="0"/>
              <w:adjustRightInd w:val="0"/>
              <w:snapToGrid w:val="0"/>
              <w:spacing w:beforeAutospacing="0" w:afterAutospacing="0" w:line="360" w:lineRule="auto"/>
              <w:ind w:right="0" w:rightChars="0"/>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drawing>
                <wp:inline distT="0" distB="0" distL="114300" distR="114300">
                  <wp:extent cx="4660900" cy="5050790"/>
                  <wp:effectExtent l="0" t="0" r="6350" b="16510"/>
                  <wp:docPr id="9" name="E657119C-6982-421D-8BA7-E74DEB70A7D9-2"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657119C-6982-421D-8BA7-E74DEB70A7D9-2" descr="wps"/>
                          <pic:cNvPicPr>
                            <a:picLocks noChangeAspect="1"/>
                          </pic:cNvPicPr>
                        </pic:nvPicPr>
                        <pic:blipFill>
                          <a:blip r:embed="rId7"/>
                          <a:stretch>
                            <a:fillRect/>
                          </a:stretch>
                        </pic:blipFill>
                        <pic:spPr>
                          <a:xfrm>
                            <a:off x="0" y="0"/>
                            <a:ext cx="4660900" cy="5050790"/>
                          </a:xfrm>
                          <a:prstGeom prst="rect">
                            <a:avLst/>
                          </a:prstGeom>
                        </pic:spPr>
                      </pic:pic>
                    </a:graphicData>
                  </a:graphic>
                </wp:inline>
              </w:drawing>
            </w:r>
          </w:p>
          <w:p w14:paraId="285A8EBC">
            <w:pPr>
              <w:pStyle w:val="9"/>
              <w:keepNext w:val="0"/>
              <w:keepLines w:val="0"/>
              <w:pageBreakBefore w:val="0"/>
              <w:widowControl/>
              <w:suppressLineNumbers w:val="0"/>
              <w:shd w:val="clea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textAlignment w:val="auto"/>
              <w:rPr>
                <w:rFonts w:hint="eastAsia" w:ascii="Segoe UI" w:hAnsi="Segoe UI" w:eastAsia="宋体" w:cs="Segoe UI"/>
                <w:b/>
                <w:bCs/>
                <w:caps w:val="0"/>
                <w:color w:val="auto"/>
                <w:spacing w:val="0"/>
                <w:sz w:val="24"/>
                <w:szCs w:val="24"/>
                <w:lang w:eastAsia="zh-CN"/>
              </w:rPr>
            </w:pPr>
            <w:r>
              <w:rPr>
                <w:rFonts w:hint="default" w:ascii="Segoe UI" w:hAnsi="Segoe UI" w:eastAsia="Segoe UI" w:cs="Segoe UI"/>
                <w:b/>
                <w:bCs/>
                <w:caps w:val="0"/>
                <w:color w:val="auto"/>
                <w:spacing w:val="0"/>
                <w:sz w:val="24"/>
                <w:szCs w:val="24"/>
                <w:shd w:val="clear" w:fill="FFFFFF"/>
              </w:rPr>
              <w:t>工艺流程说明</w:t>
            </w:r>
            <w:r>
              <w:rPr>
                <w:rFonts w:hint="eastAsia" w:ascii="Segoe UI" w:hAnsi="Segoe UI" w:eastAsia="宋体" w:cs="Segoe UI"/>
                <w:b/>
                <w:bCs/>
                <w:caps w:val="0"/>
                <w:color w:val="auto"/>
                <w:spacing w:val="0"/>
                <w:sz w:val="24"/>
                <w:szCs w:val="24"/>
                <w:shd w:val="clear" w:fill="FFFFFF"/>
                <w:lang w:eastAsia="zh-CN"/>
              </w:rPr>
              <w:t>：</w:t>
            </w:r>
          </w:p>
          <w:p w14:paraId="7D2C1A2D">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（1）投料、混合</w:t>
            </w:r>
          </w:p>
          <w:p w14:paraId="47C8D997">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按产品配方要求，将PVC树脂粉、碳酸钙（钙粉）、复合稳定剂、色母粉、钛白粉、石蜡等原辅材料计量后，通过封闭式除尘投料站投入300L高速混合机中。投料过程中，投料站自带除尘风机可有效抑制扬尘。高速混合机使物料高速翻滚、混合均匀，物料温度可升至100~120℃。</w:t>
            </w:r>
          </w:p>
          <w:p w14:paraId="6E1470CF">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产污环节</w:t>
            </w:r>
            <w:r>
              <w:rPr>
                <w:rFonts w:hint="default" w:ascii="Times New Roman" w:hAnsi="Times New Roman" w:eastAsia="宋体" w:cs="Times New Roman"/>
                <w:b/>
                <w:bCs/>
                <w:color w:val="auto"/>
                <w:kern w:val="0"/>
                <w:sz w:val="24"/>
                <w:szCs w:val="24"/>
                <w:lang w:val="en-US" w:eastAsia="zh-CN" w:bidi="ar-SA"/>
              </w:rPr>
              <w:t>：</w:t>
            </w:r>
            <w:r>
              <w:rPr>
                <w:rFonts w:hint="default" w:ascii="Times New Roman" w:hAnsi="Times New Roman" w:eastAsia="宋体" w:cs="Times New Roman"/>
                <w:b w:val="0"/>
                <w:bCs w:val="0"/>
                <w:color w:val="auto"/>
                <w:kern w:val="0"/>
                <w:sz w:val="24"/>
                <w:szCs w:val="24"/>
                <w:lang w:val="en-US" w:eastAsia="zh-CN" w:bidi="ar-SA"/>
              </w:rPr>
              <w:t>G1（粉尘）：投料及混合初期产生的含尘废气，主要污染物为颗粒物。经集气罩收集后，进入布袋除尘器处理。N（噪声）：混合机运行产生的机械噪声。S1（废包装袋）：原辅材料拆包产生的废编织袋等，为一般工业固废，外售综合利用。</w:t>
            </w:r>
          </w:p>
          <w:p w14:paraId="54D25175">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（2）造粒</w:t>
            </w:r>
          </w:p>
          <w:p w14:paraId="5F880C06">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操作内容：混合均匀的物料通过螺旋上料机送入SJSZ-80锥形双螺杆造粒机。物料在电加热（160~190℃）和双螺杆剪切作用下熔融塑化，挤出成条状，经热切割造粒、风送冷却、振动筛分后，得到均匀的PVC封边条专用粒料。</w:t>
            </w:r>
          </w:p>
          <w:p w14:paraId="725EF939">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产污环节</w:t>
            </w:r>
            <w:r>
              <w:rPr>
                <w:rFonts w:hint="default" w:ascii="Times New Roman" w:hAnsi="Times New Roman" w:eastAsia="宋体" w:cs="Times New Roman"/>
                <w:b/>
                <w:bCs/>
                <w:color w:val="auto"/>
                <w:kern w:val="0"/>
                <w:sz w:val="24"/>
                <w:szCs w:val="24"/>
                <w:lang w:val="en-US" w:eastAsia="zh-CN" w:bidi="ar-SA"/>
              </w:rPr>
              <w:t>：</w:t>
            </w:r>
            <w:r>
              <w:rPr>
                <w:rFonts w:hint="default" w:ascii="Times New Roman" w:hAnsi="Times New Roman" w:eastAsia="宋体" w:cs="Times New Roman"/>
                <w:b w:val="0"/>
                <w:bCs w:val="0"/>
                <w:color w:val="auto"/>
                <w:kern w:val="0"/>
                <w:sz w:val="24"/>
                <w:szCs w:val="24"/>
                <w:lang w:val="en-US" w:eastAsia="zh-CN" w:bidi="ar-SA"/>
              </w:rPr>
              <w:t>G2（有机废气）：PVC熔融塑化过程产生的挥发性有机物（以VOCs计）及微量HCl。废气经集气罩收集后，送入后续活性炭吸附脱附+蓄热催化燃烧一体化装置（RCO）处理。</w:t>
            </w:r>
          </w:p>
          <w:p w14:paraId="5721D751">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（3）挤出成型（将粒子压成薄片）</w:t>
            </w:r>
          </w:p>
          <w:p w14:paraId="670CAD34">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造粒后的PVC粒料通过真空上料机输送至封边条挤出机（SJ-65单螺杆挤出机）。粒料在料筒中经电加热（150~180℃）熔融，通过螺杆推送经特制模具挤出，压制成连续、薄片状的封边条半成品。根据客户需求，可通过更换模具生产不同宽度和厚度的封边条。</w:t>
            </w:r>
          </w:p>
          <w:p w14:paraId="78E179A0">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产污环节</w:t>
            </w:r>
            <w:r>
              <w:rPr>
                <w:rFonts w:hint="default" w:ascii="Times New Roman" w:hAnsi="Times New Roman" w:eastAsia="宋体" w:cs="Times New Roman"/>
                <w:b/>
                <w:bCs/>
                <w:color w:val="auto"/>
                <w:kern w:val="0"/>
                <w:sz w:val="24"/>
                <w:szCs w:val="24"/>
                <w:lang w:val="en-US" w:eastAsia="zh-CN" w:bidi="ar-SA"/>
              </w:rPr>
              <w:t>：</w:t>
            </w:r>
            <w:r>
              <w:rPr>
                <w:rFonts w:hint="default" w:ascii="Times New Roman" w:hAnsi="Times New Roman" w:eastAsia="宋体" w:cs="Times New Roman"/>
                <w:b w:val="0"/>
                <w:bCs w:val="0"/>
                <w:color w:val="auto"/>
                <w:kern w:val="0"/>
                <w:sz w:val="24"/>
                <w:szCs w:val="24"/>
                <w:lang w:val="en-US" w:eastAsia="zh-CN" w:bidi="ar-SA"/>
              </w:rPr>
              <w:t>G3（有机废气）：挤出熔融过程中PVC受热产生的有机废气（VOCs及微量HCl）。废气经集气罩收集后，与G2合并送入活性炭吸附脱附+蓄热催化燃烧一体化装置（RCO）处理。</w:t>
            </w:r>
          </w:p>
          <w:p w14:paraId="0273185E">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（4）冷却</w:t>
            </w:r>
          </w:p>
          <w:p w14:paraId="46D7C3EF">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操作内容：挤出成型的薄片状封边条通过牵引装置进入冷却水槽进行冷却定型。</w:t>
            </w:r>
          </w:p>
          <w:p w14:paraId="4EA7DF72">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（5）上胶（背胶）</w:t>
            </w:r>
          </w:p>
          <w:p w14:paraId="0CA819FE">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冷却定型后的封边条进入双牵引上胶机，在其背面涂覆一层底胶，以增强与板材的粘结性能。</w:t>
            </w:r>
          </w:p>
          <w:p w14:paraId="2D36CF37">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产污环节</w:t>
            </w:r>
            <w:r>
              <w:rPr>
                <w:rFonts w:hint="default" w:ascii="Times New Roman" w:hAnsi="Times New Roman" w:eastAsia="宋体" w:cs="Times New Roman"/>
                <w:b/>
                <w:bCs/>
                <w:color w:val="auto"/>
                <w:kern w:val="0"/>
                <w:sz w:val="24"/>
                <w:szCs w:val="24"/>
                <w:lang w:val="en-US" w:eastAsia="zh-CN" w:bidi="ar-SA"/>
              </w:rPr>
              <w:t>：</w:t>
            </w:r>
            <w:r>
              <w:rPr>
                <w:rFonts w:hint="default" w:ascii="Times New Roman" w:hAnsi="Times New Roman" w:eastAsia="宋体" w:cs="Times New Roman"/>
                <w:b w:val="0"/>
                <w:bCs w:val="0"/>
                <w:color w:val="auto"/>
                <w:kern w:val="0"/>
                <w:sz w:val="24"/>
                <w:szCs w:val="24"/>
                <w:lang w:val="en-US" w:eastAsia="zh-CN" w:bidi="ar-SA"/>
              </w:rPr>
              <w:t>G4（有机废气）：底胶挥发产生的有机废气（VOCs）。废气经集气罩收集后，送入活性炭吸附脱附+蓄热催化燃烧一体化装置（RCO）处理。S2（废胶桶）：属于危险废物（HW49），委托有资质单位处置。</w:t>
            </w:r>
          </w:p>
          <w:p w14:paraId="05C391ED">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（6）印刷</w:t>
            </w:r>
          </w:p>
          <w:p w14:paraId="1121F04E">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操作内容：上胶干燥后的封边条进入YBW-240印刷机进行表面印刷装饰。根据客户要求，通过印刷机组（打底、多色印刷、上光）在封边条表面刷上不同的颜色和样式（如木纹、纯色等），随后通过加热烘道和UV干燥机进行固化。本项目使用水性油墨和UV油墨。</w:t>
            </w:r>
          </w:p>
          <w:p w14:paraId="698B6B00">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产污环节</w:t>
            </w:r>
            <w:r>
              <w:rPr>
                <w:rFonts w:hint="default" w:ascii="Times New Roman" w:hAnsi="Times New Roman" w:eastAsia="宋体" w:cs="Times New Roman"/>
                <w:b/>
                <w:bCs/>
                <w:color w:val="auto"/>
                <w:kern w:val="0"/>
                <w:sz w:val="24"/>
                <w:szCs w:val="24"/>
                <w:lang w:val="en-US" w:eastAsia="zh-CN" w:bidi="ar-SA"/>
              </w:rPr>
              <w:t>：</w:t>
            </w:r>
            <w:r>
              <w:rPr>
                <w:rFonts w:hint="default" w:ascii="Times New Roman" w:hAnsi="Times New Roman" w:eastAsia="宋体" w:cs="Times New Roman"/>
                <w:b w:val="0"/>
                <w:bCs w:val="0"/>
                <w:color w:val="auto"/>
                <w:kern w:val="0"/>
                <w:sz w:val="24"/>
                <w:szCs w:val="24"/>
                <w:lang w:val="en-US" w:eastAsia="zh-CN" w:bidi="ar-SA"/>
              </w:rPr>
              <w:t>G5（有机废气）：油墨在烘干、固化过程中挥发的有机废气（VOCs）。废气经烘道密闭抽风及集气罩收集后，送入活性炭吸附脱附+蓄热催化燃烧一体化装置（RCO）处理后处理。S3（废油墨桶）：属于危险废物（HW49），委托有资质单位处置。</w:t>
            </w:r>
          </w:p>
          <w:p w14:paraId="34543F5C">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（7）收卷、检验、包装</w:t>
            </w:r>
          </w:p>
          <w:p w14:paraId="2C2E2845">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印刷后的成品封边条通过半自动收卷机收卷成卷，经人工检验合格后包装入库。</w:t>
            </w:r>
          </w:p>
          <w:p w14:paraId="2034A316">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不合格品处理：</w:t>
            </w:r>
            <w:r>
              <w:rPr>
                <w:rFonts w:hint="default" w:ascii="Times New Roman" w:hAnsi="Times New Roman" w:eastAsia="宋体" w:cs="Times New Roman"/>
                <w:b w:val="0"/>
                <w:bCs w:val="0"/>
                <w:color w:val="auto"/>
                <w:kern w:val="0"/>
                <w:sz w:val="24"/>
                <w:szCs w:val="24"/>
                <w:lang w:val="en-US" w:eastAsia="zh-CN" w:bidi="ar-SA"/>
              </w:rPr>
              <w:t>检验产生的不合格封边条（产生量约12t/a），集中收集后送入破碎机进行破碎处理。破碎机采用全密闭结构，物料在密闭腔体内通过高速旋转的刀盘进行切割破碎，破碎后的物料粒径控制在3~5mm，经密闭管道气力输送至造粒工序的料仓中，作为原料回用于生产，不外排。</w:t>
            </w:r>
          </w:p>
          <w:p w14:paraId="2A0D8337">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产污环节：</w:t>
            </w:r>
            <w:r>
              <w:rPr>
                <w:rFonts w:hint="default" w:ascii="Times New Roman" w:hAnsi="Times New Roman" w:eastAsia="宋体" w:cs="Times New Roman"/>
                <w:b w:val="0"/>
                <w:bCs w:val="0"/>
                <w:color w:val="auto"/>
                <w:kern w:val="0"/>
                <w:sz w:val="24"/>
                <w:szCs w:val="24"/>
                <w:lang w:val="en-US" w:eastAsia="zh-CN" w:bidi="ar-SA"/>
              </w:rPr>
              <w:t>S4（不合格品）：属于一般工业固体废物（900-006-S17），破碎后回用于造粒工序。G6（破碎粉尘）：破碎过程中产生的少量粉尘，污染因子为颗粒物。破碎机为全密闭设备，运行时保持负压状态，含尘气体经设备自带的布袋除尘器处理后，在车间内无组织排放，排放量极小，对车间环境和外环境影响很小。N（噪声）：破碎机运行产生的机械噪声，经厂房隔声和基础减振后达标排放。</w:t>
            </w:r>
          </w:p>
          <w:p w14:paraId="4F303B52">
            <w:pPr>
              <w:pStyle w:val="34"/>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0" w:firstLineChars="0"/>
              <w:textAlignment w:val="auto"/>
              <w:rPr>
                <w:rFonts w:hint="default" w:ascii="Times New Roman" w:hAnsi="Times New Roman" w:eastAsia="宋体" w:cs="Times New Roman"/>
                <w:b/>
                <w:bCs/>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2.</w:t>
            </w:r>
            <w:r>
              <w:rPr>
                <w:rFonts w:hint="default" w:ascii="Times New Roman" w:hAnsi="Times New Roman" w:eastAsia="宋体" w:cs="Times New Roman"/>
                <w:b/>
                <w:bCs/>
                <w:color w:val="auto"/>
                <w:kern w:val="0"/>
                <w:sz w:val="24"/>
                <w:szCs w:val="24"/>
                <w:lang w:val="en-US" w:eastAsia="zh-CN" w:bidi="ar-SA"/>
              </w:rPr>
              <w:t>产污环节汇总</w:t>
            </w:r>
          </w:p>
          <w:p w14:paraId="52551C5D">
            <w:pPr>
              <w:pStyle w:val="34"/>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本项目污染物产生情况详见表2-8</w:t>
            </w:r>
          </w:p>
          <w:p w14:paraId="7929009C">
            <w:pPr>
              <w:pStyle w:val="34"/>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表2-8   项目污染物产排情况一览表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60"/>
              <w:gridCol w:w="582"/>
              <w:gridCol w:w="1680"/>
              <w:gridCol w:w="1287"/>
              <w:gridCol w:w="3093"/>
            </w:tblGrid>
            <w:tr w14:paraId="489C31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60" w:type="dxa"/>
                  <w:tcBorders>
                    <w:bottom w:val="single" w:color="auto" w:sz="12" w:space="0"/>
                  </w:tcBorders>
                  <w:shd w:val="clear" w:color="auto" w:fill="auto"/>
                  <w:tcMar>
                    <w:top w:w="0" w:type="dxa"/>
                    <w:left w:w="0" w:type="dxa"/>
                    <w:bottom w:w="0" w:type="dxa"/>
                    <w:right w:w="0" w:type="dxa"/>
                  </w:tcMar>
                  <w:vAlign w:val="center"/>
                </w:tcPr>
                <w:p w14:paraId="6EAD1BA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类别</w:t>
                  </w:r>
                </w:p>
              </w:tc>
              <w:tc>
                <w:tcPr>
                  <w:tcW w:w="582" w:type="dxa"/>
                  <w:tcBorders>
                    <w:bottom w:val="single" w:color="auto" w:sz="12" w:space="0"/>
                  </w:tcBorders>
                  <w:shd w:val="clear" w:color="auto" w:fill="auto"/>
                  <w:tcMar>
                    <w:top w:w="0" w:type="dxa"/>
                    <w:left w:w="0" w:type="dxa"/>
                    <w:bottom w:w="0" w:type="dxa"/>
                    <w:right w:w="0" w:type="dxa"/>
                  </w:tcMar>
                  <w:vAlign w:val="center"/>
                </w:tcPr>
                <w:p w14:paraId="1262EA0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编号</w:t>
                  </w:r>
                </w:p>
              </w:tc>
              <w:tc>
                <w:tcPr>
                  <w:tcW w:w="1680" w:type="dxa"/>
                  <w:tcBorders>
                    <w:bottom w:val="single" w:color="auto" w:sz="12" w:space="0"/>
                  </w:tcBorders>
                  <w:shd w:val="clear" w:color="auto" w:fill="auto"/>
                  <w:tcMar>
                    <w:top w:w="0" w:type="dxa"/>
                    <w:left w:w="0" w:type="dxa"/>
                    <w:bottom w:w="0" w:type="dxa"/>
                    <w:right w:w="0" w:type="dxa"/>
                  </w:tcMar>
                  <w:vAlign w:val="center"/>
                </w:tcPr>
                <w:p w14:paraId="73C8B83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产污环节</w:t>
                  </w:r>
                </w:p>
              </w:tc>
              <w:tc>
                <w:tcPr>
                  <w:tcW w:w="1287" w:type="dxa"/>
                  <w:tcBorders>
                    <w:bottom w:val="single" w:color="auto" w:sz="12" w:space="0"/>
                  </w:tcBorders>
                  <w:shd w:val="clear" w:color="auto" w:fill="auto"/>
                  <w:tcMar>
                    <w:top w:w="0" w:type="dxa"/>
                    <w:left w:w="0" w:type="dxa"/>
                    <w:bottom w:w="0" w:type="dxa"/>
                    <w:right w:w="0" w:type="dxa"/>
                  </w:tcMar>
                  <w:vAlign w:val="center"/>
                </w:tcPr>
                <w:p w14:paraId="0221744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主要污染物</w:t>
                  </w:r>
                </w:p>
              </w:tc>
              <w:tc>
                <w:tcPr>
                  <w:tcW w:w="3093" w:type="dxa"/>
                  <w:tcBorders>
                    <w:bottom w:val="single" w:color="auto" w:sz="12" w:space="0"/>
                  </w:tcBorders>
                  <w:shd w:val="clear" w:color="auto" w:fill="auto"/>
                  <w:tcMar>
                    <w:top w:w="0" w:type="dxa"/>
                    <w:left w:w="0" w:type="dxa"/>
                    <w:bottom w:w="0" w:type="dxa"/>
                    <w:right w:w="0" w:type="dxa"/>
                  </w:tcMar>
                  <w:vAlign w:val="center"/>
                </w:tcPr>
                <w:p w14:paraId="1D8A865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治理措施及去向</w:t>
                  </w:r>
                </w:p>
              </w:tc>
            </w:tr>
            <w:tr w14:paraId="1B955B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60" w:type="dxa"/>
                  <w:vMerge w:val="restart"/>
                  <w:tcBorders>
                    <w:top w:val="single" w:color="auto" w:sz="12" w:space="0"/>
                    <w:tl2br w:val="nil"/>
                    <w:tr2bl w:val="nil"/>
                  </w:tcBorders>
                  <w:shd w:val="clear" w:color="auto" w:fill="auto"/>
                  <w:tcMar>
                    <w:top w:w="0" w:type="dxa"/>
                    <w:left w:w="0" w:type="dxa"/>
                    <w:bottom w:w="0" w:type="dxa"/>
                    <w:right w:w="0" w:type="dxa"/>
                  </w:tcMar>
                  <w:vAlign w:val="center"/>
                </w:tcPr>
                <w:p w14:paraId="1BDAD3A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废气</w:t>
                  </w:r>
                </w:p>
              </w:tc>
              <w:tc>
                <w:tcPr>
                  <w:tcW w:w="582" w:type="dxa"/>
                  <w:tcBorders>
                    <w:top w:val="single" w:color="auto" w:sz="12" w:space="0"/>
                    <w:tl2br w:val="nil"/>
                    <w:tr2bl w:val="nil"/>
                  </w:tcBorders>
                  <w:shd w:val="clear" w:color="auto" w:fill="auto"/>
                  <w:tcMar>
                    <w:top w:w="0" w:type="dxa"/>
                    <w:left w:w="0" w:type="dxa"/>
                    <w:bottom w:w="0" w:type="dxa"/>
                    <w:right w:w="0" w:type="dxa"/>
                  </w:tcMar>
                  <w:vAlign w:val="center"/>
                </w:tcPr>
                <w:p w14:paraId="201C3A1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G1</w:t>
                  </w:r>
                </w:p>
              </w:tc>
              <w:tc>
                <w:tcPr>
                  <w:tcW w:w="1680" w:type="dxa"/>
                  <w:tcBorders>
                    <w:top w:val="single" w:color="auto" w:sz="12" w:space="0"/>
                    <w:tl2br w:val="nil"/>
                    <w:tr2bl w:val="nil"/>
                  </w:tcBorders>
                  <w:shd w:val="clear" w:color="auto" w:fill="auto"/>
                  <w:tcMar>
                    <w:top w:w="0" w:type="dxa"/>
                    <w:left w:w="0" w:type="dxa"/>
                    <w:bottom w:w="0" w:type="dxa"/>
                    <w:right w:w="0" w:type="dxa"/>
                  </w:tcMar>
                  <w:vAlign w:val="center"/>
                </w:tcPr>
                <w:p w14:paraId="4BED65F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投料、混合</w:t>
                  </w:r>
                </w:p>
              </w:tc>
              <w:tc>
                <w:tcPr>
                  <w:tcW w:w="1287" w:type="dxa"/>
                  <w:tcBorders>
                    <w:top w:val="single" w:color="auto" w:sz="12" w:space="0"/>
                    <w:tl2br w:val="nil"/>
                    <w:tr2bl w:val="nil"/>
                  </w:tcBorders>
                  <w:shd w:val="clear" w:color="auto" w:fill="auto"/>
                  <w:tcMar>
                    <w:top w:w="0" w:type="dxa"/>
                    <w:left w:w="0" w:type="dxa"/>
                    <w:bottom w:w="0" w:type="dxa"/>
                    <w:right w:w="0" w:type="dxa"/>
                  </w:tcMar>
                  <w:vAlign w:val="center"/>
                </w:tcPr>
                <w:p w14:paraId="7DB4D68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3093" w:type="dxa"/>
                  <w:tcBorders>
                    <w:top w:val="single" w:color="auto" w:sz="12" w:space="0"/>
                    <w:tl2br w:val="nil"/>
                    <w:tr2bl w:val="nil"/>
                  </w:tcBorders>
                  <w:shd w:val="clear" w:color="auto" w:fill="auto"/>
                  <w:tcMar>
                    <w:top w:w="0" w:type="dxa"/>
                    <w:left w:w="0" w:type="dxa"/>
                    <w:bottom w:w="0" w:type="dxa"/>
                    <w:right w:w="0" w:type="dxa"/>
                  </w:tcMar>
                  <w:vAlign w:val="center"/>
                </w:tcPr>
                <w:p w14:paraId="10E25C3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布袋除尘器+15m排气筒</w:t>
                  </w:r>
                  <w:r>
                    <w:rPr>
                      <w:rFonts w:hint="eastAsia" w:ascii="Times New Roman" w:hAnsi="Times New Roman" w:eastAsia="宋体" w:cs="Times New Roman"/>
                      <w:i w:val="0"/>
                      <w:iCs w:val="0"/>
                      <w:color w:val="auto"/>
                      <w:kern w:val="0"/>
                      <w:sz w:val="21"/>
                      <w:szCs w:val="21"/>
                      <w:u w:val="none"/>
                      <w:lang w:val="en-US" w:eastAsia="zh-CN" w:bidi="ar"/>
                    </w:rPr>
                    <w:t>（DA001）</w:t>
                  </w:r>
                </w:p>
              </w:tc>
            </w:tr>
            <w:tr w14:paraId="21323E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2C43E2C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2E53C08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G2</w:t>
                  </w:r>
                </w:p>
              </w:tc>
              <w:tc>
                <w:tcPr>
                  <w:tcW w:w="1680" w:type="dxa"/>
                  <w:tcBorders>
                    <w:tl2br w:val="nil"/>
                    <w:tr2bl w:val="nil"/>
                  </w:tcBorders>
                  <w:shd w:val="clear" w:color="auto" w:fill="auto"/>
                  <w:tcMar>
                    <w:top w:w="0" w:type="dxa"/>
                    <w:left w:w="0" w:type="dxa"/>
                    <w:bottom w:w="0" w:type="dxa"/>
                    <w:right w:w="0" w:type="dxa"/>
                  </w:tcMar>
                  <w:vAlign w:val="center"/>
                </w:tcPr>
                <w:p w14:paraId="0F5B01B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造粒</w:t>
                  </w:r>
                </w:p>
              </w:tc>
              <w:tc>
                <w:tcPr>
                  <w:tcW w:w="1287" w:type="dxa"/>
                  <w:vMerge w:val="restart"/>
                  <w:tcBorders>
                    <w:tl2br w:val="nil"/>
                    <w:tr2bl w:val="nil"/>
                  </w:tcBorders>
                  <w:shd w:val="clear" w:color="auto" w:fill="auto"/>
                  <w:tcMar>
                    <w:top w:w="0" w:type="dxa"/>
                    <w:left w:w="0" w:type="dxa"/>
                    <w:bottom w:w="0" w:type="dxa"/>
                    <w:right w:w="0" w:type="dxa"/>
                  </w:tcMar>
                  <w:vAlign w:val="center"/>
                </w:tcPr>
                <w:p w14:paraId="6D17C76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VOCs</w:t>
                  </w:r>
                </w:p>
              </w:tc>
              <w:tc>
                <w:tcPr>
                  <w:tcW w:w="3093" w:type="dxa"/>
                  <w:vMerge w:val="restart"/>
                  <w:tcBorders>
                    <w:tl2br w:val="nil"/>
                    <w:tr2bl w:val="nil"/>
                  </w:tcBorders>
                  <w:shd w:val="clear" w:color="auto" w:fill="auto"/>
                  <w:tcMar>
                    <w:top w:w="0" w:type="dxa"/>
                    <w:left w:w="0" w:type="dxa"/>
                    <w:bottom w:w="0" w:type="dxa"/>
                    <w:right w:w="0" w:type="dxa"/>
                  </w:tcMar>
                  <w:vAlign w:val="center"/>
                </w:tcPr>
                <w:p w14:paraId="28B92A0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活性炭吸附脱附+蓄热催化燃烧一体化装置（RCO）处理后+15m排气筒</w:t>
                  </w:r>
                  <w:r>
                    <w:rPr>
                      <w:rFonts w:hint="eastAsia" w:ascii="Times New Roman" w:hAnsi="Times New Roman" w:eastAsia="宋体" w:cs="Times New Roman"/>
                      <w:i w:val="0"/>
                      <w:iCs w:val="0"/>
                      <w:color w:val="auto"/>
                      <w:kern w:val="0"/>
                      <w:sz w:val="21"/>
                      <w:szCs w:val="21"/>
                      <w:u w:val="none"/>
                      <w:lang w:val="en-US" w:eastAsia="zh-CN" w:bidi="ar"/>
                    </w:rPr>
                    <w:t>（DA002）</w:t>
                  </w:r>
                </w:p>
              </w:tc>
            </w:tr>
            <w:tr w14:paraId="778ED5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55F7CEE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0FCF987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G3</w:t>
                  </w:r>
                </w:p>
              </w:tc>
              <w:tc>
                <w:tcPr>
                  <w:tcW w:w="1680" w:type="dxa"/>
                  <w:tcBorders>
                    <w:tl2br w:val="nil"/>
                    <w:tr2bl w:val="nil"/>
                  </w:tcBorders>
                  <w:shd w:val="clear" w:color="auto" w:fill="auto"/>
                  <w:tcMar>
                    <w:top w:w="0" w:type="dxa"/>
                    <w:left w:w="0" w:type="dxa"/>
                    <w:bottom w:w="0" w:type="dxa"/>
                    <w:right w:w="0" w:type="dxa"/>
                  </w:tcMar>
                  <w:vAlign w:val="center"/>
                </w:tcPr>
                <w:p w14:paraId="1E9D856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挤出成型（压片）</w:t>
                  </w:r>
                </w:p>
              </w:tc>
              <w:tc>
                <w:tcPr>
                  <w:tcW w:w="1287" w:type="dxa"/>
                  <w:vMerge w:val="continue"/>
                  <w:tcBorders>
                    <w:tl2br w:val="nil"/>
                    <w:tr2bl w:val="nil"/>
                  </w:tcBorders>
                  <w:shd w:val="clear" w:color="auto" w:fill="auto"/>
                  <w:tcMar>
                    <w:top w:w="0" w:type="dxa"/>
                    <w:left w:w="0" w:type="dxa"/>
                    <w:bottom w:w="0" w:type="dxa"/>
                    <w:right w:w="0" w:type="dxa"/>
                  </w:tcMar>
                  <w:vAlign w:val="center"/>
                </w:tcPr>
                <w:p w14:paraId="65ED932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3093" w:type="dxa"/>
                  <w:vMerge w:val="continue"/>
                  <w:tcBorders>
                    <w:tl2br w:val="nil"/>
                    <w:tr2bl w:val="nil"/>
                  </w:tcBorders>
                  <w:shd w:val="clear" w:color="auto" w:fill="auto"/>
                  <w:tcMar>
                    <w:top w:w="0" w:type="dxa"/>
                    <w:left w:w="0" w:type="dxa"/>
                    <w:bottom w:w="0" w:type="dxa"/>
                    <w:right w:w="0" w:type="dxa"/>
                  </w:tcMar>
                  <w:vAlign w:val="center"/>
                </w:tcPr>
                <w:p w14:paraId="7D5C921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0AB321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2297165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5D32244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G4</w:t>
                  </w:r>
                </w:p>
              </w:tc>
              <w:tc>
                <w:tcPr>
                  <w:tcW w:w="1680" w:type="dxa"/>
                  <w:tcBorders>
                    <w:tl2br w:val="nil"/>
                    <w:tr2bl w:val="nil"/>
                  </w:tcBorders>
                  <w:shd w:val="clear" w:color="auto" w:fill="auto"/>
                  <w:tcMar>
                    <w:top w:w="0" w:type="dxa"/>
                    <w:left w:w="0" w:type="dxa"/>
                    <w:bottom w:w="0" w:type="dxa"/>
                    <w:right w:w="0" w:type="dxa"/>
                  </w:tcMar>
                  <w:vAlign w:val="center"/>
                </w:tcPr>
                <w:p w14:paraId="1FC1B31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上胶（背胶）</w:t>
                  </w:r>
                </w:p>
              </w:tc>
              <w:tc>
                <w:tcPr>
                  <w:tcW w:w="1287" w:type="dxa"/>
                  <w:vMerge w:val="continue"/>
                  <w:tcBorders>
                    <w:tl2br w:val="nil"/>
                    <w:tr2bl w:val="nil"/>
                  </w:tcBorders>
                  <w:shd w:val="clear" w:color="auto" w:fill="auto"/>
                  <w:tcMar>
                    <w:top w:w="0" w:type="dxa"/>
                    <w:left w:w="0" w:type="dxa"/>
                    <w:bottom w:w="0" w:type="dxa"/>
                    <w:right w:w="0" w:type="dxa"/>
                  </w:tcMar>
                  <w:vAlign w:val="center"/>
                </w:tcPr>
                <w:p w14:paraId="486F416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3093" w:type="dxa"/>
                  <w:vMerge w:val="continue"/>
                  <w:tcBorders>
                    <w:tl2br w:val="nil"/>
                    <w:tr2bl w:val="nil"/>
                  </w:tcBorders>
                  <w:shd w:val="clear" w:color="auto" w:fill="auto"/>
                  <w:tcMar>
                    <w:top w:w="0" w:type="dxa"/>
                    <w:left w:w="0" w:type="dxa"/>
                    <w:bottom w:w="0" w:type="dxa"/>
                    <w:right w:w="0" w:type="dxa"/>
                  </w:tcMar>
                  <w:vAlign w:val="center"/>
                </w:tcPr>
                <w:p w14:paraId="2AB8E6D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26495E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5360198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3E26A90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G5</w:t>
                  </w:r>
                </w:p>
              </w:tc>
              <w:tc>
                <w:tcPr>
                  <w:tcW w:w="1680" w:type="dxa"/>
                  <w:tcBorders>
                    <w:tl2br w:val="nil"/>
                    <w:tr2bl w:val="nil"/>
                  </w:tcBorders>
                  <w:shd w:val="clear" w:color="auto" w:fill="auto"/>
                  <w:tcMar>
                    <w:top w:w="0" w:type="dxa"/>
                    <w:left w:w="0" w:type="dxa"/>
                    <w:bottom w:w="0" w:type="dxa"/>
                    <w:right w:w="0" w:type="dxa"/>
                  </w:tcMar>
                  <w:vAlign w:val="center"/>
                </w:tcPr>
                <w:p w14:paraId="1A547E9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印刷、烘干、固化</w:t>
                  </w:r>
                </w:p>
              </w:tc>
              <w:tc>
                <w:tcPr>
                  <w:tcW w:w="1287" w:type="dxa"/>
                  <w:vMerge w:val="continue"/>
                  <w:tcBorders>
                    <w:tl2br w:val="nil"/>
                    <w:tr2bl w:val="nil"/>
                  </w:tcBorders>
                  <w:shd w:val="clear" w:color="auto" w:fill="auto"/>
                  <w:tcMar>
                    <w:top w:w="0" w:type="dxa"/>
                    <w:left w:w="0" w:type="dxa"/>
                    <w:bottom w:w="0" w:type="dxa"/>
                    <w:right w:w="0" w:type="dxa"/>
                  </w:tcMar>
                  <w:vAlign w:val="center"/>
                </w:tcPr>
                <w:p w14:paraId="2473258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3093" w:type="dxa"/>
                  <w:vMerge w:val="continue"/>
                  <w:tcBorders>
                    <w:tl2br w:val="nil"/>
                    <w:tr2bl w:val="nil"/>
                  </w:tcBorders>
                  <w:shd w:val="clear" w:color="auto" w:fill="auto"/>
                  <w:tcMar>
                    <w:top w:w="0" w:type="dxa"/>
                    <w:left w:w="0" w:type="dxa"/>
                    <w:bottom w:w="0" w:type="dxa"/>
                    <w:right w:w="0" w:type="dxa"/>
                  </w:tcMar>
                  <w:vAlign w:val="center"/>
                </w:tcPr>
                <w:p w14:paraId="6E11C60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150B32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27D75FE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20F8357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G6</w:t>
                  </w:r>
                </w:p>
              </w:tc>
              <w:tc>
                <w:tcPr>
                  <w:tcW w:w="1680" w:type="dxa"/>
                  <w:tcBorders>
                    <w:tl2br w:val="nil"/>
                    <w:tr2bl w:val="nil"/>
                  </w:tcBorders>
                  <w:shd w:val="clear" w:color="auto" w:fill="auto"/>
                  <w:tcMar>
                    <w:top w:w="0" w:type="dxa"/>
                    <w:left w:w="0" w:type="dxa"/>
                    <w:bottom w:w="0" w:type="dxa"/>
                    <w:right w:w="0" w:type="dxa"/>
                  </w:tcMar>
                  <w:vAlign w:val="center"/>
                </w:tcPr>
                <w:p w14:paraId="7B61A55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不合格品破碎</w:t>
                  </w:r>
                </w:p>
              </w:tc>
              <w:tc>
                <w:tcPr>
                  <w:tcW w:w="1287" w:type="dxa"/>
                  <w:tcBorders>
                    <w:tl2br w:val="nil"/>
                    <w:tr2bl w:val="nil"/>
                  </w:tcBorders>
                  <w:shd w:val="clear" w:color="auto" w:fill="auto"/>
                  <w:tcMar>
                    <w:top w:w="0" w:type="dxa"/>
                    <w:left w:w="0" w:type="dxa"/>
                    <w:bottom w:w="0" w:type="dxa"/>
                    <w:right w:w="0" w:type="dxa"/>
                  </w:tcMar>
                  <w:vAlign w:val="center"/>
                </w:tcPr>
                <w:p w14:paraId="66066AB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3093" w:type="dxa"/>
                  <w:tcBorders>
                    <w:tl2br w:val="nil"/>
                    <w:tr2bl w:val="nil"/>
                  </w:tcBorders>
                  <w:shd w:val="clear" w:color="auto" w:fill="auto"/>
                  <w:tcMar>
                    <w:top w:w="0" w:type="dxa"/>
                    <w:left w:w="0" w:type="dxa"/>
                    <w:bottom w:w="0" w:type="dxa"/>
                    <w:right w:w="0" w:type="dxa"/>
                  </w:tcMar>
                  <w:vAlign w:val="center"/>
                </w:tcPr>
                <w:p w14:paraId="40F6590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密闭设备+自带布袋除尘器，车间内无组织排放</w:t>
                  </w:r>
                </w:p>
              </w:tc>
            </w:tr>
            <w:tr w14:paraId="414308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60" w:type="dxa"/>
                  <w:vMerge w:val="restart"/>
                  <w:tcBorders>
                    <w:tl2br w:val="nil"/>
                    <w:tr2bl w:val="nil"/>
                  </w:tcBorders>
                  <w:shd w:val="clear" w:color="auto" w:fill="auto"/>
                  <w:tcMar>
                    <w:top w:w="0" w:type="dxa"/>
                    <w:left w:w="0" w:type="dxa"/>
                    <w:bottom w:w="0" w:type="dxa"/>
                    <w:right w:w="0" w:type="dxa"/>
                  </w:tcMar>
                  <w:vAlign w:val="center"/>
                </w:tcPr>
                <w:p w14:paraId="70BD930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固废</w:t>
                  </w:r>
                </w:p>
              </w:tc>
              <w:tc>
                <w:tcPr>
                  <w:tcW w:w="582" w:type="dxa"/>
                  <w:tcBorders>
                    <w:tl2br w:val="nil"/>
                    <w:tr2bl w:val="nil"/>
                  </w:tcBorders>
                  <w:shd w:val="clear" w:color="auto" w:fill="auto"/>
                  <w:tcMar>
                    <w:top w:w="0" w:type="dxa"/>
                    <w:left w:w="0" w:type="dxa"/>
                    <w:bottom w:w="0" w:type="dxa"/>
                    <w:right w:w="0" w:type="dxa"/>
                  </w:tcMar>
                  <w:vAlign w:val="center"/>
                </w:tcPr>
                <w:p w14:paraId="29CD8EF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S1</w:t>
                  </w:r>
                </w:p>
              </w:tc>
              <w:tc>
                <w:tcPr>
                  <w:tcW w:w="1680" w:type="dxa"/>
                  <w:tcBorders>
                    <w:tl2br w:val="nil"/>
                    <w:tr2bl w:val="nil"/>
                  </w:tcBorders>
                  <w:shd w:val="clear" w:color="auto" w:fill="auto"/>
                  <w:tcMar>
                    <w:top w:w="0" w:type="dxa"/>
                    <w:left w:w="0" w:type="dxa"/>
                    <w:bottom w:w="0" w:type="dxa"/>
                    <w:right w:w="0" w:type="dxa"/>
                  </w:tcMar>
                  <w:vAlign w:val="center"/>
                </w:tcPr>
                <w:p w14:paraId="33F52AF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原料拆包</w:t>
                  </w:r>
                </w:p>
              </w:tc>
              <w:tc>
                <w:tcPr>
                  <w:tcW w:w="1287" w:type="dxa"/>
                  <w:tcBorders>
                    <w:tl2br w:val="nil"/>
                    <w:tr2bl w:val="nil"/>
                  </w:tcBorders>
                  <w:shd w:val="clear" w:color="auto" w:fill="auto"/>
                  <w:tcMar>
                    <w:top w:w="0" w:type="dxa"/>
                    <w:left w:w="0" w:type="dxa"/>
                    <w:bottom w:w="0" w:type="dxa"/>
                    <w:right w:w="0" w:type="dxa"/>
                  </w:tcMar>
                  <w:vAlign w:val="center"/>
                </w:tcPr>
                <w:p w14:paraId="7DA08F1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废包装袋</w:t>
                  </w:r>
                </w:p>
              </w:tc>
              <w:tc>
                <w:tcPr>
                  <w:tcW w:w="3093" w:type="dxa"/>
                  <w:tcBorders>
                    <w:tl2br w:val="nil"/>
                    <w:tr2bl w:val="nil"/>
                  </w:tcBorders>
                  <w:shd w:val="clear" w:color="auto" w:fill="auto"/>
                  <w:tcMar>
                    <w:top w:w="0" w:type="dxa"/>
                    <w:left w:w="0" w:type="dxa"/>
                    <w:bottom w:w="0" w:type="dxa"/>
                    <w:right w:w="0" w:type="dxa"/>
                  </w:tcMar>
                  <w:vAlign w:val="center"/>
                </w:tcPr>
                <w:p w14:paraId="7DC4B28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一般固废，外售综合利用</w:t>
                  </w:r>
                </w:p>
              </w:tc>
            </w:tr>
            <w:tr w14:paraId="4F01A9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57DAE16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41AC9E4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S2</w:t>
                  </w:r>
                </w:p>
              </w:tc>
              <w:tc>
                <w:tcPr>
                  <w:tcW w:w="1680" w:type="dxa"/>
                  <w:tcBorders>
                    <w:tl2br w:val="nil"/>
                    <w:tr2bl w:val="nil"/>
                  </w:tcBorders>
                  <w:shd w:val="clear" w:color="auto" w:fill="auto"/>
                  <w:tcMar>
                    <w:top w:w="0" w:type="dxa"/>
                    <w:left w:w="0" w:type="dxa"/>
                    <w:bottom w:w="0" w:type="dxa"/>
                    <w:right w:w="0" w:type="dxa"/>
                  </w:tcMar>
                  <w:vAlign w:val="center"/>
                </w:tcPr>
                <w:p w14:paraId="708A237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上胶</w:t>
                  </w:r>
                </w:p>
              </w:tc>
              <w:tc>
                <w:tcPr>
                  <w:tcW w:w="1287" w:type="dxa"/>
                  <w:tcBorders>
                    <w:tl2br w:val="nil"/>
                    <w:tr2bl w:val="nil"/>
                  </w:tcBorders>
                  <w:shd w:val="clear" w:color="auto" w:fill="auto"/>
                  <w:tcMar>
                    <w:top w:w="0" w:type="dxa"/>
                    <w:left w:w="0" w:type="dxa"/>
                    <w:bottom w:w="0" w:type="dxa"/>
                    <w:right w:w="0" w:type="dxa"/>
                  </w:tcMar>
                  <w:vAlign w:val="center"/>
                </w:tcPr>
                <w:p w14:paraId="115FC73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废胶桶</w:t>
                  </w:r>
                </w:p>
              </w:tc>
              <w:tc>
                <w:tcPr>
                  <w:tcW w:w="3093" w:type="dxa"/>
                  <w:vMerge w:val="restart"/>
                  <w:tcBorders>
                    <w:tl2br w:val="nil"/>
                    <w:tr2bl w:val="nil"/>
                  </w:tcBorders>
                  <w:shd w:val="clear" w:color="auto" w:fill="auto"/>
                  <w:tcMar>
                    <w:top w:w="0" w:type="dxa"/>
                    <w:left w:w="0" w:type="dxa"/>
                    <w:bottom w:w="0" w:type="dxa"/>
                    <w:right w:w="0" w:type="dxa"/>
                  </w:tcMar>
                  <w:vAlign w:val="center"/>
                </w:tcPr>
                <w:p w14:paraId="502C6C7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危险废物（HW49），委托有资质单位处置</w:t>
                  </w:r>
                </w:p>
              </w:tc>
            </w:tr>
            <w:tr w14:paraId="47ABA7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2A1DB5F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2512CB1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S3</w:t>
                  </w:r>
                </w:p>
              </w:tc>
              <w:tc>
                <w:tcPr>
                  <w:tcW w:w="1680" w:type="dxa"/>
                  <w:tcBorders>
                    <w:tl2br w:val="nil"/>
                    <w:tr2bl w:val="nil"/>
                  </w:tcBorders>
                  <w:shd w:val="clear" w:color="auto" w:fill="auto"/>
                  <w:tcMar>
                    <w:top w:w="0" w:type="dxa"/>
                    <w:left w:w="0" w:type="dxa"/>
                    <w:bottom w:w="0" w:type="dxa"/>
                    <w:right w:w="0" w:type="dxa"/>
                  </w:tcMar>
                  <w:vAlign w:val="center"/>
                </w:tcPr>
                <w:p w14:paraId="24BE7EE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w:t>
                  </w:r>
                </w:p>
              </w:tc>
              <w:tc>
                <w:tcPr>
                  <w:tcW w:w="1287" w:type="dxa"/>
                  <w:tcBorders>
                    <w:tl2br w:val="nil"/>
                    <w:tr2bl w:val="nil"/>
                  </w:tcBorders>
                  <w:shd w:val="clear" w:color="auto" w:fill="auto"/>
                  <w:tcMar>
                    <w:top w:w="0" w:type="dxa"/>
                    <w:left w:w="0" w:type="dxa"/>
                    <w:bottom w:w="0" w:type="dxa"/>
                    <w:right w:w="0" w:type="dxa"/>
                  </w:tcMar>
                  <w:vAlign w:val="center"/>
                </w:tcPr>
                <w:p w14:paraId="755EAEB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废油墨桶</w:t>
                  </w:r>
                </w:p>
              </w:tc>
              <w:tc>
                <w:tcPr>
                  <w:tcW w:w="3093" w:type="dxa"/>
                  <w:vMerge w:val="continue"/>
                  <w:tcBorders>
                    <w:tl2br w:val="nil"/>
                    <w:tr2bl w:val="nil"/>
                  </w:tcBorders>
                  <w:shd w:val="clear" w:color="auto" w:fill="auto"/>
                  <w:tcMar>
                    <w:top w:w="0" w:type="dxa"/>
                    <w:left w:w="0" w:type="dxa"/>
                    <w:bottom w:w="0" w:type="dxa"/>
                    <w:right w:w="0" w:type="dxa"/>
                  </w:tcMar>
                  <w:vAlign w:val="center"/>
                </w:tcPr>
                <w:p w14:paraId="428FD9C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r>
            <w:tr w14:paraId="56AF51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vMerge w:val="continue"/>
                  <w:tcBorders>
                    <w:tl2br w:val="nil"/>
                    <w:tr2bl w:val="nil"/>
                  </w:tcBorders>
                  <w:shd w:val="clear" w:color="auto" w:fill="auto"/>
                  <w:tcMar>
                    <w:top w:w="0" w:type="dxa"/>
                    <w:left w:w="0" w:type="dxa"/>
                    <w:bottom w:w="0" w:type="dxa"/>
                    <w:right w:w="0" w:type="dxa"/>
                  </w:tcMar>
                  <w:vAlign w:val="center"/>
                </w:tcPr>
                <w:p w14:paraId="358BE0D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c>
                <w:tcPr>
                  <w:tcW w:w="582" w:type="dxa"/>
                  <w:tcBorders>
                    <w:tl2br w:val="nil"/>
                    <w:tr2bl w:val="nil"/>
                  </w:tcBorders>
                  <w:shd w:val="clear" w:color="auto" w:fill="auto"/>
                  <w:tcMar>
                    <w:top w:w="0" w:type="dxa"/>
                    <w:left w:w="0" w:type="dxa"/>
                    <w:bottom w:w="0" w:type="dxa"/>
                    <w:right w:w="0" w:type="dxa"/>
                  </w:tcMar>
                  <w:vAlign w:val="center"/>
                </w:tcPr>
                <w:p w14:paraId="20B7264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S4</w:t>
                  </w:r>
                </w:p>
              </w:tc>
              <w:tc>
                <w:tcPr>
                  <w:tcW w:w="1680" w:type="dxa"/>
                  <w:tcBorders>
                    <w:tl2br w:val="nil"/>
                    <w:tr2bl w:val="nil"/>
                  </w:tcBorders>
                  <w:shd w:val="clear" w:color="auto" w:fill="auto"/>
                  <w:tcMar>
                    <w:top w:w="0" w:type="dxa"/>
                    <w:left w:w="0" w:type="dxa"/>
                    <w:bottom w:w="0" w:type="dxa"/>
                    <w:right w:w="0" w:type="dxa"/>
                  </w:tcMar>
                  <w:vAlign w:val="center"/>
                </w:tcPr>
                <w:p w14:paraId="0F77C2D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检验</w:t>
                  </w:r>
                </w:p>
              </w:tc>
              <w:tc>
                <w:tcPr>
                  <w:tcW w:w="1287" w:type="dxa"/>
                  <w:tcBorders>
                    <w:tl2br w:val="nil"/>
                    <w:tr2bl w:val="nil"/>
                  </w:tcBorders>
                  <w:shd w:val="clear" w:color="auto" w:fill="auto"/>
                  <w:tcMar>
                    <w:top w:w="0" w:type="dxa"/>
                    <w:left w:w="0" w:type="dxa"/>
                    <w:bottom w:w="0" w:type="dxa"/>
                    <w:right w:w="0" w:type="dxa"/>
                  </w:tcMar>
                  <w:vAlign w:val="center"/>
                </w:tcPr>
                <w:p w14:paraId="42C1B8C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不合格品</w:t>
                  </w:r>
                </w:p>
              </w:tc>
              <w:tc>
                <w:tcPr>
                  <w:tcW w:w="3093" w:type="dxa"/>
                  <w:tcBorders>
                    <w:tl2br w:val="nil"/>
                    <w:tr2bl w:val="nil"/>
                  </w:tcBorders>
                  <w:shd w:val="clear" w:color="auto" w:fill="auto"/>
                  <w:tcMar>
                    <w:top w:w="0" w:type="dxa"/>
                    <w:left w:w="0" w:type="dxa"/>
                    <w:bottom w:w="0" w:type="dxa"/>
                    <w:right w:w="0" w:type="dxa"/>
                  </w:tcMar>
                  <w:vAlign w:val="center"/>
                </w:tcPr>
                <w:p w14:paraId="1471AC8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一般固废，破碎后回用于生产</w:t>
                  </w:r>
                </w:p>
              </w:tc>
            </w:tr>
            <w:tr w14:paraId="43B7EA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l2br w:val="nil"/>
                    <w:tr2bl w:val="nil"/>
                  </w:tcBorders>
                  <w:shd w:val="clear" w:color="auto" w:fill="auto"/>
                  <w:tcMar>
                    <w:top w:w="0" w:type="dxa"/>
                    <w:left w:w="0" w:type="dxa"/>
                    <w:bottom w:w="0" w:type="dxa"/>
                    <w:right w:w="0" w:type="dxa"/>
                  </w:tcMar>
                  <w:vAlign w:val="center"/>
                </w:tcPr>
                <w:p w14:paraId="62CF1F2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噪声</w:t>
                  </w:r>
                </w:p>
              </w:tc>
              <w:tc>
                <w:tcPr>
                  <w:tcW w:w="582" w:type="dxa"/>
                  <w:tcBorders>
                    <w:tl2br w:val="nil"/>
                    <w:tr2bl w:val="nil"/>
                  </w:tcBorders>
                  <w:shd w:val="clear" w:color="auto" w:fill="auto"/>
                  <w:tcMar>
                    <w:top w:w="0" w:type="dxa"/>
                    <w:left w:w="0" w:type="dxa"/>
                    <w:bottom w:w="0" w:type="dxa"/>
                    <w:right w:w="0" w:type="dxa"/>
                  </w:tcMar>
                  <w:vAlign w:val="center"/>
                </w:tcPr>
                <w:p w14:paraId="32B5D55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N</w:t>
                  </w:r>
                </w:p>
              </w:tc>
              <w:tc>
                <w:tcPr>
                  <w:tcW w:w="1680" w:type="dxa"/>
                  <w:tcBorders>
                    <w:tl2br w:val="nil"/>
                    <w:tr2bl w:val="nil"/>
                  </w:tcBorders>
                  <w:shd w:val="clear" w:color="auto" w:fill="auto"/>
                  <w:tcMar>
                    <w:top w:w="0" w:type="dxa"/>
                    <w:left w:w="0" w:type="dxa"/>
                    <w:bottom w:w="0" w:type="dxa"/>
                    <w:right w:w="0" w:type="dxa"/>
                  </w:tcMar>
                  <w:vAlign w:val="center"/>
                </w:tcPr>
                <w:p w14:paraId="34A8EEC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混合机、造粒机、挤出机、</w:t>
                  </w:r>
                  <w:r>
                    <w:rPr>
                      <w:rFonts w:hint="eastAsia" w:cs="Times New Roman"/>
                      <w:i w:val="0"/>
                      <w:iCs w:val="0"/>
                      <w:color w:val="auto"/>
                      <w:kern w:val="0"/>
                      <w:sz w:val="21"/>
                      <w:szCs w:val="21"/>
                      <w:u w:val="none"/>
                      <w:lang w:val="en-US" w:eastAsia="zh-CN" w:bidi="ar"/>
                    </w:rPr>
                    <w:t>破碎机、</w:t>
                  </w:r>
                  <w:r>
                    <w:rPr>
                      <w:rFonts w:hint="default" w:ascii="Times New Roman" w:hAnsi="Times New Roman" w:eastAsia="宋体" w:cs="Times New Roman"/>
                      <w:i w:val="0"/>
                      <w:iCs w:val="0"/>
                      <w:color w:val="auto"/>
                      <w:kern w:val="0"/>
                      <w:sz w:val="21"/>
                      <w:szCs w:val="21"/>
                      <w:u w:val="none"/>
                      <w:lang w:val="en-US" w:eastAsia="zh-CN" w:bidi="ar"/>
                    </w:rPr>
                    <w:t>风机</w:t>
                  </w:r>
                </w:p>
              </w:tc>
              <w:tc>
                <w:tcPr>
                  <w:tcW w:w="1287" w:type="dxa"/>
                  <w:tcBorders>
                    <w:tl2br w:val="nil"/>
                    <w:tr2bl w:val="nil"/>
                  </w:tcBorders>
                  <w:shd w:val="clear" w:color="auto" w:fill="auto"/>
                  <w:tcMar>
                    <w:top w:w="0" w:type="dxa"/>
                    <w:left w:w="0" w:type="dxa"/>
                    <w:bottom w:w="0" w:type="dxa"/>
                    <w:right w:w="0" w:type="dxa"/>
                  </w:tcMar>
                  <w:vAlign w:val="center"/>
                </w:tcPr>
                <w:p w14:paraId="35408C8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设备噪声</w:t>
                  </w:r>
                </w:p>
              </w:tc>
              <w:tc>
                <w:tcPr>
                  <w:tcW w:w="3093" w:type="dxa"/>
                  <w:tcBorders>
                    <w:tl2br w:val="nil"/>
                    <w:tr2bl w:val="nil"/>
                  </w:tcBorders>
                  <w:shd w:val="clear" w:color="auto" w:fill="auto"/>
                  <w:tcMar>
                    <w:top w:w="0" w:type="dxa"/>
                    <w:left w:w="0" w:type="dxa"/>
                    <w:bottom w:w="0" w:type="dxa"/>
                    <w:right w:w="0" w:type="dxa"/>
                  </w:tcMar>
                  <w:vAlign w:val="center"/>
                </w:tcPr>
                <w:p w14:paraId="56076E4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选用低噪设备、基础减振、厂房隔声</w:t>
                  </w:r>
                </w:p>
              </w:tc>
            </w:tr>
          </w:tbl>
          <w:p w14:paraId="0F06F216">
            <w:pPr>
              <w:pStyle w:val="34"/>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kern w:val="0"/>
                <w:sz w:val="24"/>
                <w:szCs w:val="24"/>
                <w:lang w:val="en-US" w:eastAsia="zh-CN" w:bidi="ar-SA"/>
              </w:rPr>
            </w:pPr>
          </w:p>
        </w:tc>
      </w:tr>
      <w:tr w14:paraId="39DE0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c>
          <w:tcPr>
            <w:tcW w:w="704" w:type="dxa"/>
            <w:tcBorders>
              <w:tl2br w:val="nil"/>
              <w:tr2bl w:val="nil"/>
            </w:tcBorders>
            <w:shd w:val="clear" w:color="auto" w:fill="auto"/>
            <w:vAlign w:val="center"/>
          </w:tcPr>
          <w:p w14:paraId="20B9FF91">
            <w:pPr>
              <w:pStyle w:val="35"/>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r>
              <w:rPr>
                <w:rFonts w:hint="default" w:ascii="Times New Roman" w:hAnsi="Times New Roman" w:cs="Times New Roman"/>
                <w:color w:val="auto"/>
              </w:rPr>
              <w:t>与项目有关的原有环境污染问题</w:t>
            </w:r>
          </w:p>
        </w:tc>
        <w:tc>
          <w:tcPr>
            <w:tcW w:w="7592" w:type="dxa"/>
            <w:tcBorders>
              <w:tl2br w:val="nil"/>
              <w:tr2bl w:val="nil"/>
            </w:tcBorders>
            <w:shd w:val="clear" w:color="auto" w:fill="auto"/>
          </w:tcPr>
          <w:p w14:paraId="21932CE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本项目为新建项目，所用生产车间及办公区均为建设单位已购置的工业厂房及附属设施。该厂房及办公楼所属的“阜康市鑫宇翔房地产开发有限公司绿色建材产业基地项目”已于2019年8月14日完成环境影响登记表备案（备案号：201965230200000093），建设内容含标准厂房、倒班宿舍楼及配套服务楼等，环保手续齐全。本项目利用该基地内已建成的1栋标准化工业厂房（建筑面积约3000m²）进行建设，不新增用地，不涉及土建施工。</w:t>
            </w:r>
          </w:p>
          <w:p w14:paraId="2364B6FC">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经现场踏勘，所利用厂房自建成后一直处于空置状态，从未有任何企业从事过生产经营活动，无遗留固体废物、废液、废水及土壤污染等历史环境问题。厂房地面已按工业厂房标准进行水泥硬化防渗处理，防渗性能满足《环境影响评价技术导则 地下水环境》（HJ 610-2016）中一般污染防治区的要求（等效黏土防渗层Mb≥1.5m，渗透系数K≤1×10⁻⁷cm/s），可有效防止污染物下渗对地下水及土壤造成影响。</w:t>
            </w:r>
          </w:p>
          <w:p w14:paraId="2B53BA09">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本项目</w:t>
            </w:r>
            <w:r>
              <w:rPr>
                <w:rFonts w:hint="eastAsia" w:cs="Times New Roman"/>
                <w:b w:val="0"/>
                <w:bCs w:val="0"/>
                <w:color w:val="auto"/>
                <w:kern w:val="0"/>
                <w:sz w:val="24"/>
                <w:szCs w:val="24"/>
                <w:lang w:val="en-US" w:eastAsia="zh-CN" w:bidi="ar-SA"/>
              </w:rPr>
              <w:t>现有</w:t>
            </w:r>
            <w:r>
              <w:rPr>
                <w:rFonts w:hint="default" w:ascii="Times New Roman" w:hAnsi="Times New Roman" w:eastAsia="宋体" w:cs="Times New Roman"/>
                <w:b w:val="0"/>
                <w:bCs w:val="0"/>
                <w:color w:val="auto"/>
                <w:kern w:val="0"/>
                <w:sz w:val="24"/>
                <w:szCs w:val="24"/>
                <w:lang w:val="en-US" w:eastAsia="zh-CN" w:bidi="ar-SA"/>
              </w:rPr>
              <w:t>生产车间内硬化地面，满足一般防渗要求；重点防渗区域将严格按照《危险废物贮存污染控制标准》（GB18597-2023）要求进行专项防渗处理（等效黏土防渗层Mb≥6.0m，K≤1×10⁻¹⁰cm/s），并设置防渗托盘、围堰等设施，确保满足地下水及土壤保护要求。厂区其余区域（办公区、道路等）已实施一般地面硬化，符合简单防渗区要求。</w:t>
            </w:r>
          </w:p>
          <w:p w14:paraId="1D5FE01C">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综上，本项目利用的既有厂房环保手续齐全，无历史遗留环境问题，现有防渗措施满足相关标准要求，不存在与本项目有关的原有环境污染问题。</w:t>
            </w:r>
          </w:p>
          <w:p w14:paraId="2B6C6E52">
            <w:pPr>
              <w:pStyle w:val="34"/>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p>
          <w:p w14:paraId="6F6F88B4">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275C789D">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5C7037B1">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7DC66ECB">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15F2096D">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1B4871E0">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tc>
      </w:tr>
    </w:tbl>
    <w:p w14:paraId="15BBCDAA">
      <w:pPr>
        <w:pageBreakBefore w:val="0"/>
        <w:widowControl/>
        <w:shd w:val="clear"/>
        <w:kinsoku/>
        <w:topLinePunct w:val="0"/>
        <w:bidi w:val="0"/>
        <w:spacing w:beforeAutospacing="0" w:afterAutospacing="0"/>
        <w:ind w:left="0" w:leftChars="0" w:right="0" w:rightChars="0"/>
        <w:jc w:val="left"/>
        <w:rPr>
          <w:rFonts w:hint="default" w:ascii="Times New Roman" w:hAnsi="Times New Roman" w:eastAsia="黑体" w:cs="Times New Roman"/>
          <w:color w:val="auto"/>
          <w:sz w:val="20"/>
          <w:szCs w:val="20"/>
        </w:rPr>
      </w:pPr>
      <w:r>
        <w:rPr>
          <w:rFonts w:hint="default" w:ascii="Times New Roman" w:hAnsi="Times New Roman" w:cs="Times New Roman"/>
          <w:color w:val="auto"/>
        </w:rPr>
        <w:br w:type="page"/>
      </w:r>
    </w:p>
    <w:p w14:paraId="253ED7FC">
      <w:pPr>
        <w:pStyle w:val="6"/>
        <w:pageBreakBefore w:val="0"/>
        <w:numPr>
          <w:ilvl w:val="0"/>
          <w:numId w:val="0"/>
        </w:numPr>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color w:val="auto"/>
        </w:rPr>
      </w:pPr>
      <w:bookmarkStart w:id="2" w:name="_Toc109993628"/>
      <w:r>
        <w:rPr>
          <w:rFonts w:hint="eastAsia" w:ascii="Times New Roman" w:hAnsi="Times New Roman" w:eastAsia="黑体" w:cs="Times New Roman"/>
          <w:bCs/>
          <w:color w:val="auto"/>
          <w:kern w:val="44"/>
          <w:sz w:val="28"/>
          <w:szCs w:val="44"/>
          <w:lang w:val="en-US" w:eastAsia="zh-CN" w:bidi="ar-SA"/>
        </w:rPr>
        <w:t>三、</w:t>
      </w:r>
      <w:r>
        <w:rPr>
          <w:rFonts w:hint="default" w:ascii="Times New Roman" w:hAnsi="Times New Roman" w:cs="Times New Roman"/>
          <w:color w:val="auto"/>
        </w:rPr>
        <w:t>区域环境质量现状、环境保护目标及评价标准</w:t>
      </w:r>
      <w:bookmarkEnd w:id="2"/>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6"/>
        <w:gridCol w:w="7530"/>
      </w:tblGrid>
      <w:tr w14:paraId="112527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vAlign w:val="center"/>
          </w:tcPr>
          <w:p w14:paraId="79956ACD">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区域</w:t>
            </w:r>
          </w:p>
          <w:p w14:paraId="56A2C388">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环境</w:t>
            </w:r>
          </w:p>
          <w:p w14:paraId="22862EA7">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质量</w:t>
            </w:r>
          </w:p>
          <w:p w14:paraId="4061CB1B">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现状</w:t>
            </w:r>
          </w:p>
        </w:tc>
        <w:tc>
          <w:tcPr>
            <w:tcW w:w="8190" w:type="dxa"/>
            <w:tcBorders>
              <w:tl2br w:val="nil"/>
              <w:tr2bl w:val="nil"/>
            </w:tcBorders>
            <w:noWrap w:val="0"/>
            <w:vAlign w:val="top"/>
          </w:tcPr>
          <w:p w14:paraId="4BC5EB75">
            <w:pPr>
              <w:pStyle w:val="7"/>
              <w:pageBreakBefore w:val="0"/>
              <w:shd w:val="clear"/>
              <w:kinsoku/>
              <w:wordWrap/>
              <w:topLinePunct w:val="0"/>
              <w:bidi w:val="0"/>
              <w:spacing w:beforeLines="0" w:beforeAutospacing="0" w:afterLines="0" w:afterAutospacing="0" w:line="360" w:lineRule="auto"/>
              <w:ind w:left="0" w:leftChars="0" w:right="0" w:rightChars="0" w:firstLine="0" w:firstLineChars="0"/>
              <w:jc w:val="both"/>
              <w:textAlignment w:val="auto"/>
              <w:outlineLvl w:val="1"/>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1.</w:t>
            </w:r>
            <w:r>
              <w:rPr>
                <w:rFonts w:hint="default" w:ascii="Times New Roman" w:hAnsi="Times New Roman" w:eastAsia="宋体" w:cs="Times New Roman"/>
                <w:b/>
                <w:bCs/>
                <w:color w:val="auto"/>
                <w:spacing w:val="0"/>
                <w:position w:val="0"/>
                <w:sz w:val="24"/>
                <w:szCs w:val="24"/>
                <w:highlight w:val="none"/>
              </w:rPr>
              <w:t>大气环境质量现状</w:t>
            </w:r>
          </w:p>
          <w:p w14:paraId="2C611C67">
            <w:pPr>
              <w:pageBreakBefore w:val="0"/>
              <w:widowControl/>
              <w:shd w:val="clear"/>
              <w:kinsoku/>
              <w:wordWrap/>
              <w:topLinePunct w:val="0"/>
              <w:bidi w:val="0"/>
              <w:spacing w:beforeAutospacing="0" w:afterAutospacing="0" w:line="360" w:lineRule="auto"/>
              <w:ind w:left="0" w:leftChars="0" w:right="0" w:rightChars="0" w:firstLine="48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根据《环境影响评价技术导则</w:t>
            </w:r>
            <w:r>
              <w:rPr>
                <w:rFonts w:hint="default" w:ascii="Times New Roman" w:hAnsi="Times New Roman" w:eastAsia="宋体" w:cs="Times New Roman"/>
                <w:color w:val="auto"/>
                <w:spacing w:val="0"/>
                <w:position w:val="0"/>
                <w:sz w:val="24"/>
                <w:szCs w:val="24"/>
                <w:highlight w:val="none"/>
                <w:lang w:val="en-US" w:eastAsia="zh-CN"/>
              </w:rPr>
              <w:t xml:space="preserve"> </w:t>
            </w:r>
            <w:r>
              <w:rPr>
                <w:rFonts w:hint="default" w:ascii="Times New Roman" w:hAnsi="Times New Roman" w:eastAsia="宋体" w:cs="Times New Roman"/>
                <w:color w:val="auto"/>
                <w:spacing w:val="0"/>
                <w:position w:val="0"/>
                <w:sz w:val="24"/>
                <w:szCs w:val="24"/>
                <w:highlight w:val="none"/>
              </w:rPr>
              <w:t>大气环境》(HJ2.2-2018)要求，采用“基于互联网的环境影响评价技术服务平台”提供的数据，由于离项目最近的天池站点位于风景区内，环境空气质量代表性不强，因此本次评价选择离本项目相对较近的</w:t>
            </w:r>
            <w:r>
              <w:rPr>
                <w:rFonts w:hint="default" w:ascii="Times New Roman" w:hAnsi="Times New Roman" w:eastAsia="宋体" w:cs="Times New Roman"/>
                <w:color w:val="auto"/>
                <w:spacing w:val="0"/>
                <w:position w:val="0"/>
                <w:sz w:val="24"/>
                <w:szCs w:val="24"/>
                <w:highlight w:val="none"/>
                <w:lang w:val="en-US" w:eastAsia="zh-CN"/>
              </w:rPr>
              <w:t>阜康市</w:t>
            </w:r>
            <w:r>
              <w:rPr>
                <w:rFonts w:hint="default" w:ascii="Times New Roman" w:hAnsi="Times New Roman" w:eastAsia="宋体" w:cs="Times New Roman"/>
                <w:color w:val="auto"/>
                <w:spacing w:val="0"/>
                <w:position w:val="0"/>
                <w:sz w:val="24"/>
                <w:szCs w:val="24"/>
                <w:highlight w:val="none"/>
              </w:rPr>
              <w:t>监测站站点的数据进行统计分析，作为本项目环境空气现状评价基本污染物SO</w:t>
            </w:r>
            <w:r>
              <w:rPr>
                <w:rFonts w:hint="default" w:ascii="Times New Roman" w:hAnsi="Times New Roman" w:eastAsia="宋体" w:cs="Times New Roman"/>
                <w:color w:val="auto"/>
                <w:spacing w:val="0"/>
                <w:position w:val="0"/>
                <w:sz w:val="24"/>
                <w:szCs w:val="24"/>
                <w:highlight w:val="none"/>
                <w:vertAlign w:val="subscript"/>
              </w:rPr>
              <w:t>2</w:t>
            </w:r>
            <w:r>
              <w:rPr>
                <w:rFonts w:hint="default" w:ascii="Times New Roman" w:hAnsi="Times New Roman" w:eastAsia="宋体" w:cs="Times New Roman"/>
                <w:color w:val="auto"/>
                <w:spacing w:val="0"/>
                <w:position w:val="0"/>
                <w:sz w:val="24"/>
                <w:szCs w:val="24"/>
                <w:highlight w:val="none"/>
              </w:rPr>
              <w:t>、NO</w:t>
            </w:r>
            <w:r>
              <w:rPr>
                <w:rFonts w:hint="default" w:ascii="Times New Roman" w:hAnsi="Times New Roman" w:eastAsia="宋体" w:cs="Times New Roman"/>
                <w:color w:val="auto"/>
                <w:spacing w:val="0"/>
                <w:position w:val="0"/>
                <w:sz w:val="24"/>
                <w:szCs w:val="24"/>
                <w:highlight w:val="none"/>
                <w:vertAlign w:val="subscript"/>
              </w:rPr>
              <w:t>2</w:t>
            </w:r>
            <w:r>
              <w:rPr>
                <w:rFonts w:hint="default" w:ascii="Times New Roman" w:hAnsi="Times New Roman" w:eastAsia="宋体" w:cs="Times New Roman"/>
                <w:color w:val="auto"/>
                <w:spacing w:val="0"/>
                <w:position w:val="0"/>
                <w:sz w:val="24"/>
                <w:szCs w:val="24"/>
                <w:highlight w:val="none"/>
              </w:rPr>
              <w:t>、PM</w:t>
            </w:r>
            <w:r>
              <w:rPr>
                <w:rFonts w:hint="default" w:ascii="Times New Roman" w:hAnsi="Times New Roman" w:eastAsia="宋体" w:cs="Times New Roman"/>
                <w:color w:val="auto"/>
                <w:spacing w:val="0"/>
                <w:position w:val="0"/>
                <w:sz w:val="24"/>
                <w:szCs w:val="24"/>
                <w:highlight w:val="none"/>
                <w:vertAlign w:val="subscript"/>
              </w:rPr>
              <w:t>10</w:t>
            </w:r>
            <w:r>
              <w:rPr>
                <w:rFonts w:hint="default" w:ascii="Times New Roman" w:hAnsi="Times New Roman" w:eastAsia="宋体" w:cs="Times New Roman"/>
                <w:color w:val="auto"/>
                <w:spacing w:val="0"/>
                <w:position w:val="0"/>
                <w:sz w:val="24"/>
                <w:szCs w:val="24"/>
                <w:highlight w:val="none"/>
              </w:rPr>
              <w:t>、PM</w:t>
            </w:r>
            <w:r>
              <w:rPr>
                <w:rFonts w:hint="default" w:ascii="Times New Roman" w:hAnsi="Times New Roman" w:eastAsia="宋体" w:cs="Times New Roman"/>
                <w:color w:val="auto"/>
                <w:spacing w:val="0"/>
                <w:position w:val="0"/>
                <w:sz w:val="24"/>
                <w:szCs w:val="24"/>
                <w:highlight w:val="none"/>
                <w:vertAlign w:val="subscript"/>
              </w:rPr>
              <w:t>2.5</w:t>
            </w:r>
            <w:r>
              <w:rPr>
                <w:rFonts w:hint="default" w:ascii="Times New Roman" w:hAnsi="Times New Roman" w:eastAsia="宋体" w:cs="Times New Roman"/>
                <w:color w:val="auto"/>
                <w:spacing w:val="0"/>
                <w:position w:val="0"/>
                <w:sz w:val="24"/>
                <w:szCs w:val="24"/>
                <w:highlight w:val="none"/>
              </w:rPr>
              <w:t>、CO和O</w:t>
            </w:r>
            <w:r>
              <w:rPr>
                <w:rFonts w:hint="default" w:ascii="Times New Roman" w:hAnsi="Times New Roman" w:eastAsia="宋体" w:cs="Times New Roman"/>
                <w:color w:val="auto"/>
                <w:spacing w:val="0"/>
                <w:position w:val="0"/>
                <w:sz w:val="24"/>
                <w:szCs w:val="24"/>
                <w:highlight w:val="none"/>
                <w:vertAlign w:val="subscript"/>
              </w:rPr>
              <w:t>3</w:t>
            </w:r>
            <w:r>
              <w:rPr>
                <w:rFonts w:hint="default" w:ascii="Times New Roman" w:hAnsi="Times New Roman" w:eastAsia="宋体" w:cs="Times New Roman"/>
                <w:color w:val="auto"/>
                <w:spacing w:val="0"/>
                <w:position w:val="0"/>
                <w:sz w:val="24"/>
                <w:szCs w:val="24"/>
                <w:highlight w:val="none"/>
              </w:rPr>
              <w:t>的数据来源。</w:t>
            </w:r>
          </w:p>
          <w:p w14:paraId="5E1C149D">
            <w:pPr>
              <w:pageBreakBefore w:val="0"/>
              <w:shd w:val="clear"/>
              <w:kinsoku/>
              <w:wordWrap/>
              <w:topLinePunct w:val="0"/>
              <w:bidi w:val="0"/>
              <w:spacing w:beforeAutospacing="0" w:afterAutospacing="0" w:line="360" w:lineRule="auto"/>
              <w:ind w:left="0" w:leftChars="0" w:right="0" w:rightChars="0" w:firstLine="480"/>
              <w:jc w:val="both"/>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lang w:val="en-US" w:eastAsia="zh-CN"/>
              </w:rPr>
              <w:t>根据新疆维吾尔自治区生态环境监测总站在《环境质量监测简报》中作202</w:t>
            </w:r>
            <w:r>
              <w:rPr>
                <w:rFonts w:hint="eastAsia" w:ascii="Times New Roman" w:hAnsi="Times New Roman" w:cs="Times New Roman"/>
                <w:color w:val="auto"/>
                <w:spacing w:val="0"/>
                <w:position w:val="0"/>
                <w:sz w:val="24"/>
                <w:szCs w:val="24"/>
                <w:highlight w:val="none"/>
                <w:lang w:val="en-US" w:eastAsia="zh-CN"/>
              </w:rPr>
              <w:t>5</w:t>
            </w:r>
            <w:r>
              <w:rPr>
                <w:rFonts w:hint="default" w:ascii="Times New Roman" w:hAnsi="Times New Roman" w:eastAsia="宋体" w:cs="Times New Roman"/>
                <w:color w:val="auto"/>
                <w:spacing w:val="0"/>
                <w:position w:val="0"/>
                <w:sz w:val="24"/>
                <w:szCs w:val="24"/>
                <w:highlight w:val="none"/>
                <w:lang w:val="en-US" w:eastAsia="zh-CN"/>
              </w:rPr>
              <w:t>年全区城市空气质量状况分析描述，202</w:t>
            </w:r>
            <w:r>
              <w:rPr>
                <w:rFonts w:hint="eastAsia" w:ascii="Times New Roman" w:hAnsi="Times New Roman" w:cs="Times New Roman"/>
                <w:color w:val="auto"/>
                <w:spacing w:val="0"/>
                <w:position w:val="0"/>
                <w:sz w:val="24"/>
                <w:szCs w:val="24"/>
                <w:highlight w:val="none"/>
                <w:lang w:val="en-US" w:eastAsia="zh-CN"/>
              </w:rPr>
              <w:t>5</w:t>
            </w:r>
            <w:r>
              <w:rPr>
                <w:rFonts w:hint="default" w:ascii="Times New Roman" w:hAnsi="Times New Roman" w:eastAsia="宋体" w:cs="Times New Roman"/>
                <w:color w:val="auto"/>
                <w:spacing w:val="0"/>
                <w:position w:val="0"/>
                <w:sz w:val="24"/>
                <w:szCs w:val="24"/>
                <w:highlight w:val="none"/>
                <w:lang w:val="en-US" w:eastAsia="zh-CN"/>
              </w:rPr>
              <w:t>年，阜康市优良天数比例为73.5%，PM</w:t>
            </w:r>
            <w:r>
              <w:rPr>
                <w:rFonts w:hint="default" w:ascii="Times New Roman" w:hAnsi="Times New Roman" w:eastAsia="宋体" w:cs="Times New Roman"/>
                <w:color w:val="auto"/>
                <w:spacing w:val="0"/>
                <w:position w:val="0"/>
                <w:sz w:val="24"/>
                <w:szCs w:val="24"/>
                <w:highlight w:val="none"/>
                <w:vertAlign w:val="subscript"/>
                <w:lang w:val="en-US" w:eastAsia="zh-CN"/>
              </w:rPr>
              <w:t>10</w:t>
            </w:r>
            <w:r>
              <w:rPr>
                <w:rFonts w:hint="default" w:ascii="Times New Roman" w:hAnsi="Times New Roman" w:eastAsia="宋体" w:cs="Times New Roman"/>
                <w:color w:val="auto"/>
                <w:spacing w:val="0"/>
                <w:position w:val="0"/>
                <w:sz w:val="24"/>
                <w:szCs w:val="24"/>
                <w:highlight w:val="none"/>
                <w:lang w:val="en-US" w:eastAsia="zh-CN"/>
              </w:rPr>
              <w:t>、PM</w:t>
            </w:r>
            <w:r>
              <w:rPr>
                <w:rFonts w:hint="default" w:ascii="Times New Roman" w:hAnsi="Times New Roman" w:eastAsia="宋体" w:cs="Times New Roman"/>
                <w:color w:val="auto"/>
                <w:spacing w:val="0"/>
                <w:position w:val="0"/>
                <w:sz w:val="24"/>
                <w:szCs w:val="24"/>
                <w:highlight w:val="none"/>
                <w:vertAlign w:val="subscript"/>
                <w:lang w:val="en-US" w:eastAsia="zh-CN"/>
              </w:rPr>
              <w:t>2.5</w:t>
            </w:r>
            <w:r>
              <w:rPr>
                <w:rFonts w:hint="default" w:ascii="Times New Roman" w:hAnsi="Times New Roman" w:eastAsia="宋体" w:cs="Times New Roman"/>
                <w:color w:val="auto"/>
                <w:spacing w:val="0"/>
                <w:position w:val="0"/>
                <w:sz w:val="24"/>
                <w:szCs w:val="24"/>
                <w:highlight w:val="none"/>
                <w:lang w:val="en-US" w:eastAsia="zh-CN"/>
              </w:rPr>
              <w:t>平均浓度分别为103mg/m³、65mg/m³。</w:t>
            </w:r>
          </w:p>
          <w:p w14:paraId="665A9233">
            <w:pPr>
              <w:pStyle w:val="8"/>
              <w:pageBreakBefore w:val="0"/>
              <w:shd w:val="clear"/>
              <w:kinsoku/>
              <w:wordWrap/>
              <w:topLinePunct w:val="0"/>
              <w:bidi w:val="0"/>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cs="Times New Roman"/>
                <w:b/>
                <w:bCs/>
                <w:color w:val="auto"/>
                <w:spacing w:val="0"/>
                <w:position w:val="0"/>
                <w:sz w:val="24"/>
                <w:szCs w:val="24"/>
                <w:highlight w:val="none"/>
                <w:lang w:val="en-US" w:eastAsia="zh-CN"/>
              </w:rPr>
              <w:t>1</w:t>
            </w:r>
            <w:r>
              <w:rPr>
                <w:rFonts w:hint="default" w:ascii="Times New Roman" w:hAnsi="Times New Roman" w:eastAsia="宋体" w:cs="Times New Roman"/>
                <w:b/>
                <w:bCs/>
                <w:color w:val="auto"/>
                <w:spacing w:val="0"/>
                <w:position w:val="0"/>
                <w:sz w:val="24"/>
                <w:szCs w:val="24"/>
                <w:highlight w:val="none"/>
                <w:lang w:val="en-US" w:eastAsia="zh-CN"/>
              </w:rPr>
              <w:t>.1项目所在预期环境质量达标情况</w:t>
            </w:r>
          </w:p>
          <w:p w14:paraId="75A2F1BF">
            <w:pPr>
              <w:pageBreakBefore w:val="0"/>
              <w:shd w:val="clear"/>
              <w:kinsoku/>
              <w:wordWrap/>
              <w:topLinePunct w:val="0"/>
              <w:bidi w:val="0"/>
              <w:spacing w:beforeAutospacing="0" w:afterAutospacing="0" w:line="360" w:lineRule="auto"/>
              <w:ind w:left="0" w:leftChars="0" w:right="0" w:rightChars="0" w:firstLine="48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（1）评价标准</w:t>
            </w:r>
          </w:p>
          <w:p w14:paraId="55769600">
            <w:pPr>
              <w:pageBreakBefore w:val="0"/>
              <w:shd w:val="clear"/>
              <w:kinsoku/>
              <w:wordWrap/>
              <w:topLinePunct w:val="0"/>
              <w:bidi w:val="0"/>
              <w:spacing w:beforeAutospacing="0" w:afterAutospacing="0" w:line="360" w:lineRule="auto"/>
              <w:ind w:left="0" w:leftChars="0" w:right="0" w:rightChars="0" w:firstLine="48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根据本项目所在区域的环境功能区划，</w:t>
            </w:r>
            <w:r>
              <w:rPr>
                <w:rFonts w:hint="default" w:ascii="Times New Roman" w:hAnsi="Times New Roman" w:eastAsia="宋体" w:cs="Times New Roman"/>
                <w:color w:val="auto"/>
                <w:spacing w:val="0"/>
                <w:position w:val="0"/>
                <w:sz w:val="24"/>
                <w:szCs w:val="24"/>
                <w:highlight w:val="none"/>
                <w:lang w:val="en-US" w:eastAsia="zh-CN"/>
              </w:rPr>
              <w:t>基本因子</w:t>
            </w:r>
            <w:r>
              <w:rPr>
                <w:rFonts w:hint="default" w:ascii="Times New Roman" w:hAnsi="Times New Roman" w:eastAsia="宋体" w:cs="Times New Roman"/>
                <w:color w:val="auto"/>
                <w:spacing w:val="0"/>
                <w:position w:val="0"/>
                <w:sz w:val="24"/>
                <w:szCs w:val="24"/>
                <w:highlight w:val="none"/>
              </w:rPr>
              <w:t>SO</w:t>
            </w:r>
            <w:r>
              <w:rPr>
                <w:rFonts w:hint="default" w:ascii="Times New Roman" w:hAnsi="Times New Roman" w:eastAsia="宋体" w:cs="Times New Roman"/>
                <w:color w:val="auto"/>
                <w:spacing w:val="0"/>
                <w:position w:val="0"/>
                <w:sz w:val="24"/>
                <w:szCs w:val="24"/>
                <w:highlight w:val="none"/>
                <w:vertAlign w:val="subscript"/>
              </w:rPr>
              <w:t>2</w:t>
            </w:r>
            <w:r>
              <w:rPr>
                <w:rFonts w:hint="default" w:ascii="Times New Roman" w:hAnsi="Times New Roman" w:eastAsia="宋体" w:cs="Times New Roman"/>
                <w:color w:val="auto"/>
                <w:spacing w:val="0"/>
                <w:position w:val="0"/>
                <w:sz w:val="24"/>
                <w:szCs w:val="24"/>
                <w:highlight w:val="none"/>
              </w:rPr>
              <w:t>、NO</w:t>
            </w:r>
            <w:r>
              <w:rPr>
                <w:rFonts w:hint="default" w:ascii="Times New Roman" w:hAnsi="Times New Roman" w:eastAsia="宋体" w:cs="Times New Roman"/>
                <w:color w:val="auto"/>
                <w:spacing w:val="0"/>
                <w:position w:val="0"/>
                <w:sz w:val="24"/>
                <w:szCs w:val="24"/>
                <w:highlight w:val="none"/>
                <w:vertAlign w:val="subscript"/>
              </w:rPr>
              <w:t>2</w:t>
            </w:r>
            <w:r>
              <w:rPr>
                <w:rFonts w:hint="default" w:ascii="Times New Roman" w:hAnsi="Times New Roman" w:eastAsia="宋体" w:cs="Times New Roman"/>
                <w:color w:val="auto"/>
                <w:spacing w:val="0"/>
                <w:position w:val="0"/>
                <w:sz w:val="24"/>
                <w:szCs w:val="24"/>
                <w:highlight w:val="none"/>
              </w:rPr>
              <w:t>、PM</w:t>
            </w:r>
            <w:r>
              <w:rPr>
                <w:rFonts w:hint="default" w:ascii="Times New Roman" w:hAnsi="Times New Roman" w:eastAsia="宋体" w:cs="Times New Roman"/>
                <w:color w:val="auto"/>
                <w:spacing w:val="0"/>
                <w:position w:val="0"/>
                <w:sz w:val="24"/>
                <w:szCs w:val="24"/>
                <w:highlight w:val="none"/>
                <w:vertAlign w:val="subscript"/>
              </w:rPr>
              <w:t>10</w:t>
            </w:r>
            <w:r>
              <w:rPr>
                <w:rFonts w:hint="default" w:ascii="Times New Roman" w:hAnsi="Times New Roman" w:eastAsia="宋体" w:cs="Times New Roman"/>
                <w:color w:val="auto"/>
                <w:spacing w:val="0"/>
                <w:position w:val="0"/>
                <w:sz w:val="24"/>
                <w:szCs w:val="24"/>
                <w:highlight w:val="none"/>
              </w:rPr>
              <w:t>、PM</w:t>
            </w:r>
            <w:r>
              <w:rPr>
                <w:rFonts w:hint="default" w:ascii="Times New Roman" w:hAnsi="Times New Roman" w:eastAsia="宋体" w:cs="Times New Roman"/>
                <w:color w:val="auto"/>
                <w:spacing w:val="0"/>
                <w:position w:val="0"/>
                <w:sz w:val="24"/>
                <w:szCs w:val="24"/>
                <w:highlight w:val="none"/>
                <w:vertAlign w:val="subscript"/>
              </w:rPr>
              <w:t>2.5</w:t>
            </w:r>
            <w:r>
              <w:rPr>
                <w:rFonts w:hint="default" w:ascii="Times New Roman" w:hAnsi="Times New Roman" w:eastAsia="宋体" w:cs="Times New Roman"/>
                <w:color w:val="auto"/>
                <w:spacing w:val="0"/>
                <w:position w:val="0"/>
                <w:sz w:val="24"/>
                <w:szCs w:val="24"/>
                <w:highlight w:val="none"/>
              </w:rPr>
              <w:t>、TSP、CO</w:t>
            </w: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rPr>
              <w:t>O</w:t>
            </w:r>
            <w:r>
              <w:rPr>
                <w:rFonts w:hint="default" w:ascii="Times New Roman" w:hAnsi="Times New Roman" w:eastAsia="宋体" w:cs="Times New Roman"/>
                <w:color w:val="auto"/>
                <w:spacing w:val="0"/>
                <w:position w:val="0"/>
                <w:sz w:val="24"/>
                <w:szCs w:val="24"/>
                <w:highlight w:val="none"/>
                <w:vertAlign w:val="subscript"/>
              </w:rPr>
              <w:t>3</w:t>
            </w:r>
            <w:r>
              <w:rPr>
                <w:rFonts w:hint="default" w:ascii="Times New Roman" w:hAnsi="Times New Roman" w:eastAsia="宋体" w:cs="Times New Roman"/>
                <w:color w:val="auto"/>
                <w:spacing w:val="0"/>
                <w:position w:val="0"/>
                <w:sz w:val="24"/>
                <w:szCs w:val="24"/>
                <w:highlight w:val="none"/>
                <w:lang w:val="en-US" w:eastAsia="zh-CN"/>
              </w:rPr>
              <w:t>和特征因子TSP</w:t>
            </w:r>
            <w:r>
              <w:rPr>
                <w:rFonts w:hint="default" w:ascii="Times New Roman" w:hAnsi="Times New Roman" w:eastAsia="宋体" w:cs="Times New Roman"/>
                <w:color w:val="auto"/>
                <w:spacing w:val="0"/>
                <w:position w:val="0"/>
                <w:sz w:val="24"/>
                <w:szCs w:val="24"/>
                <w:highlight w:val="none"/>
              </w:rPr>
              <w:t>执行《环境空气质量标准》（</w:t>
            </w:r>
            <w:r>
              <w:rPr>
                <w:rFonts w:hint="eastAsia" w:cs="Times New Roman"/>
                <w:color w:val="auto"/>
                <w:spacing w:val="0"/>
                <w:position w:val="0"/>
                <w:sz w:val="24"/>
                <w:szCs w:val="24"/>
                <w:highlight w:val="none"/>
                <w:lang w:eastAsia="zh-CN"/>
              </w:rPr>
              <w:t>GB3095-2026</w:t>
            </w:r>
            <w:r>
              <w:rPr>
                <w:rFonts w:hint="default" w:ascii="Times New Roman" w:hAnsi="Times New Roman" w:eastAsia="宋体" w:cs="Times New Roman"/>
                <w:color w:val="auto"/>
                <w:spacing w:val="0"/>
                <w:position w:val="0"/>
                <w:sz w:val="24"/>
                <w:szCs w:val="24"/>
                <w:highlight w:val="none"/>
              </w:rPr>
              <w:t>）中二级标准。</w:t>
            </w:r>
          </w:p>
          <w:p w14:paraId="5A8F0A34">
            <w:pPr>
              <w:pageBreakBefore w:val="0"/>
              <w:shd w:val="clear"/>
              <w:kinsoku/>
              <w:wordWrap/>
              <w:topLinePunct w:val="0"/>
              <w:bidi w:val="0"/>
              <w:spacing w:beforeAutospacing="0" w:afterAutospacing="0" w:line="360" w:lineRule="auto"/>
              <w:ind w:left="0" w:leftChars="0" w:right="0" w:rightChars="0" w:firstLine="48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（2）评价方法</w:t>
            </w:r>
          </w:p>
          <w:p w14:paraId="106CAE51">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360" w:lineRule="auto"/>
              <w:ind w:left="0" w:leftChars="0" w:right="0" w:rightChars="0" w:firstLine="482"/>
              <w:jc w:val="both"/>
              <w:textAlignment w:val="auto"/>
              <w:rPr>
                <w:rFonts w:hint="default" w:ascii="Times New Roman" w:hAnsi="Times New Roman" w:eastAsia="宋体" w:cs="Times New Roman"/>
                <w:color w:val="auto"/>
                <w:spacing w:val="0"/>
                <w:kern w:val="2"/>
                <w:position w:val="0"/>
                <w:sz w:val="24"/>
                <w:szCs w:val="24"/>
                <w:highlight w:val="none"/>
                <w:lang w:val="en-US" w:eastAsia="zh-CN" w:bidi="ar-SA"/>
              </w:rPr>
            </w:pPr>
            <w:r>
              <w:rPr>
                <w:rFonts w:hint="default" w:ascii="Times New Roman" w:hAnsi="Times New Roman" w:eastAsia="宋体" w:cs="Times New Roman"/>
                <w:color w:val="auto"/>
                <w:spacing w:val="0"/>
                <w:kern w:val="2"/>
                <w:position w:val="0"/>
                <w:sz w:val="24"/>
                <w:szCs w:val="24"/>
                <w:highlight w:val="none"/>
                <w:lang w:val="en-US" w:eastAsia="zh-CN" w:bidi="ar-SA"/>
              </w:rPr>
              <w:t>基本污染物按照《环境空气质量评价技术规范（试行）》HJ663-2013中各评价项目的年评价指标进行判定。年评价指标中的年均浓度和相应百分位数24h平均或8h平均质量浓度满足GB3095中浓度限值要求的即为达标。对于超标的污染物，计算其超标倍数和超标率。</w:t>
            </w:r>
          </w:p>
          <w:p w14:paraId="4993BAB0">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360" w:lineRule="auto"/>
              <w:ind w:left="0" w:leftChars="0" w:right="0" w:rightChars="0" w:firstLine="482"/>
              <w:jc w:val="both"/>
              <w:textAlignment w:val="auto"/>
              <w:rPr>
                <w:rFonts w:hint="default" w:ascii="Times New Roman" w:hAnsi="Times New Roman" w:eastAsia="宋体" w:cs="Times New Roman"/>
                <w:color w:val="auto"/>
                <w:spacing w:val="0"/>
                <w:kern w:val="2"/>
                <w:position w:val="0"/>
                <w:sz w:val="24"/>
                <w:szCs w:val="24"/>
                <w:highlight w:val="none"/>
                <w:lang w:val="en-US" w:eastAsia="zh-CN" w:bidi="ar-SA"/>
              </w:rPr>
            </w:pPr>
            <w:r>
              <w:rPr>
                <w:rFonts w:hint="default" w:ascii="Times New Roman" w:hAnsi="Times New Roman" w:eastAsia="宋体" w:cs="Times New Roman"/>
                <w:color w:val="auto"/>
                <w:spacing w:val="0"/>
                <w:kern w:val="2"/>
                <w:position w:val="0"/>
                <w:sz w:val="24"/>
                <w:szCs w:val="24"/>
                <w:highlight w:val="none"/>
                <w:lang w:val="en-US" w:eastAsia="zh-CN" w:bidi="ar-SA"/>
              </w:rPr>
              <w:t>（3）区域达标判定</w:t>
            </w:r>
          </w:p>
          <w:p w14:paraId="0CCA0C49">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360" w:lineRule="auto"/>
              <w:ind w:left="0" w:leftChars="0" w:right="0" w:rightChars="0" w:firstLine="482"/>
              <w:jc w:val="both"/>
              <w:textAlignment w:val="auto"/>
              <w:rPr>
                <w:rFonts w:hint="default" w:ascii="Times New Roman" w:hAnsi="Times New Roman" w:eastAsia="宋体" w:cs="Times New Roman"/>
                <w:color w:val="auto"/>
                <w:spacing w:val="0"/>
                <w:kern w:val="2"/>
                <w:position w:val="0"/>
                <w:sz w:val="24"/>
                <w:szCs w:val="24"/>
                <w:highlight w:val="none"/>
                <w:lang w:val="en-US" w:eastAsia="zh-CN" w:bidi="ar-SA"/>
              </w:rPr>
            </w:pPr>
            <w:r>
              <w:rPr>
                <w:rFonts w:hint="default" w:ascii="Times New Roman" w:hAnsi="Times New Roman" w:eastAsia="宋体" w:cs="Times New Roman"/>
                <w:color w:val="auto"/>
                <w:spacing w:val="0"/>
                <w:kern w:val="2"/>
                <w:position w:val="0"/>
                <w:sz w:val="24"/>
                <w:szCs w:val="24"/>
                <w:highlight w:val="none"/>
                <w:lang w:val="en-US" w:eastAsia="zh-CN" w:bidi="ar-SA"/>
              </w:rPr>
              <w:t>根据新疆维吾尔自治区生态环境监测总站发布的《2025年12月和1-12月全区环境空气质量状况及排名》中2025年数据，2025年1-12月，自治区14城市平均优良天数比例为72.9%，PM₁₀平均浓度为141μg/m³，PM₂.₅平均浓度为46μg/m³。空气质量达标区判定结果见表3-1。</w:t>
            </w:r>
          </w:p>
          <w:p w14:paraId="42A0DE44">
            <w:pPr>
              <w:pStyle w:val="54"/>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表3-1</w:t>
            </w:r>
            <w:r>
              <w:rPr>
                <w:rFonts w:hint="default" w:ascii="Times New Roman" w:hAnsi="Times New Roman" w:cs="Times New Roman"/>
                <w:color w:val="auto"/>
                <w:spacing w:val="0"/>
                <w:position w:val="0"/>
                <w:sz w:val="21"/>
                <w:szCs w:val="21"/>
                <w:highlight w:val="none"/>
                <w:lang w:val="en-US" w:eastAsia="zh-CN"/>
              </w:rPr>
              <w:t xml:space="preserve">    </w:t>
            </w:r>
            <w:r>
              <w:rPr>
                <w:rFonts w:hint="default" w:ascii="Times New Roman" w:hAnsi="Times New Roman" w:cs="Times New Roman"/>
                <w:color w:val="auto"/>
                <w:spacing w:val="0"/>
                <w:position w:val="0"/>
                <w:sz w:val="21"/>
                <w:szCs w:val="21"/>
                <w:highlight w:val="none"/>
              </w:rPr>
              <w:t>区域空气质量现状评价表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011"/>
              <w:gridCol w:w="1873"/>
              <w:gridCol w:w="1431"/>
              <w:gridCol w:w="1391"/>
              <w:gridCol w:w="892"/>
              <w:gridCol w:w="938"/>
            </w:tblGrid>
            <w:tr w14:paraId="6CDEF2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3" w:hRule="atLeast"/>
              </w:trPr>
              <w:tc>
                <w:tcPr>
                  <w:tcW w:w="670" w:type="pct"/>
                  <w:vMerge w:val="restart"/>
                  <w:tcBorders>
                    <w:tl2br w:val="nil"/>
                    <w:tr2bl w:val="nil"/>
                  </w:tcBorders>
                  <w:noWrap/>
                  <w:vAlign w:val="center"/>
                </w:tcPr>
                <w:p w14:paraId="0D18EBBF">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评价因子</w:t>
                  </w:r>
                </w:p>
              </w:tc>
              <w:tc>
                <w:tcPr>
                  <w:tcW w:w="1242" w:type="pct"/>
                  <w:vMerge w:val="restart"/>
                  <w:tcBorders>
                    <w:tl2br w:val="nil"/>
                    <w:tr2bl w:val="nil"/>
                  </w:tcBorders>
                  <w:noWrap/>
                  <w:vAlign w:val="center"/>
                </w:tcPr>
                <w:p w14:paraId="00954F74">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平均时段</w:t>
                  </w:r>
                </w:p>
              </w:tc>
              <w:tc>
                <w:tcPr>
                  <w:tcW w:w="949" w:type="pct"/>
                  <w:tcBorders>
                    <w:tl2br w:val="nil"/>
                    <w:tr2bl w:val="nil"/>
                  </w:tcBorders>
                  <w:noWrap/>
                  <w:vAlign w:val="center"/>
                </w:tcPr>
                <w:p w14:paraId="3F4D4FDB">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现状浓度/</w:t>
                  </w:r>
                </w:p>
              </w:tc>
              <w:tc>
                <w:tcPr>
                  <w:tcW w:w="922" w:type="pct"/>
                  <w:tcBorders>
                    <w:tl2br w:val="nil"/>
                    <w:tr2bl w:val="nil"/>
                  </w:tcBorders>
                  <w:noWrap/>
                  <w:vAlign w:val="center"/>
                </w:tcPr>
                <w:p w14:paraId="18D51FAF">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标准限值/</w:t>
                  </w:r>
                </w:p>
              </w:tc>
              <w:tc>
                <w:tcPr>
                  <w:tcW w:w="592" w:type="pct"/>
                  <w:vMerge w:val="restart"/>
                  <w:tcBorders>
                    <w:tl2br w:val="nil"/>
                    <w:tr2bl w:val="nil"/>
                  </w:tcBorders>
                  <w:noWrap/>
                  <w:vAlign w:val="center"/>
                </w:tcPr>
                <w:p w14:paraId="300F0E05">
                  <w:pPr>
                    <w:pStyle w:val="55"/>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cs="Times New Roman"/>
                      <w:b/>
                      <w:bCs/>
                      <w:color w:val="auto"/>
                      <w:spacing w:val="0"/>
                      <w:position w:val="0"/>
                      <w:sz w:val="21"/>
                      <w:szCs w:val="21"/>
                      <w:highlight w:val="none"/>
                      <w:lang w:val="en-US" w:eastAsia="zh-CN"/>
                    </w:rPr>
                  </w:pPr>
                  <w:r>
                    <w:rPr>
                      <w:rFonts w:hint="default" w:ascii="Times New Roman" w:hAnsi="Times New Roman" w:cs="Times New Roman"/>
                      <w:b/>
                      <w:bCs/>
                      <w:color w:val="auto"/>
                      <w:spacing w:val="0"/>
                      <w:position w:val="0"/>
                      <w:sz w:val="21"/>
                      <w:szCs w:val="21"/>
                      <w:highlight w:val="none"/>
                      <w:lang w:val="en-US" w:eastAsia="zh-CN"/>
                    </w:rPr>
                    <w:t>占标率</w:t>
                  </w:r>
                </w:p>
                <w:p w14:paraId="090CC257">
                  <w:pPr>
                    <w:pStyle w:val="55"/>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rPr>
                    <w:t>（%）</w:t>
                  </w:r>
                </w:p>
              </w:tc>
              <w:tc>
                <w:tcPr>
                  <w:tcW w:w="622" w:type="pct"/>
                  <w:vMerge w:val="restart"/>
                  <w:tcBorders>
                    <w:tl2br w:val="nil"/>
                    <w:tr2bl w:val="nil"/>
                  </w:tcBorders>
                  <w:noWrap/>
                  <w:vAlign w:val="center"/>
                </w:tcPr>
                <w:p w14:paraId="32A1F760">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达标情况</w:t>
                  </w:r>
                </w:p>
              </w:tc>
            </w:tr>
            <w:tr w14:paraId="0E3193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3" w:hRule="atLeast"/>
              </w:trPr>
              <w:tc>
                <w:tcPr>
                  <w:tcW w:w="670" w:type="pct"/>
                  <w:vMerge w:val="continue"/>
                  <w:tcBorders>
                    <w:bottom w:val="single" w:color="auto" w:sz="12" w:space="0"/>
                    <w:tl2br w:val="nil"/>
                    <w:tr2bl w:val="nil"/>
                  </w:tcBorders>
                  <w:noWrap/>
                  <w:vAlign w:val="center"/>
                </w:tcPr>
                <w:p w14:paraId="279B1499">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position w:val="0"/>
                      <w:sz w:val="21"/>
                      <w:szCs w:val="21"/>
                      <w:highlight w:val="none"/>
                    </w:rPr>
                  </w:pPr>
                </w:p>
              </w:tc>
              <w:tc>
                <w:tcPr>
                  <w:tcW w:w="1242" w:type="pct"/>
                  <w:vMerge w:val="continue"/>
                  <w:tcBorders>
                    <w:bottom w:val="single" w:color="auto" w:sz="12" w:space="0"/>
                    <w:tl2br w:val="nil"/>
                    <w:tr2bl w:val="nil"/>
                  </w:tcBorders>
                  <w:noWrap/>
                  <w:vAlign w:val="center"/>
                </w:tcPr>
                <w:p w14:paraId="32C4103B">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position w:val="0"/>
                      <w:sz w:val="21"/>
                      <w:szCs w:val="21"/>
                      <w:highlight w:val="none"/>
                    </w:rPr>
                  </w:pPr>
                </w:p>
              </w:tc>
              <w:tc>
                <w:tcPr>
                  <w:tcW w:w="949" w:type="pct"/>
                  <w:tcBorders>
                    <w:bottom w:val="single" w:color="auto" w:sz="12" w:space="0"/>
                    <w:tl2br w:val="nil"/>
                    <w:tr2bl w:val="nil"/>
                  </w:tcBorders>
                  <w:noWrap/>
                  <w:vAlign w:val="center"/>
                </w:tcPr>
                <w:p w14:paraId="62A4376B">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（μg/m³）</w:t>
                  </w:r>
                </w:p>
              </w:tc>
              <w:tc>
                <w:tcPr>
                  <w:tcW w:w="922" w:type="pct"/>
                  <w:tcBorders>
                    <w:bottom w:val="single" w:color="auto" w:sz="12" w:space="0"/>
                    <w:tl2br w:val="nil"/>
                    <w:tr2bl w:val="nil"/>
                  </w:tcBorders>
                  <w:noWrap/>
                  <w:vAlign w:val="center"/>
                </w:tcPr>
                <w:p w14:paraId="6ADE31A1">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（μg/m³）</w:t>
                  </w:r>
                </w:p>
              </w:tc>
              <w:tc>
                <w:tcPr>
                  <w:tcW w:w="592" w:type="pct"/>
                  <w:vMerge w:val="continue"/>
                  <w:tcBorders>
                    <w:bottom w:val="single" w:color="auto" w:sz="12" w:space="0"/>
                    <w:tl2br w:val="nil"/>
                    <w:tr2bl w:val="nil"/>
                  </w:tcBorders>
                  <w:noWrap/>
                  <w:vAlign w:val="center"/>
                </w:tcPr>
                <w:p w14:paraId="65F582DF">
                  <w:pPr>
                    <w:pStyle w:val="55"/>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cs="Times New Roman"/>
                      <w:color w:val="auto"/>
                      <w:spacing w:val="0"/>
                      <w:position w:val="0"/>
                      <w:sz w:val="21"/>
                      <w:szCs w:val="21"/>
                      <w:highlight w:val="none"/>
                    </w:rPr>
                  </w:pPr>
                </w:p>
              </w:tc>
              <w:tc>
                <w:tcPr>
                  <w:tcW w:w="622" w:type="pct"/>
                  <w:vMerge w:val="continue"/>
                  <w:tcBorders>
                    <w:bottom w:val="single" w:color="auto" w:sz="12" w:space="0"/>
                    <w:tl2br w:val="nil"/>
                    <w:tr2bl w:val="nil"/>
                  </w:tcBorders>
                  <w:noWrap/>
                  <w:vAlign w:val="center"/>
                </w:tcPr>
                <w:p w14:paraId="0301B3FD">
                  <w:pPr>
                    <w:pStyle w:val="55"/>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position w:val="0"/>
                      <w:sz w:val="21"/>
                      <w:szCs w:val="21"/>
                      <w:highlight w:val="none"/>
                    </w:rPr>
                  </w:pPr>
                </w:p>
              </w:tc>
            </w:tr>
            <w:tr w14:paraId="355F82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11" w:type="dxa"/>
                  <w:tcBorders>
                    <w:top w:val="single" w:color="auto" w:sz="12" w:space="0"/>
                  </w:tcBorders>
                  <w:noWrap/>
                  <w:vAlign w:val="center"/>
                </w:tcPr>
                <w:p w14:paraId="764FDEDB">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SO₂</w:t>
                  </w:r>
                </w:p>
              </w:tc>
              <w:tc>
                <w:tcPr>
                  <w:tcW w:w="1873" w:type="dxa"/>
                  <w:tcBorders>
                    <w:top w:val="single" w:color="auto" w:sz="12" w:space="0"/>
                  </w:tcBorders>
                  <w:noWrap/>
                  <w:vAlign w:val="center"/>
                </w:tcPr>
                <w:p w14:paraId="59C26674">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年平均浓度</w:t>
                  </w:r>
                </w:p>
              </w:tc>
              <w:tc>
                <w:tcPr>
                  <w:tcW w:w="1431" w:type="dxa"/>
                  <w:tcBorders>
                    <w:top w:val="single" w:color="auto" w:sz="12" w:space="0"/>
                  </w:tcBorders>
                  <w:noWrap/>
                  <w:vAlign w:val="center"/>
                </w:tcPr>
                <w:p w14:paraId="0DF5E98D">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7</w:t>
                  </w:r>
                </w:p>
              </w:tc>
              <w:tc>
                <w:tcPr>
                  <w:tcW w:w="1391" w:type="dxa"/>
                  <w:tcBorders>
                    <w:top w:val="single" w:color="auto" w:sz="12" w:space="0"/>
                  </w:tcBorders>
                  <w:noWrap/>
                  <w:vAlign w:val="center"/>
                </w:tcPr>
                <w:p w14:paraId="362B6967">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60</w:t>
                  </w:r>
                </w:p>
              </w:tc>
              <w:tc>
                <w:tcPr>
                  <w:tcW w:w="892" w:type="dxa"/>
                  <w:tcBorders>
                    <w:top w:val="single" w:color="auto" w:sz="12" w:space="0"/>
                  </w:tcBorders>
                  <w:noWrap/>
                  <w:vAlign w:val="center"/>
                </w:tcPr>
                <w:p w14:paraId="0771D703">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11.7</w:t>
                  </w:r>
                </w:p>
              </w:tc>
              <w:tc>
                <w:tcPr>
                  <w:tcW w:w="938" w:type="dxa"/>
                  <w:tcBorders>
                    <w:top w:val="single" w:color="auto" w:sz="12" w:space="0"/>
                  </w:tcBorders>
                  <w:noWrap/>
                  <w:vAlign w:val="center"/>
                </w:tcPr>
                <w:p w14:paraId="2AA06BF8">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达标</w:t>
                  </w:r>
                </w:p>
              </w:tc>
            </w:tr>
            <w:tr w14:paraId="7BAF1B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1011" w:type="dxa"/>
                  <w:noWrap/>
                  <w:vAlign w:val="center"/>
                </w:tcPr>
                <w:p w14:paraId="713F2732">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NO₂</w:t>
                  </w:r>
                </w:p>
              </w:tc>
              <w:tc>
                <w:tcPr>
                  <w:tcW w:w="1873" w:type="dxa"/>
                  <w:noWrap/>
                  <w:vAlign w:val="center"/>
                </w:tcPr>
                <w:p w14:paraId="515F4113">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年平均浓度</w:t>
                  </w:r>
                </w:p>
              </w:tc>
              <w:tc>
                <w:tcPr>
                  <w:tcW w:w="1431" w:type="dxa"/>
                  <w:noWrap/>
                  <w:vAlign w:val="center"/>
                </w:tcPr>
                <w:p w14:paraId="56C4169D">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25</w:t>
                  </w:r>
                </w:p>
              </w:tc>
              <w:tc>
                <w:tcPr>
                  <w:tcW w:w="1391" w:type="dxa"/>
                  <w:noWrap/>
                  <w:vAlign w:val="center"/>
                </w:tcPr>
                <w:p w14:paraId="0949BD03">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40</w:t>
                  </w:r>
                </w:p>
              </w:tc>
              <w:tc>
                <w:tcPr>
                  <w:tcW w:w="892" w:type="dxa"/>
                  <w:noWrap/>
                  <w:vAlign w:val="center"/>
                </w:tcPr>
                <w:p w14:paraId="522C22C5">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62.5</w:t>
                  </w:r>
                </w:p>
              </w:tc>
              <w:tc>
                <w:tcPr>
                  <w:tcW w:w="938" w:type="dxa"/>
                  <w:noWrap/>
                  <w:vAlign w:val="center"/>
                </w:tcPr>
                <w:p w14:paraId="7BAF6CF1">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达标</w:t>
                  </w:r>
                </w:p>
              </w:tc>
            </w:tr>
            <w:tr w14:paraId="6D4E98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11" w:type="dxa"/>
                  <w:noWrap/>
                  <w:vAlign w:val="center"/>
                </w:tcPr>
                <w:p w14:paraId="52CED72A">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eastAsia="zh-CN"/>
                    </w:rPr>
                  </w:pPr>
                  <w:r>
                    <w:rPr>
                      <w:rFonts w:hint="default" w:ascii="Times New Roman" w:hAnsi="Times New Roman" w:eastAsia="宋体" w:cs="Times New Roman"/>
                      <w:i w:val="0"/>
                      <w:iCs w:val="0"/>
                      <w:caps w:val="0"/>
                      <w:color w:val="auto"/>
                      <w:spacing w:val="0"/>
                      <w:kern w:val="0"/>
                      <w:sz w:val="21"/>
                      <w:szCs w:val="21"/>
                      <w:lang w:val="en-US" w:eastAsia="zh-CN" w:bidi="ar"/>
                    </w:rPr>
                    <w:t>CO</w:t>
                  </w:r>
                </w:p>
              </w:tc>
              <w:tc>
                <w:tcPr>
                  <w:tcW w:w="1873" w:type="dxa"/>
                  <w:noWrap/>
                  <w:vAlign w:val="center"/>
                </w:tcPr>
                <w:p w14:paraId="1912E627">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年平均浓度</w:t>
                  </w:r>
                </w:p>
              </w:tc>
              <w:tc>
                <w:tcPr>
                  <w:tcW w:w="1431" w:type="dxa"/>
                  <w:noWrap/>
                  <w:vAlign w:val="center"/>
                </w:tcPr>
                <w:p w14:paraId="5663B6AA">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0.6mg/m³</w:t>
                  </w:r>
                </w:p>
              </w:tc>
              <w:tc>
                <w:tcPr>
                  <w:tcW w:w="1391" w:type="dxa"/>
                  <w:noWrap/>
                  <w:vAlign w:val="center"/>
                </w:tcPr>
                <w:p w14:paraId="7530016E">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4mg/m³</w:t>
                  </w:r>
                </w:p>
              </w:tc>
              <w:tc>
                <w:tcPr>
                  <w:tcW w:w="892" w:type="dxa"/>
                  <w:noWrap/>
                  <w:vAlign w:val="center"/>
                </w:tcPr>
                <w:p w14:paraId="35CEF7B5">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15.0</w:t>
                  </w:r>
                </w:p>
              </w:tc>
              <w:tc>
                <w:tcPr>
                  <w:tcW w:w="938" w:type="dxa"/>
                  <w:noWrap/>
                  <w:vAlign w:val="center"/>
                </w:tcPr>
                <w:p w14:paraId="030922FE">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达标</w:t>
                  </w:r>
                </w:p>
              </w:tc>
            </w:tr>
            <w:tr w14:paraId="478CDD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1011" w:type="dxa"/>
                  <w:noWrap/>
                  <w:vAlign w:val="center"/>
                </w:tcPr>
                <w:p w14:paraId="65061E24">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O₃</w:t>
                  </w:r>
                </w:p>
              </w:tc>
              <w:tc>
                <w:tcPr>
                  <w:tcW w:w="1873" w:type="dxa"/>
                  <w:noWrap/>
                  <w:vAlign w:val="center"/>
                </w:tcPr>
                <w:p w14:paraId="4E8E9319">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日最大8小时平均</w:t>
                  </w:r>
                </w:p>
              </w:tc>
              <w:tc>
                <w:tcPr>
                  <w:tcW w:w="1431" w:type="dxa"/>
                  <w:noWrap/>
                  <w:vAlign w:val="center"/>
                </w:tcPr>
                <w:p w14:paraId="3FDB3F4F">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90</w:t>
                  </w:r>
                </w:p>
              </w:tc>
              <w:tc>
                <w:tcPr>
                  <w:tcW w:w="1391" w:type="dxa"/>
                  <w:noWrap/>
                  <w:vAlign w:val="center"/>
                </w:tcPr>
                <w:p w14:paraId="0E76DDE9">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160</w:t>
                  </w:r>
                </w:p>
              </w:tc>
              <w:tc>
                <w:tcPr>
                  <w:tcW w:w="892" w:type="dxa"/>
                  <w:noWrap/>
                  <w:vAlign w:val="center"/>
                </w:tcPr>
                <w:p w14:paraId="34866B4E">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56.3</w:t>
                  </w:r>
                </w:p>
              </w:tc>
              <w:tc>
                <w:tcPr>
                  <w:tcW w:w="938" w:type="dxa"/>
                  <w:noWrap/>
                  <w:vAlign w:val="center"/>
                </w:tcPr>
                <w:p w14:paraId="44EC7A0B">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达标</w:t>
                  </w:r>
                </w:p>
              </w:tc>
            </w:tr>
            <w:tr w14:paraId="69ED8C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1011" w:type="dxa"/>
                  <w:noWrap/>
                  <w:vAlign w:val="center"/>
                </w:tcPr>
                <w:p w14:paraId="537E94D3">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PM₂.₅</w:t>
                  </w:r>
                </w:p>
              </w:tc>
              <w:tc>
                <w:tcPr>
                  <w:tcW w:w="1873" w:type="dxa"/>
                  <w:noWrap/>
                  <w:vAlign w:val="center"/>
                </w:tcPr>
                <w:p w14:paraId="6AB91561">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年平均浓度</w:t>
                  </w:r>
                </w:p>
              </w:tc>
              <w:tc>
                <w:tcPr>
                  <w:tcW w:w="1431" w:type="dxa"/>
                  <w:noWrap/>
                  <w:vAlign w:val="center"/>
                </w:tcPr>
                <w:p w14:paraId="4ABAA0B6">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37</w:t>
                  </w:r>
                </w:p>
              </w:tc>
              <w:tc>
                <w:tcPr>
                  <w:tcW w:w="1391" w:type="dxa"/>
                  <w:noWrap/>
                  <w:vAlign w:val="center"/>
                </w:tcPr>
                <w:p w14:paraId="4D27AD95">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30</w:t>
                  </w:r>
                </w:p>
              </w:tc>
              <w:tc>
                <w:tcPr>
                  <w:tcW w:w="892" w:type="dxa"/>
                  <w:noWrap/>
                  <w:vAlign w:val="center"/>
                </w:tcPr>
                <w:p w14:paraId="3C8784A4">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123.3</w:t>
                  </w:r>
                </w:p>
              </w:tc>
              <w:tc>
                <w:tcPr>
                  <w:tcW w:w="938" w:type="dxa"/>
                  <w:noWrap/>
                  <w:vAlign w:val="center"/>
                </w:tcPr>
                <w:p w14:paraId="15F235A4">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b/>
                      <w:bCs/>
                      <w:i w:val="0"/>
                      <w:iCs w:val="0"/>
                      <w:caps w:val="0"/>
                      <w:color w:val="auto"/>
                      <w:spacing w:val="0"/>
                      <w:kern w:val="0"/>
                      <w:sz w:val="21"/>
                      <w:szCs w:val="21"/>
                      <w:lang w:val="en-US" w:eastAsia="zh-CN" w:bidi="ar"/>
                    </w:rPr>
                    <w:t>超标</w:t>
                  </w:r>
                </w:p>
              </w:tc>
            </w:tr>
            <w:tr w14:paraId="732848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1011" w:type="dxa"/>
                  <w:noWrap/>
                  <w:vAlign w:val="center"/>
                </w:tcPr>
                <w:p w14:paraId="61CEC28C">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PM₁₀</w:t>
                  </w:r>
                </w:p>
              </w:tc>
              <w:tc>
                <w:tcPr>
                  <w:tcW w:w="1873" w:type="dxa"/>
                  <w:noWrap/>
                  <w:vAlign w:val="center"/>
                </w:tcPr>
                <w:p w14:paraId="5B3B89F7">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aps w:val="0"/>
                      <w:color w:val="auto"/>
                      <w:spacing w:val="0"/>
                      <w:kern w:val="0"/>
                      <w:sz w:val="21"/>
                      <w:szCs w:val="21"/>
                      <w:lang w:val="en-US" w:eastAsia="zh-CN" w:bidi="ar"/>
                    </w:rPr>
                    <w:t>年平均浓度</w:t>
                  </w:r>
                </w:p>
              </w:tc>
              <w:tc>
                <w:tcPr>
                  <w:tcW w:w="1431" w:type="dxa"/>
                  <w:noWrap/>
                  <w:vAlign w:val="center"/>
                </w:tcPr>
                <w:p w14:paraId="4CD281C1">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71</w:t>
                  </w:r>
                </w:p>
              </w:tc>
              <w:tc>
                <w:tcPr>
                  <w:tcW w:w="1391" w:type="dxa"/>
                  <w:noWrap/>
                  <w:vAlign w:val="center"/>
                </w:tcPr>
                <w:p w14:paraId="62E5B175">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60</w:t>
                  </w:r>
                </w:p>
              </w:tc>
              <w:tc>
                <w:tcPr>
                  <w:tcW w:w="892" w:type="dxa"/>
                  <w:noWrap/>
                  <w:vAlign w:val="center"/>
                </w:tcPr>
                <w:p w14:paraId="0DFA5833">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i w:val="0"/>
                      <w:iCs w:val="0"/>
                      <w:caps w:val="0"/>
                      <w:color w:val="auto"/>
                      <w:spacing w:val="0"/>
                      <w:kern w:val="0"/>
                      <w:sz w:val="21"/>
                      <w:szCs w:val="21"/>
                      <w:lang w:val="en-US" w:eastAsia="zh-CN" w:bidi="ar"/>
                    </w:rPr>
                    <w:t>118.3</w:t>
                  </w:r>
                </w:p>
              </w:tc>
              <w:tc>
                <w:tcPr>
                  <w:tcW w:w="938" w:type="dxa"/>
                  <w:noWrap/>
                  <w:vAlign w:val="center"/>
                </w:tcPr>
                <w:p w14:paraId="2730FE9E">
                  <w:pPr>
                    <w:keepNext w:val="0"/>
                    <w:keepLines w:val="0"/>
                    <w:widowControl/>
                    <w:suppressLineNumbers w:val="0"/>
                    <w:spacing w:line="240" w:lineRule="auto"/>
                    <w:jc w:val="center"/>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b/>
                      <w:bCs/>
                      <w:i w:val="0"/>
                      <w:iCs w:val="0"/>
                      <w:caps w:val="0"/>
                      <w:color w:val="auto"/>
                      <w:spacing w:val="0"/>
                      <w:kern w:val="0"/>
                      <w:sz w:val="21"/>
                      <w:szCs w:val="21"/>
                      <w:lang w:val="en-US" w:eastAsia="zh-CN" w:bidi="ar"/>
                    </w:rPr>
                    <w:t>超标</w:t>
                  </w:r>
                </w:p>
              </w:tc>
            </w:tr>
          </w:tbl>
          <w:p w14:paraId="77287721">
            <w:pPr>
              <w:pageBreakBefore w:val="0"/>
              <w:shd w:val="clear"/>
              <w:kinsoku/>
              <w:topLinePunct w:val="0"/>
              <w:bidi w:val="0"/>
              <w:spacing w:beforeAutospacing="0" w:afterAutospacing="0" w:line="360" w:lineRule="auto"/>
              <w:ind w:left="0" w:leftChars="0" w:right="0" w:rightChars="0" w:firstLine="480"/>
              <w:jc w:val="both"/>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rPr>
              <w:t>根据表3-1对基本污染物的年评价指标的分析结果，本项目所在区域SO</w:t>
            </w:r>
            <w:r>
              <w:rPr>
                <w:rFonts w:hint="default" w:ascii="Times New Roman" w:hAnsi="Times New Roman" w:eastAsia="宋体" w:cs="Times New Roman"/>
                <w:color w:val="auto"/>
                <w:spacing w:val="0"/>
                <w:position w:val="0"/>
                <w:sz w:val="24"/>
                <w:szCs w:val="24"/>
                <w:highlight w:val="none"/>
                <w:vertAlign w:val="subscript"/>
              </w:rPr>
              <w:t>2</w:t>
            </w:r>
            <w:r>
              <w:rPr>
                <w:rFonts w:hint="default" w:ascii="Times New Roman" w:hAnsi="Times New Roman" w:eastAsia="宋体" w:cs="Times New Roman"/>
                <w:color w:val="auto"/>
                <w:spacing w:val="0"/>
                <w:position w:val="0"/>
                <w:sz w:val="24"/>
                <w:szCs w:val="24"/>
                <w:highlight w:val="none"/>
              </w:rPr>
              <w:t>、NO</w:t>
            </w:r>
            <w:r>
              <w:rPr>
                <w:rFonts w:hint="default" w:ascii="Times New Roman" w:hAnsi="Times New Roman" w:eastAsia="宋体" w:cs="Times New Roman"/>
                <w:color w:val="auto"/>
                <w:spacing w:val="0"/>
                <w:position w:val="0"/>
                <w:sz w:val="24"/>
                <w:szCs w:val="24"/>
                <w:highlight w:val="none"/>
                <w:vertAlign w:val="subscript"/>
              </w:rPr>
              <w:t>2</w:t>
            </w:r>
            <w:r>
              <w:rPr>
                <w:rFonts w:hint="default" w:ascii="Times New Roman" w:hAnsi="Times New Roman" w:eastAsia="宋体" w:cs="Times New Roman"/>
                <w:color w:val="auto"/>
                <w:spacing w:val="0"/>
                <w:position w:val="0"/>
                <w:sz w:val="24"/>
                <w:szCs w:val="24"/>
                <w:highlight w:val="none"/>
              </w:rPr>
              <w:t>、CO年评价和O</w:t>
            </w:r>
            <w:r>
              <w:rPr>
                <w:rFonts w:hint="default" w:ascii="Times New Roman" w:hAnsi="Times New Roman" w:eastAsia="宋体" w:cs="Times New Roman"/>
                <w:color w:val="auto"/>
                <w:spacing w:val="0"/>
                <w:position w:val="0"/>
                <w:sz w:val="24"/>
                <w:szCs w:val="24"/>
                <w:highlight w:val="none"/>
                <w:vertAlign w:val="subscript"/>
              </w:rPr>
              <w:t>3</w:t>
            </w:r>
            <w:r>
              <w:rPr>
                <w:rFonts w:hint="default" w:ascii="Times New Roman" w:hAnsi="Times New Roman" w:eastAsia="宋体" w:cs="Times New Roman"/>
                <w:color w:val="auto"/>
                <w:spacing w:val="0"/>
                <w:position w:val="0"/>
                <w:sz w:val="24"/>
                <w:szCs w:val="24"/>
                <w:highlight w:val="none"/>
                <w:lang w:val="en-US" w:eastAsia="zh-CN"/>
              </w:rPr>
              <w:t>日最大8小时平均</w:t>
            </w:r>
            <w:r>
              <w:rPr>
                <w:rFonts w:hint="default" w:ascii="Times New Roman" w:hAnsi="Times New Roman" w:eastAsia="宋体" w:cs="Times New Roman"/>
                <w:color w:val="auto"/>
                <w:spacing w:val="0"/>
                <w:position w:val="0"/>
                <w:sz w:val="24"/>
                <w:szCs w:val="24"/>
                <w:highlight w:val="none"/>
              </w:rPr>
              <w:t>的指标为达标；PM</w:t>
            </w:r>
            <w:r>
              <w:rPr>
                <w:rFonts w:hint="default" w:ascii="Times New Roman" w:hAnsi="Times New Roman" w:eastAsia="宋体" w:cs="Times New Roman"/>
                <w:color w:val="auto"/>
                <w:spacing w:val="0"/>
                <w:position w:val="0"/>
                <w:sz w:val="24"/>
                <w:szCs w:val="24"/>
                <w:highlight w:val="none"/>
                <w:vertAlign w:val="subscript"/>
              </w:rPr>
              <w:t>2.5</w:t>
            </w:r>
            <w:r>
              <w:rPr>
                <w:rFonts w:hint="default" w:ascii="Times New Roman" w:hAnsi="Times New Roman" w:eastAsia="宋体" w:cs="Times New Roman"/>
                <w:color w:val="auto"/>
                <w:spacing w:val="0"/>
                <w:position w:val="0"/>
                <w:sz w:val="24"/>
                <w:szCs w:val="24"/>
                <w:highlight w:val="none"/>
              </w:rPr>
              <w:t>、PM</w:t>
            </w:r>
            <w:r>
              <w:rPr>
                <w:rFonts w:hint="default" w:ascii="Times New Roman" w:hAnsi="Times New Roman" w:eastAsia="宋体" w:cs="Times New Roman"/>
                <w:color w:val="auto"/>
                <w:spacing w:val="0"/>
                <w:position w:val="0"/>
                <w:sz w:val="24"/>
                <w:szCs w:val="24"/>
                <w:highlight w:val="none"/>
                <w:vertAlign w:val="subscript"/>
              </w:rPr>
              <w:t>10</w:t>
            </w:r>
            <w:r>
              <w:rPr>
                <w:rFonts w:hint="default" w:ascii="Times New Roman" w:hAnsi="Times New Roman" w:eastAsia="宋体" w:cs="Times New Roman"/>
                <w:color w:val="auto"/>
                <w:spacing w:val="0"/>
                <w:position w:val="0"/>
                <w:sz w:val="24"/>
                <w:szCs w:val="24"/>
                <w:highlight w:val="none"/>
              </w:rPr>
              <w:t>的年评价指标均为超标。</w:t>
            </w:r>
            <w:r>
              <w:rPr>
                <w:rFonts w:hint="default" w:ascii="Times New Roman" w:hAnsi="Times New Roman" w:eastAsia="宋体" w:cs="Times New Roman"/>
                <w:color w:val="auto"/>
                <w:spacing w:val="0"/>
                <w:position w:val="0"/>
                <w:sz w:val="24"/>
                <w:szCs w:val="24"/>
                <w:highlight w:val="none"/>
                <w:lang w:val="en-US" w:eastAsia="zh-CN"/>
              </w:rPr>
              <w:t>判定项目所在区域为不达标区。</w:t>
            </w:r>
          </w:p>
          <w:p w14:paraId="3BED5E33">
            <w:pPr>
              <w:pageBreakBefore w:val="0"/>
              <w:shd w:val="clear"/>
              <w:kinsoku/>
              <w:topLinePunct w:val="0"/>
              <w:bidi w:val="0"/>
              <w:spacing w:beforeAutospacing="0" w:afterAutospacing="0" w:line="360" w:lineRule="auto"/>
              <w:ind w:left="0" w:leftChars="0" w:right="0" w:rightChars="0" w:firstLine="0" w:firstLineChars="0"/>
              <w:outlineLvl w:val="2"/>
              <w:rPr>
                <w:rFonts w:hint="default" w:ascii="Times New Roman" w:hAnsi="Times New Roman" w:eastAsia="宋体" w:cs="Times New Roman"/>
                <w:b/>
                <w:color w:val="auto"/>
                <w:spacing w:val="0"/>
                <w:position w:val="0"/>
                <w:sz w:val="24"/>
                <w:highlight w:val="none"/>
              </w:rPr>
            </w:pPr>
            <w:r>
              <w:rPr>
                <w:rFonts w:hint="default" w:ascii="Times New Roman" w:hAnsi="Times New Roman" w:eastAsia="宋体" w:cs="Times New Roman"/>
                <w:b/>
                <w:bCs/>
                <w:color w:val="auto"/>
                <w:spacing w:val="0"/>
                <w:position w:val="0"/>
                <w:sz w:val="24"/>
                <w:szCs w:val="24"/>
                <w:highlight w:val="none"/>
              </w:rPr>
              <w:t>1.2其他污染物补充监测</w:t>
            </w:r>
          </w:p>
          <w:p w14:paraId="18FB6DBA">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b w:val="0"/>
                <w:bCs w:val="0"/>
                <w:color w:val="auto"/>
                <w:spacing w:val="0"/>
                <w:position w:val="0"/>
                <w:sz w:val="24"/>
                <w:highlight w:val="none"/>
                <w:lang w:val="en-US" w:eastAsia="zh-CN"/>
              </w:rPr>
            </w:pPr>
            <w:r>
              <w:rPr>
                <w:rFonts w:hint="default" w:ascii="Times New Roman" w:hAnsi="Times New Roman" w:cs="Times New Roman"/>
                <w:b w:val="0"/>
                <w:bCs w:val="0"/>
                <w:color w:val="auto"/>
                <w:spacing w:val="0"/>
                <w:position w:val="0"/>
                <w:sz w:val="24"/>
                <w:highlight w:val="none"/>
                <w:lang w:val="en-US" w:eastAsia="zh-CN"/>
              </w:rPr>
              <w:t>本项目涉及的其他大气污染物评价因子为TSP（总悬浮颗粒物）和非甲烷总烃，根据《建设项目环境影响报告表编制技术指南（污染影响类）》（试行）中相关规定，本次评价TSP及非甲烷总烃现状监测数据均引用《新疆众财管业有限公司建设年产6000吨PE管材、5000吨PE母粒生产线项目》于2025年2月17日～2月23日的监测数据。监测报告见附件</w:t>
            </w:r>
            <w:r>
              <w:rPr>
                <w:rFonts w:hint="eastAsia" w:ascii="Times New Roman" w:hAnsi="Times New Roman" w:cs="Times New Roman"/>
                <w:b w:val="0"/>
                <w:bCs w:val="0"/>
                <w:color w:val="auto"/>
                <w:spacing w:val="0"/>
                <w:position w:val="0"/>
                <w:sz w:val="24"/>
                <w:highlight w:val="none"/>
                <w:lang w:val="en-US" w:eastAsia="zh-CN"/>
              </w:rPr>
              <w:t>4</w:t>
            </w:r>
            <w:r>
              <w:rPr>
                <w:rFonts w:hint="default" w:ascii="Times New Roman" w:hAnsi="Times New Roman" w:cs="Times New Roman"/>
                <w:b w:val="0"/>
                <w:bCs w:val="0"/>
                <w:color w:val="auto"/>
                <w:spacing w:val="0"/>
                <w:position w:val="0"/>
                <w:sz w:val="24"/>
                <w:highlight w:val="none"/>
                <w:lang w:val="en-US" w:eastAsia="zh-CN"/>
              </w:rPr>
              <w:t>。</w:t>
            </w:r>
          </w:p>
          <w:p w14:paraId="016E1A47">
            <w:pPr>
              <w:keepNext w:val="0"/>
              <w:keepLines w:val="0"/>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rPr>
                <w:rFonts w:hint="eastAsia" w:ascii="Times New Roman" w:hAnsi="Times New Roman" w:cs="Times New Roman"/>
                <w:b/>
                <w:bCs/>
                <w:color w:val="auto"/>
                <w:spacing w:val="0"/>
                <w:position w:val="0"/>
                <w:sz w:val="21"/>
                <w:szCs w:val="18"/>
                <w:highlight w:val="none"/>
                <w:lang w:val="en-US" w:eastAsia="zh-CN"/>
              </w:rPr>
            </w:pPr>
            <w:r>
              <w:rPr>
                <w:rFonts w:hint="default" w:ascii="Times New Roman" w:hAnsi="Times New Roman" w:eastAsia="宋体" w:cs="Times New Roman"/>
                <w:b/>
                <w:bCs/>
                <w:color w:val="auto"/>
                <w:spacing w:val="0"/>
                <w:position w:val="0"/>
                <w:sz w:val="24"/>
                <w:szCs w:val="21"/>
                <w:highlight w:val="none"/>
                <w:lang w:val="en-US" w:eastAsia="zh-CN" w:bidi="ar-SA"/>
              </w:rPr>
              <w:t>（1）监测点位基本信息</w:t>
            </w:r>
          </w:p>
          <w:p w14:paraId="6B3534A0">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lang w:val="en-US" w:eastAsia="zh-CN"/>
              </w:rPr>
            </w:pPr>
            <w:r>
              <w:rPr>
                <w:rFonts w:hint="eastAsia" w:ascii="Times New Roman" w:hAnsi="Times New Roman" w:cs="Times New Roman"/>
                <w:b/>
                <w:bCs/>
                <w:color w:val="auto"/>
                <w:spacing w:val="0"/>
                <w:position w:val="0"/>
                <w:sz w:val="21"/>
                <w:szCs w:val="18"/>
                <w:highlight w:val="none"/>
                <w:lang w:val="en-US" w:eastAsia="zh-CN"/>
              </w:rPr>
              <w:t>表3-2   引用数据</w:t>
            </w:r>
            <w:r>
              <w:rPr>
                <w:rFonts w:hint="default" w:ascii="Times New Roman" w:hAnsi="Times New Roman" w:cs="Times New Roman"/>
                <w:b/>
                <w:bCs/>
                <w:color w:val="auto"/>
                <w:spacing w:val="0"/>
                <w:position w:val="0"/>
                <w:sz w:val="21"/>
                <w:szCs w:val="18"/>
                <w:highlight w:val="none"/>
                <w:lang w:val="en-US" w:eastAsia="zh-CN"/>
              </w:rPr>
              <w:t>监测点位基本信息</w:t>
            </w:r>
          </w:p>
          <w:tbl>
            <w:tblPr>
              <w:tblStyle w:val="25"/>
              <w:tblW w:w="4948" w:type="pct"/>
              <w:jc w:val="center"/>
              <w:tblBorders>
                <w:top w:val="single" w:color="auto" w:sz="12" w:space="0"/>
                <w:left w:val="none" w:color="auto" w:sz="0" w:space="0"/>
                <w:bottom w:val="single" w:color="auto" w:sz="12" w:space="0"/>
                <w:right w:val="none" w:color="auto" w:sz="0" w:space="0"/>
                <w:insideH w:val="single" w:color="auto" w:sz="12" w:space="0"/>
                <w:insideV w:val="single" w:color="auto" w:sz="4" w:space="0"/>
              </w:tblBorders>
              <w:shd w:val="clear" w:color="auto" w:fill="auto"/>
              <w:tblLayout w:type="fixed"/>
              <w:tblCellMar>
                <w:top w:w="15" w:type="dxa"/>
                <w:left w:w="15" w:type="dxa"/>
                <w:bottom w:w="15" w:type="dxa"/>
                <w:right w:w="15" w:type="dxa"/>
              </w:tblCellMar>
            </w:tblPr>
            <w:tblGrid>
              <w:gridCol w:w="1017"/>
              <w:gridCol w:w="1934"/>
              <w:gridCol w:w="1113"/>
              <w:gridCol w:w="1113"/>
              <w:gridCol w:w="1068"/>
              <w:gridCol w:w="994"/>
            </w:tblGrid>
            <w:tr w14:paraId="086CD2BF">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shd w:val="clear" w:color="auto" w:fill="auto"/>
                <w:tblCellMar>
                  <w:top w:w="15" w:type="dxa"/>
                  <w:left w:w="15" w:type="dxa"/>
                  <w:bottom w:w="15" w:type="dxa"/>
                  <w:right w:w="15" w:type="dxa"/>
                </w:tblCellMar>
              </w:tblPrEx>
              <w:trPr>
                <w:trHeight w:val="23" w:hRule="atLeast"/>
                <w:tblHeader/>
                <w:jc w:val="center"/>
              </w:trPr>
              <w:tc>
                <w:tcPr>
                  <w:tcW w:w="1048" w:type="dxa"/>
                  <w:tcBorders>
                    <w:tl2br w:val="nil"/>
                    <w:tr2bl w:val="nil"/>
                  </w:tcBorders>
                  <w:shd w:val="clear" w:color="auto" w:fill="auto"/>
                  <w:vAlign w:val="center"/>
                </w:tcPr>
                <w:p w14:paraId="4B87730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监测点位</w:t>
                  </w:r>
                </w:p>
              </w:tc>
              <w:tc>
                <w:tcPr>
                  <w:tcW w:w="1993" w:type="dxa"/>
                  <w:tcBorders>
                    <w:tl2br w:val="nil"/>
                    <w:tr2bl w:val="nil"/>
                  </w:tcBorders>
                  <w:shd w:val="clear" w:color="auto" w:fill="auto"/>
                  <w:vAlign w:val="center"/>
                </w:tcPr>
                <w:p w14:paraId="24922783">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监测点坐标</w:t>
                  </w:r>
                </w:p>
              </w:tc>
              <w:tc>
                <w:tcPr>
                  <w:tcW w:w="1147" w:type="dxa"/>
                  <w:tcBorders>
                    <w:tl2br w:val="nil"/>
                    <w:tr2bl w:val="nil"/>
                  </w:tcBorders>
                  <w:shd w:val="clear" w:color="auto" w:fill="auto"/>
                  <w:vAlign w:val="center"/>
                </w:tcPr>
                <w:p w14:paraId="790B4642">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监测因子</w:t>
                  </w:r>
                </w:p>
              </w:tc>
              <w:tc>
                <w:tcPr>
                  <w:tcW w:w="1147" w:type="dxa"/>
                  <w:tcBorders>
                    <w:tl2br w:val="nil"/>
                    <w:tr2bl w:val="nil"/>
                  </w:tcBorders>
                  <w:shd w:val="clear" w:color="auto" w:fill="auto"/>
                  <w:vAlign w:val="center"/>
                </w:tcPr>
                <w:p w14:paraId="3A1DCC5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监测时段</w:t>
                  </w:r>
                </w:p>
              </w:tc>
              <w:tc>
                <w:tcPr>
                  <w:tcW w:w="1101" w:type="dxa"/>
                  <w:tcBorders>
                    <w:tl2br w:val="nil"/>
                    <w:tr2bl w:val="nil"/>
                  </w:tcBorders>
                  <w:shd w:val="clear" w:color="auto" w:fill="auto"/>
                  <w:vAlign w:val="center"/>
                </w:tcPr>
                <w:p w14:paraId="2966B5F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相对本项目方位</w:t>
                  </w:r>
                </w:p>
              </w:tc>
              <w:tc>
                <w:tcPr>
                  <w:tcW w:w="1024" w:type="dxa"/>
                  <w:tcBorders>
                    <w:tl2br w:val="nil"/>
                    <w:tr2bl w:val="nil"/>
                  </w:tcBorders>
                  <w:shd w:val="clear" w:color="auto" w:fill="auto"/>
                  <w:vAlign w:val="center"/>
                </w:tcPr>
                <w:p w14:paraId="132E9855">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相对本项目距离</w:t>
                  </w:r>
                </w:p>
              </w:tc>
            </w:tr>
            <w:tr w14:paraId="4CCE8C87">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48" w:type="dxa"/>
                  <w:tcBorders>
                    <w:tl2br w:val="nil"/>
                    <w:tr2bl w:val="nil"/>
                  </w:tcBorders>
                  <w:shd w:val="clear" w:color="auto" w:fill="auto"/>
                  <w:vAlign w:val="center"/>
                </w:tcPr>
                <w:p w14:paraId="0714110A">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1#</w:t>
                  </w:r>
                </w:p>
              </w:tc>
              <w:tc>
                <w:tcPr>
                  <w:tcW w:w="1993" w:type="dxa"/>
                  <w:tcBorders>
                    <w:tl2br w:val="nil"/>
                    <w:tr2bl w:val="nil"/>
                  </w:tcBorders>
                  <w:shd w:val="clear" w:color="auto" w:fill="auto"/>
                  <w:vAlign w:val="center"/>
                </w:tcPr>
                <w:p w14:paraId="12CB5E6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N：44°09′55.4870″</w:t>
                  </w:r>
                </w:p>
                <w:p w14:paraId="5F8F7058">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E：87°50′31.7511″</w:t>
                  </w:r>
                </w:p>
              </w:tc>
              <w:tc>
                <w:tcPr>
                  <w:tcW w:w="1147" w:type="dxa"/>
                  <w:tcBorders>
                    <w:tl2br w:val="nil"/>
                    <w:tr2bl w:val="nil"/>
                  </w:tcBorders>
                  <w:shd w:val="clear" w:color="auto" w:fill="auto"/>
                  <w:vAlign w:val="center"/>
                </w:tcPr>
                <w:p w14:paraId="4A4ED426">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TSP、</w:t>
                  </w:r>
                </w:p>
                <w:p w14:paraId="6B6CD83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非甲烷总烃</w:t>
                  </w:r>
                </w:p>
              </w:tc>
              <w:tc>
                <w:tcPr>
                  <w:tcW w:w="1147" w:type="dxa"/>
                  <w:tcBorders>
                    <w:tl2br w:val="nil"/>
                    <w:tr2bl w:val="nil"/>
                  </w:tcBorders>
                  <w:shd w:val="clear" w:color="auto" w:fill="auto"/>
                  <w:vAlign w:val="center"/>
                </w:tcPr>
                <w:p w14:paraId="543C93D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2025.2.17-2.23</w:t>
                  </w:r>
                </w:p>
              </w:tc>
              <w:tc>
                <w:tcPr>
                  <w:tcW w:w="1101" w:type="dxa"/>
                  <w:tcBorders>
                    <w:tl2br w:val="nil"/>
                    <w:tr2bl w:val="nil"/>
                  </w:tcBorders>
                  <w:shd w:val="clear" w:color="auto" w:fill="auto"/>
                  <w:vAlign w:val="center"/>
                </w:tcPr>
                <w:p w14:paraId="3EA64D75">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东北侧</w:t>
                  </w:r>
                </w:p>
              </w:tc>
              <w:tc>
                <w:tcPr>
                  <w:tcW w:w="1024" w:type="dxa"/>
                  <w:tcBorders>
                    <w:tl2br w:val="nil"/>
                    <w:tr2bl w:val="nil"/>
                  </w:tcBorders>
                  <w:shd w:val="clear" w:color="auto" w:fill="auto"/>
                  <w:vAlign w:val="center"/>
                </w:tcPr>
                <w:p w14:paraId="3631C593">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0"/>
                      <w:position w:val="0"/>
                      <w:sz w:val="21"/>
                      <w:szCs w:val="18"/>
                      <w:highlight w:val="none"/>
                      <w:lang w:val="en-US" w:eastAsia="zh-CN"/>
                    </w:rPr>
                  </w:pPr>
                  <w:r>
                    <w:rPr>
                      <w:rFonts w:hint="default" w:ascii="Times New Roman" w:hAnsi="Times New Roman" w:cs="Times New Roman"/>
                      <w:b w:val="0"/>
                      <w:bCs w:val="0"/>
                      <w:color w:val="auto"/>
                      <w:spacing w:val="0"/>
                      <w:position w:val="0"/>
                      <w:sz w:val="21"/>
                      <w:szCs w:val="18"/>
                      <w:highlight w:val="none"/>
                      <w:lang w:val="en-US" w:eastAsia="zh-CN"/>
                    </w:rPr>
                    <w:t>约903m</w:t>
                  </w:r>
                </w:p>
              </w:tc>
            </w:tr>
          </w:tbl>
          <w:p w14:paraId="43C6249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val="0"/>
                <w:bCs w:val="0"/>
                <w:color w:val="auto"/>
                <w:spacing w:val="0"/>
                <w:position w:val="0"/>
                <w:sz w:val="24"/>
                <w:szCs w:val="21"/>
                <w:highlight w:val="none"/>
                <w:lang w:val="en-US" w:eastAsia="zh-CN" w:bidi="ar-SA"/>
              </w:rPr>
            </w:pPr>
            <w:r>
              <w:rPr>
                <w:rFonts w:hint="default" w:ascii="Times New Roman" w:hAnsi="Times New Roman" w:eastAsia="宋体" w:cs="Times New Roman"/>
                <w:b/>
                <w:bCs/>
                <w:color w:val="auto"/>
                <w:spacing w:val="0"/>
                <w:position w:val="0"/>
                <w:sz w:val="24"/>
                <w:szCs w:val="21"/>
                <w:highlight w:val="none"/>
                <w:lang w:val="en-US" w:eastAsia="zh-CN" w:bidi="ar-SA"/>
              </w:rPr>
              <w:t>（2）监测项目及分析方法</w:t>
            </w:r>
          </w:p>
          <w:p w14:paraId="1AF1542C">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b w:val="0"/>
                <w:bCs w:val="0"/>
                <w:color w:val="auto"/>
                <w:spacing w:val="0"/>
                <w:position w:val="0"/>
                <w:sz w:val="24"/>
                <w:szCs w:val="21"/>
                <w:highlight w:val="none"/>
                <w:lang w:val="en-US" w:eastAsia="zh-CN" w:bidi="ar-SA"/>
              </w:rPr>
              <w:t>各项目的采样及分析方法均按照国家环</w:t>
            </w:r>
            <w:r>
              <w:rPr>
                <w:rFonts w:hint="default" w:ascii="Times New Roman" w:hAnsi="Times New Roman" w:eastAsia="宋体" w:cs="Times New Roman"/>
                <w:color w:val="auto"/>
                <w:spacing w:val="0"/>
                <w:position w:val="0"/>
                <w:sz w:val="24"/>
                <w:highlight w:val="none"/>
              </w:rPr>
              <w:t>保局颁布的《空气和废气监测分析方法</w:t>
            </w:r>
            <w:r>
              <w:rPr>
                <w:rFonts w:hint="default" w:ascii="Times New Roman" w:hAnsi="Times New Roman" w:cs="Times New Roman"/>
                <w:color w:val="auto"/>
                <w:spacing w:val="0"/>
                <w:position w:val="0"/>
                <w:sz w:val="24"/>
                <w:highlight w:val="none"/>
                <w:lang w:eastAsia="zh-CN"/>
              </w:rPr>
              <w:t>》《</w:t>
            </w:r>
            <w:r>
              <w:rPr>
                <w:rFonts w:hint="default" w:ascii="Times New Roman" w:hAnsi="Times New Roman" w:eastAsia="宋体" w:cs="Times New Roman"/>
                <w:color w:val="auto"/>
                <w:spacing w:val="0"/>
                <w:position w:val="0"/>
                <w:sz w:val="24"/>
                <w:highlight w:val="none"/>
              </w:rPr>
              <w:t>环境监测技术规范》中的有关规定执行。</w:t>
            </w:r>
          </w:p>
          <w:p w14:paraId="0086E2F6">
            <w:pPr>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表</w:t>
            </w:r>
            <w:r>
              <w:rPr>
                <w:rFonts w:hint="default" w:ascii="Times New Roman" w:hAnsi="Times New Roman" w:eastAsia="宋体" w:cs="Times New Roman"/>
                <w:b/>
                <w:bCs/>
                <w:color w:val="auto"/>
                <w:spacing w:val="0"/>
                <w:position w:val="0"/>
                <w:sz w:val="21"/>
                <w:szCs w:val="21"/>
                <w:highlight w:val="none"/>
                <w:lang w:val="en-US" w:eastAsia="zh-CN"/>
              </w:rPr>
              <w:t>3-3</w:t>
            </w:r>
            <w:r>
              <w:rPr>
                <w:rFonts w:hint="default" w:ascii="Times New Roman" w:hAnsi="Times New Roman" w:eastAsia="宋体" w:cs="Times New Roman"/>
                <w:b/>
                <w:bCs/>
                <w:color w:val="auto"/>
                <w:spacing w:val="0"/>
                <w:position w:val="0"/>
                <w:sz w:val="21"/>
                <w:szCs w:val="21"/>
                <w:highlight w:val="none"/>
              </w:rPr>
              <w:t xml:space="preserve">     大气监测采样及分析方法</w:t>
            </w:r>
          </w:p>
          <w:tbl>
            <w:tblPr>
              <w:tblStyle w:val="26"/>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165"/>
              <w:gridCol w:w="3742"/>
              <w:gridCol w:w="1785"/>
            </w:tblGrid>
            <w:tr w14:paraId="57DDA3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423" w:type="pct"/>
                  <w:tcBorders>
                    <w:bottom w:val="single" w:color="auto" w:sz="12" w:space="0"/>
                  </w:tcBorders>
                  <w:noWrap w:val="0"/>
                  <w:vAlign w:val="center"/>
                </w:tcPr>
                <w:p w14:paraId="276F53BD">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color w:val="auto"/>
                      <w:spacing w:val="0"/>
                      <w:position w:val="0"/>
                      <w:sz w:val="21"/>
                      <w:szCs w:val="21"/>
                      <w:highlight w:val="none"/>
                    </w:rPr>
                  </w:pPr>
                  <w:r>
                    <w:rPr>
                      <w:rFonts w:hint="default" w:ascii="Times New Roman" w:hAnsi="Times New Roman" w:eastAsia="宋体" w:cs="Times New Roman"/>
                      <w:b/>
                      <w:color w:val="auto"/>
                      <w:spacing w:val="0"/>
                      <w:position w:val="0"/>
                      <w:sz w:val="21"/>
                      <w:szCs w:val="21"/>
                      <w:highlight w:val="none"/>
                    </w:rPr>
                    <w:t>编号</w:t>
                  </w:r>
                </w:p>
              </w:tc>
              <w:tc>
                <w:tcPr>
                  <w:tcW w:w="796" w:type="pct"/>
                  <w:tcBorders>
                    <w:bottom w:val="single" w:color="auto" w:sz="12" w:space="0"/>
                  </w:tcBorders>
                  <w:noWrap w:val="0"/>
                  <w:vAlign w:val="center"/>
                </w:tcPr>
                <w:p w14:paraId="6E534FC6">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color w:val="auto"/>
                      <w:spacing w:val="0"/>
                      <w:position w:val="0"/>
                      <w:sz w:val="21"/>
                      <w:szCs w:val="21"/>
                      <w:highlight w:val="none"/>
                    </w:rPr>
                  </w:pPr>
                  <w:r>
                    <w:rPr>
                      <w:rFonts w:hint="default" w:ascii="Times New Roman" w:hAnsi="Times New Roman" w:eastAsia="宋体" w:cs="Times New Roman"/>
                      <w:b/>
                      <w:color w:val="auto"/>
                      <w:spacing w:val="0"/>
                      <w:position w:val="0"/>
                      <w:sz w:val="21"/>
                      <w:szCs w:val="21"/>
                      <w:highlight w:val="none"/>
                    </w:rPr>
                    <w:t>项目名称</w:t>
                  </w:r>
                </w:p>
              </w:tc>
              <w:tc>
                <w:tcPr>
                  <w:tcW w:w="2559" w:type="pct"/>
                  <w:tcBorders>
                    <w:bottom w:val="single" w:color="auto" w:sz="12" w:space="0"/>
                  </w:tcBorders>
                  <w:noWrap w:val="0"/>
                  <w:vAlign w:val="center"/>
                </w:tcPr>
                <w:p w14:paraId="565316AD">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color w:val="auto"/>
                      <w:spacing w:val="0"/>
                      <w:position w:val="0"/>
                      <w:sz w:val="21"/>
                      <w:szCs w:val="21"/>
                      <w:highlight w:val="none"/>
                    </w:rPr>
                  </w:pPr>
                  <w:r>
                    <w:rPr>
                      <w:rFonts w:hint="default" w:ascii="Times New Roman" w:hAnsi="Times New Roman" w:eastAsia="宋体" w:cs="Times New Roman"/>
                      <w:b/>
                      <w:color w:val="auto"/>
                      <w:spacing w:val="0"/>
                      <w:position w:val="0"/>
                      <w:sz w:val="21"/>
                      <w:szCs w:val="21"/>
                      <w:highlight w:val="none"/>
                    </w:rPr>
                    <w:t>分析方法</w:t>
                  </w:r>
                </w:p>
              </w:tc>
              <w:tc>
                <w:tcPr>
                  <w:tcW w:w="1220" w:type="pct"/>
                  <w:tcBorders>
                    <w:bottom w:val="single" w:color="auto" w:sz="12" w:space="0"/>
                  </w:tcBorders>
                  <w:noWrap w:val="0"/>
                  <w:vAlign w:val="center"/>
                </w:tcPr>
                <w:p w14:paraId="1F63DD8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color w:val="auto"/>
                      <w:spacing w:val="0"/>
                      <w:position w:val="0"/>
                      <w:sz w:val="21"/>
                      <w:szCs w:val="21"/>
                      <w:highlight w:val="none"/>
                    </w:rPr>
                  </w:pPr>
                  <w:r>
                    <w:rPr>
                      <w:rFonts w:hint="default" w:ascii="Times New Roman" w:hAnsi="Times New Roman" w:eastAsia="宋体" w:cs="Times New Roman"/>
                      <w:b/>
                      <w:color w:val="auto"/>
                      <w:spacing w:val="0"/>
                      <w:position w:val="0"/>
                      <w:sz w:val="21"/>
                      <w:szCs w:val="21"/>
                      <w:highlight w:val="none"/>
                    </w:rPr>
                    <w:t>方法来源</w:t>
                  </w:r>
                </w:p>
              </w:tc>
            </w:tr>
            <w:tr w14:paraId="1C6F61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3" w:type="pct"/>
                  <w:tcBorders>
                    <w:top w:val="single" w:color="auto" w:sz="12" w:space="0"/>
                    <w:bottom w:val="single" w:color="auto" w:sz="12" w:space="0"/>
                  </w:tcBorders>
                  <w:noWrap w:val="0"/>
                  <w:vAlign w:val="center"/>
                </w:tcPr>
                <w:p w14:paraId="71BF0775">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1</w:t>
                  </w:r>
                </w:p>
              </w:tc>
              <w:tc>
                <w:tcPr>
                  <w:tcW w:w="796" w:type="pct"/>
                  <w:tcBorders>
                    <w:top w:val="single" w:color="auto" w:sz="12" w:space="0"/>
                    <w:bottom w:val="single" w:color="auto" w:sz="12" w:space="0"/>
                  </w:tcBorders>
                  <w:noWrap w:val="0"/>
                  <w:vAlign w:val="center"/>
                </w:tcPr>
                <w:p w14:paraId="177ECC24">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颗粒物</w:t>
                  </w:r>
                </w:p>
              </w:tc>
              <w:tc>
                <w:tcPr>
                  <w:tcW w:w="2559" w:type="pct"/>
                  <w:tcBorders>
                    <w:top w:val="single" w:color="auto" w:sz="12" w:space="0"/>
                    <w:bottom w:val="single" w:color="auto" w:sz="12" w:space="0"/>
                  </w:tcBorders>
                  <w:noWrap w:val="0"/>
                  <w:vAlign w:val="center"/>
                </w:tcPr>
                <w:p w14:paraId="406F5985">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环境空气 总悬浮颗粒物的测定 重量法</w:t>
                  </w:r>
                </w:p>
              </w:tc>
              <w:tc>
                <w:tcPr>
                  <w:tcW w:w="1220" w:type="pct"/>
                  <w:tcBorders>
                    <w:top w:val="single" w:color="auto" w:sz="12" w:space="0"/>
                    <w:bottom w:val="single" w:color="auto" w:sz="12" w:space="0"/>
                  </w:tcBorders>
                  <w:noWrap w:val="0"/>
                  <w:vAlign w:val="center"/>
                </w:tcPr>
                <w:p w14:paraId="18022271">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i w:val="0"/>
                      <w:iCs w:val="0"/>
                      <w:color w:val="auto"/>
                      <w:spacing w:val="0"/>
                      <w:kern w:val="0"/>
                      <w:position w:val="0"/>
                      <w:sz w:val="21"/>
                      <w:szCs w:val="21"/>
                      <w:highlight w:val="none"/>
                      <w:u w:val="none"/>
                      <w:lang w:val="en-US" w:eastAsia="zh-CN" w:bidi="ar"/>
                    </w:rPr>
                    <w:t>GB/T15432-1995</w:t>
                  </w:r>
                </w:p>
              </w:tc>
            </w:tr>
            <w:tr w14:paraId="504DFF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3" w:type="pct"/>
                  <w:tcBorders>
                    <w:top w:val="single" w:color="auto" w:sz="12" w:space="0"/>
                  </w:tcBorders>
                  <w:noWrap w:val="0"/>
                  <w:vAlign w:val="center"/>
                </w:tcPr>
                <w:p w14:paraId="646FB25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en-US" w:eastAsia="zh-CN"/>
                    </w:rPr>
                  </w:pPr>
                  <w:r>
                    <w:rPr>
                      <w:rFonts w:hint="eastAsia" w:ascii="Times New Roman" w:hAnsi="Times New Roman" w:cs="Times New Roman"/>
                      <w:color w:val="auto"/>
                      <w:spacing w:val="0"/>
                      <w:position w:val="0"/>
                      <w:sz w:val="21"/>
                      <w:szCs w:val="21"/>
                      <w:highlight w:val="none"/>
                      <w:lang w:val="en-US" w:eastAsia="zh-CN"/>
                    </w:rPr>
                    <w:t>2</w:t>
                  </w:r>
                </w:p>
              </w:tc>
              <w:tc>
                <w:tcPr>
                  <w:tcW w:w="796" w:type="pct"/>
                  <w:tcBorders>
                    <w:top w:val="single" w:color="auto" w:sz="12" w:space="0"/>
                  </w:tcBorders>
                  <w:noWrap w:val="0"/>
                  <w:vAlign w:val="center"/>
                </w:tcPr>
                <w:p w14:paraId="370BA313">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非甲烷总烃</w:t>
                  </w:r>
                </w:p>
              </w:tc>
              <w:tc>
                <w:tcPr>
                  <w:tcW w:w="2559" w:type="pct"/>
                  <w:tcBorders>
                    <w:top w:val="single" w:color="auto" w:sz="12" w:space="0"/>
                  </w:tcBorders>
                  <w:noWrap w:val="0"/>
                  <w:vAlign w:val="center"/>
                </w:tcPr>
                <w:p w14:paraId="797136B5">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环境空气 总烃、甲烷和非甲烷总烃的测定 直接进样-气相色谱法</w:t>
                  </w:r>
                </w:p>
              </w:tc>
              <w:tc>
                <w:tcPr>
                  <w:tcW w:w="1220" w:type="pct"/>
                  <w:tcBorders>
                    <w:top w:val="single" w:color="auto" w:sz="12" w:space="0"/>
                  </w:tcBorders>
                  <w:noWrap w:val="0"/>
                  <w:vAlign w:val="center"/>
                </w:tcPr>
                <w:p w14:paraId="4753E283">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HJ 604-2017</w:t>
                  </w:r>
                </w:p>
              </w:tc>
            </w:tr>
          </w:tbl>
          <w:p w14:paraId="5E6CC4B6">
            <w:pPr>
              <w:pageBreakBefore w:val="0"/>
              <w:shd w:val="clear"/>
              <w:kinsoku/>
              <w:topLinePunct w:val="0"/>
              <w:bidi w:val="0"/>
              <w:spacing w:beforeAutospacing="0" w:afterAutospacing="0" w:line="360" w:lineRule="auto"/>
              <w:ind w:left="0" w:leftChars="0" w:right="0" w:rightChars="0" w:firstLine="482" w:firstLineChars="200"/>
              <w:rPr>
                <w:rFonts w:hint="default" w:ascii="Times New Roman" w:hAnsi="Times New Roman" w:eastAsia="宋体" w:cs="Times New Roman"/>
                <w:b/>
                <w:bCs/>
                <w:color w:val="auto"/>
                <w:spacing w:val="0"/>
                <w:position w:val="0"/>
                <w:sz w:val="24"/>
                <w:highlight w:val="none"/>
              </w:rPr>
            </w:pPr>
            <w:r>
              <w:rPr>
                <w:rFonts w:hint="eastAsia" w:cs="Times New Roman"/>
                <w:b/>
                <w:bCs/>
                <w:color w:val="auto"/>
                <w:spacing w:val="0"/>
                <w:position w:val="0"/>
                <w:sz w:val="24"/>
                <w:highlight w:val="none"/>
                <w:lang w:eastAsia="zh-CN"/>
              </w:rPr>
              <w:t>（</w:t>
            </w:r>
            <w:r>
              <w:rPr>
                <w:rFonts w:hint="eastAsia" w:cs="Times New Roman"/>
                <w:b/>
                <w:bCs/>
                <w:color w:val="auto"/>
                <w:spacing w:val="0"/>
                <w:position w:val="0"/>
                <w:sz w:val="24"/>
                <w:highlight w:val="none"/>
                <w:lang w:val="en-US" w:eastAsia="zh-CN"/>
              </w:rPr>
              <w:t>3</w:t>
            </w:r>
            <w:r>
              <w:rPr>
                <w:rFonts w:hint="eastAsia" w:cs="Times New Roman"/>
                <w:b/>
                <w:bCs/>
                <w:color w:val="auto"/>
                <w:spacing w:val="0"/>
                <w:position w:val="0"/>
                <w:sz w:val="24"/>
                <w:highlight w:val="none"/>
                <w:lang w:eastAsia="zh-CN"/>
              </w:rPr>
              <w:t>）</w:t>
            </w:r>
            <w:r>
              <w:rPr>
                <w:rFonts w:hint="default" w:ascii="Times New Roman" w:hAnsi="Times New Roman" w:eastAsia="宋体" w:cs="Times New Roman"/>
                <w:b/>
                <w:bCs/>
                <w:color w:val="auto"/>
                <w:spacing w:val="0"/>
                <w:position w:val="0"/>
                <w:sz w:val="24"/>
                <w:highlight w:val="none"/>
              </w:rPr>
              <w:t>评价标准</w:t>
            </w:r>
          </w:p>
          <w:p w14:paraId="4D50B52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根据本项目所在区域的环境功能区划，TSP执行《环境空气质量标准》（GB3095-2012）中的二级标准（24小时平均浓度限值：300μg/m³）；非甲烷总烃参照执行《大气污染物综合排放标准详解》中推荐值（1小时平均浓度限值：2.0mg/m³）。环境空气质量标准限值见表3-4。</w:t>
            </w:r>
          </w:p>
          <w:p w14:paraId="4F76BF1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eastAsia="宋体" w:cs="Times New Roman"/>
                <w:b/>
                <w:bCs/>
                <w:color w:val="auto"/>
                <w:spacing w:val="0"/>
                <w:kern w:val="0"/>
                <w:position w:val="0"/>
                <w:sz w:val="21"/>
                <w:szCs w:val="21"/>
                <w:highlight w:val="none"/>
                <w:lang w:val="en-US" w:eastAsia="zh-CN" w:bidi="ar"/>
              </w:rPr>
              <w:t>表3-4   《环境空气质量标准》（</w:t>
            </w:r>
            <w:r>
              <w:rPr>
                <w:rFonts w:hint="eastAsia" w:cs="Times New Roman"/>
                <w:b/>
                <w:bCs/>
                <w:color w:val="auto"/>
                <w:spacing w:val="0"/>
                <w:kern w:val="0"/>
                <w:position w:val="0"/>
                <w:sz w:val="21"/>
                <w:szCs w:val="21"/>
                <w:highlight w:val="none"/>
                <w:lang w:val="en-US" w:eastAsia="zh-CN" w:bidi="ar"/>
              </w:rPr>
              <w:t>GB3095-2026</w:t>
            </w:r>
            <w:r>
              <w:rPr>
                <w:rFonts w:hint="default" w:ascii="Times New Roman" w:hAnsi="Times New Roman" w:eastAsia="宋体" w:cs="Times New Roman"/>
                <w:b/>
                <w:bCs/>
                <w:color w:val="auto"/>
                <w:spacing w:val="0"/>
                <w:kern w:val="0"/>
                <w:position w:val="0"/>
                <w:sz w:val="21"/>
                <w:szCs w:val="21"/>
                <w:highlight w:val="none"/>
                <w:lang w:val="en-US" w:eastAsia="zh-CN" w:bidi="ar"/>
              </w:rPr>
              <w:t>）中的二级标准</w:t>
            </w:r>
          </w:p>
          <w:tbl>
            <w:tblPr>
              <w:tblStyle w:val="26"/>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1BBA6E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9" w:type="pct"/>
                  <w:tcBorders>
                    <w:tl2br w:val="nil"/>
                    <w:tr2bl w:val="nil"/>
                  </w:tcBorders>
                  <w:noWrap w:val="0"/>
                  <w:vAlign w:val="center"/>
                </w:tcPr>
                <w:p w14:paraId="6DBAEBA3">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污染物</w:t>
                  </w:r>
                </w:p>
              </w:tc>
              <w:tc>
                <w:tcPr>
                  <w:tcW w:w="2500" w:type="pct"/>
                  <w:tcBorders>
                    <w:tl2br w:val="nil"/>
                    <w:tr2bl w:val="nil"/>
                  </w:tcBorders>
                  <w:noWrap w:val="0"/>
                  <w:vAlign w:val="center"/>
                </w:tcPr>
                <w:p w14:paraId="2C993F2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标准值（</w:t>
                  </w:r>
                  <w:r>
                    <w:rPr>
                      <w:rFonts w:hint="default" w:ascii="Times New Roman" w:hAnsi="Times New Roman" w:cs="Times New Roman"/>
                      <w:b/>
                      <w:bCs/>
                      <w:color w:val="auto"/>
                      <w:spacing w:val="0"/>
                      <w:position w:val="0"/>
                      <w:sz w:val="21"/>
                      <w:szCs w:val="21"/>
                      <w:highlight w:val="none"/>
                      <w:lang w:val="en-US" w:eastAsia="zh-CN"/>
                    </w:rPr>
                    <w:t>m</w:t>
                  </w:r>
                  <w:r>
                    <w:rPr>
                      <w:rFonts w:hint="default" w:ascii="Times New Roman" w:hAnsi="Times New Roman" w:eastAsia="宋体" w:cs="Times New Roman"/>
                      <w:b/>
                      <w:bCs/>
                      <w:color w:val="auto"/>
                      <w:spacing w:val="0"/>
                      <w:position w:val="0"/>
                      <w:sz w:val="21"/>
                      <w:szCs w:val="21"/>
                      <w:highlight w:val="none"/>
                    </w:rPr>
                    <w:t>g/m</w:t>
                  </w:r>
                  <w:r>
                    <w:rPr>
                      <w:rFonts w:hint="default" w:ascii="Times New Roman" w:hAnsi="Times New Roman" w:eastAsia="宋体" w:cs="Times New Roman"/>
                      <w:b/>
                      <w:bCs/>
                      <w:color w:val="auto"/>
                      <w:spacing w:val="0"/>
                      <w:position w:val="0"/>
                      <w:sz w:val="21"/>
                      <w:szCs w:val="21"/>
                      <w:highlight w:val="none"/>
                      <w:vertAlign w:val="superscript"/>
                    </w:rPr>
                    <w:t>3</w:t>
                  </w:r>
                  <w:r>
                    <w:rPr>
                      <w:rFonts w:hint="default" w:ascii="Times New Roman" w:hAnsi="Times New Roman" w:eastAsia="宋体" w:cs="Times New Roman"/>
                      <w:b/>
                      <w:bCs/>
                      <w:color w:val="auto"/>
                      <w:spacing w:val="0"/>
                      <w:position w:val="0"/>
                      <w:sz w:val="21"/>
                      <w:szCs w:val="21"/>
                      <w:highlight w:val="none"/>
                    </w:rPr>
                    <w:t>）</w:t>
                  </w:r>
                </w:p>
              </w:tc>
            </w:tr>
            <w:tr w14:paraId="0D29E0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499" w:type="pct"/>
                  <w:tcBorders>
                    <w:tl2br w:val="nil"/>
                    <w:tr2bl w:val="nil"/>
                  </w:tcBorders>
                  <w:noWrap w:val="0"/>
                  <w:vAlign w:val="center"/>
                </w:tcPr>
                <w:p w14:paraId="200A7F77">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颗粒物</w:t>
                  </w:r>
                </w:p>
              </w:tc>
              <w:tc>
                <w:tcPr>
                  <w:tcW w:w="2500" w:type="pct"/>
                  <w:tcBorders>
                    <w:tl2br w:val="nil"/>
                    <w:tr2bl w:val="nil"/>
                  </w:tcBorders>
                  <w:noWrap w:val="0"/>
                  <w:vAlign w:val="center"/>
                </w:tcPr>
                <w:p w14:paraId="2AEDF5AA">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0.3</w:t>
                  </w:r>
                </w:p>
              </w:tc>
            </w:tr>
            <w:tr w14:paraId="107DA2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499" w:type="pct"/>
                  <w:tcBorders>
                    <w:tl2br w:val="nil"/>
                    <w:tr2bl w:val="nil"/>
                  </w:tcBorders>
                  <w:noWrap w:val="0"/>
                  <w:vAlign w:val="center"/>
                </w:tcPr>
                <w:p w14:paraId="66EE751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kern w:val="0"/>
                      <w:position w:val="0"/>
                      <w:sz w:val="24"/>
                      <w:szCs w:val="24"/>
                      <w:highlight w:val="none"/>
                      <w:lang w:val="en-US" w:eastAsia="zh-CN" w:bidi="ar"/>
                    </w:rPr>
                    <w:t>非甲烷总烃</w:t>
                  </w:r>
                </w:p>
              </w:tc>
              <w:tc>
                <w:tcPr>
                  <w:tcW w:w="2500" w:type="pct"/>
                  <w:tcBorders>
                    <w:tl2br w:val="nil"/>
                    <w:tr2bl w:val="nil"/>
                  </w:tcBorders>
                  <w:noWrap w:val="0"/>
                  <w:vAlign w:val="center"/>
                </w:tcPr>
                <w:p w14:paraId="65D390DD">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2.0</w:t>
                  </w:r>
                </w:p>
              </w:tc>
            </w:tr>
          </w:tbl>
          <w:p w14:paraId="485E280E">
            <w:pPr>
              <w:pageBreakBefore w:val="0"/>
              <w:shd w:val="clear"/>
              <w:kinsoku/>
              <w:topLinePunct w:val="0"/>
              <w:bidi w:val="0"/>
              <w:spacing w:beforeAutospacing="0" w:afterAutospacing="0" w:line="360" w:lineRule="auto"/>
              <w:ind w:left="0" w:leftChars="0" w:right="0" w:rightChars="0" w:firstLine="482" w:firstLineChars="200"/>
              <w:rPr>
                <w:rFonts w:hint="default" w:ascii="Times New Roman" w:hAnsi="Times New Roman" w:eastAsia="宋体" w:cs="Times New Roman"/>
                <w:b/>
                <w:bCs/>
                <w:color w:val="auto"/>
                <w:spacing w:val="0"/>
                <w:position w:val="0"/>
                <w:sz w:val="24"/>
                <w:highlight w:val="none"/>
              </w:rPr>
            </w:pPr>
            <w:r>
              <w:rPr>
                <w:rFonts w:hint="eastAsia" w:cs="Times New Roman"/>
                <w:b/>
                <w:bCs/>
                <w:color w:val="auto"/>
                <w:spacing w:val="0"/>
                <w:position w:val="0"/>
                <w:sz w:val="24"/>
                <w:highlight w:val="none"/>
                <w:lang w:eastAsia="zh-CN"/>
              </w:rPr>
              <w:t>（</w:t>
            </w:r>
            <w:r>
              <w:rPr>
                <w:rFonts w:hint="eastAsia" w:cs="Times New Roman"/>
                <w:b/>
                <w:bCs/>
                <w:color w:val="auto"/>
                <w:spacing w:val="0"/>
                <w:position w:val="0"/>
                <w:sz w:val="24"/>
                <w:highlight w:val="none"/>
                <w:lang w:val="en-US" w:eastAsia="zh-CN"/>
              </w:rPr>
              <w:t>4</w:t>
            </w:r>
            <w:r>
              <w:rPr>
                <w:rFonts w:hint="eastAsia" w:cs="Times New Roman"/>
                <w:b/>
                <w:bCs/>
                <w:color w:val="auto"/>
                <w:spacing w:val="0"/>
                <w:position w:val="0"/>
                <w:sz w:val="24"/>
                <w:highlight w:val="none"/>
                <w:lang w:eastAsia="zh-CN"/>
              </w:rPr>
              <w:t>）</w:t>
            </w:r>
            <w:r>
              <w:rPr>
                <w:rFonts w:hint="default" w:ascii="Times New Roman" w:hAnsi="Times New Roman" w:eastAsia="宋体" w:cs="Times New Roman"/>
                <w:b/>
                <w:bCs/>
                <w:color w:val="auto"/>
                <w:spacing w:val="0"/>
                <w:position w:val="0"/>
                <w:sz w:val="24"/>
                <w:highlight w:val="none"/>
              </w:rPr>
              <w:t>评价方法</w:t>
            </w:r>
          </w:p>
          <w:p w14:paraId="36B2F8C5">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color w:val="auto"/>
                <w:spacing w:val="0"/>
                <w:position w:val="0"/>
                <w:sz w:val="24"/>
                <w:highlight w:val="none"/>
              </w:rPr>
              <w:t>本次环境空气质量现状评价采用各取值时间最大占标率和超标率评价达标情况，最大占标率计算公式为：</w:t>
            </w:r>
          </w:p>
          <w:p w14:paraId="78A550A1">
            <w:pPr>
              <w:pageBreakBefore w:val="0"/>
              <w:shd w:val="clear"/>
              <w:kinsoku/>
              <w:topLinePunct w:val="0"/>
              <w:bidi w:val="0"/>
              <w:spacing w:beforeAutospacing="0" w:afterAutospacing="0" w:line="360" w:lineRule="auto"/>
              <w:ind w:left="0" w:leftChars="0" w:right="0" w:rightChars="0"/>
              <w:jc w:val="center"/>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color w:val="auto"/>
                <w:spacing w:val="0"/>
                <w:kern w:val="0"/>
                <w:position w:val="0"/>
                <w:sz w:val="24"/>
                <w:szCs w:val="24"/>
                <w:highlight w:val="none"/>
              </w:rPr>
              <w:object>
                <v:shape id="_x0000_i1025" o:spt="75" type="#_x0000_t75" style="height:38.5pt;width:102.75pt;" o:ole="t" filled="f" o:preferrelative="t" stroked="f" coordsize="21600,21600">
                  <v:path/>
                  <v:fill on="f" focussize="0,0"/>
                  <v:stroke on="f"/>
                  <v:imagedata r:id="rId9" o:title=""/>
                  <o:lock v:ext="edit" aspectratio="t"/>
                  <w10:wrap type="none"/>
                  <w10:anchorlock/>
                </v:shape>
                <o:OLEObject Type="Embed" ProgID="Equation.AxMath" ShapeID="_x0000_i1025" DrawAspect="Content" ObjectID="_1468075725" r:id="rId8">
                  <o:LockedField>false</o:LockedField>
                </o:OLEObject>
              </w:object>
            </w:r>
          </w:p>
          <w:p w14:paraId="3A39508E">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color w:val="auto"/>
                <w:spacing w:val="0"/>
                <w:position w:val="0"/>
                <w:sz w:val="24"/>
                <w:highlight w:val="none"/>
              </w:rPr>
              <w:t>式中：P</w:t>
            </w:r>
            <w:r>
              <w:rPr>
                <w:rFonts w:hint="default" w:ascii="Times New Roman" w:hAnsi="Times New Roman" w:eastAsia="宋体" w:cs="Times New Roman"/>
                <w:color w:val="auto"/>
                <w:spacing w:val="0"/>
                <w:position w:val="0"/>
                <w:sz w:val="24"/>
                <w:highlight w:val="none"/>
                <w:vertAlign w:val="subscript"/>
              </w:rPr>
              <w:t>i</w:t>
            </w:r>
            <w:r>
              <w:rPr>
                <w:rFonts w:hint="default" w:ascii="Times New Roman" w:hAnsi="Times New Roman" w:eastAsia="宋体" w:cs="Times New Roman"/>
                <w:color w:val="auto"/>
                <w:spacing w:val="0"/>
                <w:position w:val="0"/>
                <w:sz w:val="24"/>
                <w:highlight w:val="none"/>
              </w:rPr>
              <w:t>—污染物i的单项污染指数；</w:t>
            </w:r>
          </w:p>
          <w:p w14:paraId="1223027A">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color w:val="auto"/>
                <w:spacing w:val="0"/>
                <w:position w:val="0"/>
                <w:sz w:val="24"/>
                <w:highlight w:val="none"/>
              </w:rPr>
              <w:t xml:space="preserve">      C</w:t>
            </w:r>
            <w:r>
              <w:rPr>
                <w:rFonts w:hint="default" w:ascii="Times New Roman" w:hAnsi="Times New Roman" w:eastAsia="宋体" w:cs="Times New Roman"/>
                <w:color w:val="auto"/>
                <w:spacing w:val="0"/>
                <w:position w:val="0"/>
                <w:sz w:val="24"/>
                <w:highlight w:val="none"/>
                <w:vertAlign w:val="subscript"/>
              </w:rPr>
              <w:t>i</w:t>
            </w:r>
            <w:r>
              <w:rPr>
                <w:rFonts w:hint="default" w:ascii="Times New Roman" w:hAnsi="Times New Roman" w:eastAsia="宋体" w:cs="Times New Roman"/>
                <w:color w:val="auto"/>
                <w:spacing w:val="0"/>
                <w:position w:val="0"/>
                <w:sz w:val="24"/>
                <w:highlight w:val="none"/>
              </w:rPr>
              <w:t>—污染物i的实测浓度值（mg/</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highlight w:val="none"/>
              </w:rPr>
              <w:t>）；</w:t>
            </w:r>
          </w:p>
          <w:p w14:paraId="790AF3CE">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color w:val="auto"/>
                <w:spacing w:val="0"/>
                <w:position w:val="0"/>
                <w:sz w:val="24"/>
                <w:highlight w:val="none"/>
              </w:rPr>
              <w:t xml:space="preserve">      C</w:t>
            </w:r>
            <w:r>
              <w:rPr>
                <w:rFonts w:hint="default" w:ascii="Times New Roman" w:hAnsi="Times New Roman" w:eastAsia="宋体" w:cs="Times New Roman"/>
                <w:color w:val="auto"/>
                <w:spacing w:val="0"/>
                <w:position w:val="0"/>
                <w:sz w:val="24"/>
                <w:highlight w:val="none"/>
                <w:vertAlign w:val="subscript"/>
              </w:rPr>
              <w:t>oi</w:t>
            </w:r>
            <w:r>
              <w:rPr>
                <w:rFonts w:hint="default" w:ascii="Times New Roman" w:hAnsi="Times New Roman" w:eastAsia="宋体" w:cs="Times New Roman"/>
                <w:color w:val="auto"/>
                <w:spacing w:val="0"/>
                <w:position w:val="0"/>
                <w:sz w:val="24"/>
                <w:highlight w:val="none"/>
              </w:rPr>
              <w:t>—污染物i的评价标准（mg/</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highlight w:val="none"/>
              </w:rPr>
              <w:t>）。</w:t>
            </w:r>
          </w:p>
          <w:p w14:paraId="54DD9AB4">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rPr>
            </w:pPr>
            <w:r>
              <w:rPr>
                <w:rFonts w:hint="default" w:ascii="Times New Roman" w:hAnsi="Times New Roman" w:eastAsia="宋体" w:cs="Times New Roman"/>
                <w:color w:val="auto"/>
                <w:spacing w:val="0"/>
                <w:position w:val="0"/>
                <w:sz w:val="24"/>
                <w:highlight w:val="none"/>
              </w:rPr>
              <w:t>根据评价计算，可</w:t>
            </w:r>
            <w:bookmarkStart w:id="7" w:name="_GoBack"/>
            <w:bookmarkEnd w:id="7"/>
            <w:r>
              <w:rPr>
                <w:rFonts w:hint="default" w:ascii="Times New Roman" w:hAnsi="Times New Roman" w:eastAsia="宋体" w:cs="Times New Roman"/>
                <w:color w:val="auto"/>
                <w:spacing w:val="0"/>
                <w:position w:val="0"/>
                <w:sz w:val="24"/>
                <w:highlight w:val="none"/>
              </w:rPr>
              <w:t>以得出浓度占标率（P</w:t>
            </w:r>
            <w:r>
              <w:rPr>
                <w:rFonts w:hint="default" w:ascii="Times New Roman" w:hAnsi="Times New Roman" w:eastAsia="宋体" w:cs="Times New Roman"/>
                <w:color w:val="auto"/>
                <w:spacing w:val="0"/>
                <w:position w:val="0"/>
                <w:sz w:val="24"/>
                <w:highlight w:val="none"/>
                <w:vertAlign w:val="subscript"/>
              </w:rPr>
              <w:t>i</w:t>
            </w:r>
            <w:r>
              <w:rPr>
                <w:rFonts w:hint="default" w:ascii="Times New Roman" w:hAnsi="Times New Roman" w:eastAsia="宋体" w:cs="Times New Roman"/>
                <w:color w:val="auto"/>
                <w:spacing w:val="0"/>
                <w:position w:val="0"/>
                <w:sz w:val="24"/>
                <w:highlight w:val="none"/>
              </w:rPr>
              <w:t>），依照P</w:t>
            </w:r>
            <w:r>
              <w:rPr>
                <w:rFonts w:hint="default" w:ascii="Times New Roman" w:hAnsi="Times New Roman" w:eastAsia="宋体" w:cs="Times New Roman"/>
                <w:color w:val="auto"/>
                <w:spacing w:val="0"/>
                <w:position w:val="0"/>
                <w:sz w:val="24"/>
                <w:highlight w:val="none"/>
                <w:vertAlign w:val="subscript"/>
              </w:rPr>
              <w:t>i</w:t>
            </w:r>
            <w:r>
              <w:rPr>
                <w:rFonts w:hint="default" w:ascii="Times New Roman" w:hAnsi="Times New Roman" w:eastAsia="宋体" w:cs="Times New Roman"/>
                <w:color w:val="auto"/>
                <w:spacing w:val="0"/>
                <w:position w:val="0"/>
                <w:sz w:val="24"/>
                <w:highlight w:val="none"/>
              </w:rPr>
              <w:t>值的大小，分别确定其污染程度。当P</w:t>
            </w:r>
            <w:r>
              <w:rPr>
                <w:rFonts w:hint="default" w:ascii="Times New Roman" w:hAnsi="Times New Roman" w:eastAsia="宋体" w:cs="Times New Roman"/>
                <w:color w:val="auto"/>
                <w:spacing w:val="0"/>
                <w:position w:val="0"/>
                <w:sz w:val="24"/>
                <w:highlight w:val="none"/>
                <w:vertAlign w:val="subscript"/>
              </w:rPr>
              <w:t>i</w:t>
            </w:r>
            <w:r>
              <w:rPr>
                <w:rFonts w:hint="default" w:ascii="Times New Roman" w:hAnsi="Times New Roman" w:eastAsia="宋体" w:cs="Times New Roman"/>
                <w:color w:val="auto"/>
                <w:spacing w:val="0"/>
                <w:position w:val="0"/>
                <w:sz w:val="24"/>
                <w:highlight w:val="none"/>
              </w:rPr>
              <w:t xml:space="preserve"> ＜100%时，表示大气中该污染物浓度不超标；当P</w:t>
            </w:r>
            <w:r>
              <w:rPr>
                <w:rFonts w:hint="default" w:ascii="Times New Roman" w:hAnsi="Times New Roman" w:eastAsia="宋体" w:cs="Times New Roman"/>
                <w:color w:val="auto"/>
                <w:spacing w:val="0"/>
                <w:position w:val="0"/>
                <w:sz w:val="24"/>
                <w:highlight w:val="none"/>
                <w:vertAlign w:val="subscript"/>
              </w:rPr>
              <w:t>i</w:t>
            </w:r>
            <w:r>
              <w:rPr>
                <w:rFonts w:hint="default" w:ascii="Times New Roman" w:hAnsi="Times New Roman" w:eastAsia="宋体" w:cs="Times New Roman"/>
                <w:color w:val="auto"/>
                <w:spacing w:val="0"/>
                <w:position w:val="0"/>
                <w:sz w:val="24"/>
                <w:highlight w:val="none"/>
              </w:rPr>
              <w:t>≥100%时，表示大气中该污染物浓度超过评价标准。</w:t>
            </w:r>
          </w:p>
          <w:p w14:paraId="26717079">
            <w:pPr>
              <w:pageBreakBefore w:val="0"/>
              <w:shd w:val="clear"/>
              <w:kinsoku/>
              <w:topLinePunct w:val="0"/>
              <w:bidi w:val="0"/>
              <w:spacing w:beforeAutospacing="0" w:afterAutospacing="0" w:line="360" w:lineRule="auto"/>
              <w:ind w:left="0" w:leftChars="0" w:right="0" w:rightChars="0" w:firstLine="482" w:firstLineChars="200"/>
              <w:rPr>
                <w:rFonts w:hint="default" w:ascii="Times New Roman" w:hAnsi="Times New Roman" w:eastAsia="宋体" w:cs="Times New Roman"/>
                <w:b/>
                <w:bCs/>
                <w:color w:val="auto"/>
                <w:spacing w:val="0"/>
                <w:position w:val="0"/>
                <w:sz w:val="24"/>
                <w:highlight w:val="none"/>
              </w:rPr>
            </w:pPr>
            <w:r>
              <w:rPr>
                <w:rFonts w:hint="eastAsia" w:cs="Times New Roman"/>
                <w:b/>
                <w:bCs/>
                <w:color w:val="auto"/>
                <w:spacing w:val="0"/>
                <w:position w:val="0"/>
                <w:sz w:val="24"/>
                <w:highlight w:val="none"/>
                <w:lang w:eastAsia="zh-CN"/>
              </w:rPr>
              <w:t>（</w:t>
            </w:r>
            <w:r>
              <w:rPr>
                <w:rFonts w:hint="eastAsia" w:cs="Times New Roman"/>
                <w:b/>
                <w:bCs/>
                <w:color w:val="auto"/>
                <w:spacing w:val="0"/>
                <w:position w:val="0"/>
                <w:sz w:val="24"/>
                <w:highlight w:val="none"/>
                <w:lang w:val="en-US" w:eastAsia="zh-CN"/>
              </w:rPr>
              <w:t>5</w:t>
            </w:r>
            <w:r>
              <w:rPr>
                <w:rFonts w:hint="eastAsia" w:cs="Times New Roman"/>
                <w:b/>
                <w:bCs/>
                <w:color w:val="auto"/>
                <w:spacing w:val="0"/>
                <w:position w:val="0"/>
                <w:sz w:val="24"/>
                <w:highlight w:val="none"/>
                <w:lang w:eastAsia="zh-CN"/>
              </w:rPr>
              <w:t>）</w:t>
            </w:r>
            <w:r>
              <w:rPr>
                <w:rFonts w:hint="default" w:ascii="Times New Roman" w:hAnsi="Times New Roman" w:eastAsia="宋体" w:cs="Times New Roman"/>
                <w:b/>
                <w:bCs/>
                <w:color w:val="auto"/>
                <w:spacing w:val="0"/>
                <w:position w:val="0"/>
                <w:sz w:val="24"/>
                <w:highlight w:val="none"/>
              </w:rPr>
              <w:t>监测结果及分析</w:t>
            </w:r>
          </w:p>
          <w:p w14:paraId="71029ABD">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lang w:val="en-US" w:eastAsia="zh-CN"/>
              </w:rPr>
            </w:pPr>
            <w:r>
              <w:rPr>
                <w:rFonts w:hint="default" w:ascii="Times New Roman" w:hAnsi="Times New Roman" w:eastAsia="宋体" w:cs="Times New Roman"/>
                <w:color w:val="auto"/>
                <w:spacing w:val="0"/>
                <w:position w:val="0"/>
                <w:sz w:val="24"/>
                <w:highlight w:val="none"/>
                <w:lang w:val="en-US" w:eastAsia="zh-CN"/>
              </w:rPr>
              <w:t>本次监测TSP日均值浓度及非甲烷总烃小时值浓度统计结果见表3-5。</w:t>
            </w:r>
          </w:p>
          <w:p w14:paraId="298C9442">
            <w:pPr>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表</w:t>
            </w:r>
            <w:r>
              <w:rPr>
                <w:rFonts w:hint="default" w:ascii="Times New Roman" w:hAnsi="Times New Roman" w:eastAsia="宋体" w:cs="Times New Roman"/>
                <w:b/>
                <w:bCs/>
                <w:color w:val="auto"/>
                <w:spacing w:val="0"/>
                <w:position w:val="0"/>
                <w:sz w:val="21"/>
                <w:szCs w:val="21"/>
                <w:highlight w:val="none"/>
                <w:lang w:val="en-US" w:eastAsia="zh-CN"/>
              </w:rPr>
              <w:t>3-5</w:t>
            </w:r>
            <w:r>
              <w:rPr>
                <w:rFonts w:hint="default" w:ascii="Times New Roman" w:hAnsi="Times New Roman" w:eastAsia="宋体" w:cs="Times New Roman"/>
                <w:b/>
                <w:bCs/>
                <w:color w:val="auto"/>
                <w:spacing w:val="0"/>
                <w:position w:val="0"/>
                <w:sz w:val="21"/>
                <w:szCs w:val="21"/>
                <w:highlight w:val="none"/>
              </w:rPr>
              <w:t xml:space="preserve">    </w:t>
            </w:r>
            <w:r>
              <w:rPr>
                <w:rFonts w:hint="default" w:ascii="Times New Roman" w:hAnsi="Times New Roman" w:cs="Times New Roman"/>
                <w:b/>
                <w:bCs/>
                <w:color w:val="auto"/>
                <w:spacing w:val="0"/>
                <w:position w:val="0"/>
                <w:sz w:val="21"/>
                <w:szCs w:val="21"/>
                <w:highlight w:val="none"/>
                <w:lang w:val="en-US" w:eastAsia="zh-CN"/>
              </w:rPr>
              <w:t>颗粒物</w:t>
            </w:r>
            <w:r>
              <w:rPr>
                <w:rFonts w:hint="default" w:ascii="Times New Roman" w:hAnsi="Times New Roman" w:eastAsia="宋体" w:cs="Times New Roman"/>
                <w:b/>
                <w:bCs/>
                <w:color w:val="auto"/>
                <w:spacing w:val="0"/>
                <w:position w:val="0"/>
                <w:sz w:val="21"/>
                <w:szCs w:val="21"/>
                <w:highlight w:val="none"/>
              </w:rPr>
              <w:t>环境空气质量现状监测结果       单位：mg/</w:t>
            </w:r>
            <w:r>
              <w:rPr>
                <w:rFonts w:hint="default" w:ascii="Times New Roman" w:hAnsi="Times New Roman" w:eastAsia="宋体" w:cs="Times New Roman"/>
                <w:b/>
                <w:bCs/>
                <w:color w:val="auto"/>
                <w:spacing w:val="0"/>
                <w:position w:val="0"/>
                <w:sz w:val="22"/>
                <w:szCs w:val="22"/>
                <w:highlight w:val="none"/>
              </w:rPr>
              <w:t>m</w:t>
            </w:r>
            <w:r>
              <w:rPr>
                <w:rFonts w:hint="default" w:ascii="Times New Roman" w:hAnsi="Times New Roman" w:eastAsia="宋体" w:cs="Times New Roman"/>
                <w:b/>
                <w:bCs/>
                <w:color w:val="auto"/>
                <w:spacing w:val="0"/>
                <w:position w:val="0"/>
                <w:sz w:val="22"/>
                <w:szCs w:val="22"/>
                <w:highlight w:val="none"/>
                <w:vertAlign w:val="superscript"/>
              </w:rPr>
              <w:t>3</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2268"/>
              <w:gridCol w:w="1522"/>
              <w:gridCol w:w="1396"/>
              <w:gridCol w:w="2053"/>
            </w:tblGrid>
            <w:tr w14:paraId="003775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blHeader/>
                <w:jc w:val="center"/>
              </w:trPr>
              <w:tc>
                <w:tcPr>
                  <w:tcW w:w="2473" w:type="dxa"/>
                  <w:tcBorders>
                    <w:bottom w:val="single" w:color="auto" w:sz="12" w:space="0"/>
                  </w:tcBorders>
                  <w:shd w:val="clear" w:color="auto" w:fill="FFFFFF"/>
                  <w:tcMar>
                    <w:top w:w="0" w:type="dxa"/>
                    <w:left w:w="0" w:type="dxa"/>
                    <w:bottom w:w="0" w:type="dxa"/>
                    <w:right w:w="0" w:type="dxa"/>
                  </w:tcMar>
                  <w:vAlign w:val="center"/>
                </w:tcPr>
                <w:p w14:paraId="5777B0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监测点位</w:t>
                  </w:r>
                </w:p>
              </w:tc>
              <w:tc>
                <w:tcPr>
                  <w:tcW w:w="1659" w:type="dxa"/>
                  <w:tcBorders>
                    <w:bottom w:val="single" w:color="auto" w:sz="12" w:space="0"/>
                  </w:tcBorders>
                  <w:shd w:val="clear" w:color="auto" w:fill="FFFFFF"/>
                  <w:tcMar>
                    <w:top w:w="0" w:type="dxa"/>
                    <w:left w:w="0" w:type="dxa"/>
                    <w:bottom w:w="0" w:type="dxa"/>
                    <w:right w:w="0" w:type="dxa"/>
                  </w:tcMar>
                  <w:vAlign w:val="center"/>
                </w:tcPr>
                <w:p w14:paraId="16C06B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监测日期</w:t>
                  </w:r>
                </w:p>
              </w:tc>
              <w:tc>
                <w:tcPr>
                  <w:tcW w:w="1523" w:type="dxa"/>
                  <w:tcBorders>
                    <w:bottom w:val="single" w:color="auto" w:sz="12" w:space="0"/>
                  </w:tcBorders>
                  <w:shd w:val="clear" w:color="auto" w:fill="FFFFFF"/>
                  <w:tcMar>
                    <w:top w:w="0" w:type="dxa"/>
                    <w:left w:w="0" w:type="dxa"/>
                    <w:bottom w:w="0" w:type="dxa"/>
                    <w:right w:w="0" w:type="dxa"/>
                  </w:tcMar>
                  <w:vAlign w:val="center"/>
                </w:tcPr>
                <w:p w14:paraId="1020CA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TSP（μg/m³）</w:t>
                  </w:r>
                </w:p>
              </w:tc>
              <w:tc>
                <w:tcPr>
                  <w:tcW w:w="2239" w:type="dxa"/>
                  <w:tcBorders>
                    <w:bottom w:val="single" w:color="auto" w:sz="12" w:space="0"/>
                  </w:tcBorders>
                  <w:shd w:val="clear" w:color="auto" w:fill="FFFFFF"/>
                  <w:tcMar>
                    <w:top w:w="0" w:type="dxa"/>
                    <w:left w:w="0" w:type="dxa"/>
                    <w:bottom w:w="0" w:type="dxa"/>
                    <w:right w:w="0" w:type="dxa"/>
                  </w:tcMar>
                  <w:vAlign w:val="center"/>
                </w:tcPr>
                <w:p w14:paraId="0DC9B8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非甲烷总烃（mg/m³）</w:t>
                  </w:r>
                </w:p>
              </w:tc>
            </w:tr>
            <w:tr w14:paraId="657418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jc w:val="center"/>
              </w:trPr>
              <w:tc>
                <w:tcPr>
                  <w:tcW w:w="2473" w:type="dxa"/>
                  <w:vMerge w:val="restart"/>
                  <w:tcBorders>
                    <w:top w:val="single" w:color="auto" w:sz="12" w:space="0"/>
                    <w:tl2br w:val="nil"/>
                    <w:tr2bl w:val="nil"/>
                  </w:tcBorders>
                  <w:shd w:val="clear" w:color="auto" w:fill="FFFFFF"/>
                  <w:tcMar>
                    <w:top w:w="0" w:type="dxa"/>
                    <w:left w:w="0" w:type="dxa"/>
                    <w:bottom w:w="0" w:type="dxa"/>
                    <w:right w:w="0" w:type="dxa"/>
                  </w:tcMar>
                  <w:vAlign w:val="center"/>
                </w:tcPr>
                <w:p w14:paraId="388FE4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1#项目厂区下风向</w:t>
                  </w:r>
                </w:p>
              </w:tc>
              <w:tc>
                <w:tcPr>
                  <w:tcW w:w="1659" w:type="dxa"/>
                  <w:tcBorders>
                    <w:top w:val="single" w:color="auto" w:sz="12" w:space="0"/>
                    <w:tl2br w:val="nil"/>
                    <w:tr2bl w:val="nil"/>
                  </w:tcBorders>
                  <w:shd w:val="clear" w:color="auto" w:fill="FFFFFF"/>
                  <w:tcMar>
                    <w:top w:w="0" w:type="dxa"/>
                    <w:left w:w="0" w:type="dxa"/>
                    <w:bottom w:w="0" w:type="dxa"/>
                    <w:right w:w="0" w:type="dxa"/>
                  </w:tcMar>
                  <w:vAlign w:val="center"/>
                </w:tcPr>
                <w:p w14:paraId="72E93D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2025.2.17</w:t>
                  </w:r>
                </w:p>
              </w:tc>
              <w:tc>
                <w:tcPr>
                  <w:tcW w:w="1523" w:type="dxa"/>
                  <w:tcBorders>
                    <w:top w:val="single" w:color="auto" w:sz="12" w:space="0"/>
                    <w:tl2br w:val="nil"/>
                    <w:tr2bl w:val="nil"/>
                  </w:tcBorders>
                  <w:shd w:val="clear" w:color="auto" w:fill="FFFFFF"/>
                  <w:tcMar>
                    <w:top w:w="0" w:type="dxa"/>
                    <w:left w:w="0" w:type="dxa"/>
                    <w:bottom w:w="0" w:type="dxa"/>
                    <w:right w:w="0" w:type="dxa"/>
                  </w:tcMar>
                  <w:vAlign w:val="center"/>
                </w:tcPr>
                <w:p w14:paraId="095A66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226</w:t>
                  </w:r>
                </w:p>
              </w:tc>
              <w:tc>
                <w:tcPr>
                  <w:tcW w:w="2239" w:type="dxa"/>
                  <w:tcBorders>
                    <w:top w:val="single" w:color="auto" w:sz="12" w:space="0"/>
                    <w:tl2br w:val="nil"/>
                    <w:tr2bl w:val="nil"/>
                  </w:tcBorders>
                  <w:shd w:val="clear" w:color="auto" w:fill="FFFFFF"/>
                  <w:tcMar>
                    <w:top w:w="0" w:type="dxa"/>
                    <w:left w:w="0" w:type="dxa"/>
                    <w:bottom w:w="0" w:type="dxa"/>
                    <w:right w:w="0" w:type="dxa"/>
                  </w:tcMar>
                  <w:vAlign w:val="center"/>
                </w:tcPr>
                <w:p w14:paraId="5F3296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0.43~0.57</w:t>
                  </w:r>
                </w:p>
              </w:tc>
            </w:tr>
            <w:tr w14:paraId="5D6B44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jc w:val="center"/>
              </w:trPr>
              <w:tc>
                <w:tcPr>
                  <w:tcW w:w="2473" w:type="dxa"/>
                  <w:vMerge w:val="continue"/>
                  <w:tcBorders>
                    <w:tl2br w:val="nil"/>
                    <w:tr2bl w:val="nil"/>
                  </w:tcBorders>
                  <w:shd w:val="clear" w:color="auto" w:fill="FFFFFF"/>
                  <w:tcMar>
                    <w:top w:w="0" w:type="dxa"/>
                    <w:left w:w="0" w:type="dxa"/>
                    <w:bottom w:w="0" w:type="dxa"/>
                    <w:right w:w="0" w:type="dxa"/>
                  </w:tcMar>
                  <w:vAlign w:val="center"/>
                </w:tcPr>
                <w:p w14:paraId="032128C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659" w:type="dxa"/>
                  <w:tcBorders>
                    <w:tl2br w:val="nil"/>
                    <w:tr2bl w:val="nil"/>
                  </w:tcBorders>
                  <w:shd w:val="clear" w:color="auto" w:fill="FFFFFF"/>
                  <w:tcMar>
                    <w:top w:w="0" w:type="dxa"/>
                    <w:left w:w="0" w:type="dxa"/>
                    <w:bottom w:w="0" w:type="dxa"/>
                    <w:right w:w="0" w:type="dxa"/>
                  </w:tcMar>
                  <w:vAlign w:val="center"/>
                </w:tcPr>
                <w:p w14:paraId="6D6CB8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2025.2.18</w:t>
                  </w:r>
                </w:p>
              </w:tc>
              <w:tc>
                <w:tcPr>
                  <w:tcW w:w="1523" w:type="dxa"/>
                  <w:tcBorders>
                    <w:tl2br w:val="nil"/>
                    <w:tr2bl w:val="nil"/>
                  </w:tcBorders>
                  <w:shd w:val="clear" w:color="auto" w:fill="FFFFFF"/>
                  <w:tcMar>
                    <w:top w:w="0" w:type="dxa"/>
                    <w:left w:w="0" w:type="dxa"/>
                    <w:bottom w:w="0" w:type="dxa"/>
                    <w:right w:w="0" w:type="dxa"/>
                  </w:tcMar>
                  <w:vAlign w:val="center"/>
                </w:tcPr>
                <w:p w14:paraId="3810BD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229</w:t>
                  </w:r>
                </w:p>
              </w:tc>
              <w:tc>
                <w:tcPr>
                  <w:tcW w:w="2239" w:type="dxa"/>
                  <w:tcBorders>
                    <w:tl2br w:val="nil"/>
                    <w:tr2bl w:val="nil"/>
                  </w:tcBorders>
                  <w:shd w:val="clear" w:color="auto" w:fill="FFFFFF"/>
                  <w:tcMar>
                    <w:top w:w="0" w:type="dxa"/>
                    <w:left w:w="0" w:type="dxa"/>
                    <w:bottom w:w="0" w:type="dxa"/>
                    <w:right w:w="0" w:type="dxa"/>
                  </w:tcMar>
                  <w:vAlign w:val="center"/>
                </w:tcPr>
                <w:p w14:paraId="5DE0E1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0.46~0.70</w:t>
                  </w:r>
                </w:p>
              </w:tc>
            </w:tr>
            <w:tr w14:paraId="082BBC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jc w:val="center"/>
              </w:trPr>
              <w:tc>
                <w:tcPr>
                  <w:tcW w:w="2473" w:type="dxa"/>
                  <w:vMerge w:val="continue"/>
                  <w:tcBorders>
                    <w:tl2br w:val="nil"/>
                    <w:tr2bl w:val="nil"/>
                  </w:tcBorders>
                  <w:shd w:val="clear" w:color="auto" w:fill="FFFFFF"/>
                  <w:tcMar>
                    <w:top w:w="0" w:type="dxa"/>
                    <w:left w:w="0" w:type="dxa"/>
                    <w:bottom w:w="0" w:type="dxa"/>
                    <w:right w:w="0" w:type="dxa"/>
                  </w:tcMar>
                  <w:vAlign w:val="center"/>
                </w:tcPr>
                <w:p w14:paraId="2BF2B05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659" w:type="dxa"/>
                  <w:tcBorders>
                    <w:tl2br w:val="nil"/>
                    <w:tr2bl w:val="nil"/>
                  </w:tcBorders>
                  <w:shd w:val="clear" w:color="auto" w:fill="FFFFFF"/>
                  <w:tcMar>
                    <w:top w:w="0" w:type="dxa"/>
                    <w:left w:w="0" w:type="dxa"/>
                    <w:bottom w:w="0" w:type="dxa"/>
                    <w:right w:w="0" w:type="dxa"/>
                  </w:tcMar>
                  <w:vAlign w:val="center"/>
                </w:tcPr>
                <w:p w14:paraId="277566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2025.2.19</w:t>
                  </w:r>
                </w:p>
              </w:tc>
              <w:tc>
                <w:tcPr>
                  <w:tcW w:w="1523" w:type="dxa"/>
                  <w:tcBorders>
                    <w:tl2br w:val="nil"/>
                    <w:tr2bl w:val="nil"/>
                  </w:tcBorders>
                  <w:shd w:val="clear" w:color="auto" w:fill="FFFFFF"/>
                  <w:tcMar>
                    <w:top w:w="0" w:type="dxa"/>
                    <w:left w:w="0" w:type="dxa"/>
                    <w:bottom w:w="0" w:type="dxa"/>
                    <w:right w:w="0" w:type="dxa"/>
                  </w:tcMar>
                  <w:vAlign w:val="center"/>
                </w:tcPr>
                <w:p w14:paraId="110A5D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235</w:t>
                  </w:r>
                </w:p>
              </w:tc>
              <w:tc>
                <w:tcPr>
                  <w:tcW w:w="2239" w:type="dxa"/>
                  <w:tcBorders>
                    <w:tl2br w:val="nil"/>
                    <w:tr2bl w:val="nil"/>
                  </w:tcBorders>
                  <w:shd w:val="clear" w:color="auto" w:fill="FFFFFF"/>
                  <w:tcMar>
                    <w:top w:w="0" w:type="dxa"/>
                    <w:left w:w="0" w:type="dxa"/>
                    <w:bottom w:w="0" w:type="dxa"/>
                    <w:right w:w="0" w:type="dxa"/>
                  </w:tcMar>
                  <w:vAlign w:val="center"/>
                </w:tcPr>
                <w:p w14:paraId="13615F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0.44~0.52</w:t>
                  </w:r>
                </w:p>
              </w:tc>
            </w:tr>
            <w:tr w14:paraId="03C87A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jc w:val="center"/>
              </w:trPr>
              <w:tc>
                <w:tcPr>
                  <w:tcW w:w="2473" w:type="dxa"/>
                  <w:vMerge w:val="continue"/>
                  <w:tcBorders>
                    <w:tl2br w:val="nil"/>
                    <w:tr2bl w:val="nil"/>
                  </w:tcBorders>
                  <w:shd w:val="clear" w:color="auto" w:fill="FFFFFF"/>
                  <w:tcMar>
                    <w:top w:w="0" w:type="dxa"/>
                    <w:left w:w="0" w:type="dxa"/>
                    <w:bottom w:w="0" w:type="dxa"/>
                    <w:right w:w="0" w:type="dxa"/>
                  </w:tcMar>
                  <w:vAlign w:val="center"/>
                </w:tcPr>
                <w:p w14:paraId="5BB03C3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659" w:type="dxa"/>
                  <w:tcBorders>
                    <w:tl2br w:val="nil"/>
                    <w:tr2bl w:val="nil"/>
                  </w:tcBorders>
                  <w:shd w:val="clear" w:color="auto" w:fill="FFFFFF"/>
                  <w:tcMar>
                    <w:top w:w="0" w:type="dxa"/>
                    <w:left w:w="0" w:type="dxa"/>
                    <w:bottom w:w="0" w:type="dxa"/>
                    <w:right w:w="0" w:type="dxa"/>
                  </w:tcMar>
                  <w:vAlign w:val="center"/>
                </w:tcPr>
                <w:p w14:paraId="126CAA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2025.2.20</w:t>
                  </w:r>
                </w:p>
              </w:tc>
              <w:tc>
                <w:tcPr>
                  <w:tcW w:w="1523" w:type="dxa"/>
                  <w:tcBorders>
                    <w:tl2br w:val="nil"/>
                    <w:tr2bl w:val="nil"/>
                  </w:tcBorders>
                  <w:shd w:val="clear" w:color="auto" w:fill="FFFFFF"/>
                  <w:tcMar>
                    <w:top w:w="0" w:type="dxa"/>
                    <w:left w:w="0" w:type="dxa"/>
                    <w:bottom w:w="0" w:type="dxa"/>
                    <w:right w:w="0" w:type="dxa"/>
                  </w:tcMar>
                  <w:vAlign w:val="center"/>
                </w:tcPr>
                <w:p w14:paraId="18ADCA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222</w:t>
                  </w:r>
                </w:p>
              </w:tc>
              <w:tc>
                <w:tcPr>
                  <w:tcW w:w="2239" w:type="dxa"/>
                  <w:tcBorders>
                    <w:tl2br w:val="nil"/>
                    <w:tr2bl w:val="nil"/>
                  </w:tcBorders>
                  <w:shd w:val="clear" w:color="auto" w:fill="FFFFFF"/>
                  <w:tcMar>
                    <w:top w:w="0" w:type="dxa"/>
                    <w:left w:w="0" w:type="dxa"/>
                    <w:bottom w:w="0" w:type="dxa"/>
                    <w:right w:w="0" w:type="dxa"/>
                  </w:tcMar>
                  <w:vAlign w:val="center"/>
                </w:tcPr>
                <w:p w14:paraId="4B3455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0.44~0.53</w:t>
                  </w:r>
                </w:p>
              </w:tc>
            </w:tr>
            <w:tr w14:paraId="245C20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jc w:val="center"/>
              </w:trPr>
              <w:tc>
                <w:tcPr>
                  <w:tcW w:w="2473" w:type="dxa"/>
                  <w:vMerge w:val="continue"/>
                  <w:tcBorders>
                    <w:tl2br w:val="nil"/>
                    <w:tr2bl w:val="nil"/>
                  </w:tcBorders>
                  <w:shd w:val="clear" w:color="auto" w:fill="FFFFFF"/>
                  <w:tcMar>
                    <w:top w:w="0" w:type="dxa"/>
                    <w:left w:w="0" w:type="dxa"/>
                    <w:bottom w:w="0" w:type="dxa"/>
                    <w:right w:w="0" w:type="dxa"/>
                  </w:tcMar>
                  <w:vAlign w:val="center"/>
                </w:tcPr>
                <w:p w14:paraId="3099515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659" w:type="dxa"/>
                  <w:tcBorders>
                    <w:tl2br w:val="nil"/>
                    <w:tr2bl w:val="nil"/>
                  </w:tcBorders>
                  <w:shd w:val="clear" w:color="auto" w:fill="FFFFFF"/>
                  <w:tcMar>
                    <w:top w:w="0" w:type="dxa"/>
                    <w:left w:w="0" w:type="dxa"/>
                    <w:bottom w:w="0" w:type="dxa"/>
                    <w:right w:w="0" w:type="dxa"/>
                  </w:tcMar>
                  <w:vAlign w:val="center"/>
                </w:tcPr>
                <w:p w14:paraId="300BF2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2025.2.21</w:t>
                  </w:r>
                </w:p>
              </w:tc>
              <w:tc>
                <w:tcPr>
                  <w:tcW w:w="1523" w:type="dxa"/>
                  <w:tcBorders>
                    <w:tl2br w:val="nil"/>
                    <w:tr2bl w:val="nil"/>
                  </w:tcBorders>
                  <w:shd w:val="clear" w:color="auto" w:fill="FFFFFF"/>
                  <w:tcMar>
                    <w:top w:w="0" w:type="dxa"/>
                    <w:left w:w="0" w:type="dxa"/>
                    <w:bottom w:w="0" w:type="dxa"/>
                    <w:right w:w="0" w:type="dxa"/>
                  </w:tcMar>
                  <w:vAlign w:val="center"/>
                </w:tcPr>
                <w:p w14:paraId="0A1986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230</w:t>
                  </w:r>
                </w:p>
              </w:tc>
              <w:tc>
                <w:tcPr>
                  <w:tcW w:w="2239" w:type="dxa"/>
                  <w:tcBorders>
                    <w:tl2br w:val="nil"/>
                    <w:tr2bl w:val="nil"/>
                  </w:tcBorders>
                  <w:shd w:val="clear" w:color="auto" w:fill="FFFFFF"/>
                  <w:tcMar>
                    <w:top w:w="0" w:type="dxa"/>
                    <w:left w:w="0" w:type="dxa"/>
                    <w:bottom w:w="0" w:type="dxa"/>
                    <w:right w:w="0" w:type="dxa"/>
                  </w:tcMar>
                  <w:vAlign w:val="center"/>
                </w:tcPr>
                <w:p w14:paraId="52DBA6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0.36~0.52</w:t>
                  </w:r>
                </w:p>
              </w:tc>
            </w:tr>
            <w:tr w14:paraId="0F666B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jc w:val="center"/>
              </w:trPr>
              <w:tc>
                <w:tcPr>
                  <w:tcW w:w="2473" w:type="dxa"/>
                  <w:vMerge w:val="continue"/>
                  <w:tcBorders>
                    <w:tl2br w:val="nil"/>
                    <w:tr2bl w:val="nil"/>
                  </w:tcBorders>
                  <w:shd w:val="clear" w:color="auto" w:fill="FFFFFF"/>
                  <w:tcMar>
                    <w:top w:w="0" w:type="dxa"/>
                    <w:left w:w="0" w:type="dxa"/>
                    <w:bottom w:w="0" w:type="dxa"/>
                    <w:right w:w="0" w:type="dxa"/>
                  </w:tcMar>
                  <w:vAlign w:val="center"/>
                </w:tcPr>
                <w:p w14:paraId="4FCEDDE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659" w:type="dxa"/>
                  <w:tcBorders>
                    <w:tl2br w:val="nil"/>
                    <w:tr2bl w:val="nil"/>
                  </w:tcBorders>
                  <w:shd w:val="clear" w:color="auto" w:fill="FFFFFF"/>
                  <w:tcMar>
                    <w:top w:w="0" w:type="dxa"/>
                    <w:left w:w="0" w:type="dxa"/>
                    <w:bottom w:w="0" w:type="dxa"/>
                    <w:right w:w="0" w:type="dxa"/>
                  </w:tcMar>
                  <w:vAlign w:val="center"/>
                </w:tcPr>
                <w:p w14:paraId="1A8F14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2025.2.22</w:t>
                  </w:r>
                </w:p>
              </w:tc>
              <w:tc>
                <w:tcPr>
                  <w:tcW w:w="1523" w:type="dxa"/>
                  <w:tcBorders>
                    <w:tl2br w:val="nil"/>
                    <w:tr2bl w:val="nil"/>
                  </w:tcBorders>
                  <w:shd w:val="clear" w:color="auto" w:fill="FFFFFF"/>
                  <w:tcMar>
                    <w:top w:w="0" w:type="dxa"/>
                    <w:left w:w="0" w:type="dxa"/>
                    <w:bottom w:w="0" w:type="dxa"/>
                    <w:right w:w="0" w:type="dxa"/>
                  </w:tcMar>
                  <w:vAlign w:val="center"/>
                </w:tcPr>
                <w:p w14:paraId="0A5BC5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229</w:t>
                  </w:r>
                </w:p>
              </w:tc>
              <w:tc>
                <w:tcPr>
                  <w:tcW w:w="2239" w:type="dxa"/>
                  <w:tcBorders>
                    <w:tl2br w:val="nil"/>
                    <w:tr2bl w:val="nil"/>
                  </w:tcBorders>
                  <w:shd w:val="clear" w:color="auto" w:fill="FFFFFF"/>
                  <w:tcMar>
                    <w:top w:w="0" w:type="dxa"/>
                    <w:left w:w="0" w:type="dxa"/>
                    <w:bottom w:w="0" w:type="dxa"/>
                    <w:right w:w="0" w:type="dxa"/>
                  </w:tcMar>
                  <w:vAlign w:val="center"/>
                </w:tcPr>
                <w:p w14:paraId="3F925D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0.46~0.57</w:t>
                  </w:r>
                </w:p>
              </w:tc>
            </w:tr>
            <w:tr w14:paraId="491867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jc w:val="center"/>
              </w:trPr>
              <w:tc>
                <w:tcPr>
                  <w:tcW w:w="2473" w:type="dxa"/>
                  <w:vMerge w:val="continue"/>
                  <w:tcBorders>
                    <w:tl2br w:val="nil"/>
                    <w:tr2bl w:val="nil"/>
                  </w:tcBorders>
                  <w:shd w:val="clear" w:color="auto" w:fill="FFFFFF"/>
                  <w:tcMar>
                    <w:top w:w="0" w:type="dxa"/>
                    <w:left w:w="0" w:type="dxa"/>
                    <w:bottom w:w="0" w:type="dxa"/>
                    <w:right w:w="0" w:type="dxa"/>
                  </w:tcMar>
                  <w:vAlign w:val="center"/>
                </w:tcPr>
                <w:p w14:paraId="2ECB486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659" w:type="dxa"/>
                  <w:tcBorders>
                    <w:tl2br w:val="nil"/>
                    <w:tr2bl w:val="nil"/>
                  </w:tcBorders>
                  <w:shd w:val="clear" w:color="auto" w:fill="FFFFFF"/>
                  <w:tcMar>
                    <w:top w:w="0" w:type="dxa"/>
                    <w:left w:w="0" w:type="dxa"/>
                    <w:bottom w:w="0" w:type="dxa"/>
                    <w:right w:w="0" w:type="dxa"/>
                  </w:tcMar>
                  <w:vAlign w:val="center"/>
                </w:tcPr>
                <w:p w14:paraId="4BB2E1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2025.2.23</w:t>
                  </w:r>
                </w:p>
              </w:tc>
              <w:tc>
                <w:tcPr>
                  <w:tcW w:w="1523" w:type="dxa"/>
                  <w:tcBorders>
                    <w:tl2br w:val="nil"/>
                    <w:tr2bl w:val="nil"/>
                  </w:tcBorders>
                  <w:shd w:val="clear" w:color="auto" w:fill="FFFFFF"/>
                  <w:tcMar>
                    <w:top w:w="0" w:type="dxa"/>
                    <w:left w:w="0" w:type="dxa"/>
                    <w:bottom w:w="0" w:type="dxa"/>
                    <w:right w:w="0" w:type="dxa"/>
                  </w:tcMar>
                  <w:vAlign w:val="center"/>
                </w:tcPr>
                <w:p w14:paraId="6D6364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233</w:t>
                  </w:r>
                </w:p>
              </w:tc>
              <w:tc>
                <w:tcPr>
                  <w:tcW w:w="2239" w:type="dxa"/>
                  <w:tcBorders>
                    <w:tl2br w:val="nil"/>
                    <w:tr2bl w:val="nil"/>
                  </w:tcBorders>
                  <w:shd w:val="clear" w:color="auto" w:fill="FFFFFF"/>
                  <w:tcMar>
                    <w:top w:w="0" w:type="dxa"/>
                    <w:left w:w="0" w:type="dxa"/>
                    <w:bottom w:w="0" w:type="dxa"/>
                    <w:right w:w="0" w:type="dxa"/>
                  </w:tcMar>
                  <w:vAlign w:val="center"/>
                </w:tcPr>
                <w:p w14:paraId="6E22CF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0.46~0.55</w:t>
                  </w:r>
                </w:p>
              </w:tc>
            </w:tr>
            <w:tr w14:paraId="16DD0D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jc w:val="center"/>
              </w:trPr>
              <w:tc>
                <w:tcPr>
                  <w:tcW w:w="2473" w:type="dxa"/>
                  <w:tcBorders>
                    <w:tl2br w:val="nil"/>
                    <w:tr2bl w:val="nil"/>
                  </w:tcBorders>
                  <w:shd w:val="clear" w:color="auto" w:fill="FFFFFF"/>
                  <w:tcMar>
                    <w:top w:w="0" w:type="dxa"/>
                    <w:left w:w="0" w:type="dxa"/>
                    <w:bottom w:w="0" w:type="dxa"/>
                    <w:right w:w="0" w:type="dxa"/>
                  </w:tcMar>
                  <w:vAlign w:val="center"/>
                </w:tcPr>
                <w:p w14:paraId="585CD6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标准限值</w:t>
                  </w:r>
                </w:p>
              </w:tc>
              <w:tc>
                <w:tcPr>
                  <w:tcW w:w="1659" w:type="dxa"/>
                  <w:tcBorders>
                    <w:tl2br w:val="nil"/>
                    <w:tr2bl w:val="nil"/>
                  </w:tcBorders>
                  <w:shd w:val="clear" w:color="auto" w:fill="FFFFFF"/>
                  <w:tcMar>
                    <w:top w:w="0" w:type="dxa"/>
                    <w:left w:w="0" w:type="dxa"/>
                    <w:bottom w:w="0" w:type="dxa"/>
                    <w:right w:w="0" w:type="dxa"/>
                  </w:tcMar>
                  <w:vAlign w:val="center"/>
                </w:tcPr>
                <w:p w14:paraId="57A5148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523" w:type="dxa"/>
                  <w:tcBorders>
                    <w:tl2br w:val="nil"/>
                    <w:tr2bl w:val="nil"/>
                  </w:tcBorders>
                  <w:shd w:val="clear" w:color="auto" w:fill="FFFFFF"/>
                  <w:tcMar>
                    <w:top w:w="0" w:type="dxa"/>
                    <w:left w:w="0" w:type="dxa"/>
                    <w:bottom w:w="0" w:type="dxa"/>
                    <w:right w:w="0" w:type="dxa"/>
                  </w:tcMar>
                  <w:vAlign w:val="center"/>
                </w:tcPr>
                <w:p w14:paraId="51D209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300</w:t>
                  </w:r>
                </w:p>
              </w:tc>
              <w:tc>
                <w:tcPr>
                  <w:tcW w:w="2239" w:type="dxa"/>
                  <w:tcBorders>
                    <w:tl2br w:val="nil"/>
                    <w:tr2bl w:val="nil"/>
                  </w:tcBorders>
                  <w:shd w:val="clear" w:color="auto" w:fill="FFFFFF"/>
                  <w:tcMar>
                    <w:top w:w="0" w:type="dxa"/>
                    <w:left w:w="0" w:type="dxa"/>
                    <w:bottom w:w="0" w:type="dxa"/>
                    <w:right w:w="0" w:type="dxa"/>
                  </w:tcMar>
                  <w:vAlign w:val="center"/>
                </w:tcPr>
                <w:p w14:paraId="693454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2.0</w:t>
                  </w:r>
                </w:p>
              </w:tc>
            </w:tr>
            <w:tr w14:paraId="55327A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jc w:val="center"/>
              </w:trPr>
              <w:tc>
                <w:tcPr>
                  <w:tcW w:w="2473" w:type="dxa"/>
                  <w:tcBorders>
                    <w:tl2br w:val="nil"/>
                    <w:tr2bl w:val="nil"/>
                  </w:tcBorders>
                  <w:shd w:val="clear" w:color="auto" w:fill="FFFFFF"/>
                  <w:tcMar>
                    <w:top w:w="0" w:type="dxa"/>
                    <w:left w:w="0" w:type="dxa"/>
                    <w:bottom w:w="0" w:type="dxa"/>
                    <w:right w:w="0" w:type="dxa"/>
                  </w:tcMar>
                  <w:vAlign w:val="center"/>
                </w:tcPr>
                <w:p w14:paraId="30CBC6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浓度范围</w:t>
                  </w:r>
                </w:p>
              </w:tc>
              <w:tc>
                <w:tcPr>
                  <w:tcW w:w="1659" w:type="dxa"/>
                  <w:tcBorders>
                    <w:tl2br w:val="nil"/>
                    <w:tr2bl w:val="nil"/>
                  </w:tcBorders>
                  <w:shd w:val="clear" w:color="auto" w:fill="FFFFFF"/>
                  <w:tcMar>
                    <w:top w:w="0" w:type="dxa"/>
                    <w:left w:w="0" w:type="dxa"/>
                    <w:bottom w:w="0" w:type="dxa"/>
                    <w:right w:w="0" w:type="dxa"/>
                  </w:tcMar>
                  <w:vAlign w:val="center"/>
                </w:tcPr>
                <w:p w14:paraId="587A7CF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523" w:type="dxa"/>
                  <w:tcBorders>
                    <w:tl2br w:val="nil"/>
                    <w:tr2bl w:val="nil"/>
                  </w:tcBorders>
                  <w:shd w:val="clear" w:color="auto" w:fill="FFFFFF"/>
                  <w:tcMar>
                    <w:top w:w="0" w:type="dxa"/>
                    <w:left w:w="0" w:type="dxa"/>
                    <w:bottom w:w="0" w:type="dxa"/>
                    <w:right w:w="0" w:type="dxa"/>
                  </w:tcMar>
                  <w:vAlign w:val="center"/>
                </w:tcPr>
                <w:p w14:paraId="76BD1D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222~235</w:t>
                  </w:r>
                </w:p>
              </w:tc>
              <w:tc>
                <w:tcPr>
                  <w:tcW w:w="2239" w:type="dxa"/>
                  <w:tcBorders>
                    <w:tl2br w:val="nil"/>
                    <w:tr2bl w:val="nil"/>
                  </w:tcBorders>
                  <w:shd w:val="clear" w:color="auto" w:fill="FFFFFF"/>
                  <w:tcMar>
                    <w:top w:w="0" w:type="dxa"/>
                    <w:left w:w="0" w:type="dxa"/>
                    <w:bottom w:w="0" w:type="dxa"/>
                    <w:right w:w="0" w:type="dxa"/>
                  </w:tcMar>
                  <w:vAlign w:val="center"/>
                </w:tcPr>
                <w:p w14:paraId="7AEE17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0.36~0.70</w:t>
                  </w:r>
                </w:p>
              </w:tc>
            </w:tr>
            <w:tr w14:paraId="78D908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jc w:val="center"/>
              </w:trPr>
              <w:tc>
                <w:tcPr>
                  <w:tcW w:w="2473" w:type="dxa"/>
                  <w:tcBorders>
                    <w:tl2br w:val="nil"/>
                    <w:tr2bl w:val="nil"/>
                  </w:tcBorders>
                  <w:shd w:val="clear" w:color="auto" w:fill="FFFFFF"/>
                  <w:tcMar>
                    <w:top w:w="0" w:type="dxa"/>
                    <w:left w:w="0" w:type="dxa"/>
                    <w:bottom w:w="0" w:type="dxa"/>
                    <w:right w:w="0" w:type="dxa"/>
                  </w:tcMar>
                  <w:vAlign w:val="center"/>
                </w:tcPr>
                <w:p w14:paraId="2713EE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最大浓度占标率（%）</w:t>
                  </w:r>
                </w:p>
              </w:tc>
              <w:tc>
                <w:tcPr>
                  <w:tcW w:w="1659" w:type="dxa"/>
                  <w:tcBorders>
                    <w:tl2br w:val="nil"/>
                    <w:tr2bl w:val="nil"/>
                  </w:tcBorders>
                  <w:shd w:val="clear" w:color="auto" w:fill="FFFFFF"/>
                  <w:tcMar>
                    <w:top w:w="0" w:type="dxa"/>
                    <w:left w:w="0" w:type="dxa"/>
                    <w:bottom w:w="0" w:type="dxa"/>
                    <w:right w:w="0" w:type="dxa"/>
                  </w:tcMar>
                  <w:vAlign w:val="center"/>
                </w:tcPr>
                <w:p w14:paraId="7808B44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523" w:type="dxa"/>
                  <w:tcBorders>
                    <w:tl2br w:val="nil"/>
                    <w:tr2bl w:val="nil"/>
                  </w:tcBorders>
                  <w:shd w:val="clear" w:color="auto" w:fill="FFFFFF"/>
                  <w:tcMar>
                    <w:top w:w="0" w:type="dxa"/>
                    <w:left w:w="0" w:type="dxa"/>
                    <w:bottom w:w="0" w:type="dxa"/>
                    <w:right w:w="0" w:type="dxa"/>
                  </w:tcMar>
                  <w:vAlign w:val="center"/>
                </w:tcPr>
                <w:p w14:paraId="27F954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78.3</w:t>
                  </w:r>
                </w:p>
              </w:tc>
              <w:tc>
                <w:tcPr>
                  <w:tcW w:w="2239" w:type="dxa"/>
                  <w:tcBorders>
                    <w:tl2br w:val="nil"/>
                    <w:tr2bl w:val="nil"/>
                  </w:tcBorders>
                  <w:shd w:val="clear" w:color="auto" w:fill="FFFFFF"/>
                  <w:tcMar>
                    <w:top w:w="0" w:type="dxa"/>
                    <w:left w:w="0" w:type="dxa"/>
                    <w:bottom w:w="0" w:type="dxa"/>
                    <w:right w:w="0" w:type="dxa"/>
                  </w:tcMar>
                  <w:vAlign w:val="center"/>
                </w:tcPr>
                <w:p w14:paraId="70E829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35.0</w:t>
                  </w:r>
                </w:p>
              </w:tc>
            </w:tr>
            <w:tr w14:paraId="66F239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jc w:val="center"/>
              </w:trPr>
              <w:tc>
                <w:tcPr>
                  <w:tcW w:w="2473" w:type="dxa"/>
                  <w:tcBorders>
                    <w:tl2br w:val="nil"/>
                    <w:tr2bl w:val="nil"/>
                  </w:tcBorders>
                  <w:shd w:val="clear" w:color="auto" w:fill="FFFFFF"/>
                  <w:tcMar>
                    <w:top w:w="0" w:type="dxa"/>
                    <w:left w:w="0" w:type="dxa"/>
                    <w:bottom w:w="0" w:type="dxa"/>
                    <w:right w:w="0" w:type="dxa"/>
                  </w:tcMar>
                  <w:vAlign w:val="center"/>
                </w:tcPr>
                <w:p w14:paraId="716738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超标率（%）</w:t>
                  </w:r>
                </w:p>
              </w:tc>
              <w:tc>
                <w:tcPr>
                  <w:tcW w:w="1659" w:type="dxa"/>
                  <w:tcBorders>
                    <w:tl2br w:val="nil"/>
                    <w:tr2bl w:val="nil"/>
                  </w:tcBorders>
                  <w:shd w:val="clear" w:color="auto" w:fill="FFFFFF"/>
                  <w:tcMar>
                    <w:top w:w="0" w:type="dxa"/>
                    <w:left w:w="0" w:type="dxa"/>
                    <w:bottom w:w="0" w:type="dxa"/>
                    <w:right w:w="0" w:type="dxa"/>
                  </w:tcMar>
                  <w:vAlign w:val="center"/>
                </w:tcPr>
                <w:p w14:paraId="6F46C26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p>
              </w:tc>
              <w:tc>
                <w:tcPr>
                  <w:tcW w:w="1523" w:type="dxa"/>
                  <w:tcBorders>
                    <w:tl2br w:val="nil"/>
                    <w:tr2bl w:val="nil"/>
                  </w:tcBorders>
                  <w:shd w:val="clear" w:color="auto" w:fill="FFFFFF"/>
                  <w:tcMar>
                    <w:top w:w="0" w:type="dxa"/>
                    <w:left w:w="0" w:type="dxa"/>
                    <w:bottom w:w="0" w:type="dxa"/>
                    <w:right w:w="0" w:type="dxa"/>
                  </w:tcMar>
                  <w:vAlign w:val="center"/>
                </w:tcPr>
                <w:p w14:paraId="1ABCB3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0</w:t>
                  </w:r>
                </w:p>
              </w:tc>
              <w:tc>
                <w:tcPr>
                  <w:tcW w:w="2239" w:type="dxa"/>
                  <w:tcBorders>
                    <w:tl2br w:val="nil"/>
                    <w:tr2bl w:val="nil"/>
                  </w:tcBorders>
                  <w:shd w:val="clear" w:color="auto" w:fill="FFFFFF"/>
                  <w:tcMar>
                    <w:top w:w="0" w:type="dxa"/>
                    <w:left w:w="0" w:type="dxa"/>
                    <w:bottom w:w="0" w:type="dxa"/>
                    <w:right w:w="0" w:type="dxa"/>
                  </w:tcMar>
                  <w:vAlign w:val="center"/>
                </w:tcPr>
                <w:p w14:paraId="120BB3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kern w:val="0"/>
                      <w:sz w:val="21"/>
                      <w:szCs w:val="21"/>
                      <w:lang w:val="en-US" w:eastAsia="zh-CN" w:bidi="ar"/>
                    </w:rPr>
                    <w:t>0</w:t>
                  </w:r>
                </w:p>
              </w:tc>
            </w:tr>
          </w:tbl>
          <w:p w14:paraId="7A0B86C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eastAsia="宋体" w:cs="Times New Roman"/>
                <w:b/>
                <w:bCs w:val="0"/>
                <w:color w:val="auto"/>
                <w:spacing w:val="0"/>
                <w:kern w:val="2"/>
                <w:position w:val="0"/>
                <w:sz w:val="24"/>
                <w:szCs w:val="24"/>
                <w:highlight w:val="none"/>
                <w:lang w:val="en-US" w:eastAsia="zh-CN" w:bidi="ar-SA"/>
              </w:rPr>
              <w:t>（6）现状监测结果分析</w:t>
            </w:r>
          </w:p>
          <w:p w14:paraId="53CD606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eastAsia="宋体" w:cs="Times New Roman"/>
                <w:b w:val="0"/>
                <w:bCs/>
                <w:color w:val="auto"/>
                <w:spacing w:val="0"/>
                <w:kern w:val="2"/>
                <w:position w:val="0"/>
                <w:sz w:val="24"/>
                <w:szCs w:val="24"/>
                <w:highlight w:val="none"/>
                <w:lang w:val="en-US" w:eastAsia="zh-CN" w:bidi="ar-SA"/>
              </w:rPr>
              <w:t>由表3-</w:t>
            </w:r>
            <w:r>
              <w:rPr>
                <w:rFonts w:hint="eastAsia" w:cs="Times New Roman"/>
                <w:b w:val="0"/>
                <w:bCs/>
                <w:color w:val="auto"/>
                <w:spacing w:val="0"/>
                <w:kern w:val="2"/>
                <w:position w:val="0"/>
                <w:sz w:val="24"/>
                <w:szCs w:val="24"/>
                <w:highlight w:val="none"/>
                <w:lang w:val="en-US" w:eastAsia="zh-CN" w:bidi="ar-SA"/>
              </w:rPr>
              <w:t>5</w:t>
            </w:r>
            <w:r>
              <w:rPr>
                <w:rFonts w:hint="default" w:ascii="Times New Roman" w:hAnsi="Times New Roman" w:eastAsia="宋体" w:cs="Times New Roman"/>
                <w:b w:val="0"/>
                <w:bCs/>
                <w:color w:val="auto"/>
                <w:spacing w:val="0"/>
                <w:kern w:val="2"/>
                <w:position w:val="0"/>
                <w:sz w:val="24"/>
                <w:szCs w:val="24"/>
                <w:highlight w:val="none"/>
                <w:lang w:val="en-US" w:eastAsia="zh-CN" w:bidi="ar-SA"/>
              </w:rPr>
              <w:t>可以看出：评价区域内大气环境监测结果表明，项目区下风向TSP日均值浓度范围为222~235μg/m³，最大浓度占标率为78.3%，满足《环境空气质量标准》（GB3095-2012）二级标准限值（日均值300μg/m³）要求；非甲烷总烃小时浓度范围为0.36~0.70mg/m³，最大浓度占标率为35.0%，满足参照执行的《大气污染物综合排放标准详解》中推荐值（2.0mg/m³）限值要求。区域内其他污染物环境空气质量现状良好。</w:t>
            </w:r>
          </w:p>
          <w:p w14:paraId="2DC9ED25">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eastAsia="宋体" w:cs="Times New Roman"/>
                <w:b/>
                <w:bCs w:val="0"/>
                <w:color w:val="auto"/>
                <w:spacing w:val="0"/>
                <w:kern w:val="2"/>
                <w:position w:val="0"/>
                <w:sz w:val="24"/>
                <w:szCs w:val="24"/>
                <w:highlight w:val="none"/>
                <w:lang w:val="en-US" w:eastAsia="zh-CN" w:bidi="ar-SA"/>
              </w:rPr>
              <w:t>（7）引用数据有效性分析</w:t>
            </w:r>
          </w:p>
          <w:p w14:paraId="6C0F177B">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Segoe UI" w:hAnsi="Segoe UI" w:eastAsia="Segoe UI" w:cs="Segoe UI"/>
                <w:i w:val="0"/>
                <w:iCs w:val="0"/>
                <w:caps w:val="0"/>
                <w:color w:val="auto"/>
                <w:spacing w:val="0"/>
                <w:sz w:val="19"/>
                <w:szCs w:val="19"/>
              </w:rPr>
            </w:pPr>
            <w:r>
              <w:rPr>
                <w:rFonts w:hint="default" w:ascii="Times New Roman" w:hAnsi="Times New Roman" w:eastAsia="宋体" w:cs="Times New Roman"/>
                <w:b w:val="0"/>
                <w:bCs/>
                <w:color w:val="auto"/>
                <w:spacing w:val="0"/>
                <w:kern w:val="2"/>
                <w:position w:val="0"/>
                <w:sz w:val="24"/>
                <w:szCs w:val="24"/>
                <w:highlight w:val="none"/>
                <w:lang w:val="en-US" w:eastAsia="zh-CN" w:bidi="ar-SA"/>
              </w:rPr>
              <w:t>本项目引用的监测数据监测时间为2025年2月17日～2月23日，符合《环境影响评价技术导则 大气环境》（HJ2.2-2018）中“近3年内”的有效性要求。监测点位位于本项目东北侧约903m处，处于同一大气环境评价范围内（厂界外2.5km为边长的矩形区域），监测时段内该区域污染源未发生重大变化，区域环境空气质量现状未发生显著改变，引用数据能够代表本项目所在区域的环境空气质量现状，数据引用有效。</w:t>
            </w:r>
          </w:p>
          <w:p w14:paraId="66A40C69">
            <w:pPr>
              <w:pStyle w:val="7"/>
              <w:pageBreakBefore w:val="0"/>
              <w:shd w:val="clear"/>
              <w:kinsoku/>
              <w:topLinePunct w:val="0"/>
              <w:bidi w:val="0"/>
              <w:spacing w:beforeLines="0" w:beforeAutospacing="0" w:afterLines="0" w:afterAutospacing="0" w:line="360" w:lineRule="auto"/>
              <w:ind w:left="0" w:leftChars="0" w:right="0" w:rightChars="0" w:firstLine="0" w:firstLineChars="0"/>
              <w:jc w:val="both"/>
              <w:outlineLvl w:val="1"/>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2.</w:t>
            </w:r>
            <w:r>
              <w:rPr>
                <w:rFonts w:hint="default" w:ascii="Times New Roman" w:hAnsi="Times New Roman" w:eastAsia="宋体" w:cs="Times New Roman"/>
                <w:b/>
                <w:bCs/>
                <w:color w:val="auto"/>
                <w:spacing w:val="0"/>
                <w:position w:val="0"/>
                <w:sz w:val="24"/>
                <w:szCs w:val="24"/>
                <w:highlight w:val="none"/>
              </w:rPr>
              <w:t>水环境质量现状调查与评价</w:t>
            </w:r>
          </w:p>
          <w:p w14:paraId="5476A962">
            <w:pPr>
              <w:keepNext/>
              <w:keepLines w:val="0"/>
              <w:pageBreakBefore w:val="0"/>
              <w:widowControl w:val="0"/>
              <w:shd w:val="clear"/>
              <w:kinsoku/>
              <w:wordWrap/>
              <w:overflowPunct w:val="0"/>
              <w:topLinePunct w:val="0"/>
              <w:autoSpaceDE w:val="0"/>
              <w:autoSpaceDN w:val="0"/>
              <w:bidi w:val="0"/>
              <w:adjustRightInd w:val="0"/>
              <w:snapToGrid w:val="0"/>
              <w:spacing w:beforeAutospacing="0" w:afterAutospacing="0" w:line="360" w:lineRule="auto"/>
              <w:ind w:left="0" w:leftChars="0" w:right="0" w:rightChars="0" w:firstLine="480" w:firstLineChars="200"/>
              <w:jc w:val="both"/>
              <w:textAlignment w:val="auto"/>
              <w:outlineLvl w:val="2"/>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eastAsia="宋体" w:cs="Times New Roman"/>
                <w:b w:val="0"/>
                <w:bCs/>
                <w:color w:val="auto"/>
                <w:spacing w:val="0"/>
                <w:kern w:val="2"/>
                <w:position w:val="0"/>
                <w:sz w:val="24"/>
                <w:szCs w:val="24"/>
                <w:highlight w:val="none"/>
                <w:lang w:val="en-US" w:eastAsia="zh-CN" w:bidi="ar-SA"/>
              </w:rPr>
              <w:t>厂界500m范围内无地表水环境敏感目标。本项目运行期无生产废水</w:t>
            </w:r>
            <w:r>
              <w:rPr>
                <w:rFonts w:hint="default" w:ascii="Times New Roman" w:hAnsi="Times New Roman" w:cs="Times New Roman"/>
                <w:b w:val="0"/>
                <w:bCs/>
                <w:color w:val="auto"/>
                <w:spacing w:val="0"/>
                <w:kern w:val="2"/>
                <w:position w:val="0"/>
                <w:sz w:val="24"/>
                <w:szCs w:val="24"/>
                <w:highlight w:val="none"/>
                <w:lang w:val="en-US" w:eastAsia="zh-CN" w:bidi="ar-SA"/>
              </w:rPr>
              <w:t>产生</w:t>
            </w:r>
            <w:r>
              <w:rPr>
                <w:rFonts w:hint="default" w:ascii="Times New Roman" w:hAnsi="Times New Roman" w:eastAsia="宋体" w:cs="Times New Roman"/>
                <w:b w:val="0"/>
                <w:bCs/>
                <w:color w:val="auto"/>
                <w:spacing w:val="0"/>
                <w:kern w:val="2"/>
                <w:position w:val="0"/>
                <w:sz w:val="24"/>
                <w:szCs w:val="24"/>
                <w:highlight w:val="none"/>
                <w:lang w:val="en-US" w:eastAsia="zh-CN" w:bidi="ar-SA"/>
              </w:rPr>
              <w:t>，生活废水排入园区污水管网，与地表水体无水力联系，且本项目生活污水排放为间接排放，根据《环境影响评价技术导则</w:t>
            </w:r>
            <w:r>
              <w:rPr>
                <w:rFonts w:hint="eastAsia" w:ascii="Times New Roman" w:hAnsi="Times New Roman" w:eastAsia="宋体" w:cs="Times New Roman"/>
                <w:b w:val="0"/>
                <w:bCs/>
                <w:color w:val="auto"/>
                <w:spacing w:val="0"/>
                <w:kern w:val="2"/>
                <w:position w:val="0"/>
                <w:sz w:val="24"/>
                <w:szCs w:val="24"/>
                <w:highlight w:val="none"/>
                <w:lang w:val="en-US" w:eastAsia="zh-CN" w:bidi="ar-SA"/>
              </w:rPr>
              <w:t>-</w:t>
            </w:r>
            <w:r>
              <w:rPr>
                <w:rFonts w:hint="default" w:ascii="Times New Roman" w:hAnsi="Times New Roman" w:eastAsia="宋体" w:cs="Times New Roman"/>
                <w:b w:val="0"/>
                <w:bCs/>
                <w:color w:val="auto"/>
                <w:spacing w:val="0"/>
                <w:kern w:val="2"/>
                <w:position w:val="0"/>
                <w:sz w:val="24"/>
                <w:szCs w:val="24"/>
                <w:highlight w:val="none"/>
                <w:lang w:val="en-US" w:eastAsia="zh-CN" w:bidi="ar-SA"/>
              </w:rPr>
              <w:t>地表水环境》（HJ2.3-2018），因此本项目地表水环境影响评价工作等级确定为三级B，可不开展区域</w:t>
            </w:r>
            <w:r>
              <w:rPr>
                <w:rFonts w:hint="default" w:ascii="Times New Roman" w:hAnsi="Times New Roman" w:cs="Times New Roman"/>
                <w:b w:val="0"/>
                <w:bCs/>
                <w:color w:val="auto"/>
                <w:spacing w:val="0"/>
                <w:kern w:val="2"/>
                <w:position w:val="0"/>
                <w:sz w:val="24"/>
                <w:szCs w:val="24"/>
                <w:highlight w:val="none"/>
                <w:lang w:val="en-US" w:eastAsia="zh-CN" w:bidi="ar-SA"/>
              </w:rPr>
              <w:t>地表水环境现状</w:t>
            </w:r>
            <w:r>
              <w:rPr>
                <w:rFonts w:hint="default" w:ascii="Times New Roman" w:hAnsi="Times New Roman" w:eastAsia="宋体" w:cs="Times New Roman"/>
                <w:b w:val="0"/>
                <w:bCs/>
                <w:color w:val="auto"/>
                <w:spacing w:val="0"/>
                <w:kern w:val="2"/>
                <w:position w:val="0"/>
                <w:sz w:val="24"/>
                <w:szCs w:val="24"/>
                <w:highlight w:val="none"/>
                <w:lang w:val="en-US" w:eastAsia="zh-CN" w:bidi="ar-SA"/>
              </w:rPr>
              <w:t>调查。因此本项目不对地表水环境现状进行调查。</w:t>
            </w:r>
          </w:p>
          <w:p w14:paraId="6D05F8F6">
            <w:pPr>
              <w:pStyle w:val="7"/>
              <w:pageBreakBefore w:val="0"/>
              <w:shd w:val="clear"/>
              <w:kinsoku/>
              <w:topLinePunct w:val="0"/>
              <w:bidi w:val="0"/>
              <w:spacing w:beforeLines="0" w:beforeAutospacing="0" w:afterLines="0" w:afterAutospacing="0" w:line="360" w:lineRule="auto"/>
              <w:ind w:left="0" w:leftChars="0" w:right="0" w:rightChars="0" w:firstLine="0" w:firstLineChars="0"/>
              <w:jc w:val="both"/>
              <w:outlineLvl w:val="1"/>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rPr>
              <w:t>3</w:t>
            </w:r>
            <w:r>
              <w:rPr>
                <w:rFonts w:hint="default" w:ascii="Times New Roman" w:hAnsi="Times New Roman" w:cs="Times New Roman"/>
                <w:b/>
                <w:bCs/>
                <w:color w:val="auto"/>
                <w:spacing w:val="0"/>
                <w:position w:val="0"/>
                <w:sz w:val="24"/>
                <w:szCs w:val="24"/>
                <w:highlight w:val="none"/>
                <w:lang w:val="en-US" w:eastAsia="zh-CN"/>
              </w:rPr>
              <w:t>.</w:t>
            </w:r>
            <w:r>
              <w:rPr>
                <w:rFonts w:hint="default" w:ascii="Times New Roman" w:hAnsi="Times New Roman" w:eastAsia="宋体" w:cs="Times New Roman"/>
                <w:b/>
                <w:bCs/>
                <w:color w:val="auto"/>
                <w:spacing w:val="0"/>
                <w:position w:val="0"/>
                <w:sz w:val="24"/>
                <w:szCs w:val="24"/>
                <w:highlight w:val="none"/>
              </w:rPr>
              <w:t>噪声环境质量现状与评价</w:t>
            </w:r>
          </w:p>
          <w:p w14:paraId="74FF1A6C">
            <w:pPr>
              <w:pageBreakBefore w:val="0"/>
              <w:shd w:val="clear"/>
              <w:kinsoku/>
              <w:topLinePunct w:val="0"/>
              <w:bidi w:val="0"/>
              <w:spacing w:beforeAutospacing="0" w:afterAutospacing="0" w:line="360" w:lineRule="auto"/>
              <w:ind w:left="0" w:leftChars="0" w:right="0" w:rightChars="0" w:firstLine="480"/>
              <w:jc w:val="both"/>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b w:val="0"/>
                <w:bCs/>
                <w:color w:val="auto"/>
                <w:spacing w:val="0"/>
                <w:kern w:val="2"/>
                <w:position w:val="0"/>
                <w:sz w:val="24"/>
                <w:szCs w:val="24"/>
                <w:highlight w:val="none"/>
                <w:lang w:val="en-US" w:eastAsia="zh-CN" w:bidi="ar-SA"/>
              </w:rPr>
              <w:t>本项目</w:t>
            </w:r>
            <w:r>
              <w:rPr>
                <w:rFonts w:hint="default" w:ascii="Times New Roman" w:hAnsi="Times New Roman" w:cs="Times New Roman"/>
                <w:b w:val="0"/>
                <w:bCs/>
                <w:color w:val="auto"/>
                <w:spacing w:val="0"/>
                <w:kern w:val="2"/>
                <w:position w:val="0"/>
                <w:sz w:val="24"/>
                <w:szCs w:val="24"/>
                <w:highlight w:val="none"/>
                <w:lang w:val="en-US" w:eastAsia="zh-CN" w:bidi="ar-SA"/>
              </w:rPr>
              <w:t>位于苏通小微企业创业园区内，</w:t>
            </w:r>
            <w:r>
              <w:rPr>
                <w:rFonts w:hint="default" w:ascii="Times New Roman" w:hAnsi="Times New Roman" w:eastAsia="宋体" w:cs="Times New Roman"/>
                <w:b w:val="0"/>
                <w:bCs/>
                <w:color w:val="auto"/>
                <w:spacing w:val="0"/>
                <w:kern w:val="2"/>
                <w:position w:val="0"/>
                <w:sz w:val="24"/>
                <w:szCs w:val="24"/>
                <w:highlight w:val="none"/>
                <w:lang w:val="en-US" w:eastAsia="zh-CN" w:bidi="ar-SA"/>
              </w:rPr>
              <w:t>属于《声环境质量标准》（GB3096-2008）中的3类声功能区。</w:t>
            </w:r>
            <w:r>
              <w:rPr>
                <w:rFonts w:hint="default" w:ascii="Times New Roman" w:hAnsi="Times New Roman" w:eastAsia="宋体" w:cs="Times New Roman"/>
                <w:color w:val="auto"/>
                <w:spacing w:val="0"/>
                <w:position w:val="0"/>
                <w:sz w:val="24"/>
                <w:szCs w:val="24"/>
                <w:highlight w:val="none"/>
              </w:rPr>
              <w:t>本项目厂界外50米，无</w:t>
            </w:r>
            <w:r>
              <w:rPr>
                <w:rFonts w:hint="default" w:ascii="Times New Roman" w:hAnsi="Times New Roman" w:eastAsia="宋体" w:cs="Times New Roman"/>
                <w:color w:val="auto"/>
                <w:spacing w:val="0"/>
                <w:position w:val="0"/>
                <w:sz w:val="24"/>
                <w:szCs w:val="24"/>
                <w:highlight w:val="none"/>
                <w:lang w:val="en-US" w:eastAsia="zh-CN"/>
              </w:rPr>
              <w:t>声</w:t>
            </w:r>
            <w:r>
              <w:rPr>
                <w:rFonts w:hint="default" w:ascii="Times New Roman" w:hAnsi="Times New Roman" w:eastAsia="宋体" w:cs="Times New Roman"/>
                <w:color w:val="auto"/>
                <w:spacing w:val="0"/>
                <w:position w:val="0"/>
                <w:sz w:val="24"/>
                <w:szCs w:val="24"/>
                <w:highlight w:val="none"/>
              </w:rPr>
              <w:t>环境敏感目标分布，不进行声环境现状调查。</w:t>
            </w:r>
          </w:p>
          <w:p w14:paraId="0FCD9331">
            <w:pPr>
              <w:pStyle w:val="7"/>
              <w:pageBreakBefore w:val="0"/>
              <w:widowControl w:val="0"/>
              <w:shd w:val="clear"/>
              <w:kinsoku/>
              <w:wordWrap/>
              <w:overflowPunct/>
              <w:topLinePunct w:val="0"/>
              <w:autoSpaceDE/>
              <w:autoSpaceDN/>
              <w:bidi w:val="0"/>
              <w:adjustRightInd/>
              <w:snapToGrid/>
              <w:spacing w:beforeLines="0" w:beforeAutospacing="0" w:afterLines="0" w:afterAutospacing="0" w:line="360" w:lineRule="auto"/>
              <w:ind w:left="0" w:leftChars="0" w:right="0" w:rightChars="0" w:firstLine="0" w:firstLineChars="0"/>
              <w:jc w:val="both"/>
              <w:textAlignment w:val="auto"/>
              <w:outlineLvl w:val="1"/>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rPr>
              <w:t>4</w:t>
            </w:r>
            <w:r>
              <w:rPr>
                <w:rFonts w:hint="default" w:ascii="Times New Roman" w:hAnsi="Times New Roman" w:cs="Times New Roman"/>
                <w:b/>
                <w:bCs/>
                <w:color w:val="auto"/>
                <w:spacing w:val="0"/>
                <w:position w:val="0"/>
                <w:sz w:val="24"/>
                <w:szCs w:val="24"/>
                <w:highlight w:val="none"/>
                <w:lang w:val="en-US" w:eastAsia="zh-CN"/>
              </w:rPr>
              <w:t>.</w:t>
            </w:r>
            <w:r>
              <w:rPr>
                <w:rFonts w:hint="default" w:ascii="Times New Roman" w:hAnsi="Times New Roman" w:eastAsia="宋体" w:cs="Times New Roman"/>
                <w:b/>
                <w:bCs/>
                <w:color w:val="auto"/>
                <w:spacing w:val="0"/>
                <w:position w:val="0"/>
                <w:sz w:val="24"/>
                <w:szCs w:val="24"/>
                <w:highlight w:val="none"/>
              </w:rPr>
              <w:t>生态环境</w:t>
            </w:r>
          </w:p>
          <w:p w14:paraId="1EFFD1C1">
            <w:pPr>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b w:val="0"/>
                <w:bCs/>
                <w:color w:val="auto"/>
                <w:spacing w:val="0"/>
                <w:kern w:val="2"/>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rPr>
              <w:t>根据《建设项目环境影响报告表编制技术指南（污染影响类）》（试行）中规定，产业园区外建设项目新增用地且用地范围内含有生态环境保护目标</w:t>
            </w:r>
            <w:r>
              <w:rPr>
                <w:rFonts w:hint="default" w:ascii="Times New Roman" w:hAnsi="Times New Roman" w:eastAsia="宋体" w:cs="Times New Roman"/>
                <w:color w:val="auto"/>
                <w:spacing w:val="0"/>
                <w:position w:val="0"/>
                <w:sz w:val="24"/>
                <w:szCs w:val="24"/>
                <w:highlight w:val="none"/>
                <w:lang w:eastAsia="zh-Hans"/>
              </w:rPr>
              <w:t>的</w:t>
            </w:r>
            <w:r>
              <w:rPr>
                <w:rFonts w:hint="default" w:ascii="Times New Roman" w:hAnsi="Times New Roman" w:eastAsia="宋体" w:cs="Times New Roman"/>
                <w:color w:val="auto"/>
                <w:spacing w:val="0"/>
                <w:position w:val="0"/>
                <w:sz w:val="24"/>
                <w:szCs w:val="24"/>
                <w:highlight w:val="none"/>
              </w:rPr>
              <w:t>应进行生态现状调查。</w:t>
            </w:r>
            <w:r>
              <w:rPr>
                <w:rFonts w:hint="default" w:ascii="Times New Roman" w:hAnsi="Times New Roman" w:eastAsia="宋体" w:cs="Times New Roman"/>
                <w:b w:val="0"/>
                <w:bCs/>
                <w:color w:val="auto"/>
                <w:spacing w:val="0"/>
                <w:kern w:val="2"/>
                <w:position w:val="0"/>
                <w:sz w:val="24"/>
                <w:szCs w:val="24"/>
                <w:highlight w:val="none"/>
                <w:lang w:val="en-US" w:eastAsia="zh-CN" w:bidi="ar-SA"/>
              </w:rPr>
              <w:t>项目建设不新增用地，利用厂区现有的空置厂房进行本项目的建设，</w:t>
            </w:r>
            <w:r>
              <w:rPr>
                <w:rFonts w:hint="default" w:ascii="Times New Roman" w:hAnsi="Times New Roman" w:eastAsia="宋体" w:cs="Times New Roman"/>
                <w:color w:val="auto"/>
                <w:spacing w:val="0"/>
                <w:position w:val="0"/>
                <w:sz w:val="24"/>
                <w:szCs w:val="24"/>
                <w:highlight w:val="none"/>
              </w:rPr>
              <w:t>项目区内不存在生态环境保护目标，</w:t>
            </w:r>
            <w:r>
              <w:rPr>
                <w:rFonts w:hint="default" w:ascii="Times New Roman" w:hAnsi="Times New Roman" w:eastAsia="宋体" w:cs="Times New Roman"/>
                <w:color w:val="auto"/>
                <w:spacing w:val="0"/>
                <w:position w:val="0"/>
                <w:sz w:val="24"/>
                <w:szCs w:val="24"/>
                <w:highlight w:val="none"/>
                <w:lang w:val="en-US" w:eastAsia="zh-CN"/>
              </w:rPr>
              <w:t>因此</w:t>
            </w:r>
            <w:r>
              <w:rPr>
                <w:rFonts w:hint="default" w:ascii="Times New Roman" w:hAnsi="Times New Roman" w:eastAsia="宋体" w:cs="Times New Roman"/>
                <w:color w:val="auto"/>
                <w:spacing w:val="0"/>
                <w:position w:val="0"/>
                <w:sz w:val="24"/>
                <w:szCs w:val="24"/>
                <w:highlight w:val="none"/>
              </w:rPr>
              <w:t>本</w:t>
            </w:r>
            <w:r>
              <w:rPr>
                <w:rFonts w:hint="default" w:ascii="Times New Roman" w:hAnsi="Times New Roman" w:eastAsia="宋体" w:cs="Times New Roman"/>
                <w:color w:val="auto"/>
                <w:spacing w:val="0"/>
                <w:position w:val="0"/>
                <w:sz w:val="24"/>
                <w:szCs w:val="24"/>
                <w:highlight w:val="none"/>
                <w:lang w:val="en-US" w:eastAsia="zh-CN"/>
              </w:rPr>
              <w:t>环评不再开展</w:t>
            </w:r>
            <w:r>
              <w:rPr>
                <w:rFonts w:hint="default" w:ascii="Times New Roman" w:hAnsi="Times New Roman" w:eastAsia="宋体" w:cs="Times New Roman"/>
                <w:color w:val="auto"/>
                <w:spacing w:val="0"/>
                <w:position w:val="0"/>
                <w:sz w:val="24"/>
                <w:szCs w:val="24"/>
                <w:highlight w:val="none"/>
              </w:rPr>
              <w:t>生态环境现状调查</w:t>
            </w:r>
            <w:r>
              <w:rPr>
                <w:rFonts w:hint="default" w:ascii="Times New Roman" w:hAnsi="Times New Roman" w:eastAsia="宋体" w:cs="Times New Roman"/>
                <w:b w:val="0"/>
                <w:bCs/>
                <w:color w:val="auto"/>
                <w:spacing w:val="0"/>
                <w:kern w:val="2"/>
                <w:position w:val="0"/>
                <w:sz w:val="24"/>
                <w:szCs w:val="24"/>
                <w:highlight w:val="none"/>
                <w:lang w:val="en-US" w:eastAsia="zh-CN" w:bidi="ar-SA"/>
              </w:rPr>
              <w:t>。</w:t>
            </w:r>
          </w:p>
          <w:p w14:paraId="76CD9F0E">
            <w:pPr>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rPr>
                <w:rFonts w:hint="default" w:ascii="Times New Roman" w:hAnsi="Times New Roman" w:cs="Times New Roman"/>
                <w:b/>
                <w:bCs w:val="0"/>
                <w:color w:val="auto"/>
                <w:spacing w:val="0"/>
                <w:position w:val="0"/>
                <w:sz w:val="24"/>
                <w:szCs w:val="24"/>
                <w:highlight w:val="none"/>
              </w:rPr>
            </w:pPr>
            <w:r>
              <w:rPr>
                <w:rFonts w:hint="default" w:ascii="Times New Roman" w:hAnsi="Times New Roman" w:cs="Times New Roman"/>
                <w:b/>
                <w:bCs w:val="0"/>
                <w:color w:val="auto"/>
                <w:spacing w:val="0"/>
                <w:kern w:val="2"/>
                <w:position w:val="0"/>
                <w:sz w:val="24"/>
                <w:szCs w:val="24"/>
                <w:highlight w:val="none"/>
                <w:lang w:val="en-US" w:eastAsia="zh-CN" w:bidi="ar-SA"/>
              </w:rPr>
              <w:t>5.</w:t>
            </w:r>
            <w:r>
              <w:rPr>
                <w:rFonts w:hint="default" w:ascii="Times New Roman" w:hAnsi="Times New Roman" w:cs="Times New Roman"/>
                <w:b/>
                <w:bCs w:val="0"/>
                <w:color w:val="auto"/>
                <w:spacing w:val="0"/>
                <w:position w:val="0"/>
                <w:sz w:val="24"/>
                <w:szCs w:val="24"/>
                <w:highlight w:val="none"/>
              </w:rPr>
              <w:t>地下水</w:t>
            </w:r>
            <w:r>
              <w:rPr>
                <w:rFonts w:hint="default" w:ascii="Times New Roman" w:hAnsi="Times New Roman" w:cs="Times New Roman"/>
                <w:b/>
                <w:bCs w:val="0"/>
                <w:color w:val="auto"/>
                <w:spacing w:val="0"/>
                <w:position w:val="0"/>
                <w:sz w:val="24"/>
                <w:szCs w:val="24"/>
                <w:highlight w:val="none"/>
                <w:lang w:val="en-US" w:eastAsia="zh-CN"/>
              </w:rPr>
              <w:t>、</w:t>
            </w:r>
            <w:r>
              <w:rPr>
                <w:rFonts w:hint="default" w:ascii="Times New Roman" w:hAnsi="Times New Roman" w:cs="Times New Roman"/>
                <w:b/>
                <w:bCs w:val="0"/>
                <w:color w:val="auto"/>
                <w:spacing w:val="0"/>
                <w:position w:val="0"/>
                <w:sz w:val="24"/>
                <w:szCs w:val="24"/>
                <w:highlight w:val="none"/>
              </w:rPr>
              <w:t>土壤环境</w:t>
            </w:r>
          </w:p>
          <w:p w14:paraId="403A597A">
            <w:pPr>
              <w:pStyle w:val="16"/>
              <w:pageBreakBefore w:val="0"/>
              <w:widowControl w:val="0"/>
              <w:numPr>
                <w:ilvl w:val="0"/>
                <w:numId w:val="0"/>
              </w:numPr>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position w:val="0"/>
                <w:sz w:val="24"/>
                <w:szCs w:val="24"/>
                <w:highlight w:val="none"/>
              </w:rPr>
              <w:t>根据《建设项目环境影响报告表编制技术指南（污染影响类）（试行）》，地下水与土壤环境原则上不进行现状调查，本项目不存在地下水与土壤污染途径，故不进行现状监测。不进行地下水与土壤环境影响评价。</w:t>
            </w:r>
          </w:p>
        </w:tc>
      </w:tr>
      <w:tr w14:paraId="5EF19F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vAlign w:val="center"/>
          </w:tcPr>
          <w:p w14:paraId="06B3BE63">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环境</w:t>
            </w:r>
          </w:p>
          <w:p w14:paraId="37E5F172">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保护</w:t>
            </w:r>
          </w:p>
          <w:p w14:paraId="70AF67BF">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目标</w:t>
            </w:r>
          </w:p>
        </w:tc>
        <w:tc>
          <w:tcPr>
            <w:tcW w:w="8190" w:type="dxa"/>
            <w:tcBorders>
              <w:tl2br w:val="nil"/>
              <w:tr2bl w:val="nil"/>
            </w:tcBorders>
            <w:noWrap w:val="0"/>
            <w:vAlign w:val="top"/>
          </w:tcPr>
          <w:p w14:paraId="5C675C53">
            <w:pPr>
              <w:pStyle w:val="7"/>
              <w:pageBreakBefore w:val="0"/>
              <w:widowControl w:val="0"/>
              <w:numPr>
                <w:ilvl w:val="0"/>
                <w:numId w:val="0"/>
              </w:numPr>
              <w:shd w:val="clear"/>
              <w:kinsoku/>
              <w:wordWrap/>
              <w:overflowPunct/>
              <w:topLinePunct w:val="0"/>
              <w:bidi w:val="0"/>
              <w:snapToGrid/>
              <w:spacing w:beforeLines="0" w:beforeAutospacing="0" w:afterLines="0" w:afterAutospacing="0" w:line="360" w:lineRule="auto"/>
              <w:ind w:left="0" w:leftChars="0" w:right="0" w:rightChars="0"/>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eastAsia="宋体" w:cs="Times New Roman"/>
                <w:b/>
                <w:bCs/>
                <w:color w:val="auto"/>
                <w:spacing w:val="0"/>
                <w:position w:val="0"/>
                <w:sz w:val="24"/>
                <w:szCs w:val="24"/>
                <w:highlight w:val="none"/>
                <w:lang w:val="en-US" w:eastAsia="zh-CN"/>
              </w:rPr>
              <w:t>1.大气环境</w:t>
            </w:r>
          </w:p>
          <w:p w14:paraId="0F3D6B8D">
            <w:pPr>
              <w:pStyle w:val="23"/>
              <w:pageBreakBefore w:val="0"/>
              <w:widowControl w:val="0"/>
              <w:shd w:val="clear"/>
              <w:kinsoku/>
              <w:wordWrap/>
              <w:overflowPunct/>
              <w:topLinePunct w:val="0"/>
              <w:bidi w:val="0"/>
              <w:snapToGrid/>
              <w:spacing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lang w:val="en-US" w:eastAsia="zh-CN"/>
              </w:rPr>
              <w:t>根据现场调查，本项目</w:t>
            </w:r>
            <w:r>
              <w:rPr>
                <w:rFonts w:hint="default" w:ascii="Times New Roman" w:hAnsi="Times New Roman" w:eastAsia="宋体" w:cs="Times New Roman"/>
                <w:color w:val="auto"/>
                <w:spacing w:val="0"/>
                <w:position w:val="0"/>
                <w:sz w:val="24"/>
                <w:szCs w:val="24"/>
                <w:highlight w:val="none"/>
              </w:rPr>
              <w:t>厂界外</w:t>
            </w:r>
            <w:r>
              <w:rPr>
                <w:rFonts w:hint="default" w:ascii="Times New Roman" w:hAnsi="Times New Roman" w:eastAsia="宋体" w:cs="Times New Roman"/>
                <w:color w:val="auto"/>
                <w:spacing w:val="0"/>
                <w:position w:val="0"/>
                <w:sz w:val="24"/>
                <w:szCs w:val="24"/>
                <w:highlight w:val="none"/>
                <w:lang w:val="en-US" w:eastAsia="zh-CN"/>
              </w:rPr>
              <w:t>500m范围内无自然保护区、风景名胜区、居住区、文化区和农村地区中人群较集中的区域等环境敏感区。</w:t>
            </w:r>
          </w:p>
          <w:p w14:paraId="120980BD">
            <w:pPr>
              <w:pStyle w:val="23"/>
              <w:pageBreakBefore w:val="0"/>
              <w:widowControl w:val="0"/>
              <w:shd w:val="clear"/>
              <w:kinsoku/>
              <w:wordWrap/>
              <w:overflowPunct/>
              <w:topLinePunct w:val="0"/>
              <w:bidi w:val="0"/>
              <w:snapToGrid/>
              <w:spacing w:beforeAutospacing="0" w:after="0" w:afterAutospacing="0"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eastAsia="宋体" w:cs="Times New Roman"/>
                <w:b/>
                <w:bCs/>
                <w:color w:val="auto"/>
                <w:spacing w:val="0"/>
                <w:position w:val="0"/>
                <w:sz w:val="24"/>
                <w:szCs w:val="24"/>
                <w:highlight w:val="none"/>
                <w:lang w:val="en-US" w:eastAsia="zh-CN"/>
              </w:rPr>
              <w:t>2.声环境</w:t>
            </w:r>
          </w:p>
          <w:p w14:paraId="6FF45C50">
            <w:pPr>
              <w:pStyle w:val="23"/>
              <w:pageBreakBefore w:val="0"/>
              <w:widowControl w:val="0"/>
              <w:shd w:val="clear"/>
              <w:kinsoku/>
              <w:wordWrap/>
              <w:overflowPunct/>
              <w:topLinePunct w:val="0"/>
              <w:bidi w:val="0"/>
              <w:snapToGrid/>
              <w:spacing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lang w:val="en-US" w:eastAsia="zh-CN"/>
              </w:rPr>
              <w:t>本项目厂界外50m范围内无声环境保护目标。</w:t>
            </w:r>
          </w:p>
          <w:p w14:paraId="548D6785">
            <w:pPr>
              <w:pStyle w:val="7"/>
              <w:pageBreakBefore w:val="0"/>
              <w:widowControl w:val="0"/>
              <w:numPr>
                <w:ilvl w:val="0"/>
                <w:numId w:val="0"/>
              </w:numPr>
              <w:shd w:val="clear"/>
              <w:kinsoku/>
              <w:wordWrap/>
              <w:overflowPunct/>
              <w:topLinePunct w:val="0"/>
              <w:bidi w:val="0"/>
              <w:snapToGrid/>
              <w:spacing w:beforeLines="0" w:beforeAutospacing="0" w:afterLines="0" w:afterAutospacing="0" w:line="360" w:lineRule="auto"/>
              <w:ind w:left="0" w:leftChars="0" w:right="0" w:rightChars="0"/>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eastAsia="宋体" w:cs="Times New Roman"/>
                <w:b/>
                <w:bCs/>
                <w:color w:val="auto"/>
                <w:spacing w:val="0"/>
                <w:position w:val="0"/>
                <w:sz w:val="24"/>
                <w:szCs w:val="24"/>
                <w:highlight w:val="none"/>
                <w:lang w:val="en-US" w:eastAsia="zh-CN"/>
              </w:rPr>
              <w:t>3.地下水环境</w:t>
            </w:r>
          </w:p>
          <w:p w14:paraId="03E1B3E7">
            <w:pPr>
              <w:pStyle w:val="23"/>
              <w:pageBreakBefore w:val="0"/>
              <w:widowControl w:val="0"/>
              <w:shd w:val="clear"/>
              <w:kinsoku/>
              <w:wordWrap/>
              <w:overflowPunct/>
              <w:topLinePunct w:val="0"/>
              <w:bidi w:val="0"/>
              <w:snapToGrid/>
              <w:spacing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lang w:val="en-US" w:eastAsia="zh-CN"/>
              </w:rPr>
              <w:t>本项目厂界外500米范围内无地下水集中式饮用水水源和热水、矿泉水、温泉等特殊地下水资源。</w:t>
            </w:r>
          </w:p>
          <w:p w14:paraId="0CC67A94">
            <w:pPr>
              <w:pStyle w:val="7"/>
              <w:pageBreakBefore w:val="0"/>
              <w:widowControl w:val="0"/>
              <w:numPr>
                <w:ilvl w:val="0"/>
                <w:numId w:val="0"/>
              </w:numPr>
              <w:shd w:val="clear"/>
              <w:kinsoku/>
              <w:wordWrap/>
              <w:overflowPunct/>
              <w:topLinePunct w:val="0"/>
              <w:bidi w:val="0"/>
              <w:snapToGrid/>
              <w:spacing w:beforeLines="0" w:beforeAutospacing="0" w:afterLines="0" w:afterAutospacing="0" w:line="360" w:lineRule="auto"/>
              <w:ind w:left="0" w:leftChars="0" w:right="0" w:rightChars="0"/>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eastAsia="宋体" w:cs="Times New Roman"/>
                <w:b/>
                <w:bCs/>
                <w:color w:val="auto"/>
                <w:spacing w:val="0"/>
                <w:position w:val="0"/>
                <w:sz w:val="24"/>
                <w:szCs w:val="24"/>
                <w:highlight w:val="none"/>
                <w:lang w:val="en-US" w:eastAsia="zh-CN"/>
              </w:rPr>
              <w:t>4.生态环境</w:t>
            </w:r>
          </w:p>
          <w:p w14:paraId="6D9952F8">
            <w:pPr>
              <w:pStyle w:val="39"/>
              <w:pageBreakBefore w:val="0"/>
              <w:widowControl w:val="0"/>
              <w:shd w:val="clear"/>
              <w:tabs>
                <w:tab w:val="left" w:pos="1845"/>
              </w:tabs>
              <w:kinsoku/>
              <w:wordWrap/>
              <w:overflowPunct/>
              <w:topLinePunct w:val="0"/>
              <w:bidi w:val="0"/>
              <w:snapToGrid/>
              <w:spacing w:beforeAutospacing="0" w:afterAutospacing="0" w:line="360" w:lineRule="auto"/>
              <w:ind w:left="0" w:leftChars="0" w:right="0" w:rightChars="0" w:firstLine="480" w:firstLineChars="200"/>
              <w:jc w:val="both"/>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eastAsia="宋体" w:cs="Times New Roman"/>
                <w:b w:val="0"/>
                <w:bCs/>
                <w:color w:val="auto"/>
                <w:spacing w:val="0"/>
                <w:position w:val="0"/>
                <w:sz w:val="24"/>
                <w:szCs w:val="24"/>
                <w:highlight w:val="none"/>
                <w:lang w:val="en-US" w:eastAsia="zh-CN"/>
              </w:rPr>
              <w:t>本项目位于昌吉回族自治州阜康产业园阜西区苏通小微创业园内，不涉及生态环境保护目标</w:t>
            </w:r>
            <w:r>
              <w:rPr>
                <w:rFonts w:hint="default" w:ascii="Times New Roman" w:hAnsi="Times New Roman" w:cs="Times New Roman"/>
                <w:b w:val="0"/>
                <w:bCs/>
                <w:color w:val="auto"/>
                <w:spacing w:val="0"/>
                <w:position w:val="0"/>
                <w:sz w:val="24"/>
                <w:szCs w:val="24"/>
                <w:highlight w:val="none"/>
                <w:lang w:val="en-US" w:eastAsia="zh-CN"/>
              </w:rPr>
              <w:t>。</w:t>
            </w:r>
          </w:p>
        </w:tc>
      </w:tr>
      <w:tr w14:paraId="09A9B0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tcMar>
              <w:left w:w="28" w:type="dxa"/>
              <w:right w:w="28" w:type="dxa"/>
            </w:tcMar>
            <w:vAlign w:val="center"/>
          </w:tcPr>
          <w:p w14:paraId="5932BE86">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污染</w:t>
            </w:r>
          </w:p>
          <w:p w14:paraId="45D480D3">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物排</w:t>
            </w:r>
          </w:p>
          <w:p w14:paraId="2150D35D">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放控</w:t>
            </w:r>
          </w:p>
          <w:p w14:paraId="654E9603">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制标</w:t>
            </w:r>
          </w:p>
          <w:p w14:paraId="0619AC21">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准</w:t>
            </w:r>
          </w:p>
        </w:tc>
        <w:tc>
          <w:tcPr>
            <w:tcW w:w="8190" w:type="dxa"/>
            <w:tcBorders>
              <w:tl2br w:val="nil"/>
              <w:tr2bl w:val="nil"/>
            </w:tcBorders>
            <w:noWrap w:val="0"/>
            <w:vAlign w:val="center"/>
          </w:tcPr>
          <w:p w14:paraId="5009BA9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jc w:val="left"/>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
              </w:rPr>
              <w:t>1.大气污</w:t>
            </w:r>
            <w:r>
              <w:rPr>
                <w:rFonts w:hint="default" w:ascii="Times New Roman" w:hAnsi="Times New Roman" w:eastAsia="宋体" w:cs="Times New Roman"/>
                <w:b/>
                <w:bCs/>
                <w:color w:val="auto"/>
                <w:spacing w:val="0"/>
                <w:kern w:val="2"/>
                <w:position w:val="0"/>
                <w:sz w:val="24"/>
                <w:szCs w:val="24"/>
                <w:highlight w:val="none"/>
                <w:lang w:val="en-US" w:eastAsia="zh-CN" w:bidi="ar-SA"/>
              </w:rPr>
              <w:t>染物排放标准</w:t>
            </w:r>
          </w:p>
          <w:p w14:paraId="6660F57B">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bCs/>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position w:val="0"/>
                <w:sz w:val="24"/>
                <w:szCs w:val="24"/>
                <w:highlight w:val="none"/>
                <w:lang w:val="en-US" w:eastAsia="zh-CN" w:bidi="ar-SA"/>
              </w:rPr>
              <w:t>（1）颗粒物</w:t>
            </w:r>
          </w:p>
          <w:p w14:paraId="5BF4486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投料混合工序产生的颗粒物经集气罩收集+布袋除尘器处理后，通过15m高排气筒排放。有组织颗粒物排放执行《合成树脂工业污染物排放标准》（GB 31572-2015，含2024年修改单）表5大气污染物特别排放限值（颗粒物排放浓度≤20 mg/m³）</w:t>
            </w:r>
            <w:r>
              <w:rPr>
                <w:rFonts w:hint="default" w:ascii="Times New Roman" w:hAnsi="Times New Roman" w:eastAsia="宋体" w:cs="Times New Roman"/>
                <w:color w:val="auto"/>
                <w:spacing w:val="0"/>
                <w:position w:val="0"/>
                <w:sz w:val="24"/>
                <w:szCs w:val="24"/>
                <w:highlight w:val="none"/>
                <w:lang w:val="en-US" w:eastAsia="zh-CN" w:bidi="ar-SA"/>
              </w:rPr>
              <w:fldChar w:fldCharType="begin"/>
            </w:r>
            <w:r>
              <w:rPr>
                <w:rFonts w:hint="default" w:ascii="Times New Roman" w:hAnsi="Times New Roman" w:eastAsia="宋体" w:cs="Times New Roman"/>
                <w:color w:val="auto"/>
                <w:spacing w:val="0"/>
                <w:position w:val="0"/>
                <w:sz w:val="24"/>
                <w:szCs w:val="24"/>
                <w:highlight w:val="none"/>
                <w:lang w:val="en-US" w:eastAsia="zh-CN" w:bidi="ar-SA"/>
              </w:rPr>
              <w:instrText xml:space="preserve"> HYPERLINK "http://www.zc.gov.cn/gk/zdly/hjbhxxgk/jsxmhjyxpjxx/content/post_10560290.html" \t "https://chat.deepseek.com/a/chat/s/_blank" </w:instrText>
            </w:r>
            <w:r>
              <w:rPr>
                <w:rFonts w:hint="default" w:ascii="Times New Roman" w:hAnsi="Times New Roman" w:eastAsia="宋体" w:cs="Times New Roman"/>
                <w:color w:val="auto"/>
                <w:spacing w:val="0"/>
                <w:position w:val="0"/>
                <w:sz w:val="24"/>
                <w:szCs w:val="24"/>
                <w:highlight w:val="none"/>
                <w:lang w:val="en-US" w:eastAsia="zh-CN" w:bidi="ar-SA"/>
              </w:rPr>
              <w:fldChar w:fldCharType="separate"/>
            </w:r>
            <w:r>
              <w:rPr>
                <w:rFonts w:hint="default" w:ascii="Times New Roman" w:hAnsi="Times New Roman" w:eastAsia="宋体" w:cs="Times New Roman"/>
                <w:color w:val="auto"/>
                <w:spacing w:val="0"/>
                <w:position w:val="0"/>
                <w:sz w:val="24"/>
                <w:szCs w:val="24"/>
                <w:highlight w:val="none"/>
                <w:lang w:val="en-US" w:eastAsia="zh-CN" w:bidi="ar-SA"/>
              </w:rPr>
              <w:fldChar w:fldCharType="end"/>
            </w:r>
            <w:r>
              <w:rPr>
                <w:rFonts w:hint="default" w:ascii="Times New Roman" w:hAnsi="Times New Roman" w:eastAsia="宋体" w:cs="Times New Roman"/>
                <w:color w:val="auto"/>
                <w:spacing w:val="0"/>
                <w:position w:val="0"/>
                <w:sz w:val="24"/>
                <w:szCs w:val="24"/>
                <w:highlight w:val="none"/>
                <w:lang w:val="en-US" w:eastAsia="zh-CN" w:bidi="ar-SA"/>
              </w:rPr>
              <w:t>。</w:t>
            </w:r>
          </w:p>
          <w:p w14:paraId="2D2B7F8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bCs/>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position w:val="0"/>
                <w:sz w:val="24"/>
                <w:szCs w:val="24"/>
                <w:highlight w:val="none"/>
                <w:lang w:val="en-US" w:eastAsia="zh-CN" w:bidi="ar-SA"/>
              </w:rPr>
              <w:t>（2）非甲烷总烃（NMHC）</w:t>
            </w:r>
          </w:p>
          <w:p w14:paraId="23EA783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造粒、挤出成型、上胶、印刷工序产生的有机废气（以NMHC表征）经集气罩收集+活性炭吸附脱附+蓄热催化燃烧一体化装置（RCO）处理后处理后，通过15m高排气筒排放。有组织NMHC排放执行《合成树脂工业污染物排放标准》（GB 31572-2015，含2024年修改单）表5大气污染物特别排放限值（NMHC排放浓度≤60 mg/m³）</w:t>
            </w:r>
            <w:r>
              <w:rPr>
                <w:rFonts w:hint="default" w:ascii="Times New Roman" w:hAnsi="Times New Roman" w:eastAsia="宋体" w:cs="Times New Roman"/>
                <w:color w:val="auto"/>
                <w:spacing w:val="0"/>
                <w:position w:val="0"/>
                <w:sz w:val="24"/>
                <w:szCs w:val="24"/>
                <w:highlight w:val="none"/>
                <w:lang w:val="en-US" w:eastAsia="zh-CN" w:bidi="ar-SA"/>
              </w:rPr>
              <w:fldChar w:fldCharType="begin"/>
            </w:r>
            <w:r>
              <w:rPr>
                <w:rFonts w:hint="default" w:ascii="Times New Roman" w:hAnsi="Times New Roman" w:eastAsia="宋体" w:cs="Times New Roman"/>
                <w:color w:val="auto"/>
                <w:spacing w:val="0"/>
                <w:position w:val="0"/>
                <w:sz w:val="24"/>
                <w:szCs w:val="24"/>
                <w:highlight w:val="none"/>
                <w:lang w:val="en-US" w:eastAsia="zh-CN" w:bidi="ar-SA"/>
              </w:rPr>
              <w:instrText xml:space="preserve"> HYPERLINK "http://www.zc.gov.cn/gk/zdly/hjbhxxgk/jsxmhjyxpjxx/content/post_10560290.html" \t "https://chat.deepseek.com/a/chat/s/_blank" </w:instrText>
            </w:r>
            <w:r>
              <w:rPr>
                <w:rFonts w:hint="default" w:ascii="Times New Roman" w:hAnsi="Times New Roman" w:eastAsia="宋体" w:cs="Times New Roman"/>
                <w:color w:val="auto"/>
                <w:spacing w:val="0"/>
                <w:position w:val="0"/>
                <w:sz w:val="24"/>
                <w:szCs w:val="24"/>
                <w:highlight w:val="none"/>
                <w:lang w:val="en-US" w:eastAsia="zh-CN" w:bidi="ar-SA"/>
              </w:rPr>
              <w:fldChar w:fldCharType="separate"/>
            </w:r>
            <w:r>
              <w:rPr>
                <w:rFonts w:hint="default" w:ascii="Times New Roman" w:hAnsi="Times New Roman" w:eastAsia="宋体" w:cs="Times New Roman"/>
                <w:color w:val="auto"/>
                <w:spacing w:val="0"/>
                <w:position w:val="0"/>
                <w:sz w:val="24"/>
                <w:szCs w:val="24"/>
                <w:highlight w:val="none"/>
                <w:lang w:val="en-US" w:eastAsia="zh-CN" w:bidi="ar-SA"/>
              </w:rPr>
              <w:fldChar w:fldCharType="end"/>
            </w:r>
            <w:r>
              <w:rPr>
                <w:rFonts w:hint="default" w:ascii="Times New Roman" w:hAnsi="Times New Roman" w:eastAsia="宋体" w:cs="Times New Roman"/>
                <w:color w:val="auto"/>
                <w:spacing w:val="0"/>
                <w:position w:val="0"/>
                <w:sz w:val="24"/>
                <w:szCs w:val="24"/>
                <w:highlight w:val="none"/>
                <w:lang w:val="en-US" w:eastAsia="zh-CN" w:bidi="ar-SA"/>
              </w:rPr>
              <w:t>。</w:t>
            </w:r>
          </w:p>
          <w:p w14:paraId="6DF7831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2" w:firstLineChars="200"/>
              <w:textAlignment w:val="auto"/>
              <w:rPr>
                <w:rFonts w:hint="default" w:ascii="Times New Roman" w:hAnsi="Times New Roman" w:eastAsia="宋体" w:cs="Times New Roman"/>
                <w:b/>
                <w:bCs/>
                <w:color w:val="auto"/>
                <w:spacing w:val="0"/>
                <w:position w:val="0"/>
                <w:sz w:val="24"/>
                <w:szCs w:val="24"/>
                <w:highlight w:val="none"/>
                <w:lang w:val="en-US" w:eastAsia="zh-CN" w:bidi="ar-SA"/>
              </w:rPr>
            </w:pPr>
            <w:r>
              <w:rPr>
                <w:rFonts w:hint="eastAsia" w:ascii="Times New Roman" w:hAnsi="Times New Roman" w:eastAsia="宋体" w:cs="Times New Roman"/>
                <w:b/>
                <w:bCs/>
                <w:color w:val="auto"/>
                <w:spacing w:val="0"/>
                <w:position w:val="0"/>
                <w:sz w:val="24"/>
                <w:szCs w:val="24"/>
                <w:highlight w:val="none"/>
                <w:lang w:val="en-US" w:eastAsia="zh-CN" w:bidi="ar-SA"/>
              </w:rPr>
              <w:t>（3）</w:t>
            </w:r>
            <w:r>
              <w:rPr>
                <w:rFonts w:hint="default" w:ascii="Times New Roman" w:hAnsi="Times New Roman" w:eastAsia="宋体" w:cs="Times New Roman"/>
                <w:b/>
                <w:bCs/>
                <w:color w:val="auto"/>
                <w:spacing w:val="0"/>
                <w:position w:val="0"/>
                <w:sz w:val="24"/>
                <w:szCs w:val="24"/>
                <w:highlight w:val="none"/>
                <w:lang w:val="en-US" w:eastAsia="zh-CN" w:bidi="ar-SA"/>
              </w:rPr>
              <w:t>厂区内无组织废气</w:t>
            </w:r>
          </w:p>
          <w:p w14:paraId="6DBA523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厂区内（厂房外）非甲烷总烃无组织排放执行《挥发性有机物无组织排放控制标准》（GB 37822-2019）表A.1厂区内VOCs无组织排放限值中特别排放限值，即监控点处1h平均浓度值≤6 mg/m³，监控点处任意一次浓度值≤20mg/m³</w:t>
            </w:r>
          </w:p>
          <w:p w14:paraId="5DBFFFDB">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lang w:val="en-US" w:eastAsia="zh-CN" w:bidi="ar-SA"/>
              </w:rPr>
              <w:t>表3-</w:t>
            </w:r>
            <w:r>
              <w:rPr>
                <w:rFonts w:hint="eastAsia" w:ascii="Times New Roman" w:hAnsi="Times New Roman" w:eastAsia="宋体" w:cs="Times New Roman"/>
                <w:b/>
                <w:bCs/>
                <w:color w:val="auto"/>
                <w:spacing w:val="0"/>
                <w:position w:val="0"/>
                <w:sz w:val="21"/>
                <w:szCs w:val="21"/>
                <w:highlight w:val="none"/>
                <w:lang w:val="en-US" w:eastAsia="zh-CN" w:bidi="ar-SA"/>
              </w:rPr>
              <w:t>6</w:t>
            </w:r>
            <w:r>
              <w:rPr>
                <w:rFonts w:hint="default" w:ascii="Times New Roman" w:hAnsi="Times New Roman" w:eastAsia="宋体" w:cs="Times New Roman"/>
                <w:b/>
                <w:bCs/>
                <w:color w:val="auto"/>
                <w:spacing w:val="0"/>
                <w:position w:val="0"/>
                <w:sz w:val="21"/>
                <w:szCs w:val="21"/>
                <w:highlight w:val="none"/>
                <w:lang w:val="en-US" w:eastAsia="zh-CN" w:bidi="ar-SA"/>
              </w:rPr>
              <w:t xml:space="preserve">    废气污染物排放标准汇总表</w:t>
            </w:r>
            <w:r>
              <w:rPr>
                <w:rFonts w:hint="default" w:ascii="Times New Roman" w:hAnsi="Times New Roman" w:eastAsia="宋体" w:cs="Times New Roman"/>
                <w:b/>
                <w:bCs/>
                <w:color w:val="auto"/>
                <w:spacing w:val="0"/>
                <w:position w:val="0"/>
                <w:sz w:val="21"/>
                <w:szCs w:val="21"/>
                <w:highlight w:val="none"/>
              </w:rPr>
              <w:t xml:space="preserve">       单位：mg/m</w:t>
            </w:r>
            <w:r>
              <w:rPr>
                <w:rFonts w:hint="default" w:ascii="Times New Roman" w:hAnsi="Times New Roman" w:eastAsia="宋体" w:cs="Times New Roman"/>
                <w:b/>
                <w:bCs/>
                <w:color w:val="auto"/>
                <w:spacing w:val="0"/>
                <w:position w:val="0"/>
                <w:sz w:val="21"/>
                <w:szCs w:val="21"/>
                <w:highlight w:val="none"/>
                <w:vertAlign w:val="superscript"/>
              </w:rPr>
              <w:t>3</w:t>
            </w:r>
          </w:p>
          <w:tbl>
            <w:tblPr>
              <w:tblStyle w:val="25"/>
              <w:tblW w:w="494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41"/>
              <w:gridCol w:w="1286"/>
              <w:gridCol w:w="1415"/>
              <w:gridCol w:w="3495"/>
            </w:tblGrid>
            <w:tr w14:paraId="65735D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073" w:type="dxa"/>
                  <w:tcBorders>
                    <w:bottom w:val="single" w:color="auto" w:sz="12" w:space="0"/>
                  </w:tcBorders>
                  <w:shd w:val="clear" w:color="auto" w:fill="auto"/>
                  <w:vAlign w:val="center"/>
                </w:tcPr>
                <w:p w14:paraId="56C0CE5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排放类型</w:t>
                  </w:r>
                </w:p>
              </w:tc>
              <w:tc>
                <w:tcPr>
                  <w:tcW w:w="1326" w:type="dxa"/>
                  <w:tcBorders>
                    <w:bottom w:val="single" w:color="auto" w:sz="12" w:space="0"/>
                  </w:tcBorders>
                  <w:shd w:val="clear" w:color="auto" w:fill="auto"/>
                  <w:vAlign w:val="center"/>
                </w:tcPr>
                <w:p w14:paraId="7F175A1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w:t>
                  </w:r>
                </w:p>
              </w:tc>
              <w:tc>
                <w:tcPr>
                  <w:tcW w:w="1459" w:type="dxa"/>
                  <w:tcBorders>
                    <w:bottom w:val="single" w:color="auto" w:sz="12" w:space="0"/>
                  </w:tcBorders>
                  <w:shd w:val="clear" w:color="auto" w:fill="auto"/>
                  <w:vAlign w:val="center"/>
                </w:tcPr>
                <w:p w14:paraId="5586717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排放限值</w:t>
                  </w:r>
                </w:p>
              </w:tc>
              <w:tc>
                <w:tcPr>
                  <w:tcW w:w="3603" w:type="dxa"/>
                  <w:tcBorders>
                    <w:bottom w:val="single" w:color="auto" w:sz="12" w:space="0"/>
                  </w:tcBorders>
                  <w:shd w:val="clear" w:color="auto" w:fill="auto"/>
                  <w:vAlign w:val="center"/>
                </w:tcPr>
                <w:p w14:paraId="041BF48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标准来源</w:t>
                  </w:r>
                </w:p>
              </w:tc>
            </w:tr>
            <w:tr w14:paraId="63D7FE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8" w:hRule="atLeast"/>
                <w:jc w:val="center"/>
              </w:trPr>
              <w:tc>
                <w:tcPr>
                  <w:tcW w:w="1073" w:type="dxa"/>
                  <w:vMerge w:val="restart"/>
                  <w:tcBorders>
                    <w:top w:val="single" w:color="auto" w:sz="12" w:space="0"/>
                    <w:tl2br w:val="nil"/>
                    <w:tr2bl w:val="nil"/>
                  </w:tcBorders>
                  <w:shd w:val="clear" w:color="auto" w:fill="auto"/>
                  <w:vAlign w:val="center"/>
                </w:tcPr>
                <w:p w14:paraId="1F708C6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有组织排放</w:t>
                  </w:r>
                </w:p>
              </w:tc>
              <w:tc>
                <w:tcPr>
                  <w:tcW w:w="1326" w:type="dxa"/>
                  <w:tcBorders>
                    <w:top w:val="single" w:color="auto" w:sz="12" w:space="0"/>
                    <w:tl2br w:val="nil"/>
                    <w:tr2bl w:val="nil"/>
                  </w:tcBorders>
                  <w:shd w:val="clear" w:color="auto" w:fill="auto"/>
                  <w:vAlign w:val="center"/>
                </w:tcPr>
                <w:p w14:paraId="63C3C1F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1459" w:type="dxa"/>
                  <w:tcBorders>
                    <w:top w:val="single" w:color="auto" w:sz="12" w:space="0"/>
                    <w:tl2br w:val="nil"/>
                    <w:tr2bl w:val="nil"/>
                  </w:tcBorders>
                  <w:shd w:val="clear" w:color="auto" w:fill="auto"/>
                  <w:vAlign w:val="center"/>
                </w:tcPr>
                <w:p w14:paraId="5499662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 mg/m³</w:t>
                  </w:r>
                </w:p>
              </w:tc>
              <w:tc>
                <w:tcPr>
                  <w:tcW w:w="3603" w:type="dxa"/>
                  <w:vMerge w:val="restart"/>
                  <w:tcBorders>
                    <w:top w:val="single" w:color="auto" w:sz="12" w:space="0"/>
                    <w:tl2br w:val="nil"/>
                    <w:tr2bl w:val="nil"/>
                  </w:tcBorders>
                  <w:shd w:val="clear" w:color="auto" w:fill="auto"/>
                  <w:vAlign w:val="center"/>
                </w:tcPr>
                <w:p w14:paraId="5C01019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pacing w:val="0"/>
                      <w:position w:val="0"/>
                      <w:sz w:val="21"/>
                      <w:szCs w:val="21"/>
                      <w:highlight w:val="none"/>
                      <w:lang w:val="en-US" w:eastAsia="zh-CN" w:bidi="ar-SA"/>
                    </w:rPr>
                    <w:t>《合成树脂工业污染物排放标准》（GB 31572-2015，含2024年修改单）表5大气污染物特别排放限值</w:t>
                  </w:r>
                </w:p>
              </w:tc>
            </w:tr>
            <w:tr w14:paraId="1B3764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073" w:type="dxa"/>
                  <w:vMerge w:val="continue"/>
                  <w:tcBorders>
                    <w:tl2br w:val="nil"/>
                    <w:tr2bl w:val="nil"/>
                  </w:tcBorders>
                  <w:shd w:val="clear" w:color="auto" w:fill="auto"/>
                  <w:vAlign w:val="center"/>
                </w:tcPr>
                <w:p w14:paraId="0FC38397">
                  <w:pPr>
                    <w:keepNext w:val="0"/>
                    <w:keepLines w:val="0"/>
                    <w:pageBreakBefore w:val="0"/>
                    <w:widowControl/>
                    <w:shd w:val="clear"/>
                    <w:kinsoku/>
                    <w:wordWrap/>
                    <w:overflowPunct/>
                    <w:topLinePunct w:val="0"/>
                    <w:autoSpaceDE/>
                    <w:autoSpaceDN/>
                    <w:bidi w:val="0"/>
                    <w:adjustRightInd/>
                    <w:snapToGrid/>
                    <w:spacing w:before="0" w:beforeLines="0" w:beforeAutospacing="0" w:after="0" w:afterLines="0" w:afterAutospacing="0"/>
                    <w:ind w:left="0" w:leftChars="0" w:right="0" w:rightChars="0"/>
                    <w:jc w:val="center"/>
                    <w:rPr>
                      <w:rFonts w:hint="default" w:ascii="Times New Roman" w:hAnsi="Times New Roman" w:eastAsia="宋体" w:cs="Times New Roman"/>
                      <w:i w:val="0"/>
                      <w:iCs w:val="0"/>
                      <w:color w:val="auto"/>
                      <w:sz w:val="21"/>
                      <w:szCs w:val="21"/>
                      <w:u w:val="none"/>
                    </w:rPr>
                  </w:pPr>
                </w:p>
              </w:tc>
              <w:tc>
                <w:tcPr>
                  <w:tcW w:w="1326" w:type="dxa"/>
                  <w:tcBorders>
                    <w:tl2br w:val="nil"/>
                    <w:tr2bl w:val="nil"/>
                  </w:tcBorders>
                  <w:shd w:val="clear" w:color="auto" w:fill="auto"/>
                  <w:vAlign w:val="center"/>
                </w:tcPr>
                <w:p w14:paraId="14F8631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非甲烷总烃</w:t>
                  </w:r>
                </w:p>
              </w:tc>
              <w:tc>
                <w:tcPr>
                  <w:tcW w:w="1459" w:type="dxa"/>
                  <w:tcBorders>
                    <w:tl2br w:val="nil"/>
                    <w:tr2bl w:val="nil"/>
                  </w:tcBorders>
                  <w:shd w:val="clear" w:color="auto" w:fill="auto"/>
                  <w:vAlign w:val="center"/>
                </w:tcPr>
                <w:p w14:paraId="5664D7D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 mg/m³</w:t>
                  </w:r>
                </w:p>
              </w:tc>
              <w:tc>
                <w:tcPr>
                  <w:tcW w:w="3603" w:type="dxa"/>
                  <w:vMerge w:val="continue"/>
                  <w:tcBorders>
                    <w:tl2br w:val="nil"/>
                    <w:tr2bl w:val="nil"/>
                  </w:tcBorders>
                  <w:shd w:val="clear" w:color="auto" w:fill="auto"/>
                  <w:vAlign w:val="center"/>
                </w:tcPr>
                <w:p w14:paraId="4F157DC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r>
            <w:tr w14:paraId="2B1D95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073" w:type="dxa"/>
                  <w:vMerge w:val="restart"/>
                  <w:tcBorders>
                    <w:tl2br w:val="nil"/>
                    <w:tr2bl w:val="nil"/>
                  </w:tcBorders>
                  <w:shd w:val="clear" w:color="auto" w:fill="auto"/>
                  <w:vAlign w:val="center"/>
                </w:tcPr>
                <w:p w14:paraId="7B1F959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厂区内无组织</w:t>
                  </w:r>
                </w:p>
              </w:tc>
              <w:tc>
                <w:tcPr>
                  <w:tcW w:w="1326" w:type="dxa"/>
                  <w:vMerge w:val="restart"/>
                  <w:tcBorders>
                    <w:tl2br w:val="nil"/>
                    <w:tr2bl w:val="nil"/>
                  </w:tcBorders>
                  <w:shd w:val="clear" w:color="auto" w:fill="auto"/>
                  <w:vAlign w:val="center"/>
                </w:tcPr>
                <w:p w14:paraId="5E791BC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NMHC</w:t>
                  </w:r>
                </w:p>
              </w:tc>
              <w:tc>
                <w:tcPr>
                  <w:tcW w:w="1459" w:type="dxa"/>
                  <w:tcBorders>
                    <w:tl2br w:val="nil"/>
                    <w:tr2bl w:val="nil"/>
                  </w:tcBorders>
                  <w:shd w:val="clear" w:color="auto" w:fill="auto"/>
                  <w:vAlign w:val="center"/>
                </w:tcPr>
                <w:p w14:paraId="4E97211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 mg/m³（1h平均浓度）</w:t>
                  </w:r>
                </w:p>
              </w:tc>
              <w:tc>
                <w:tcPr>
                  <w:tcW w:w="3603" w:type="dxa"/>
                  <w:vMerge w:val="restart"/>
                  <w:tcBorders>
                    <w:tl2br w:val="nil"/>
                    <w:tr2bl w:val="nil"/>
                  </w:tcBorders>
                  <w:shd w:val="clear" w:color="auto" w:fill="auto"/>
                  <w:vAlign w:val="center"/>
                </w:tcPr>
                <w:p w14:paraId="1727A53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pacing w:val="0"/>
                      <w:position w:val="0"/>
                      <w:sz w:val="21"/>
                      <w:szCs w:val="21"/>
                      <w:highlight w:val="none"/>
                      <w:lang w:val="en-US" w:eastAsia="zh-CN" w:bidi="ar-SA"/>
                    </w:rPr>
                    <w:t>《挥发性有机物无组织排放控制标准》（GB 37822-2019）表A.1厂区内VOCs无组织排放限值中特别排放限值</w:t>
                  </w:r>
                </w:p>
              </w:tc>
            </w:tr>
            <w:tr w14:paraId="4D6ADF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073" w:type="dxa"/>
                  <w:vMerge w:val="continue"/>
                  <w:tcBorders>
                    <w:tl2br w:val="nil"/>
                    <w:tr2bl w:val="nil"/>
                  </w:tcBorders>
                  <w:shd w:val="clear" w:color="auto" w:fill="auto"/>
                  <w:vAlign w:val="center"/>
                </w:tcPr>
                <w:p w14:paraId="49958826">
                  <w:pPr>
                    <w:keepNext w:val="0"/>
                    <w:keepLines w:val="0"/>
                    <w:pageBreakBefore w:val="0"/>
                    <w:widowControl/>
                    <w:shd w:val="clear"/>
                    <w:kinsoku/>
                    <w:wordWrap/>
                    <w:overflowPunct/>
                    <w:topLinePunct w:val="0"/>
                    <w:autoSpaceDE/>
                    <w:autoSpaceDN/>
                    <w:bidi w:val="0"/>
                    <w:adjustRightInd/>
                    <w:snapToGrid/>
                    <w:spacing w:before="0" w:beforeLines="0" w:beforeAutospacing="0" w:after="0" w:afterLines="0" w:afterAutospacing="0"/>
                    <w:ind w:left="0" w:leftChars="0" w:right="0" w:rightChars="0"/>
                    <w:jc w:val="center"/>
                    <w:rPr>
                      <w:rFonts w:hint="default" w:ascii="Times New Roman" w:hAnsi="Times New Roman" w:eastAsia="宋体" w:cs="Times New Roman"/>
                      <w:i w:val="0"/>
                      <w:iCs w:val="0"/>
                      <w:color w:val="auto"/>
                      <w:sz w:val="21"/>
                      <w:szCs w:val="21"/>
                      <w:u w:val="none"/>
                    </w:rPr>
                  </w:pPr>
                </w:p>
              </w:tc>
              <w:tc>
                <w:tcPr>
                  <w:tcW w:w="1326" w:type="dxa"/>
                  <w:vMerge w:val="continue"/>
                  <w:tcBorders>
                    <w:tl2br w:val="nil"/>
                    <w:tr2bl w:val="nil"/>
                  </w:tcBorders>
                  <w:shd w:val="clear" w:color="auto" w:fill="auto"/>
                  <w:vAlign w:val="center"/>
                </w:tcPr>
                <w:p w14:paraId="60367BEF">
                  <w:pPr>
                    <w:keepNext w:val="0"/>
                    <w:keepLines w:val="0"/>
                    <w:pageBreakBefore w:val="0"/>
                    <w:widowControl/>
                    <w:shd w:val="clear"/>
                    <w:kinsoku/>
                    <w:wordWrap/>
                    <w:overflowPunct/>
                    <w:topLinePunct w:val="0"/>
                    <w:autoSpaceDE/>
                    <w:autoSpaceDN/>
                    <w:bidi w:val="0"/>
                    <w:adjustRightInd/>
                    <w:snapToGrid/>
                    <w:spacing w:before="0" w:beforeLines="0" w:beforeAutospacing="0" w:after="0" w:afterLines="0" w:afterAutospacing="0"/>
                    <w:ind w:left="0" w:leftChars="0" w:right="0" w:rightChars="0"/>
                    <w:jc w:val="center"/>
                    <w:rPr>
                      <w:rFonts w:hint="default" w:ascii="Times New Roman" w:hAnsi="Times New Roman" w:eastAsia="宋体" w:cs="Times New Roman"/>
                      <w:i w:val="0"/>
                      <w:iCs w:val="0"/>
                      <w:color w:val="auto"/>
                      <w:sz w:val="21"/>
                      <w:szCs w:val="21"/>
                      <w:u w:val="none"/>
                    </w:rPr>
                  </w:pPr>
                </w:p>
              </w:tc>
              <w:tc>
                <w:tcPr>
                  <w:tcW w:w="1459" w:type="dxa"/>
                  <w:tcBorders>
                    <w:tl2br w:val="nil"/>
                    <w:tr2bl w:val="nil"/>
                  </w:tcBorders>
                  <w:shd w:val="clear" w:color="auto" w:fill="auto"/>
                  <w:vAlign w:val="center"/>
                </w:tcPr>
                <w:p w14:paraId="6B10821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 mg/m³（任意一次浓度值）</w:t>
                  </w:r>
                </w:p>
              </w:tc>
              <w:tc>
                <w:tcPr>
                  <w:tcW w:w="3603" w:type="dxa"/>
                  <w:vMerge w:val="continue"/>
                  <w:tcBorders>
                    <w:tl2br w:val="nil"/>
                    <w:tr2bl w:val="nil"/>
                  </w:tcBorders>
                  <w:shd w:val="clear" w:color="auto" w:fill="auto"/>
                  <w:vAlign w:val="center"/>
                </w:tcPr>
                <w:p w14:paraId="0E4979B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r>
            <w:tr w14:paraId="563014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073" w:type="dxa"/>
                  <w:vMerge w:val="restart"/>
                  <w:tcBorders>
                    <w:tl2br w:val="nil"/>
                    <w:tr2bl w:val="nil"/>
                  </w:tcBorders>
                  <w:shd w:val="clear" w:color="auto" w:fill="auto"/>
                  <w:vAlign w:val="center"/>
                </w:tcPr>
                <w:p w14:paraId="729D955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厂界无组织</w:t>
                  </w:r>
                </w:p>
              </w:tc>
              <w:tc>
                <w:tcPr>
                  <w:tcW w:w="1326" w:type="dxa"/>
                  <w:tcBorders>
                    <w:tl2br w:val="nil"/>
                    <w:tr2bl w:val="nil"/>
                  </w:tcBorders>
                  <w:shd w:val="clear" w:color="auto" w:fill="auto"/>
                  <w:vAlign w:val="center"/>
                </w:tcPr>
                <w:p w14:paraId="254D6B6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1459" w:type="dxa"/>
                  <w:tcBorders>
                    <w:tl2br w:val="nil"/>
                    <w:tr2bl w:val="nil"/>
                  </w:tcBorders>
                  <w:shd w:val="clear" w:color="auto" w:fill="auto"/>
                  <w:vAlign w:val="center"/>
                </w:tcPr>
                <w:p w14:paraId="57F2D4A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 mg/m³</w:t>
                  </w:r>
                </w:p>
              </w:tc>
              <w:tc>
                <w:tcPr>
                  <w:tcW w:w="3603" w:type="dxa"/>
                  <w:vMerge w:val="restart"/>
                  <w:tcBorders>
                    <w:tl2br w:val="nil"/>
                    <w:tr2bl w:val="nil"/>
                  </w:tcBorders>
                  <w:shd w:val="clear" w:color="auto" w:fill="auto"/>
                  <w:vAlign w:val="center"/>
                </w:tcPr>
                <w:p w14:paraId="331CC3F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pacing w:val="0"/>
                      <w:position w:val="0"/>
                      <w:sz w:val="21"/>
                      <w:szCs w:val="21"/>
                      <w:highlight w:val="none"/>
                      <w:lang w:val="en-US" w:eastAsia="zh-CN" w:bidi="ar-SA"/>
                    </w:rPr>
                    <w:t>《合成树脂工业污染物排放标准》（GB 31572-2015，含2024年修改单）</w:t>
                  </w:r>
                </w:p>
              </w:tc>
            </w:tr>
            <w:tr w14:paraId="0937C7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073" w:type="dxa"/>
                  <w:vMerge w:val="continue"/>
                  <w:tcBorders>
                    <w:tl2br w:val="nil"/>
                    <w:tr2bl w:val="nil"/>
                  </w:tcBorders>
                  <w:shd w:val="clear" w:color="auto" w:fill="auto"/>
                  <w:vAlign w:val="center"/>
                </w:tcPr>
                <w:p w14:paraId="47DAB93D">
                  <w:pPr>
                    <w:keepNext w:val="0"/>
                    <w:keepLines w:val="0"/>
                    <w:pageBreakBefore w:val="0"/>
                    <w:widowControl/>
                    <w:shd w:val="clear"/>
                    <w:kinsoku/>
                    <w:wordWrap/>
                    <w:overflowPunct/>
                    <w:topLinePunct w:val="0"/>
                    <w:autoSpaceDE/>
                    <w:autoSpaceDN/>
                    <w:bidi w:val="0"/>
                    <w:adjustRightInd/>
                    <w:snapToGrid/>
                    <w:spacing w:before="0" w:beforeLines="0" w:beforeAutospacing="0" w:after="0" w:afterLines="0" w:afterAutospacing="0"/>
                    <w:ind w:left="0" w:leftChars="0" w:right="0" w:rightChars="0"/>
                    <w:jc w:val="center"/>
                    <w:rPr>
                      <w:rFonts w:hint="default" w:ascii="Times New Roman" w:hAnsi="Times New Roman" w:eastAsia="宋体" w:cs="Times New Roman"/>
                      <w:i w:val="0"/>
                      <w:iCs w:val="0"/>
                      <w:color w:val="auto"/>
                      <w:sz w:val="21"/>
                      <w:szCs w:val="21"/>
                      <w:u w:val="none"/>
                    </w:rPr>
                  </w:pPr>
                </w:p>
              </w:tc>
              <w:tc>
                <w:tcPr>
                  <w:tcW w:w="1326" w:type="dxa"/>
                  <w:tcBorders>
                    <w:tl2br w:val="nil"/>
                    <w:tr2bl w:val="nil"/>
                  </w:tcBorders>
                  <w:shd w:val="clear" w:color="auto" w:fill="auto"/>
                  <w:vAlign w:val="center"/>
                </w:tcPr>
                <w:p w14:paraId="63ADE50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非甲烷总烃</w:t>
                  </w:r>
                </w:p>
              </w:tc>
              <w:tc>
                <w:tcPr>
                  <w:tcW w:w="1459" w:type="dxa"/>
                  <w:tcBorders>
                    <w:tl2br w:val="nil"/>
                    <w:tr2bl w:val="nil"/>
                  </w:tcBorders>
                  <w:shd w:val="clear" w:color="auto" w:fill="auto"/>
                  <w:vAlign w:val="center"/>
                </w:tcPr>
                <w:p w14:paraId="0E721A6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 mg/m³</w:t>
                  </w:r>
                </w:p>
              </w:tc>
              <w:tc>
                <w:tcPr>
                  <w:tcW w:w="3603" w:type="dxa"/>
                  <w:vMerge w:val="continue"/>
                  <w:tcBorders>
                    <w:tl2br w:val="nil"/>
                    <w:tr2bl w:val="nil"/>
                  </w:tcBorders>
                  <w:shd w:val="clear" w:color="auto" w:fill="auto"/>
                  <w:vAlign w:val="center"/>
                </w:tcPr>
                <w:p w14:paraId="30C6CCB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sz w:val="21"/>
                      <w:szCs w:val="21"/>
                      <w:u w:val="none"/>
                    </w:rPr>
                  </w:pPr>
                </w:p>
              </w:tc>
            </w:tr>
          </w:tbl>
          <w:p w14:paraId="29BA8BAB">
            <w:pPr>
              <w:pStyle w:val="6"/>
              <w:pageBreakBefore w:val="0"/>
              <w:numPr>
                <w:ilvl w:val="0"/>
                <w:numId w:val="0"/>
              </w:numPr>
              <w:shd w:val="clear"/>
              <w:kinsoku/>
              <w:overflowPunct/>
              <w:topLinePunct w:val="0"/>
              <w:bidi w:val="0"/>
              <w:spacing w:before="0" w:beforeAutospacing="0" w:after="0" w:afterAutospacing="0"/>
              <w:ind w:left="0" w:leftChars="0" w:right="0" w:rightChars="0"/>
              <w:jc w:val="both"/>
              <w:rPr>
                <w:rFonts w:hint="default" w:ascii="Times New Roman" w:hAnsi="Times New Roman" w:eastAsia="宋体" w:cs="Times New Roman"/>
                <w:b/>
                <w:bCs/>
                <w:color w:val="auto"/>
                <w:spacing w:val="0"/>
                <w:kern w:val="0"/>
                <w:position w:val="0"/>
                <w:sz w:val="24"/>
                <w:szCs w:val="24"/>
                <w:highlight w:val="none"/>
                <w:lang w:val="en-US" w:eastAsia="zh-CN" w:bidi="ar-SA"/>
              </w:rPr>
            </w:pPr>
          </w:p>
          <w:p w14:paraId="0676E786">
            <w:pPr>
              <w:pStyle w:val="6"/>
              <w:pageBreakBefore w:val="0"/>
              <w:numPr>
                <w:ilvl w:val="0"/>
                <w:numId w:val="0"/>
              </w:numPr>
              <w:shd w:val="clear"/>
              <w:kinsoku/>
              <w:overflowPunct/>
              <w:topLinePunct w:val="0"/>
              <w:bidi w:val="0"/>
              <w:spacing w:before="0" w:beforeAutospacing="0" w:after="0" w:afterAutospacing="0" w:line="360" w:lineRule="auto"/>
              <w:ind w:left="0" w:leftChars="0" w:right="0" w:rightChars="0"/>
              <w:jc w:val="both"/>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2.废水排放执行标准</w:t>
            </w:r>
          </w:p>
          <w:p w14:paraId="73FF5E23">
            <w:pPr>
              <w:pageBreakBefore w:val="0"/>
              <w:shd w:val="clear"/>
              <w:kinsoku/>
              <w:overflowPunct/>
              <w:topLinePunct w:val="0"/>
              <w:bidi w:val="0"/>
              <w:spacing w:beforeAutospacing="0" w:afterAutospacing="0" w:line="360" w:lineRule="auto"/>
              <w:ind w:left="0" w:leftChars="0" w:right="0" w:rightChars="0" w:firstLine="480"/>
              <w:jc w:val="both"/>
              <w:rPr>
                <w:rFonts w:hint="default" w:ascii="Times New Roman" w:hAnsi="Times New Roman" w:cs="Times New Roman"/>
                <w:color w:val="auto"/>
                <w:spacing w:val="0"/>
                <w:position w:val="0"/>
                <w:sz w:val="24"/>
                <w:szCs w:val="32"/>
                <w:highlight w:val="none"/>
              </w:rPr>
            </w:pPr>
            <w:r>
              <w:rPr>
                <w:rFonts w:hint="default" w:ascii="Times New Roman" w:hAnsi="Times New Roman" w:eastAsia="宋体" w:cs="Times New Roman"/>
                <w:color w:val="auto"/>
                <w:spacing w:val="0"/>
                <w:kern w:val="0"/>
                <w:position w:val="0"/>
                <w:sz w:val="24"/>
                <w:szCs w:val="24"/>
                <w:highlight w:val="none"/>
                <w:lang w:val="en-US" w:eastAsia="zh-CN" w:bidi="ar"/>
              </w:rPr>
              <w:t>本项目生活污水经园区污水管网排入阜康市西部城区污水处理厂集中处理，废水排放执行《污水综合排放标准》（GB8978-1996）表4中三级标准及《污水排入城镇下水道水质标准》（GB/T 31962-2015）B级标准，同时满足阜康市西部城区污水处理厂纳管要求。具体标准限值见表3-7。</w:t>
            </w:r>
          </w:p>
          <w:p w14:paraId="428B27E7">
            <w:pPr>
              <w:pStyle w:val="50"/>
              <w:keepNext w:val="0"/>
              <w:keepLines w:val="0"/>
              <w:pageBreakBefore w:val="0"/>
              <w:widowControl w:val="0"/>
              <w:shd w:val="clear"/>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表3-</w:t>
            </w:r>
            <w:r>
              <w:rPr>
                <w:rFonts w:hint="eastAsia" w:ascii="Times New Roman" w:hAnsi="Times New Roman" w:eastAsia="宋体" w:cs="Times New Roman"/>
                <w:b/>
                <w:bCs/>
                <w:color w:val="auto"/>
                <w:spacing w:val="0"/>
                <w:position w:val="0"/>
                <w:sz w:val="21"/>
                <w:szCs w:val="21"/>
                <w:highlight w:val="none"/>
                <w:lang w:val="en-US" w:eastAsia="zh-CN"/>
              </w:rPr>
              <w:t>7</w:t>
            </w:r>
            <w:r>
              <w:rPr>
                <w:rFonts w:hint="default" w:ascii="Times New Roman" w:hAnsi="Times New Roman" w:eastAsia="宋体" w:cs="Times New Roman"/>
                <w:b/>
                <w:bCs/>
                <w:color w:val="auto"/>
                <w:spacing w:val="0"/>
                <w:position w:val="0"/>
                <w:sz w:val="21"/>
                <w:szCs w:val="21"/>
                <w:highlight w:val="none"/>
                <w:lang w:val="en-US" w:eastAsia="zh-CN"/>
              </w:rPr>
              <w:t xml:space="preserve">   </w:t>
            </w:r>
            <w:r>
              <w:rPr>
                <w:rFonts w:ascii="Segoe UI" w:hAnsi="Segoe UI" w:eastAsia="Segoe UI" w:cs="Segoe UI"/>
                <w:b/>
                <w:bCs/>
                <w:i w:val="0"/>
                <w:iCs w:val="0"/>
                <w:caps w:val="0"/>
                <w:color w:val="auto"/>
                <w:spacing w:val="0"/>
                <w:sz w:val="21"/>
                <w:szCs w:val="21"/>
                <w:shd w:val="clear" w:fill="FFFFFF"/>
              </w:rPr>
              <w:t>水污染物排放标准限值</w:t>
            </w:r>
            <w:r>
              <w:rPr>
                <w:rFonts w:hint="default" w:ascii="Times New Roman" w:hAnsi="Times New Roman" w:eastAsia="宋体" w:cs="Times New Roman"/>
                <w:b/>
                <w:bCs/>
                <w:color w:val="auto"/>
                <w:spacing w:val="0"/>
                <w:position w:val="0"/>
                <w:sz w:val="21"/>
                <w:szCs w:val="21"/>
                <w:highlight w:val="none"/>
              </w:rPr>
              <w:t>（单位：mg/L）</w:t>
            </w:r>
          </w:p>
          <w:tbl>
            <w:tblPr>
              <w:tblStyle w:val="25"/>
              <w:tblW w:w="494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2987"/>
              <w:gridCol w:w="1145"/>
              <w:gridCol w:w="835"/>
              <w:gridCol w:w="758"/>
              <w:gridCol w:w="847"/>
              <w:gridCol w:w="667"/>
            </w:tblGrid>
            <w:tr w14:paraId="65409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tblHeader/>
                <w:jc w:val="center"/>
              </w:trPr>
              <w:tc>
                <w:tcPr>
                  <w:tcW w:w="3257" w:type="dxa"/>
                  <w:tcBorders>
                    <w:top w:val="single" w:color="auto" w:sz="12" w:space="0"/>
                    <w:bottom w:val="single" w:color="auto" w:sz="12" w:space="0"/>
                    <w:right w:val="single" w:color="auto" w:sz="4" w:space="0"/>
                  </w:tcBorders>
                  <w:shd w:val="clear" w:color="auto" w:fill="FFFFFF"/>
                  <w:vAlign w:val="center"/>
                </w:tcPr>
                <w:p w14:paraId="52A29E5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污染物项目</w:t>
                  </w:r>
                </w:p>
              </w:tc>
              <w:tc>
                <w:tcPr>
                  <w:tcW w:w="1249" w:type="dxa"/>
                  <w:tcBorders>
                    <w:top w:val="single" w:color="auto" w:sz="12" w:space="0"/>
                    <w:left w:val="single" w:color="auto" w:sz="4" w:space="0"/>
                    <w:bottom w:val="single" w:color="auto" w:sz="12" w:space="0"/>
                    <w:right w:val="single" w:color="auto" w:sz="4" w:space="0"/>
                  </w:tcBorders>
                  <w:shd w:val="clear" w:color="auto" w:fill="FFFFFF"/>
                  <w:vAlign w:val="center"/>
                </w:tcPr>
                <w:p w14:paraId="2FF4419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COD</w:t>
                  </w:r>
                  <w:r>
                    <w:rPr>
                      <w:rFonts w:hint="eastAsia" w:cs="Times New Roman"/>
                      <w:b/>
                      <w:bCs/>
                      <w:i w:val="0"/>
                      <w:iCs w:val="0"/>
                      <w:color w:val="auto"/>
                      <w:kern w:val="0"/>
                      <w:sz w:val="21"/>
                      <w:szCs w:val="21"/>
                      <w:u w:val="none"/>
                      <w:lang w:val="en-US" w:eastAsia="zh-CN" w:bidi="ar"/>
                    </w:rPr>
                    <w:t>cr</w:t>
                  </w:r>
                </w:p>
              </w:tc>
              <w:tc>
                <w:tcPr>
                  <w:tcW w:w="911" w:type="dxa"/>
                  <w:tcBorders>
                    <w:top w:val="single" w:color="auto" w:sz="12" w:space="0"/>
                    <w:left w:val="single" w:color="auto" w:sz="4" w:space="0"/>
                    <w:bottom w:val="single" w:color="auto" w:sz="12" w:space="0"/>
                    <w:right w:val="single" w:color="auto" w:sz="4" w:space="0"/>
                  </w:tcBorders>
                  <w:shd w:val="clear" w:color="auto" w:fill="FFFFFF"/>
                  <w:vAlign w:val="center"/>
                </w:tcPr>
                <w:p w14:paraId="6FC4394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BOD₅</w:t>
                  </w:r>
                </w:p>
              </w:tc>
              <w:tc>
                <w:tcPr>
                  <w:tcW w:w="826" w:type="dxa"/>
                  <w:tcBorders>
                    <w:top w:val="single" w:color="auto" w:sz="12" w:space="0"/>
                    <w:left w:val="single" w:color="auto" w:sz="4" w:space="0"/>
                    <w:bottom w:val="single" w:color="auto" w:sz="12" w:space="0"/>
                    <w:right w:val="single" w:color="auto" w:sz="4" w:space="0"/>
                  </w:tcBorders>
                  <w:shd w:val="clear" w:color="auto" w:fill="FFFFFF"/>
                  <w:vAlign w:val="center"/>
                </w:tcPr>
                <w:p w14:paraId="5507D89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SS</w:t>
                  </w:r>
                </w:p>
              </w:tc>
              <w:tc>
                <w:tcPr>
                  <w:tcW w:w="924" w:type="dxa"/>
                  <w:tcBorders>
                    <w:top w:val="single" w:color="auto" w:sz="12" w:space="0"/>
                    <w:left w:val="single" w:color="auto" w:sz="4" w:space="0"/>
                    <w:bottom w:val="single" w:color="auto" w:sz="12" w:space="0"/>
                    <w:right w:val="single" w:color="auto" w:sz="4" w:space="0"/>
                  </w:tcBorders>
                  <w:shd w:val="clear" w:color="auto" w:fill="FFFFFF"/>
                  <w:vAlign w:val="center"/>
                </w:tcPr>
                <w:p w14:paraId="4429B30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氨氮</w:t>
                  </w:r>
                </w:p>
              </w:tc>
              <w:tc>
                <w:tcPr>
                  <w:tcW w:w="727" w:type="dxa"/>
                  <w:tcBorders>
                    <w:top w:val="single" w:color="auto" w:sz="12" w:space="0"/>
                    <w:left w:val="single" w:color="auto" w:sz="4" w:space="0"/>
                    <w:bottom w:val="single" w:color="auto" w:sz="12" w:space="0"/>
                  </w:tcBorders>
                  <w:shd w:val="clear" w:color="auto" w:fill="FFFFFF"/>
                  <w:vAlign w:val="center"/>
                </w:tcPr>
                <w:p w14:paraId="7E5EB3F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pH</w:t>
                  </w:r>
                </w:p>
              </w:tc>
            </w:tr>
            <w:tr w14:paraId="6AF3A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jc w:val="center"/>
              </w:trPr>
              <w:tc>
                <w:tcPr>
                  <w:tcW w:w="3257" w:type="dxa"/>
                  <w:tcBorders>
                    <w:top w:val="single" w:color="auto" w:sz="12" w:space="0"/>
                    <w:bottom w:val="single" w:color="auto" w:sz="4" w:space="0"/>
                    <w:right w:val="single" w:color="auto" w:sz="4" w:space="0"/>
                  </w:tcBorders>
                  <w:shd w:val="clear" w:color="auto" w:fill="FFFFFF"/>
                  <w:vAlign w:val="center"/>
                </w:tcPr>
                <w:p w14:paraId="7E1A91C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《污水综合排放标准》（GB8978-1996）表4三级标准</w:t>
                  </w:r>
                </w:p>
              </w:tc>
              <w:tc>
                <w:tcPr>
                  <w:tcW w:w="1249" w:type="dxa"/>
                  <w:tcBorders>
                    <w:top w:val="single" w:color="auto" w:sz="12" w:space="0"/>
                    <w:left w:val="single" w:color="auto" w:sz="4" w:space="0"/>
                    <w:bottom w:val="single" w:color="auto" w:sz="4" w:space="0"/>
                    <w:right w:val="single" w:color="auto" w:sz="4" w:space="0"/>
                  </w:tcBorders>
                  <w:shd w:val="clear" w:color="auto" w:fill="FFFFFF"/>
                  <w:vAlign w:val="center"/>
                </w:tcPr>
                <w:p w14:paraId="2F07F6A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≤500</w:t>
                  </w:r>
                </w:p>
              </w:tc>
              <w:tc>
                <w:tcPr>
                  <w:tcW w:w="911" w:type="dxa"/>
                  <w:tcBorders>
                    <w:top w:val="single" w:color="auto" w:sz="12" w:space="0"/>
                    <w:left w:val="single" w:color="auto" w:sz="4" w:space="0"/>
                    <w:bottom w:val="single" w:color="auto" w:sz="4" w:space="0"/>
                    <w:right w:val="single" w:color="auto" w:sz="4" w:space="0"/>
                  </w:tcBorders>
                  <w:shd w:val="clear" w:color="auto" w:fill="FFFFFF"/>
                  <w:vAlign w:val="center"/>
                </w:tcPr>
                <w:p w14:paraId="2DEE7DA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≤300</w:t>
                  </w:r>
                </w:p>
              </w:tc>
              <w:tc>
                <w:tcPr>
                  <w:tcW w:w="826" w:type="dxa"/>
                  <w:tcBorders>
                    <w:top w:val="single" w:color="auto" w:sz="12" w:space="0"/>
                    <w:left w:val="single" w:color="auto" w:sz="4" w:space="0"/>
                    <w:bottom w:val="single" w:color="auto" w:sz="4" w:space="0"/>
                    <w:right w:val="single" w:color="auto" w:sz="4" w:space="0"/>
                  </w:tcBorders>
                  <w:shd w:val="clear" w:color="auto" w:fill="FFFFFF"/>
                  <w:vAlign w:val="center"/>
                </w:tcPr>
                <w:p w14:paraId="6474B3B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≤400</w:t>
                  </w:r>
                </w:p>
              </w:tc>
              <w:tc>
                <w:tcPr>
                  <w:tcW w:w="924" w:type="dxa"/>
                  <w:tcBorders>
                    <w:top w:val="single" w:color="auto" w:sz="12" w:space="0"/>
                    <w:left w:val="single" w:color="auto" w:sz="4" w:space="0"/>
                    <w:bottom w:val="single" w:color="auto" w:sz="4" w:space="0"/>
                    <w:right w:val="single" w:color="auto" w:sz="4" w:space="0"/>
                  </w:tcBorders>
                  <w:shd w:val="clear" w:color="auto" w:fill="FFFFFF"/>
                  <w:vAlign w:val="center"/>
                </w:tcPr>
                <w:p w14:paraId="12FCBDE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727" w:type="dxa"/>
                  <w:tcBorders>
                    <w:top w:val="single" w:color="auto" w:sz="12" w:space="0"/>
                    <w:left w:val="single" w:color="auto" w:sz="4" w:space="0"/>
                    <w:bottom w:val="single" w:color="auto" w:sz="4" w:space="0"/>
                  </w:tcBorders>
                  <w:shd w:val="clear" w:color="auto" w:fill="FFFFFF"/>
                  <w:vAlign w:val="center"/>
                </w:tcPr>
                <w:p w14:paraId="3B2729C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6~9</w:t>
                  </w:r>
                </w:p>
              </w:tc>
            </w:tr>
            <w:tr w14:paraId="7884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jc w:val="center"/>
              </w:trPr>
              <w:tc>
                <w:tcPr>
                  <w:tcW w:w="3257" w:type="dxa"/>
                  <w:tcBorders>
                    <w:top w:val="single" w:color="auto" w:sz="4" w:space="0"/>
                    <w:bottom w:val="single" w:color="auto" w:sz="4" w:space="0"/>
                    <w:right w:val="single" w:color="auto" w:sz="4" w:space="0"/>
                  </w:tcBorders>
                  <w:shd w:val="clear" w:color="auto" w:fill="FFFFFF"/>
                  <w:vAlign w:val="center"/>
                </w:tcPr>
                <w:p w14:paraId="6BC6509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《污水排入城镇下水道水质标准》（GB/T 31962-2015）B级</w:t>
                  </w:r>
                </w:p>
              </w:tc>
              <w:tc>
                <w:tcPr>
                  <w:tcW w:w="1249" w:type="dxa"/>
                  <w:tcBorders>
                    <w:top w:val="single" w:color="auto" w:sz="4" w:space="0"/>
                    <w:left w:val="single" w:color="auto" w:sz="4" w:space="0"/>
                    <w:bottom w:val="single" w:color="auto" w:sz="4" w:space="0"/>
                    <w:right w:val="single" w:color="auto" w:sz="4" w:space="0"/>
                  </w:tcBorders>
                  <w:shd w:val="clear" w:color="auto" w:fill="FFFFFF"/>
                  <w:vAlign w:val="center"/>
                </w:tcPr>
                <w:p w14:paraId="1B05004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≤500</w:t>
                  </w:r>
                </w:p>
              </w:tc>
              <w:tc>
                <w:tcPr>
                  <w:tcW w:w="911" w:type="dxa"/>
                  <w:tcBorders>
                    <w:top w:val="single" w:color="auto" w:sz="4" w:space="0"/>
                    <w:left w:val="single" w:color="auto" w:sz="4" w:space="0"/>
                    <w:bottom w:val="single" w:color="auto" w:sz="4" w:space="0"/>
                    <w:right w:val="single" w:color="auto" w:sz="4" w:space="0"/>
                  </w:tcBorders>
                  <w:shd w:val="clear" w:color="auto" w:fill="FFFFFF"/>
                  <w:vAlign w:val="center"/>
                </w:tcPr>
                <w:p w14:paraId="1ABC1BA3">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≤350</w:t>
                  </w:r>
                </w:p>
              </w:tc>
              <w:tc>
                <w:tcPr>
                  <w:tcW w:w="826" w:type="dxa"/>
                  <w:tcBorders>
                    <w:top w:val="single" w:color="auto" w:sz="4" w:space="0"/>
                    <w:left w:val="single" w:color="auto" w:sz="4" w:space="0"/>
                    <w:bottom w:val="single" w:color="auto" w:sz="4" w:space="0"/>
                    <w:right w:val="single" w:color="auto" w:sz="4" w:space="0"/>
                  </w:tcBorders>
                  <w:shd w:val="clear" w:color="auto" w:fill="FFFFFF"/>
                  <w:vAlign w:val="center"/>
                </w:tcPr>
                <w:p w14:paraId="5F6DE52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≤400</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5370FF1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727" w:type="dxa"/>
                  <w:tcBorders>
                    <w:top w:val="single" w:color="auto" w:sz="4" w:space="0"/>
                    <w:left w:val="single" w:color="auto" w:sz="4" w:space="0"/>
                    <w:bottom w:val="single" w:color="auto" w:sz="4" w:space="0"/>
                  </w:tcBorders>
                  <w:shd w:val="clear" w:color="auto" w:fill="FFFFFF"/>
                  <w:vAlign w:val="center"/>
                </w:tcPr>
                <w:p w14:paraId="13E2EFC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6.5~9.5</w:t>
                  </w:r>
                </w:p>
              </w:tc>
            </w:tr>
            <w:tr w14:paraId="181C0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jc w:val="center"/>
              </w:trPr>
              <w:tc>
                <w:tcPr>
                  <w:tcW w:w="3257" w:type="dxa"/>
                  <w:tcBorders>
                    <w:top w:val="single" w:color="auto" w:sz="4" w:space="0"/>
                    <w:bottom w:val="single" w:color="auto" w:sz="12" w:space="0"/>
                    <w:right w:val="single" w:color="auto" w:sz="4" w:space="0"/>
                  </w:tcBorders>
                  <w:shd w:val="clear" w:color="auto" w:fill="FFFFFF"/>
                  <w:vAlign w:val="center"/>
                </w:tcPr>
                <w:p w14:paraId="49B8327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本项目执行限值</w:t>
                  </w:r>
                </w:p>
              </w:tc>
              <w:tc>
                <w:tcPr>
                  <w:tcW w:w="1249" w:type="dxa"/>
                  <w:tcBorders>
                    <w:top w:val="single" w:color="auto" w:sz="4" w:space="0"/>
                    <w:left w:val="single" w:color="auto" w:sz="4" w:space="0"/>
                    <w:bottom w:val="single" w:color="auto" w:sz="12" w:space="0"/>
                    <w:right w:val="single" w:color="auto" w:sz="4" w:space="0"/>
                  </w:tcBorders>
                  <w:shd w:val="clear" w:color="auto" w:fill="FFFFFF"/>
                  <w:vAlign w:val="center"/>
                </w:tcPr>
                <w:p w14:paraId="4003BCC1">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≤500</w:t>
                  </w:r>
                </w:p>
              </w:tc>
              <w:tc>
                <w:tcPr>
                  <w:tcW w:w="911" w:type="dxa"/>
                  <w:tcBorders>
                    <w:top w:val="single" w:color="auto" w:sz="4" w:space="0"/>
                    <w:left w:val="single" w:color="auto" w:sz="4" w:space="0"/>
                    <w:bottom w:val="single" w:color="auto" w:sz="12" w:space="0"/>
                    <w:right w:val="single" w:color="auto" w:sz="4" w:space="0"/>
                  </w:tcBorders>
                  <w:shd w:val="clear" w:color="auto" w:fill="FFFFFF"/>
                  <w:vAlign w:val="center"/>
                </w:tcPr>
                <w:p w14:paraId="7A224ED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≤300</w:t>
                  </w:r>
                </w:p>
              </w:tc>
              <w:tc>
                <w:tcPr>
                  <w:tcW w:w="826" w:type="dxa"/>
                  <w:tcBorders>
                    <w:top w:val="single" w:color="auto" w:sz="4" w:space="0"/>
                    <w:left w:val="single" w:color="auto" w:sz="4" w:space="0"/>
                    <w:bottom w:val="single" w:color="auto" w:sz="12" w:space="0"/>
                    <w:right w:val="single" w:color="auto" w:sz="4" w:space="0"/>
                  </w:tcBorders>
                  <w:shd w:val="clear" w:color="auto" w:fill="FFFFFF"/>
                  <w:vAlign w:val="center"/>
                </w:tcPr>
                <w:p w14:paraId="73021B8C">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≤400</w:t>
                  </w:r>
                </w:p>
              </w:tc>
              <w:tc>
                <w:tcPr>
                  <w:tcW w:w="924" w:type="dxa"/>
                  <w:tcBorders>
                    <w:top w:val="single" w:color="auto" w:sz="4" w:space="0"/>
                    <w:left w:val="single" w:color="auto" w:sz="4" w:space="0"/>
                    <w:bottom w:val="single" w:color="auto" w:sz="12" w:space="0"/>
                    <w:right w:val="single" w:color="auto" w:sz="4" w:space="0"/>
                  </w:tcBorders>
                  <w:shd w:val="clear" w:color="auto" w:fill="FFFFFF"/>
                  <w:vAlign w:val="center"/>
                </w:tcPr>
                <w:p w14:paraId="0244EA9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727" w:type="dxa"/>
                  <w:tcBorders>
                    <w:top w:val="single" w:color="auto" w:sz="4" w:space="0"/>
                    <w:left w:val="single" w:color="auto" w:sz="4" w:space="0"/>
                    <w:bottom w:val="single" w:color="auto" w:sz="12" w:space="0"/>
                  </w:tcBorders>
                  <w:shd w:val="clear" w:color="auto" w:fill="FFFFFF"/>
                  <w:vAlign w:val="center"/>
                </w:tcPr>
                <w:p w14:paraId="2D61414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6.5~9</w:t>
                  </w:r>
                </w:p>
              </w:tc>
            </w:tr>
          </w:tbl>
          <w:p w14:paraId="0DCD3A89">
            <w:pPr>
              <w:pStyle w:val="6"/>
              <w:pageBreakBefore w:val="0"/>
              <w:numPr>
                <w:ilvl w:val="0"/>
                <w:numId w:val="0"/>
              </w:numPr>
              <w:shd w:val="clear"/>
              <w:kinsoku/>
              <w:overflowPunct/>
              <w:topLinePunct w:val="0"/>
              <w:bidi w:val="0"/>
              <w:spacing w:before="0" w:beforeAutospacing="0" w:after="0" w:afterAutospacing="0"/>
              <w:ind w:left="0" w:leftChars="0" w:right="0" w:rightChars="0"/>
              <w:jc w:val="both"/>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3.噪声排放标准</w:t>
            </w:r>
          </w:p>
          <w:p w14:paraId="09E1DC0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运营期执行《工业企业厂界环境噪声排放标准》（GB12348-2008）3类的标准限值，具体标准值见表3-</w:t>
            </w:r>
            <w:r>
              <w:rPr>
                <w:rFonts w:hint="eastAsia" w:ascii="Times New Roman" w:hAnsi="Times New Roman" w:cs="Times New Roman"/>
                <w:color w:val="auto"/>
                <w:spacing w:val="0"/>
                <w:kern w:val="0"/>
                <w:position w:val="0"/>
                <w:sz w:val="24"/>
                <w:szCs w:val="24"/>
                <w:highlight w:val="none"/>
                <w:lang w:val="en-US" w:eastAsia="zh-CN" w:bidi="ar"/>
              </w:rPr>
              <w:t>8</w:t>
            </w:r>
            <w:r>
              <w:rPr>
                <w:rFonts w:hint="default" w:ascii="Times New Roman" w:hAnsi="Times New Roman" w:eastAsia="宋体" w:cs="Times New Roman"/>
                <w:color w:val="auto"/>
                <w:spacing w:val="0"/>
                <w:kern w:val="0"/>
                <w:position w:val="0"/>
                <w:sz w:val="24"/>
                <w:szCs w:val="24"/>
                <w:highlight w:val="none"/>
                <w:lang w:val="en-US" w:eastAsia="zh-CN" w:bidi="ar"/>
              </w:rPr>
              <w:t>。</w:t>
            </w:r>
          </w:p>
          <w:p w14:paraId="3251F631">
            <w:pPr>
              <w:pStyle w:val="39"/>
              <w:pageBreakBefore w:val="0"/>
              <w:shd w:val="clear"/>
              <w:tabs>
                <w:tab w:val="left" w:pos="1845"/>
              </w:tabs>
              <w:kinsoku/>
              <w:overflowPunct/>
              <w:topLinePunct w:val="0"/>
              <w:bidi w:val="0"/>
              <w:spacing w:beforeAutospacing="0" w:afterAutospacing="0"/>
              <w:ind w:left="0" w:leftChars="0" w:right="0" w:rightChars="0"/>
              <w:jc w:val="center"/>
              <w:rPr>
                <w:rFonts w:hint="default" w:ascii="Times New Roman" w:hAnsi="Times New Roman" w:eastAsia="宋体" w:cs="Times New Roman"/>
                <w:b/>
                <w:bCs/>
                <w:color w:val="auto"/>
                <w:spacing w:val="0"/>
                <w:position w:val="0"/>
                <w:sz w:val="21"/>
                <w:szCs w:val="21"/>
                <w:highlight w:val="none"/>
                <w:lang w:val="en-US" w:eastAsia="zh-CN" w:bidi="ar-SA"/>
              </w:rPr>
            </w:pPr>
            <w:r>
              <w:rPr>
                <w:rFonts w:hint="default" w:ascii="Times New Roman" w:hAnsi="Times New Roman" w:eastAsia="宋体" w:cs="Times New Roman"/>
                <w:b/>
                <w:bCs/>
                <w:color w:val="auto"/>
                <w:spacing w:val="0"/>
                <w:position w:val="0"/>
                <w:sz w:val="21"/>
                <w:szCs w:val="21"/>
                <w:highlight w:val="none"/>
                <w:lang w:val="en-US" w:eastAsia="zh-CN" w:bidi="ar-SA"/>
              </w:rPr>
              <w:t>表3-</w:t>
            </w:r>
            <w:r>
              <w:rPr>
                <w:rFonts w:hint="eastAsia" w:ascii="Times New Roman" w:hAnsi="Times New Roman" w:eastAsia="宋体" w:cs="Times New Roman"/>
                <w:b/>
                <w:bCs/>
                <w:color w:val="auto"/>
                <w:spacing w:val="0"/>
                <w:position w:val="0"/>
                <w:sz w:val="21"/>
                <w:szCs w:val="21"/>
                <w:highlight w:val="none"/>
                <w:lang w:val="en-US" w:eastAsia="zh-CN" w:bidi="ar-SA"/>
              </w:rPr>
              <w:t>8</w:t>
            </w:r>
            <w:r>
              <w:rPr>
                <w:rFonts w:hint="default" w:ascii="Times New Roman" w:hAnsi="Times New Roman" w:eastAsia="宋体" w:cs="Times New Roman"/>
                <w:b/>
                <w:bCs/>
                <w:color w:val="auto"/>
                <w:spacing w:val="0"/>
                <w:position w:val="0"/>
                <w:sz w:val="21"/>
                <w:szCs w:val="21"/>
                <w:highlight w:val="none"/>
                <w:lang w:val="en-US" w:eastAsia="zh-CN" w:bidi="ar-SA"/>
              </w:rPr>
              <w:t xml:space="preserve">    噪声排放限值标准</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4"/>
              <w:gridCol w:w="4059"/>
              <w:gridCol w:w="2258"/>
            </w:tblGrid>
            <w:tr w14:paraId="3F39F6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79" w:type="pct"/>
                  <w:tcBorders>
                    <w:bottom w:val="single" w:color="auto" w:sz="12" w:space="0"/>
                  </w:tcBorders>
                  <w:noWrap w:val="0"/>
                  <w:vAlign w:val="center"/>
                </w:tcPr>
                <w:p w14:paraId="4C82B7A9">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时期</w:t>
                  </w:r>
                </w:p>
              </w:tc>
              <w:tc>
                <w:tcPr>
                  <w:tcW w:w="2775" w:type="pct"/>
                  <w:tcBorders>
                    <w:bottom w:val="single" w:color="auto" w:sz="12" w:space="0"/>
                  </w:tcBorders>
                  <w:noWrap w:val="0"/>
                  <w:vAlign w:val="center"/>
                </w:tcPr>
                <w:p w14:paraId="4C940AEE">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标准</w:t>
                  </w:r>
                </w:p>
              </w:tc>
              <w:tc>
                <w:tcPr>
                  <w:tcW w:w="1544" w:type="pct"/>
                  <w:tcBorders>
                    <w:bottom w:val="single" w:color="auto" w:sz="12" w:space="0"/>
                  </w:tcBorders>
                  <w:noWrap w:val="0"/>
                  <w:vAlign w:val="center"/>
                </w:tcPr>
                <w:p w14:paraId="6DBA9A41">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限值</w:t>
                  </w:r>
                </w:p>
              </w:tc>
            </w:tr>
            <w:tr w14:paraId="25FF5E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79" w:type="pct"/>
                  <w:tcBorders>
                    <w:top w:val="single" w:color="auto" w:sz="4" w:space="0"/>
                  </w:tcBorders>
                  <w:noWrap w:val="0"/>
                  <w:vAlign w:val="center"/>
                </w:tcPr>
                <w:p w14:paraId="70E4F73E">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运营期</w:t>
                  </w:r>
                </w:p>
              </w:tc>
              <w:tc>
                <w:tcPr>
                  <w:tcW w:w="2775" w:type="pct"/>
                  <w:tcBorders>
                    <w:top w:val="single" w:color="auto" w:sz="4" w:space="0"/>
                  </w:tcBorders>
                  <w:noWrap w:val="0"/>
                  <w:vAlign w:val="center"/>
                </w:tcPr>
                <w:p w14:paraId="792BE29E">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《工业企业厂界环境噪声排放标准》（GB12348-2008）3类</w:t>
                  </w:r>
                </w:p>
              </w:tc>
              <w:tc>
                <w:tcPr>
                  <w:tcW w:w="1544" w:type="pct"/>
                  <w:tcBorders>
                    <w:top w:val="single" w:color="auto" w:sz="4" w:space="0"/>
                  </w:tcBorders>
                  <w:noWrap w:val="0"/>
                  <w:vAlign w:val="center"/>
                </w:tcPr>
                <w:p w14:paraId="7DBAD8DB">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昼间65dB(A)</w:t>
                  </w:r>
                </w:p>
                <w:p w14:paraId="1B432D16">
                  <w:pPr>
                    <w:pStyle w:val="56"/>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夜间55dB(A)</w:t>
                  </w:r>
                </w:p>
              </w:tc>
            </w:tr>
          </w:tbl>
          <w:p w14:paraId="5FDD731B">
            <w:pPr>
              <w:pStyle w:val="6"/>
              <w:pageBreakBefore w:val="0"/>
              <w:numPr>
                <w:ilvl w:val="0"/>
                <w:numId w:val="0"/>
              </w:numPr>
              <w:shd w:val="clear"/>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4.固体废物</w:t>
            </w:r>
          </w:p>
          <w:p w14:paraId="714EB90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eastAsia" w:ascii="Times New Roman" w:hAnsi="Times New Roman" w:cs="Times New Roman"/>
                <w:color w:val="auto"/>
                <w:spacing w:val="0"/>
                <w:kern w:val="0"/>
                <w:position w:val="0"/>
                <w:sz w:val="24"/>
                <w:szCs w:val="24"/>
                <w:highlight w:val="none"/>
                <w:lang w:val="en-US" w:eastAsia="zh-CN" w:bidi="ar"/>
              </w:rPr>
              <w:t>（1）</w:t>
            </w:r>
            <w:r>
              <w:rPr>
                <w:rFonts w:hint="default" w:ascii="Times New Roman" w:hAnsi="Times New Roman" w:eastAsia="宋体" w:cs="Times New Roman"/>
                <w:color w:val="auto"/>
                <w:spacing w:val="0"/>
                <w:kern w:val="0"/>
                <w:position w:val="0"/>
                <w:sz w:val="24"/>
                <w:szCs w:val="24"/>
                <w:highlight w:val="none"/>
                <w:lang w:val="en-US" w:eastAsia="zh-CN" w:bidi="ar"/>
              </w:rPr>
              <w:t>一般工业固体废物执行《一般工业固体废物贮存和填埋污染控制标准》(GB18599-2020)。</w:t>
            </w:r>
          </w:p>
          <w:p w14:paraId="6B3B808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cs="Times New Roman"/>
                <w:color w:val="auto"/>
                <w:spacing w:val="0"/>
                <w:kern w:val="0"/>
                <w:position w:val="0"/>
                <w:szCs w:val="21"/>
                <w:highlight w:val="none"/>
              </w:rPr>
            </w:pPr>
            <w:r>
              <w:rPr>
                <w:rFonts w:hint="eastAsia" w:ascii="Times New Roman" w:hAnsi="Times New Roman" w:cs="Times New Roman"/>
                <w:color w:val="auto"/>
                <w:spacing w:val="0"/>
                <w:kern w:val="0"/>
                <w:position w:val="0"/>
                <w:sz w:val="24"/>
                <w:szCs w:val="24"/>
                <w:highlight w:val="none"/>
                <w:lang w:val="en-US" w:eastAsia="zh-CN" w:bidi="ar"/>
              </w:rPr>
              <w:t>（2）</w:t>
            </w:r>
            <w:r>
              <w:rPr>
                <w:rFonts w:hint="default" w:ascii="Times New Roman" w:hAnsi="Times New Roman" w:eastAsia="宋体" w:cs="Times New Roman"/>
                <w:color w:val="auto"/>
                <w:spacing w:val="0"/>
                <w:kern w:val="0"/>
                <w:position w:val="0"/>
                <w:sz w:val="24"/>
                <w:szCs w:val="24"/>
                <w:highlight w:val="none"/>
                <w:lang w:val="en-US" w:eastAsia="zh-CN" w:bidi="ar"/>
              </w:rPr>
              <w:t>危险废物贮存应符合《危险废物贮存污染控制标准》（GB18597-20</w:t>
            </w:r>
            <w:r>
              <w:rPr>
                <w:rFonts w:hint="default" w:ascii="Times New Roman" w:hAnsi="Times New Roman" w:cs="Times New Roman"/>
                <w:color w:val="auto"/>
                <w:spacing w:val="0"/>
                <w:kern w:val="0"/>
                <w:position w:val="0"/>
                <w:sz w:val="24"/>
                <w:szCs w:val="24"/>
                <w:highlight w:val="none"/>
                <w:lang w:val="en-US" w:eastAsia="zh-CN" w:bidi="ar"/>
              </w:rPr>
              <w:t>23）</w:t>
            </w:r>
            <w:r>
              <w:rPr>
                <w:rFonts w:hint="default" w:ascii="Times New Roman" w:hAnsi="Times New Roman" w:eastAsia="宋体" w:cs="Times New Roman"/>
                <w:color w:val="auto"/>
                <w:spacing w:val="0"/>
                <w:kern w:val="0"/>
                <w:position w:val="0"/>
                <w:sz w:val="24"/>
                <w:szCs w:val="24"/>
                <w:highlight w:val="none"/>
                <w:lang w:val="en-US" w:eastAsia="zh-CN" w:bidi="ar"/>
              </w:rPr>
              <w:t>中要求</w:t>
            </w:r>
            <w:r>
              <w:rPr>
                <w:rFonts w:hint="default" w:ascii="Times New Roman" w:hAnsi="Times New Roman" w:cs="Times New Roman"/>
                <w:color w:val="auto"/>
                <w:spacing w:val="0"/>
                <w:kern w:val="0"/>
                <w:position w:val="0"/>
                <w:sz w:val="24"/>
                <w:szCs w:val="24"/>
                <w:highlight w:val="none"/>
                <w:lang w:val="en-US" w:eastAsia="zh-CN" w:bidi="ar"/>
              </w:rPr>
              <w:t>执行</w:t>
            </w:r>
            <w:r>
              <w:rPr>
                <w:rFonts w:hint="default" w:ascii="Times New Roman" w:hAnsi="Times New Roman" w:eastAsia="宋体" w:cs="Times New Roman"/>
                <w:color w:val="auto"/>
                <w:spacing w:val="0"/>
                <w:kern w:val="0"/>
                <w:position w:val="0"/>
                <w:sz w:val="24"/>
                <w:szCs w:val="24"/>
                <w:highlight w:val="none"/>
                <w:lang w:val="en-US" w:eastAsia="zh-CN" w:bidi="ar"/>
              </w:rPr>
              <w:t>。</w:t>
            </w:r>
          </w:p>
        </w:tc>
      </w:tr>
      <w:tr w14:paraId="01FE83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vAlign w:val="center"/>
          </w:tcPr>
          <w:p w14:paraId="624A1FE1">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总量</w:t>
            </w:r>
          </w:p>
          <w:p w14:paraId="635F9E4D">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控制</w:t>
            </w:r>
          </w:p>
          <w:p w14:paraId="527B73A0">
            <w:pPr>
              <w:keepNext w:val="0"/>
              <w:keepLines w:val="0"/>
              <w:pageBreakBefore w:val="0"/>
              <w:widowControl w:val="0"/>
              <w:shd w:val="clear"/>
              <w:kinsoku/>
              <w:wordWrap/>
              <w:overflowPunct/>
              <w:topLinePunct w:val="0"/>
              <w:autoSpaceDE/>
              <w:autoSpaceDN/>
              <w:bidi w:val="0"/>
              <w:adjustRightInd w:val="0"/>
              <w:snapToGrid w:val="0"/>
              <w:spacing w:beforeAutospacing="0" w:afterAutospacing="0"/>
              <w:ind w:left="0" w:leftChars="0" w:right="0" w:rightChars="0" w:firstLine="0" w:firstLineChars="0"/>
              <w:jc w:val="center"/>
              <w:textAlignment w:val="auto"/>
              <w:rPr>
                <w:rFonts w:hint="default" w:ascii="Times New Roman" w:hAnsi="Times New Roman" w:cs="Times New Roman"/>
                <w:color w:val="auto"/>
                <w:spacing w:val="0"/>
                <w:kern w:val="0"/>
                <w:position w:val="0"/>
                <w:szCs w:val="21"/>
                <w:highlight w:val="none"/>
              </w:rPr>
            </w:pPr>
            <w:r>
              <w:rPr>
                <w:rFonts w:hint="default" w:ascii="Times New Roman" w:hAnsi="Times New Roman" w:cs="Times New Roman"/>
                <w:color w:val="auto"/>
                <w:spacing w:val="0"/>
                <w:kern w:val="0"/>
                <w:position w:val="0"/>
                <w:szCs w:val="21"/>
                <w:highlight w:val="none"/>
              </w:rPr>
              <w:t>指标</w:t>
            </w:r>
          </w:p>
        </w:tc>
        <w:tc>
          <w:tcPr>
            <w:tcW w:w="8190" w:type="dxa"/>
            <w:tcBorders>
              <w:tl2br w:val="nil"/>
              <w:tr2bl w:val="nil"/>
            </w:tcBorders>
            <w:noWrap w:val="0"/>
            <w:vAlign w:val="center"/>
          </w:tcPr>
          <w:p w14:paraId="2F27762E">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eastAsia" w:ascii="Times New Roman" w:hAnsi="Times New Roman" w:eastAsia="宋体" w:cs="Times New Roman"/>
                <w:color w:val="auto"/>
                <w:spacing w:val="0"/>
                <w:kern w:val="0"/>
                <w:position w:val="0"/>
                <w:sz w:val="24"/>
                <w:szCs w:val="24"/>
                <w:highlight w:val="none"/>
                <w:lang w:val="en-US" w:eastAsia="zh-CN" w:bidi="ar"/>
              </w:rPr>
            </w:pPr>
          </w:p>
          <w:p w14:paraId="1E45617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根据《新疆生态环境保护“十四五”规划》，自治区主要对氮氧化物（NOx）、挥发性有机物（VOCs）、化学需氧量（COD）、氨氮（NH₃-N） 四种主要污染物实行总量控制。结合本项目排污特征（仅排放生活污水，不涉及COD和氨氮总量控制；不涉及NOx排放），确定本项目大气污染物总量控制因子为挥发性有机物（VOCs）。</w:t>
            </w:r>
          </w:p>
          <w:p w14:paraId="4394AD8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根据《“十五五”污染减排工作方案编制技术指南》，在环境统计数据基础上，以环境统计、排污许可等作为现有主要污染物清单，预测氮氧化物、VOCs等主要污染物新增排放量。根据《昌吉回族自治州生态环境分区管控动态更新成果》（2023版），“乌—昌—石”区域PM₂.₅年平均浓度不达标，颗粒物（烟粉尘）亦纳入区域倍量替代管理。因此，颗粒物作为区域特征污染物亦应纳入总量管理。</w:t>
            </w:r>
          </w:p>
          <w:p w14:paraId="27B604B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本项目总量控制指标如下：</w:t>
            </w:r>
          </w:p>
          <w:p w14:paraId="55CE03C5">
            <w:pPr>
              <w:tabs>
                <w:tab w:val="left" w:pos="2295"/>
              </w:tabs>
              <w:spacing w:line="360" w:lineRule="auto"/>
              <w:ind w:firstLine="480" w:firstLineChars="200"/>
              <w:rPr>
                <w:rFonts w:hint="eastAsia"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挥发性有机物：</w:t>
            </w:r>
            <w:r>
              <w:rPr>
                <w:rFonts w:hint="eastAsia" w:ascii="Times New Roman" w:hAnsi="Times New Roman" w:eastAsia="宋体" w:cs="Times New Roman"/>
                <w:color w:val="auto"/>
                <w:spacing w:val="0"/>
                <w:kern w:val="0"/>
                <w:position w:val="0"/>
                <w:sz w:val="24"/>
                <w:szCs w:val="24"/>
                <w:highlight w:val="none"/>
                <w:lang w:val="en-US" w:eastAsia="zh-CN" w:bidi="ar"/>
              </w:rPr>
              <w:t>1.585t/a；</w:t>
            </w:r>
            <w:r>
              <w:rPr>
                <w:rFonts w:hint="default" w:ascii="Times New Roman" w:hAnsi="Times New Roman" w:eastAsia="宋体" w:cs="Times New Roman"/>
                <w:color w:val="auto"/>
                <w:spacing w:val="0"/>
                <w:kern w:val="0"/>
                <w:position w:val="0"/>
                <w:sz w:val="24"/>
                <w:szCs w:val="24"/>
                <w:highlight w:val="none"/>
                <w:lang w:val="en-US" w:eastAsia="zh-CN" w:bidi="ar"/>
              </w:rPr>
              <w:t>颗粒物：0.074t/a</w:t>
            </w:r>
            <w:r>
              <w:rPr>
                <w:rFonts w:hint="eastAsia" w:cs="Times New Roman"/>
                <w:color w:val="auto"/>
                <w:spacing w:val="0"/>
                <w:kern w:val="0"/>
                <w:position w:val="0"/>
                <w:sz w:val="24"/>
                <w:szCs w:val="24"/>
                <w:highlight w:val="none"/>
                <w:lang w:val="en-US" w:eastAsia="zh-CN" w:bidi="ar"/>
              </w:rPr>
              <w:t>；</w:t>
            </w:r>
          </w:p>
          <w:p w14:paraId="331621DA">
            <w:pPr>
              <w:tabs>
                <w:tab w:val="left" w:pos="2295"/>
              </w:tabs>
              <w:spacing w:line="360" w:lineRule="auto"/>
              <w:ind w:firstLine="480" w:firstLineChars="200"/>
              <w:rPr>
                <w:rFonts w:hint="default" w:ascii="Times New Roman" w:hAnsi="Times New Roman" w:eastAsia="宋体" w:cs="Times New Roman"/>
                <w:color w:val="auto"/>
                <w:spacing w:val="0"/>
                <w:kern w:val="0"/>
                <w:position w:val="0"/>
                <w:sz w:val="24"/>
                <w:szCs w:val="24"/>
                <w:highlight w:val="none"/>
                <w:lang w:val="en-US" w:eastAsia="zh-CN" w:bidi="ar"/>
              </w:rPr>
            </w:pPr>
            <w:r>
              <w:rPr>
                <w:rFonts w:hint="eastAsia" w:ascii="Times New Roman" w:hAnsi="Times New Roman" w:eastAsia="宋体" w:cs="Times New Roman"/>
                <w:color w:val="auto"/>
                <w:kern w:val="2"/>
                <w:sz w:val="24"/>
                <w:szCs w:val="32"/>
                <w:highlight w:val="none"/>
                <w:lang w:val="en-US" w:eastAsia="zh-CN"/>
              </w:rPr>
              <w:t>倍量替代后：VOCs：</w:t>
            </w:r>
            <w:r>
              <w:rPr>
                <w:rFonts w:hint="eastAsia" w:eastAsia="宋体" w:cs="Times New Roman"/>
                <w:color w:val="auto"/>
                <w:kern w:val="2"/>
                <w:sz w:val="24"/>
                <w:szCs w:val="32"/>
                <w:highlight w:val="none"/>
                <w:lang w:val="en-US" w:eastAsia="zh-CN"/>
              </w:rPr>
              <w:t>3.17</w:t>
            </w:r>
            <w:r>
              <w:rPr>
                <w:rFonts w:hint="eastAsia" w:ascii="Times New Roman" w:hAnsi="Times New Roman" w:eastAsia="宋体" w:cs="Times New Roman"/>
                <w:snapToGrid w:val="0"/>
                <w:color w:val="auto"/>
                <w:kern w:val="2"/>
                <w:sz w:val="24"/>
                <w:szCs w:val="24"/>
                <w:highlight w:val="none"/>
                <w:lang w:eastAsia="zh-CN"/>
              </w:rPr>
              <w:t>吨/年；</w:t>
            </w:r>
            <w:r>
              <w:rPr>
                <w:rFonts w:hint="eastAsia" w:ascii="Times New Roman" w:hAnsi="Times New Roman" w:eastAsia="宋体" w:cs="Times New Roman"/>
                <w:snapToGrid w:val="0"/>
                <w:color w:val="auto"/>
                <w:kern w:val="2"/>
                <w:sz w:val="24"/>
                <w:szCs w:val="24"/>
                <w:highlight w:val="none"/>
                <w:lang w:val="en-US" w:eastAsia="zh-CN"/>
              </w:rPr>
              <w:t>颗粒物：0.</w:t>
            </w:r>
            <w:r>
              <w:rPr>
                <w:rFonts w:hint="eastAsia" w:eastAsia="宋体" w:cs="Times New Roman"/>
                <w:snapToGrid w:val="0"/>
                <w:color w:val="auto"/>
                <w:kern w:val="2"/>
                <w:sz w:val="24"/>
                <w:szCs w:val="24"/>
                <w:highlight w:val="none"/>
                <w:lang w:val="en-US" w:eastAsia="zh-CN"/>
              </w:rPr>
              <w:t>148</w:t>
            </w:r>
            <w:r>
              <w:rPr>
                <w:rFonts w:hint="eastAsia" w:ascii="Times New Roman" w:hAnsi="Times New Roman" w:eastAsia="宋体" w:cs="Times New Roman"/>
                <w:snapToGrid w:val="0"/>
                <w:color w:val="auto"/>
                <w:kern w:val="2"/>
                <w:sz w:val="24"/>
                <w:szCs w:val="24"/>
                <w:highlight w:val="none"/>
                <w:lang w:eastAsia="zh-CN"/>
              </w:rPr>
              <w:t>吨/年</w:t>
            </w:r>
            <w:r>
              <w:rPr>
                <w:rFonts w:hint="eastAsia" w:eastAsia="宋体" w:cs="Times New Roman"/>
                <w:snapToGrid w:val="0"/>
                <w:color w:val="auto"/>
                <w:kern w:val="2"/>
                <w:sz w:val="24"/>
                <w:szCs w:val="24"/>
                <w:highlight w:val="none"/>
                <w:lang w:val="en-US" w:eastAsia="zh-CN"/>
              </w:rPr>
              <w:t>.</w:t>
            </w:r>
          </w:p>
          <w:p w14:paraId="293C6A5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本项目新增污染物排放总量指标来源由昌吉回族自治州生态环境局在州域内统筹协调解决。建设单位应在项目投产前，按照《建设项目主要污染物排放总量指标审核及管理暂行办法》（环发〔2014〕197号），向昌吉回族自治州生态环境局申请总量指标确认文件，明确总量指标来源</w:t>
            </w:r>
            <w:r>
              <w:rPr>
                <w:rFonts w:hint="eastAsia" w:cs="Times New Roman"/>
                <w:color w:val="auto"/>
                <w:spacing w:val="0"/>
                <w:kern w:val="0"/>
                <w:position w:val="0"/>
                <w:sz w:val="24"/>
                <w:szCs w:val="24"/>
                <w:highlight w:val="none"/>
                <w:lang w:val="en-US" w:eastAsia="zh-CN" w:bidi="ar"/>
              </w:rPr>
              <w:t>从</w:t>
            </w:r>
            <w:r>
              <w:rPr>
                <w:rFonts w:hint="default" w:ascii="Times New Roman" w:hAnsi="Times New Roman" w:eastAsia="宋体" w:cs="Times New Roman"/>
                <w:color w:val="auto"/>
                <w:spacing w:val="0"/>
                <w:kern w:val="0"/>
                <w:position w:val="0"/>
                <w:sz w:val="24"/>
                <w:szCs w:val="24"/>
                <w:highlight w:val="none"/>
                <w:lang w:val="en-US" w:eastAsia="zh-CN" w:bidi="ar"/>
              </w:rPr>
              <w:t>昌吉州区域内企业关停、淘汰落后产能等形成的总量指标削减</w:t>
            </w:r>
            <w:r>
              <w:rPr>
                <w:rFonts w:hint="eastAsia" w:cs="Times New Roman"/>
                <w:color w:val="auto"/>
                <w:spacing w:val="0"/>
                <w:kern w:val="0"/>
                <w:position w:val="0"/>
                <w:sz w:val="24"/>
                <w:szCs w:val="24"/>
                <w:highlight w:val="none"/>
                <w:lang w:val="en-US" w:eastAsia="zh-CN" w:bidi="ar"/>
              </w:rPr>
              <w:t>获得。</w:t>
            </w:r>
          </w:p>
          <w:p w14:paraId="2D8E31F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Times New Roman" w:hAnsi="Times New Roman" w:eastAsia="宋体" w:cs="Times New Roman"/>
                <w:color w:val="auto"/>
                <w:spacing w:val="0"/>
                <w:kern w:val="0"/>
                <w:position w:val="0"/>
                <w:sz w:val="24"/>
                <w:szCs w:val="24"/>
                <w:highlight w:val="none"/>
                <w:lang w:val="en-US" w:eastAsia="zh-CN" w:bidi="ar"/>
              </w:rPr>
            </w:pPr>
          </w:p>
          <w:p w14:paraId="3133174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cs="Times New Roman"/>
                <w:color w:val="auto"/>
                <w:spacing w:val="0"/>
                <w:kern w:val="0"/>
                <w:position w:val="0"/>
                <w:sz w:val="24"/>
                <w:szCs w:val="24"/>
                <w:highlight w:val="none"/>
                <w:lang w:val="en-US" w:eastAsia="zh-CN"/>
              </w:rPr>
            </w:pPr>
          </w:p>
          <w:p w14:paraId="55B6A3B1">
            <w:pPr>
              <w:pStyle w:val="31"/>
              <w:pageBreakBefore w:val="0"/>
              <w:shd w:val="clear"/>
              <w:kinsoku/>
              <w:topLinePunct w:val="0"/>
              <w:bidi w:val="0"/>
              <w:spacing w:beforeAutospacing="0" w:afterAutospacing="0"/>
              <w:ind w:left="0" w:leftChars="0" w:right="0" w:rightChars="0"/>
              <w:jc w:val="both"/>
              <w:rPr>
                <w:rFonts w:hint="default"/>
                <w:color w:val="auto"/>
              </w:rPr>
            </w:pPr>
          </w:p>
        </w:tc>
      </w:tr>
    </w:tbl>
    <w:p w14:paraId="44D94E08">
      <w:pPr>
        <w:pStyle w:val="11"/>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r>
        <w:rPr>
          <w:rFonts w:hint="default" w:ascii="Times New Roman" w:hAnsi="Times New Roman" w:eastAsia="黑体" w:cs="Times New Roman"/>
          <w:snapToGrid w:val="0"/>
          <w:color w:val="auto"/>
          <w:spacing w:val="0"/>
          <w:position w:val="0"/>
          <w:sz w:val="36"/>
          <w:szCs w:val="36"/>
          <w:highlight w:val="none"/>
        </w:rPr>
        <w:br w:type="page"/>
      </w:r>
    </w:p>
    <w:p w14:paraId="59D733B3">
      <w:pPr>
        <w:pStyle w:val="6"/>
        <w:pageBreakBefore w:val="0"/>
        <w:numPr>
          <w:ilvl w:val="0"/>
          <w:numId w:val="0"/>
        </w:numPr>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color w:val="auto"/>
        </w:rPr>
      </w:pPr>
      <w:bookmarkStart w:id="3" w:name="_Toc109993629"/>
      <w:r>
        <w:rPr>
          <w:rFonts w:hint="eastAsia" w:ascii="Times New Roman" w:hAnsi="Times New Roman" w:eastAsia="黑体" w:cs="Times New Roman"/>
          <w:bCs/>
          <w:color w:val="auto"/>
          <w:kern w:val="44"/>
          <w:sz w:val="28"/>
          <w:szCs w:val="44"/>
          <w:lang w:val="en-US" w:eastAsia="zh-CN" w:bidi="ar-SA"/>
        </w:rPr>
        <w:t>四、</w:t>
      </w:r>
      <w:r>
        <w:rPr>
          <w:rFonts w:hint="default" w:ascii="Times New Roman" w:hAnsi="Times New Roman" w:cs="Times New Roman"/>
          <w:color w:val="auto"/>
        </w:rPr>
        <w:t>主要环境影响和保护措施</w:t>
      </w:r>
      <w:bookmarkEnd w:id="3"/>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592"/>
      </w:tblGrid>
      <w:tr w14:paraId="400A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04" w:type="dxa"/>
            <w:tcBorders>
              <w:tl2br w:val="nil"/>
              <w:tr2bl w:val="nil"/>
            </w:tcBorders>
            <w:vAlign w:val="center"/>
          </w:tcPr>
          <w:p w14:paraId="1C723FF7">
            <w:pPr>
              <w:pStyle w:val="35"/>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r>
              <w:rPr>
                <w:rFonts w:hint="default" w:ascii="Times New Roman" w:hAnsi="Times New Roman" w:cs="Times New Roman"/>
                <w:color w:val="auto"/>
              </w:rPr>
              <w:t>施工期环境保护措施</w:t>
            </w:r>
          </w:p>
        </w:tc>
        <w:tc>
          <w:tcPr>
            <w:tcW w:w="7592" w:type="dxa"/>
            <w:tcBorders>
              <w:tl2br w:val="nil"/>
              <w:tr2bl w:val="nil"/>
            </w:tcBorders>
          </w:tcPr>
          <w:p w14:paraId="3EF3FD8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本项目利用建设单位自有已建成的空置厂房进行建设，不涉及土建施工、不新增用地，施工期主要为生产设备的安装及调试，施工期较短（约1个月），施工地点位于现有厂房内部，不涉及室外施工作业。</w:t>
            </w:r>
          </w:p>
          <w:p w14:paraId="4B9AE2AB">
            <w:pPr>
              <w:keepNext w:val="0"/>
              <w:keepLines w:val="0"/>
              <w:pageBreakBefore w:val="0"/>
              <w:widowControl/>
              <w:shd w:val="clear"/>
              <w:kinsoku/>
              <w:wordWrap/>
              <w:overflowPunct/>
              <w:topLinePunct w:val="0"/>
              <w:autoSpaceDE w:val="0"/>
              <w:autoSpaceDN w:val="0"/>
              <w:bidi w:val="0"/>
              <w:adjustRightInd w:val="0"/>
              <w:snapToGrid/>
              <w:spacing w:beforeAutospacing="0" w:afterAutospacing="0" w:line="360" w:lineRule="auto"/>
              <w:ind w:left="0" w:leftChars="0" w:right="0" w:rightChars="0" w:firstLine="0" w:firstLineChars="0"/>
              <w:jc w:val="left"/>
              <w:textAlignment w:val="auto"/>
              <w:rPr>
                <w:rFonts w:hint="default" w:ascii="Times New Roman" w:hAnsi="Times New Roman" w:cs="Times New Roman"/>
                <w:b/>
                <w:color w:val="auto"/>
                <w:sz w:val="24"/>
                <w:szCs w:val="32"/>
              </w:rPr>
            </w:pPr>
            <w:r>
              <w:rPr>
                <w:rFonts w:hint="default" w:ascii="Times New Roman" w:hAnsi="Times New Roman" w:cs="Times New Roman"/>
                <w:b/>
                <w:color w:val="auto"/>
                <w:kern w:val="0"/>
                <w:sz w:val="24"/>
                <w:szCs w:val="24"/>
              </w:rPr>
              <w:t>1</w:t>
            </w:r>
            <w:r>
              <w:rPr>
                <w:rFonts w:hint="eastAsia" w:cs="Times New Roman"/>
                <w:b/>
                <w:color w:val="auto"/>
                <w:kern w:val="0"/>
                <w:sz w:val="24"/>
                <w:szCs w:val="24"/>
                <w:lang w:val="en-US" w:eastAsia="zh-CN"/>
              </w:rPr>
              <w:t>.</w:t>
            </w:r>
            <w:r>
              <w:rPr>
                <w:rFonts w:hint="default" w:ascii="Times New Roman" w:hAnsi="Times New Roman" w:cs="Times New Roman"/>
                <w:b/>
                <w:color w:val="auto"/>
                <w:kern w:val="0"/>
                <w:sz w:val="24"/>
                <w:szCs w:val="24"/>
              </w:rPr>
              <w:t>施工扬尘</w:t>
            </w:r>
            <w:r>
              <w:rPr>
                <w:rFonts w:hint="default" w:ascii="Times New Roman" w:hAnsi="Times New Roman" w:cs="Times New Roman"/>
                <w:b/>
                <w:color w:val="auto"/>
                <w:sz w:val="24"/>
                <w:szCs w:val="32"/>
              </w:rPr>
              <w:t>防治措施</w:t>
            </w:r>
          </w:p>
          <w:p w14:paraId="1E4A818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（1）影响时段及对象</w:t>
            </w:r>
          </w:p>
          <w:p w14:paraId="489F5BB7">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施工期大气环境影响时段为设备安装及装修期间（约1个月），影响对象主要为厂区内施工人员及周边企业职工，由于施工作业均在厂房内部进行，厂界外500m范围内无居民区等大气环境敏感目标，对外环境影响很小。</w:t>
            </w:r>
          </w:p>
          <w:p w14:paraId="43044657">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（2）影响程度</w:t>
            </w:r>
          </w:p>
          <w:p w14:paraId="3B030E1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施工期大气污染物主要为设备安装过程中钻孔、切割产生的少量粉尘以及装修材料挥发的少量有机废气，产生量较小，且位于封闭厂房内部，经厂房阻隔和自然沉降后，对外环境影响轻微，随施工结束而消失。</w:t>
            </w:r>
          </w:p>
          <w:p w14:paraId="719E7122">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（3）防治措施</w:t>
            </w:r>
          </w:p>
          <w:p w14:paraId="40EEB2D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①施工单位应做到文明施工，不在起风环境下进行室外切割等易产生扬尘的作业，并对施工人员做好防尘措施（如佩戴口罩等）。</w:t>
            </w:r>
          </w:p>
          <w:p w14:paraId="6D4E89C7">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②施工现场合理布局，施工材料及建筑垃圾及时清运，易扬尘物料加盖苫布。</w:t>
            </w:r>
          </w:p>
          <w:p w14:paraId="46164ED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③加强对施工机械设备的维护及保养，保证其正常运行，减少废气排放。</w:t>
            </w:r>
          </w:p>
          <w:p w14:paraId="72446B24">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④加强对施工人员的教育，提高设备原料利用率，不用设备时及时关闭，防止设备空转。</w:t>
            </w:r>
          </w:p>
          <w:p w14:paraId="58DB7079">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2.施工废水防治措施</w:t>
            </w:r>
          </w:p>
          <w:p w14:paraId="0BE1831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（1）影响分析</w:t>
            </w:r>
          </w:p>
          <w:p w14:paraId="1905EAF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本项目施工期仅为设备安装，不涉及土建施工，施工人员均为当地招募，厂区内不设置施工营地，施工期间不产生施工废水，无生活污水产生。因此，施工期不存在废水外排对周边水环境造成影响的问题。施工期废水防治措施与实际影响相匹配。</w:t>
            </w:r>
          </w:p>
          <w:p w14:paraId="3A9F9C9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（2）防治措施</w:t>
            </w:r>
          </w:p>
          <w:p w14:paraId="549DA57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①施工期间禁止现场清洗车辆及设备，避免产生含油冲洗废水。</w:t>
            </w:r>
          </w:p>
          <w:p w14:paraId="0C26FDD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②施工人员如厕依托厂区现有卫生间，生活污水排入园区污水管网，不直接外排环境。</w:t>
            </w:r>
          </w:p>
          <w:p w14:paraId="5AF45743">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3.施工噪声防治措施</w:t>
            </w:r>
          </w:p>
          <w:p w14:paraId="049C9AB1">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（1）影响时段及对象</w:t>
            </w:r>
          </w:p>
          <w:p w14:paraId="7E7CB104">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施工期噪声影响时段为设备安装期间（约1个月），主要为昼间施工。影响对象主要为施工人员及周边企业职工，厂界外50m范围内无声环境敏感目标，夜间不施工。</w:t>
            </w:r>
          </w:p>
          <w:p w14:paraId="171B8791">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（2）影响程度</w:t>
            </w:r>
          </w:p>
          <w:p w14:paraId="5076A03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施工噪声主要来自设备安装使用的电钻、切割机等小型机械以及运输车辆，噪声值约75~95dB(A)。由于噪声源位于封闭厂房内部，经厂房隔声和距离衰减后，厂界噪声可满足《建筑施工场界环境噪声排放标准》（GB12523-2011）昼间限值要求，对外环境影响较小。施工期噪声影响是暂时性的，随施工结束而消失。</w:t>
            </w:r>
          </w:p>
          <w:p w14:paraId="4749363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（3）防治措施</w:t>
            </w:r>
          </w:p>
          <w:p w14:paraId="0A45FD5C">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①施工尽量安排在昼间进行，严禁夜间施工（22:00-06:00），如需特殊工艺必须夜间施工，应提前向生态环境主管部门申请并公告附近居民。</w:t>
            </w:r>
          </w:p>
          <w:p w14:paraId="5EFB91A4">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②选用低噪声施工设备，对设备可采用固定式或活动式隔声罩进行局部遮挡。</w:t>
            </w:r>
          </w:p>
          <w:p w14:paraId="520AE169">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③加强对设备的维护保养，闲置设备应立即关闭。</w:t>
            </w:r>
          </w:p>
          <w:p w14:paraId="6F8E1706">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④合理布置施工场地，高噪声设备尽量远离厂房门窗。</w:t>
            </w:r>
          </w:p>
          <w:p w14:paraId="57917E87">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⑤施工车辆进出厂区减速慢行、禁止鸣笛。</w:t>
            </w:r>
          </w:p>
          <w:p w14:paraId="70BE474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⑥施工场地设置围挡，有效地控制施工现场的噪音、粉尘。</w:t>
            </w:r>
          </w:p>
          <w:p w14:paraId="54E9D04F">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4.施工固体废物防治措施</w:t>
            </w:r>
          </w:p>
          <w:p w14:paraId="51D2E387">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（1）影响时段及对象</w:t>
            </w:r>
          </w:p>
          <w:p w14:paraId="09455855">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施工期固体废物影响时段为设备安装及装修期间（约1个月），影响对象主要为厂区内环境及施工人员，不涉及厂界外敏感目标。</w:t>
            </w:r>
          </w:p>
          <w:p w14:paraId="0E10ADBF">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（2）影响程度</w:t>
            </w:r>
          </w:p>
          <w:p w14:paraId="45685BA3">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施工期固体废物主要为设备安装产生的废弃包装材料、废金属边角料以及少量建筑垃圾，产生量较小，经分类收集、妥善处置后，对外环境影响较小。</w:t>
            </w:r>
          </w:p>
          <w:p w14:paraId="41A10208">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（3）防治措施</w:t>
            </w:r>
          </w:p>
          <w:p w14:paraId="3825A0BD">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①施工单位应当及时清运施工过程中产生的建筑垃圾，按照环卫部门的规定处置。</w:t>
            </w:r>
          </w:p>
          <w:p w14:paraId="316055C3">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②施工产生的废包装材料、废金属边角料等可回收利用的固废，分类收集后外售物资回收单位综合利用。</w:t>
            </w:r>
          </w:p>
          <w:p w14:paraId="2E2CA60A">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③施工人员生活垃圾集中收集于垃圾桶内，由园区环卫部门统一清运处置。</w:t>
            </w:r>
          </w:p>
          <w:p w14:paraId="1BCEFD76">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④施工单位不得将建筑垃圾交给未经核准从事建筑垃圾运输的单位运输，任何单位和个人不得随意倾倒、抛撒或者堆放建筑垃圾。</w:t>
            </w:r>
          </w:p>
          <w:p w14:paraId="7A85DCA6">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⑤建筑垃圾外运必须采取篷布遮盖措施，避免沿途掉落。</w:t>
            </w:r>
          </w:p>
          <w:p w14:paraId="631B424B">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position w:val="0"/>
                <w:sz w:val="24"/>
                <w:szCs w:val="24"/>
                <w:highlight w:val="none"/>
                <w:lang w:val="en-US" w:eastAsia="zh-CN" w:bidi="ar-SA"/>
              </w:rPr>
              <w:t>5.施工振动防治措施</w:t>
            </w:r>
          </w:p>
          <w:p w14:paraId="78CA38A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（1）影响时段及对象</w:t>
            </w:r>
          </w:p>
          <w:p w14:paraId="12F63DD4">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施工期振动影响时段为设备安装及调试期间，主要为钻孔、切割等作业产生的轻微振动，影响对象主要为施工作业面，对外环境无影响。</w:t>
            </w:r>
          </w:p>
          <w:p w14:paraId="62B4456A">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（2）防治措施</w:t>
            </w:r>
          </w:p>
          <w:p w14:paraId="4A0D6E40">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①设备安装钻孔时选用低振动工艺，减少对周边环境的影响。</w:t>
            </w:r>
          </w:p>
          <w:p w14:paraId="159C7A0B">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②大型设备安装时采取减振垫等隔振措施。</w:t>
            </w:r>
          </w:p>
          <w:p w14:paraId="3945ADA8">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position w:val="0"/>
                <w:sz w:val="24"/>
                <w:szCs w:val="24"/>
                <w:highlight w:val="none"/>
                <w:lang w:val="en-US" w:eastAsia="zh-CN" w:bidi="ar-SA"/>
              </w:rPr>
              <w:t>6.施工期生态环境保护措施</w:t>
            </w:r>
          </w:p>
          <w:p w14:paraId="15D3C659">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本项目利用自有已建成的空置厂房进行建设，不新增用地，不涉及室外施工作业，施工期不会对厂区外生态环境产生影响。</w:t>
            </w:r>
          </w:p>
          <w:p w14:paraId="35A51D22">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b/>
                <w:bCs/>
                <w:color w:val="auto"/>
                <w:spacing w:val="0"/>
                <w:position w:val="0"/>
                <w:sz w:val="24"/>
                <w:szCs w:val="24"/>
                <w:highlight w:val="none"/>
                <w:lang w:val="en-US" w:eastAsia="zh-CN" w:bidi="ar-SA"/>
              </w:rPr>
              <w:t>7.施工期环境管理</w:t>
            </w:r>
          </w:p>
          <w:p w14:paraId="121A6FCA">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在工程竣工以后，施工单位应拆除各种临时施工设施，并负责将工地的剩余建筑垃圾、工程渣土处理干净，做到“工完、料尽、场地清”，建设单位应负责督促施工单位的固体废物处置清理工作。</w:t>
            </w:r>
          </w:p>
          <w:p w14:paraId="46D29081">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spacing w:val="0"/>
                <w:position w:val="0"/>
                <w:sz w:val="24"/>
                <w:szCs w:val="24"/>
                <w:highlight w:val="none"/>
                <w:lang w:val="en-US" w:eastAsia="zh-CN" w:bidi="ar-SA"/>
              </w:rPr>
              <w:t>由于施工时间短，且均在厂房内部进行，只要加强管理，及时清运，随着施工期的结束，施工期环境影响将随之消失，不会对环境产生长期影响。</w:t>
            </w:r>
          </w:p>
        </w:tc>
      </w:tr>
      <w:tr w14:paraId="6101F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04" w:type="dxa"/>
            <w:tcBorders>
              <w:tl2br w:val="nil"/>
              <w:tr2bl w:val="nil"/>
            </w:tcBorders>
            <w:vAlign w:val="center"/>
          </w:tcPr>
          <w:p w14:paraId="46581937">
            <w:pPr>
              <w:pStyle w:val="35"/>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r>
              <w:rPr>
                <w:rFonts w:hint="default" w:ascii="Times New Roman" w:hAnsi="Times New Roman" w:cs="Times New Roman"/>
                <w:color w:val="auto"/>
              </w:rPr>
              <w:t>运营期环境影响和保护措施</w:t>
            </w:r>
          </w:p>
        </w:tc>
        <w:tc>
          <w:tcPr>
            <w:tcW w:w="7592" w:type="dxa"/>
            <w:tcBorders>
              <w:tl2br w:val="nil"/>
              <w:tr2bl w:val="nil"/>
            </w:tcBorders>
          </w:tcPr>
          <w:p w14:paraId="3B04D6EA">
            <w:pPr>
              <w:pStyle w:val="34"/>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0" w:firstLineChars="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eastAsia" w:ascii="Times New Roman" w:hAnsi="Times New Roman" w:eastAsia="宋体" w:cs="Times New Roman"/>
                <w:b/>
                <w:bCs/>
                <w:color w:val="auto"/>
                <w:spacing w:val="0"/>
                <w:kern w:val="0"/>
                <w:position w:val="0"/>
                <w:sz w:val="24"/>
                <w:szCs w:val="24"/>
                <w:highlight w:val="none"/>
                <w:lang w:val="en-US" w:eastAsia="zh-CN" w:bidi="ar-SA"/>
              </w:rPr>
              <w:t>1.废气</w:t>
            </w:r>
          </w:p>
          <w:p w14:paraId="605A8BB8">
            <w:pPr>
              <w:pStyle w:val="1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rightChars="0"/>
              <w:textAlignment w:val="auto"/>
              <w:rPr>
                <w:rFonts w:hint="default" w:ascii="Times New Roman" w:hAnsi="Times New Roman" w:eastAsia="宋体" w:cs="Times New Roman"/>
                <w:color w:val="auto"/>
                <w:spacing w:val="0"/>
                <w:position w:val="0"/>
                <w:sz w:val="24"/>
                <w:szCs w:val="24"/>
                <w:highlight w:val="none"/>
                <w:lang w:val="en-US" w:eastAsia="zh-CN" w:bidi="ar-SA"/>
              </w:rPr>
            </w:pPr>
            <w:r>
              <w:rPr>
                <w:rFonts w:hint="default" w:ascii="Times New Roman" w:hAnsi="Times New Roman" w:eastAsia="宋体" w:cs="Times New Roman"/>
                <w:color w:val="auto"/>
                <w:spacing w:val="0"/>
                <w:position w:val="0"/>
                <w:sz w:val="24"/>
                <w:szCs w:val="24"/>
                <w:highlight w:val="none"/>
                <w:lang w:val="en-US" w:eastAsia="zh-CN" w:bidi="ar-SA"/>
              </w:rPr>
              <w:t>1.1废气产生及排放情况</w:t>
            </w:r>
          </w:p>
          <w:p w14:paraId="2F80EB65">
            <w:pPr>
              <w:pStyle w:val="34"/>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0"/>
                <w:position w:val="0"/>
                <w:sz w:val="24"/>
                <w:szCs w:val="24"/>
                <w:highlight w:val="none"/>
                <w:lang w:val="en-US" w:eastAsia="zh-CN" w:bidi="ar-SA"/>
              </w:rPr>
              <w:t>本项目运营期废气主要为颗粒物（投料混合工序）和挥发性有机物（以非甲烷总烃计）（造粒、挤出成型、上胶、印刷工序）。</w:t>
            </w:r>
          </w:p>
          <w:p w14:paraId="3061AC28">
            <w:pPr>
              <w:pStyle w:val="9"/>
              <w:keepNext w:val="0"/>
              <w:keepLines w:val="0"/>
              <w:pageBreakBefore w:val="0"/>
              <w:widowControl/>
              <w:suppressLineNumbers w:val="0"/>
              <w:shd w:val="clear"/>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2" w:firstLineChars="200"/>
              <w:textAlignment w:val="auto"/>
              <w:rPr>
                <w:rFonts w:hint="default" w:ascii="Times New Roman" w:hAnsi="Times New Roman" w:eastAsia="宋体" w:cs="Times New Roman"/>
                <w:b/>
                <w:bCs/>
                <w:caps w:val="0"/>
                <w:color w:val="auto"/>
                <w:spacing w:val="0"/>
                <w:sz w:val="24"/>
                <w:szCs w:val="24"/>
              </w:rPr>
            </w:pPr>
            <w:r>
              <w:rPr>
                <w:rFonts w:hint="default" w:ascii="Times New Roman" w:hAnsi="Times New Roman" w:eastAsia="宋体" w:cs="Times New Roman"/>
                <w:b/>
                <w:bCs/>
                <w:caps w:val="0"/>
                <w:color w:val="auto"/>
                <w:spacing w:val="0"/>
                <w:sz w:val="24"/>
                <w:szCs w:val="24"/>
                <w:shd w:val="clear" w:fill="FFFFFF"/>
              </w:rPr>
              <w:t>（1）投料混合粉尘（颗粒物）</w:t>
            </w:r>
          </w:p>
          <w:p w14:paraId="17B35559">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根据建设单位提供的原辅材料清单，本项目粉状原料用量合计约1227</w:t>
            </w:r>
            <w:r>
              <w:rPr>
                <w:rFonts w:hint="eastAsia" w:cs="Times New Roman"/>
                <w:i w:val="0"/>
                <w:iCs w:val="0"/>
                <w:caps w:val="0"/>
                <w:color w:val="auto"/>
                <w:spacing w:val="0"/>
                <w:sz w:val="24"/>
                <w:szCs w:val="24"/>
                <w:shd w:val="clear" w:fill="FFFFFF"/>
                <w:lang w:eastAsia="zh-CN"/>
              </w:rPr>
              <w:t>t/a</w:t>
            </w:r>
            <w:r>
              <w:rPr>
                <w:rFonts w:hint="default" w:ascii="Times New Roman" w:hAnsi="Times New Roman" w:eastAsia="宋体" w:cs="Times New Roman"/>
                <w:i w:val="0"/>
                <w:iCs w:val="0"/>
                <w:caps w:val="0"/>
                <w:color w:val="auto"/>
                <w:spacing w:val="0"/>
                <w:sz w:val="24"/>
                <w:szCs w:val="24"/>
                <w:shd w:val="clear" w:fill="FFFFFF"/>
              </w:rPr>
              <w:t>，包括PVC树脂粉800吨、碳酸钙（钙粉）400吨、复合稳定剂12吨、钛白粉10吨、色母粉4吨以及石蜡1吨。</w:t>
            </w:r>
          </w:p>
          <w:p w14:paraId="3030B8A9">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参照《排放源统计调查产排污核算方法和系数手册》中“292塑料制品业系数手册”—“2922塑料板、管、型材制造行业系数表”，投料混合工序的颗粒物产生系数取6</w:t>
            </w:r>
            <w:r>
              <w:rPr>
                <w:rFonts w:hint="eastAsia" w:cs="Times New Roman"/>
                <w:i w:val="0"/>
                <w:iCs w:val="0"/>
                <w:caps w:val="0"/>
                <w:color w:val="auto"/>
                <w:spacing w:val="0"/>
                <w:sz w:val="24"/>
                <w:szCs w:val="24"/>
                <w:shd w:val="clear" w:fill="FFFFFF"/>
                <w:lang w:val="en-US" w:eastAsia="zh-CN"/>
              </w:rPr>
              <w:t>kg</w:t>
            </w:r>
            <w:r>
              <w:rPr>
                <w:rFonts w:hint="default" w:ascii="Times New Roman" w:hAnsi="Times New Roman" w:eastAsia="宋体" w:cs="Times New Roman"/>
                <w:i w:val="0"/>
                <w:iCs w:val="0"/>
                <w:caps w:val="0"/>
                <w:color w:val="auto"/>
                <w:spacing w:val="0"/>
                <w:sz w:val="24"/>
                <w:szCs w:val="24"/>
                <w:shd w:val="clear" w:fill="FFFFFF"/>
              </w:rPr>
              <w:t>/</w:t>
            </w:r>
            <w:r>
              <w:rPr>
                <w:rFonts w:hint="eastAsia" w:cs="Times New Roman"/>
                <w:i w:val="0"/>
                <w:iCs w:val="0"/>
                <w:caps w:val="0"/>
                <w:color w:val="auto"/>
                <w:spacing w:val="0"/>
                <w:sz w:val="24"/>
                <w:szCs w:val="24"/>
                <w:shd w:val="clear" w:fill="FFFFFF"/>
                <w:lang w:val="en-US" w:eastAsia="zh-CN"/>
              </w:rPr>
              <w:t>t</w:t>
            </w:r>
            <w:r>
              <w:rPr>
                <w:rFonts w:hint="default" w:ascii="Times New Roman" w:hAnsi="Times New Roman" w:eastAsia="宋体" w:cs="Times New Roman"/>
                <w:i w:val="0"/>
                <w:iCs w:val="0"/>
                <w:caps w:val="0"/>
                <w:color w:val="auto"/>
                <w:spacing w:val="0"/>
                <w:sz w:val="24"/>
                <w:szCs w:val="24"/>
                <w:shd w:val="clear" w:fill="FFFFFF"/>
              </w:rPr>
              <w:t>-原料，工业废气量产生系数取70000标</w:t>
            </w:r>
            <w:r>
              <w:rPr>
                <w:rFonts w:hint="eastAsia" w:cs="Times New Roman"/>
                <w:i w:val="0"/>
                <w:iCs w:val="0"/>
                <w:caps w:val="0"/>
                <w:color w:val="auto"/>
                <w:spacing w:val="0"/>
                <w:sz w:val="24"/>
                <w:szCs w:val="24"/>
                <w:shd w:val="clear" w:fill="FFFFFF"/>
                <w:lang w:val="en-US" w:eastAsia="zh-CN"/>
              </w:rPr>
              <w:t>m</w:t>
            </w:r>
            <w:r>
              <w:rPr>
                <w:rFonts w:hint="eastAsia" w:cs="Times New Roman"/>
                <w:i w:val="0"/>
                <w:iCs w:val="0"/>
                <w:caps w:val="0"/>
                <w:color w:val="auto"/>
                <w:spacing w:val="0"/>
                <w:sz w:val="24"/>
                <w:szCs w:val="24"/>
                <w:shd w:val="clear" w:fill="FFFFFF"/>
                <w:vertAlign w:val="superscript"/>
                <w:lang w:val="en-US" w:eastAsia="zh-CN"/>
              </w:rPr>
              <w:t>3</w:t>
            </w:r>
            <w:r>
              <w:rPr>
                <w:rFonts w:hint="default" w:ascii="Times New Roman" w:hAnsi="Times New Roman" w:eastAsia="宋体" w:cs="Times New Roman"/>
                <w:i w:val="0"/>
                <w:iCs w:val="0"/>
                <w:caps w:val="0"/>
                <w:color w:val="auto"/>
                <w:spacing w:val="0"/>
                <w:sz w:val="24"/>
                <w:szCs w:val="24"/>
                <w:shd w:val="clear" w:fill="FFFFFF"/>
              </w:rPr>
              <w:t>/</w:t>
            </w:r>
            <w:r>
              <w:rPr>
                <w:rFonts w:hint="eastAsia" w:cs="Times New Roman"/>
                <w:i w:val="0"/>
                <w:iCs w:val="0"/>
                <w:caps w:val="0"/>
                <w:color w:val="auto"/>
                <w:spacing w:val="0"/>
                <w:sz w:val="24"/>
                <w:szCs w:val="24"/>
                <w:shd w:val="clear" w:fill="FFFFFF"/>
                <w:lang w:val="en-US" w:eastAsia="zh-CN"/>
              </w:rPr>
              <w:t>t</w:t>
            </w:r>
            <w:r>
              <w:rPr>
                <w:rFonts w:hint="default" w:ascii="Times New Roman" w:hAnsi="Times New Roman" w:eastAsia="宋体" w:cs="Times New Roman"/>
                <w:i w:val="0"/>
                <w:iCs w:val="0"/>
                <w:caps w:val="0"/>
                <w:color w:val="auto"/>
                <w:spacing w:val="0"/>
                <w:sz w:val="24"/>
                <w:szCs w:val="24"/>
                <w:shd w:val="clear" w:fill="FFFFFF"/>
              </w:rPr>
              <w:t>-产品。</w:t>
            </w:r>
          </w:p>
          <w:p w14:paraId="7D0F79BC">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据此，本项目投料混合工序产生的工业废气量为8589万立方米/年，颗粒物产生量为7.362</w:t>
            </w:r>
            <w:r>
              <w:rPr>
                <w:rFonts w:hint="eastAsia" w:cs="Times New Roman"/>
                <w:i w:val="0"/>
                <w:iCs w:val="0"/>
                <w:caps w:val="0"/>
                <w:color w:val="auto"/>
                <w:spacing w:val="0"/>
                <w:sz w:val="24"/>
                <w:szCs w:val="24"/>
                <w:shd w:val="clear" w:fill="FFFFFF"/>
                <w:lang w:eastAsia="zh-CN"/>
              </w:rPr>
              <w:t>t/a</w:t>
            </w:r>
            <w:r>
              <w:rPr>
                <w:rFonts w:hint="default" w:ascii="Times New Roman" w:hAnsi="Times New Roman" w:eastAsia="宋体" w:cs="Times New Roman"/>
                <w:i w:val="0"/>
                <w:iCs w:val="0"/>
                <w:caps w:val="0"/>
                <w:color w:val="auto"/>
                <w:spacing w:val="0"/>
                <w:sz w:val="24"/>
                <w:szCs w:val="24"/>
                <w:shd w:val="clear" w:fill="FFFFFF"/>
              </w:rPr>
              <w:t>。按年运行时间2400</w:t>
            </w:r>
            <w:r>
              <w:rPr>
                <w:rFonts w:hint="eastAsia" w:cs="Times New Roman"/>
                <w:i w:val="0"/>
                <w:iCs w:val="0"/>
                <w:caps w:val="0"/>
                <w:color w:val="auto"/>
                <w:spacing w:val="0"/>
                <w:sz w:val="24"/>
                <w:szCs w:val="24"/>
                <w:shd w:val="clear" w:fill="FFFFFF"/>
                <w:lang w:val="en-US" w:eastAsia="zh-CN"/>
              </w:rPr>
              <w:t>h</w:t>
            </w:r>
            <w:r>
              <w:rPr>
                <w:rFonts w:hint="default" w:ascii="Times New Roman" w:hAnsi="Times New Roman" w:eastAsia="宋体" w:cs="Times New Roman"/>
                <w:i w:val="0"/>
                <w:iCs w:val="0"/>
                <w:caps w:val="0"/>
                <w:color w:val="auto"/>
                <w:spacing w:val="0"/>
                <w:sz w:val="24"/>
                <w:szCs w:val="24"/>
                <w:shd w:val="clear" w:fill="FFFFFF"/>
              </w:rPr>
              <w:t>核算，颗粒物产生速率为3.067</w:t>
            </w:r>
            <w:r>
              <w:rPr>
                <w:rFonts w:hint="eastAsia" w:cs="Times New Roman"/>
                <w:i w:val="0"/>
                <w:iCs w:val="0"/>
                <w:caps w:val="0"/>
                <w:color w:val="auto"/>
                <w:spacing w:val="0"/>
                <w:sz w:val="24"/>
                <w:szCs w:val="24"/>
                <w:shd w:val="clear" w:fill="FFFFFF"/>
                <w:lang w:eastAsia="zh-CN"/>
              </w:rPr>
              <w:t>kg/h</w:t>
            </w:r>
            <w:r>
              <w:rPr>
                <w:rFonts w:hint="default" w:ascii="Times New Roman" w:hAnsi="Times New Roman" w:eastAsia="宋体" w:cs="Times New Roman"/>
                <w:i w:val="0"/>
                <w:iCs w:val="0"/>
                <w:caps w:val="0"/>
                <w:color w:val="auto"/>
                <w:spacing w:val="0"/>
                <w:sz w:val="24"/>
                <w:szCs w:val="24"/>
                <w:shd w:val="clear" w:fill="FFFFFF"/>
              </w:rPr>
              <w:t>，产生浓度为85.714</w:t>
            </w:r>
            <w:r>
              <w:rPr>
                <w:rFonts w:hint="eastAsia" w:cs="Times New Roman"/>
                <w:i w:val="0"/>
                <w:iCs w:val="0"/>
                <w:caps w:val="0"/>
                <w:color w:val="auto"/>
                <w:spacing w:val="0"/>
                <w:sz w:val="24"/>
                <w:szCs w:val="24"/>
                <w:shd w:val="clear" w:fill="FFFFFF"/>
                <w:lang w:eastAsia="zh-CN"/>
              </w:rPr>
              <w:t>mg/m</w:t>
            </w:r>
            <w:r>
              <w:rPr>
                <w:rFonts w:hint="eastAsia" w:cs="Times New Roman"/>
                <w:i w:val="0"/>
                <w:iCs w:val="0"/>
                <w:caps w:val="0"/>
                <w:color w:val="auto"/>
                <w:spacing w:val="0"/>
                <w:sz w:val="24"/>
                <w:szCs w:val="24"/>
                <w:shd w:val="clear" w:fill="FFFFFF"/>
                <w:vertAlign w:val="superscript"/>
                <w:lang w:eastAsia="zh-CN"/>
              </w:rPr>
              <w:t>3</w:t>
            </w:r>
            <w:r>
              <w:rPr>
                <w:rFonts w:hint="default" w:ascii="Times New Roman" w:hAnsi="Times New Roman" w:eastAsia="宋体" w:cs="Times New Roman"/>
                <w:i w:val="0"/>
                <w:iCs w:val="0"/>
                <w:caps w:val="0"/>
                <w:color w:val="auto"/>
                <w:spacing w:val="0"/>
                <w:sz w:val="24"/>
                <w:szCs w:val="24"/>
                <w:shd w:val="clear" w:fill="FFFFFF"/>
              </w:rPr>
              <w:t>。</w:t>
            </w:r>
          </w:p>
          <w:p w14:paraId="0138B0E7">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含尘废气经产尘点上方设置的集气系统（集气罩）有效收集后，引入一套布袋除尘器进行净化处理。布袋除尘器作为高效干式除尘设备，设计处理效率按99%</w:t>
            </w:r>
            <w:r>
              <w:rPr>
                <w:rFonts w:hint="eastAsia" w:cs="Times New Roman"/>
                <w:i w:val="0"/>
                <w:iCs w:val="0"/>
                <w:caps w:val="0"/>
                <w:color w:val="auto"/>
                <w:spacing w:val="0"/>
                <w:sz w:val="24"/>
                <w:szCs w:val="24"/>
                <w:shd w:val="clear" w:fill="FFFFFF"/>
                <w:lang w:eastAsia="zh-CN"/>
              </w:rPr>
              <w:t>，</w:t>
            </w:r>
            <w:r>
              <w:rPr>
                <w:rFonts w:hint="eastAsia" w:cs="Times New Roman"/>
                <w:i w:val="0"/>
                <w:iCs w:val="0"/>
                <w:caps w:val="0"/>
                <w:color w:val="auto"/>
                <w:spacing w:val="0"/>
                <w:sz w:val="24"/>
                <w:szCs w:val="24"/>
                <w:shd w:val="clear" w:fill="FFFFFF"/>
                <w:lang w:val="en-US" w:eastAsia="zh-CN"/>
              </w:rPr>
              <w:t>风机风量：5000m</w:t>
            </w:r>
            <w:r>
              <w:rPr>
                <w:rFonts w:hint="eastAsia" w:cs="Times New Roman"/>
                <w:i w:val="0"/>
                <w:iCs w:val="0"/>
                <w:caps w:val="0"/>
                <w:color w:val="auto"/>
                <w:spacing w:val="0"/>
                <w:sz w:val="24"/>
                <w:szCs w:val="24"/>
                <w:shd w:val="clear" w:fill="FFFFFF"/>
                <w:vertAlign w:val="superscript"/>
                <w:lang w:val="en-US" w:eastAsia="zh-CN"/>
              </w:rPr>
              <w:t>3</w:t>
            </w:r>
            <w:r>
              <w:rPr>
                <w:rFonts w:hint="eastAsia" w:cs="Times New Roman"/>
                <w:i w:val="0"/>
                <w:iCs w:val="0"/>
                <w:caps w:val="0"/>
                <w:color w:val="auto"/>
                <w:spacing w:val="0"/>
                <w:sz w:val="24"/>
                <w:szCs w:val="24"/>
                <w:shd w:val="clear" w:fill="FFFFFF"/>
                <w:lang w:val="en-US" w:eastAsia="zh-CN"/>
              </w:rPr>
              <w:t>/h</w:t>
            </w:r>
            <w:r>
              <w:rPr>
                <w:rFonts w:hint="default" w:ascii="Times New Roman" w:hAnsi="Times New Roman" w:eastAsia="宋体" w:cs="Times New Roman"/>
                <w:i w:val="0"/>
                <w:iCs w:val="0"/>
                <w:caps w:val="0"/>
                <w:color w:val="auto"/>
                <w:spacing w:val="0"/>
                <w:sz w:val="24"/>
                <w:szCs w:val="24"/>
                <w:shd w:val="clear" w:fill="FFFFFF"/>
              </w:rPr>
              <w:t>计，可确保对微细粉尘的高效捕集。处理后的洁净废气通过一根高度为15</w:t>
            </w:r>
            <w:r>
              <w:rPr>
                <w:rFonts w:hint="eastAsia" w:cs="Times New Roman"/>
                <w:i w:val="0"/>
                <w:iCs w:val="0"/>
                <w:caps w:val="0"/>
                <w:color w:val="auto"/>
                <w:spacing w:val="0"/>
                <w:sz w:val="24"/>
                <w:szCs w:val="24"/>
                <w:shd w:val="clear" w:fill="FFFFFF"/>
                <w:lang w:val="en-US" w:eastAsia="zh-CN"/>
              </w:rPr>
              <w:t>m</w:t>
            </w:r>
            <w:r>
              <w:rPr>
                <w:rFonts w:hint="default" w:ascii="Times New Roman" w:hAnsi="Times New Roman" w:eastAsia="宋体" w:cs="Times New Roman"/>
                <w:i w:val="0"/>
                <w:iCs w:val="0"/>
                <w:caps w:val="0"/>
                <w:color w:val="auto"/>
                <w:spacing w:val="0"/>
                <w:sz w:val="24"/>
                <w:szCs w:val="24"/>
                <w:shd w:val="clear" w:fill="FFFFFF"/>
              </w:rPr>
              <w:t>的排气筒（DA001）高空排放。</w:t>
            </w:r>
          </w:p>
          <w:p w14:paraId="49D3C5BA">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eastAsia" w:cs="Times New Roman"/>
                <w:i w:val="0"/>
                <w:iCs w:val="0"/>
                <w:caps w:val="0"/>
                <w:color w:val="auto"/>
                <w:spacing w:val="0"/>
                <w:sz w:val="24"/>
                <w:szCs w:val="24"/>
                <w:shd w:val="clear" w:fill="FFFFFF"/>
                <w:lang w:val="en-US" w:eastAsia="zh-CN"/>
              </w:rPr>
              <w:t>综上</w:t>
            </w:r>
            <w:r>
              <w:rPr>
                <w:rFonts w:hint="default" w:ascii="Times New Roman" w:hAnsi="Times New Roman" w:eastAsia="宋体" w:cs="Times New Roman"/>
                <w:i w:val="0"/>
                <w:iCs w:val="0"/>
                <w:caps w:val="0"/>
                <w:color w:val="auto"/>
                <w:spacing w:val="0"/>
                <w:sz w:val="24"/>
                <w:szCs w:val="24"/>
                <w:shd w:val="clear" w:fill="FFFFFF"/>
              </w:rPr>
              <w:t>，</w:t>
            </w:r>
            <w:r>
              <w:rPr>
                <w:rFonts w:hint="eastAsia" w:cs="Times New Roman"/>
                <w:i w:val="0"/>
                <w:iCs w:val="0"/>
                <w:caps w:val="0"/>
                <w:color w:val="auto"/>
                <w:spacing w:val="0"/>
                <w:sz w:val="24"/>
                <w:szCs w:val="24"/>
                <w:shd w:val="clear" w:fill="FFFFFF"/>
                <w:lang w:val="en-US" w:eastAsia="zh-CN"/>
              </w:rPr>
              <w:t>处理后</w:t>
            </w:r>
            <w:r>
              <w:rPr>
                <w:rFonts w:hint="default" w:ascii="Times New Roman" w:hAnsi="Times New Roman" w:eastAsia="宋体" w:cs="Times New Roman"/>
                <w:i w:val="0"/>
                <w:iCs w:val="0"/>
                <w:caps w:val="0"/>
                <w:color w:val="auto"/>
                <w:spacing w:val="0"/>
                <w:sz w:val="24"/>
                <w:szCs w:val="24"/>
                <w:shd w:val="clear" w:fill="FFFFFF"/>
              </w:rPr>
              <w:t>颗粒物有组织排放量0.07</w:t>
            </w:r>
            <w:r>
              <w:rPr>
                <w:rFonts w:hint="eastAsia" w:cs="Times New Roman"/>
                <w:i w:val="0"/>
                <w:iCs w:val="0"/>
                <w:caps w:val="0"/>
                <w:color w:val="auto"/>
                <w:spacing w:val="0"/>
                <w:sz w:val="24"/>
                <w:szCs w:val="24"/>
                <w:shd w:val="clear" w:fill="FFFFFF"/>
                <w:lang w:val="en-US" w:eastAsia="zh-CN"/>
              </w:rPr>
              <w:t>4</w:t>
            </w:r>
            <w:r>
              <w:rPr>
                <w:rFonts w:hint="eastAsia" w:cs="Times New Roman"/>
                <w:i w:val="0"/>
                <w:iCs w:val="0"/>
                <w:caps w:val="0"/>
                <w:color w:val="auto"/>
                <w:spacing w:val="0"/>
                <w:sz w:val="24"/>
                <w:szCs w:val="24"/>
                <w:shd w:val="clear" w:fill="FFFFFF"/>
                <w:lang w:eastAsia="zh-CN"/>
              </w:rPr>
              <w:t>t/a</w:t>
            </w:r>
            <w:r>
              <w:rPr>
                <w:rFonts w:hint="default" w:ascii="Times New Roman" w:hAnsi="Times New Roman" w:eastAsia="宋体" w:cs="Times New Roman"/>
                <w:i w:val="0"/>
                <w:iCs w:val="0"/>
                <w:caps w:val="0"/>
                <w:color w:val="auto"/>
                <w:spacing w:val="0"/>
                <w:sz w:val="24"/>
                <w:szCs w:val="24"/>
                <w:shd w:val="clear" w:fill="FFFFFF"/>
              </w:rPr>
              <w:t>，排放速率降至0.</w:t>
            </w:r>
            <w:r>
              <w:rPr>
                <w:rFonts w:hint="eastAsia" w:cs="Times New Roman"/>
                <w:i w:val="0"/>
                <w:iCs w:val="0"/>
                <w:caps w:val="0"/>
                <w:color w:val="auto"/>
                <w:spacing w:val="0"/>
                <w:sz w:val="24"/>
                <w:szCs w:val="24"/>
                <w:shd w:val="clear" w:fill="FFFFFF"/>
                <w:lang w:val="en-US" w:eastAsia="zh-CN"/>
              </w:rPr>
              <w:t>307</w:t>
            </w:r>
            <w:r>
              <w:rPr>
                <w:rFonts w:hint="eastAsia" w:cs="Times New Roman"/>
                <w:i w:val="0"/>
                <w:iCs w:val="0"/>
                <w:caps w:val="0"/>
                <w:color w:val="auto"/>
                <w:spacing w:val="0"/>
                <w:sz w:val="24"/>
                <w:szCs w:val="24"/>
                <w:shd w:val="clear" w:fill="FFFFFF"/>
                <w:lang w:eastAsia="zh-CN"/>
              </w:rPr>
              <w:t>kg/h</w:t>
            </w:r>
            <w:r>
              <w:rPr>
                <w:rFonts w:hint="default" w:ascii="Times New Roman" w:hAnsi="Times New Roman" w:eastAsia="宋体" w:cs="Times New Roman"/>
                <w:i w:val="0"/>
                <w:iCs w:val="0"/>
                <w:caps w:val="0"/>
                <w:color w:val="auto"/>
                <w:spacing w:val="0"/>
                <w:sz w:val="24"/>
                <w:szCs w:val="24"/>
                <w:shd w:val="clear" w:fill="FFFFFF"/>
              </w:rPr>
              <w:t>，排放浓度低至</w:t>
            </w:r>
            <w:r>
              <w:rPr>
                <w:rFonts w:hint="eastAsia" w:cs="Times New Roman"/>
                <w:i w:val="0"/>
                <w:iCs w:val="0"/>
                <w:caps w:val="0"/>
                <w:color w:val="auto"/>
                <w:spacing w:val="0"/>
                <w:sz w:val="24"/>
                <w:szCs w:val="24"/>
                <w:shd w:val="clear" w:fill="FFFFFF"/>
                <w:lang w:val="en-US" w:eastAsia="zh-CN"/>
              </w:rPr>
              <w:t>6.14</w:t>
            </w:r>
            <w:r>
              <w:rPr>
                <w:rFonts w:hint="eastAsia" w:cs="Times New Roman"/>
                <w:i w:val="0"/>
                <w:iCs w:val="0"/>
                <w:caps w:val="0"/>
                <w:color w:val="auto"/>
                <w:spacing w:val="0"/>
                <w:sz w:val="24"/>
                <w:szCs w:val="24"/>
                <w:shd w:val="clear" w:fill="FFFFFF"/>
                <w:lang w:eastAsia="zh-CN"/>
              </w:rPr>
              <w:t>mg/m</w:t>
            </w:r>
            <w:r>
              <w:rPr>
                <w:rFonts w:hint="eastAsia" w:cs="Times New Roman"/>
                <w:i w:val="0"/>
                <w:iCs w:val="0"/>
                <w:caps w:val="0"/>
                <w:color w:val="auto"/>
                <w:spacing w:val="0"/>
                <w:sz w:val="24"/>
                <w:szCs w:val="24"/>
                <w:shd w:val="clear" w:fill="FFFFFF"/>
                <w:vertAlign w:val="superscript"/>
                <w:lang w:eastAsia="zh-CN"/>
              </w:rPr>
              <w:t>3</w:t>
            </w:r>
            <w:r>
              <w:rPr>
                <w:rFonts w:hint="default" w:ascii="Times New Roman" w:hAnsi="Times New Roman" w:eastAsia="宋体" w:cs="Times New Roman"/>
                <w:i w:val="0"/>
                <w:iCs w:val="0"/>
                <w:caps w:val="0"/>
                <w:color w:val="auto"/>
                <w:spacing w:val="0"/>
                <w:sz w:val="24"/>
                <w:szCs w:val="24"/>
                <w:shd w:val="clear" w:fill="FFFFFF"/>
              </w:rPr>
              <w:t>。排放浓度</w:t>
            </w:r>
            <w:r>
              <w:rPr>
                <w:rFonts w:hint="eastAsia" w:ascii="Times New Roman" w:hAnsi="Times New Roman" w:eastAsia="宋体" w:cs="Times New Roman"/>
                <w:i w:val="0"/>
                <w:iCs w:val="0"/>
                <w:caps w:val="0"/>
                <w:color w:val="auto"/>
                <w:spacing w:val="0"/>
                <w:sz w:val="24"/>
                <w:szCs w:val="24"/>
                <w:shd w:val="clear" w:fill="FFFFFF"/>
                <w:lang w:val="en-US" w:eastAsia="zh-CN"/>
              </w:rPr>
              <w:t>符合</w:t>
            </w:r>
            <w:r>
              <w:rPr>
                <w:rFonts w:hint="default" w:ascii="Times New Roman" w:hAnsi="Times New Roman" w:eastAsia="宋体" w:cs="Times New Roman"/>
                <w:i w:val="0"/>
                <w:iCs w:val="0"/>
                <w:caps w:val="0"/>
                <w:color w:val="auto"/>
                <w:spacing w:val="0"/>
                <w:sz w:val="24"/>
                <w:szCs w:val="24"/>
                <w:shd w:val="clear" w:fill="FFFFFF"/>
              </w:rPr>
              <w:t>《合成树脂工业污染物排放标准》（GB31572-2015，含2024年修改单）表表5大气污染物特别排放限值中颗粒物20</w:t>
            </w:r>
            <w:r>
              <w:rPr>
                <w:rFonts w:hint="eastAsia" w:cs="Times New Roman"/>
                <w:i w:val="0"/>
                <w:iCs w:val="0"/>
                <w:caps w:val="0"/>
                <w:color w:val="auto"/>
                <w:spacing w:val="0"/>
                <w:sz w:val="24"/>
                <w:szCs w:val="24"/>
                <w:shd w:val="clear" w:fill="FFFFFF"/>
                <w:lang w:eastAsia="zh-CN"/>
              </w:rPr>
              <w:t>mg/m</w:t>
            </w:r>
            <w:r>
              <w:rPr>
                <w:rFonts w:hint="eastAsia" w:cs="Times New Roman"/>
                <w:i w:val="0"/>
                <w:iCs w:val="0"/>
                <w:caps w:val="0"/>
                <w:color w:val="auto"/>
                <w:spacing w:val="0"/>
                <w:sz w:val="24"/>
                <w:szCs w:val="24"/>
                <w:shd w:val="clear" w:fill="FFFFFF"/>
                <w:vertAlign w:val="superscript"/>
                <w:lang w:eastAsia="zh-CN"/>
              </w:rPr>
              <w:t>3</w:t>
            </w:r>
            <w:r>
              <w:rPr>
                <w:rFonts w:hint="default" w:ascii="Times New Roman" w:hAnsi="Times New Roman" w:eastAsia="宋体" w:cs="Times New Roman"/>
                <w:i w:val="0"/>
                <w:iCs w:val="0"/>
                <w:caps w:val="0"/>
                <w:color w:val="auto"/>
                <w:spacing w:val="0"/>
                <w:sz w:val="24"/>
                <w:szCs w:val="24"/>
                <w:shd w:val="clear" w:fill="FFFFFF"/>
              </w:rPr>
              <w:t>的要求，能够实现稳定达标排放，对周围环境空气质量影响较小。</w:t>
            </w:r>
          </w:p>
          <w:p w14:paraId="4F669704">
            <w:pPr>
              <w:pStyle w:val="9"/>
              <w:keepNext w:val="0"/>
              <w:keepLines w:val="0"/>
              <w:pageBreakBefore w:val="0"/>
              <w:widowControl/>
              <w:suppressLineNumbers w:val="0"/>
              <w:shd w:val="clear"/>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2" w:firstLineChars="200"/>
              <w:textAlignment w:val="auto"/>
              <w:rPr>
                <w:rFonts w:hint="default" w:ascii="Times New Roman" w:hAnsi="Times New Roman" w:eastAsia="宋体" w:cs="Times New Roman"/>
                <w:b/>
                <w:bCs/>
                <w:caps w:val="0"/>
                <w:color w:val="auto"/>
                <w:spacing w:val="0"/>
                <w:sz w:val="24"/>
                <w:szCs w:val="24"/>
              </w:rPr>
            </w:pPr>
            <w:r>
              <w:rPr>
                <w:rFonts w:hint="default" w:ascii="Times New Roman" w:hAnsi="Times New Roman" w:eastAsia="宋体" w:cs="Times New Roman"/>
                <w:b/>
                <w:bCs/>
                <w:caps w:val="0"/>
                <w:color w:val="auto"/>
                <w:spacing w:val="0"/>
                <w:sz w:val="24"/>
                <w:szCs w:val="24"/>
                <w:shd w:val="clear" w:fill="FFFFFF"/>
              </w:rPr>
              <w:t>（2）挥发性有机物（非甲烷总烃）</w:t>
            </w:r>
          </w:p>
          <w:p w14:paraId="01236F75">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本项目VOCs产生于造粒、挤出成型、上胶、印刷四个工序。</w:t>
            </w:r>
          </w:p>
          <w:p w14:paraId="44E0DB52">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2" w:firstLineChars="200"/>
              <w:textAlignment w:val="auto"/>
              <w:rPr>
                <w:rFonts w:hint="default" w:ascii="Times New Roman" w:hAnsi="Times New Roman" w:eastAsia="宋体" w:cs="Times New Roman"/>
                <w:b/>
                <w:bCs/>
                <w:i w:val="0"/>
                <w:iCs w:val="0"/>
                <w:caps w:val="0"/>
                <w:color w:val="auto"/>
                <w:spacing w:val="0"/>
                <w:sz w:val="24"/>
                <w:szCs w:val="24"/>
                <w:shd w:val="clear" w:fill="FFFFFF"/>
                <w:lang w:val="en-US" w:eastAsia="zh-CN" w:bidi="ar-SA"/>
              </w:rPr>
            </w:pPr>
            <w:r>
              <w:rPr>
                <w:rFonts w:hint="default" w:ascii="Times New Roman" w:hAnsi="Times New Roman" w:eastAsia="宋体" w:cs="Times New Roman"/>
                <w:b/>
                <w:bCs/>
                <w:i w:val="0"/>
                <w:iCs w:val="0"/>
                <w:caps w:val="0"/>
                <w:color w:val="auto"/>
                <w:spacing w:val="0"/>
                <w:sz w:val="24"/>
                <w:szCs w:val="24"/>
                <w:shd w:val="clear" w:fill="FFFFFF"/>
                <w:lang w:val="en-US" w:eastAsia="zh-CN" w:bidi="ar-SA"/>
              </w:rPr>
              <w:t>①造粒、挤出成型工序（塑料加工热分解）：</w:t>
            </w:r>
          </w:p>
          <w:p w14:paraId="049E444D">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本项目造粒和挤出成型工序属于PVC塑料的热加工过程，在加热熔融状态下，PVC树脂及少量助剂因受热会发生一定程度的热分解反应，产生挥发性有机物。</w:t>
            </w:r>
          </w:p>
          <w:p w14:paraId="7A818471">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参照《292塑料制品业系数手册》中2929塑料零件及其他塑料制品制造行业系数表（续表2）VOCs产污系数为1.90kg/t-产品，产品重量按原辅料固体用量1227t/a计，本项目固体原辅料（PVC树脂粉、碳酸钙、稳定剂、色母粉、钛白粉、石蜡等）总用量为1227t/a，这些物料最终全部转化为产品，因此产品重量按1227t/a计。</w:t>
            </w:r>
          </w:p>
          <w:p w14:paraId="6F8BAAC9">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经计算，造粒及挤出成型工序VOCs产生量为2.331t/a。年运行时间2400小时，产生速率为0.971kg/h。</w:t>
            </w:r>
          </w:p>
          <w:p w14:paraId="2FA4D2F9">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val="en-US" w:eastAsia="zh-CN" w:bidi="ar-SA"/>
              </w:rPr>
            </w:pPr>
            <w:r>
              <w:rPr>
                <w:rFonts w:hint="default" w:ascii="Times New Roman" w:hAnsi="Times New Roman" w:eastAsia="宋体" w:cs="Times New Roman"/>
                <w:i w:val="0"/>
                <w:iCs w:val="0"/>
                <w:caps w:val="0"/>
                <w:color w:val="auto"/>
                <w:spacing w:val="0"/>
                <w:sz w:val="24"/>
                <w:szCs w:val="24"/>
                <w:shd w:val="clear" w:fill="FFFFFF"/>
                <w:lang w:val="en-US" w:eastAsia="zh-CN" w:bidi="ar-SA"/>
              </w:rPr>
              <w:t>该部分废气经设备上方设置的集气罩收集后，引入活性炭吸附脱附+蓄热催化燃烧一体化装置（RCO）处理后进行处理。</w:t>
            </w:r>
          </w:p>
          <w:p w14:paraId="3DBBE741">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2"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②上胶工序（底胶挥发）：</w:t>
            </w:r>
          </w:p>
          <w:p w14:paraId="48F1B926">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本项目上胶工序所使用的底胶为丙烯酸酯类水基型胶黏剂，根据《胶粘剂挥发性有机化合物限量》（GB33372-2020）中表2对水基型胶粘剂VOCs含量的限值规定，丙烯酸酯类胶粘剂的VOCs含量应不超过50</w:t>
            </w:r>
            <w:r>
              <w:rPr>
                <w:rFonts w:hint="default" w:ascii="Times New Roman" w:hAnsi="Times New Roman" w:eastAsia="宋体" w:cs="Times New Roman"/>
                <w:i w:val="0"/>
                <w:iCs w:val="0"/>
                <w:caps w:val="0"/>
                <w:color w:val="auto"/>
                <w:spacing w:val="0"/>
                <w:sz w:val="24"/>
                <w:szCs w:val="24"/>
                <w:shd w:val="clear" w:fill="FFFFFF"/>
                <w:lang w:val="en-US" w:eastAsia="zh-CN"/>
              </w:rPr>
              <w:t>g/L</w:t>
            </w:r>
            <w:r>
              <w:rPr>
                <w:rFonts w:hint="default" w:ascii="Times New Roman" w:hAnsi="Times New Roman" w:eastAsia="宋体" w:cs="Times New Roman"/>
                <w:i w:val="0"/>
                <w:iCs w:val="0"/>
                <w:caps w:val="0"/>
                <w:color w:val="auto"/>
                <w:spacing w:val="0"/>
                <w:sz w:val="24"/>
                <w:szCs w:val="24"/>
                <w:shd w:val="clear" w:fill="FFFFFF"/>
              </w:rPr>
              <w:t>。</w:t>
            </w:r>
          </w:p>
          <w:p w14:paraId="3ED1ECC4">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建设单位所用底胶为水性环保型产品，按最严格的限值要求核算其挥发性有机物产生量，能够客观反映该工序的产污水平。底胶年用量为10吨，以密度1.0</w:t>
            </w:r>
            <w:r>
              <w:rPr>
                <w:rFonts w:hint="default" w:ascii="Times New Roman" w:hAnsi="Times New Roman" w:eastAsia="宋体" w:cs="Times New Roman"/>
                <w:i w:val="0"/>
                <w:iCs w:val="0"/>
                <w:caps w:val="0"/>
                <w:color w:val="auto"/>
                <w:spacing w:val="0"/>
                <w:sz w:val="24"/>
                <w:szCs w:val="24"/>
                <w:shd w:val="clear" w:fill="FFFFFF"/>
                <w:lang w:val="en-US" w:eastAsia="zh-CN"/>
              </w:rPr>
              <w:t>g/cm</w:t>
            </w:r>
            <w:r>
              <w:rPr>
                <w:rFonts w:hint="default" w:ascii="Times New Roman" w:hAnsi="Times New Roman" w:eastAsia="宋体" w:cs="Times New Roman"/>
                <w:i w:val="0"/>
                <w:iCs w:val="0"/>
                <w:caps w:val="0"/>
                <w:color w:val="auto"/>
                <w:spacing w:val="0"/>
                <w:sz w:val="24"/>
                <w:szCs w:val="24"/>
                <w:shd w:val="clear" w:fill="FFFFFF"/>
                <w:vertAlign w:val="superscript"/>
                <w:lang w:val="en-US" w:eastAsia="zh-CN"/>
              </w:rPr>
              <w:t>3</w:t>
            </w:r>
            <w:r>
              <w:rPr>
                <w:rFonts w:hint="default" w:ascii="Times New Roman" w:hAnsi="Times New Roman" w:eastAsia="宋体" w:cs="Times New Roman"/>
                <w:i w:val="0"/>
                <w:iCs w:val="0"/>
                <w:caps w:val="0"/>
                <w:color w:val="auto"/>
                <w:spacing w:val="0"/>
                <w:sz w:val="24"/>
                <w:szCs w:val="24"/>
                <w:shd w:val="clear" w:fill="FFFFFF"/>
              </w:rPr>
              <w:t>计，折合体积为10000</w:t>
            </w:r>
            <w:r>
              <w:rPr>
                <w:rFonts w:hint="default" w:ascii="Times New Roman" w:hAnsi="Times New Roman" w:eastAsia="宋体" w:cs="Times New Roman"/>
                <w:i w:val="0"/>
                <w:iCs w:val="0"/>
                <w:caps w:val="0"/>
                <w:color w:val="auto"/>
                <w:spacing w:val="0"/>
                <w:sz w:val="24"/>
                <w:szCs w:val="24"/>
                <w:shd w:val="clear" w:fill="FFFFFF"/>
                <w:lang w:val="en-US" w:eastAsia="zh-CN"/>
              </w:rPr>
              <w:t>L</w:t>
            </w:r>
            <w:r>
              <w:rPr>
                <w:rFonts w:hint="default" w:ascii="Times New Roman" w:hAnsi="Times New Roman" w:eastAsia="宋体" w:cs="Times New Roman"/>
                <w:i w:val="0"/>
                <w:iCs w:val="0"/>
                <w:caps w:val="0"/>
                <w:color w:val="auto"/>
                <w:spacing w:val="0"/>
                <w:sz w:val="24"/>
                <w:szCs w:val="24"/>
                <w:shd w:val="clear" w:fill="FFFFFF"/>
              </w:rPr>
              <w:t>。依据上述标准限值（50</w:t>
            </w:r>
            <w:r>
              <w:rPr>
                <w:rFonts w:hint="default" w:ascii="Times New Roman" w:hAnsi="Times New Roman" w:eastAsia="宋体" w:cs="Times New Roman"/>
                <w:i w:val="0"/>
                <w:iCs w:val="0"/>
                <w:caps w:val="0"/>
                <w:color w:val="auto"/>
                <w:spacing w:val="0"/>
                <w:sz w:val="24"/>
                <w:szCs w:val="24"/>
                <w:shd w:val="clear" w:fill="FFFFFF"/>
                <w:lang w:val="en-US" w:eastAsia="zh-CN"/>
              </w:rPr>
              <w:t>g/L</w:t>
            </w:r>
            <w:r>
              <w:rPr>
                <w:rFonts w:hint="default" w:ascii="Times New Roman" w:hAnsi="Times New Roman" w:eastAsia="宋体" w:cs="Times New Roman"/>
                <w:i w:val="0"/>
                <w:iCs w:val="0"/>
                <w:caps w:val="0"/>
                <w:color w:val="auto"/>
                <w:spacing w:val="0"/>
                <w:sz w:val="24"/>
                <w:szCs w:val="24"/>
                <w:shd w:val="clear" w:fill="FFFFFF"/>
              </w:rPr>
              <w:t>）计算，上胶工序VOCs（以非甲烷总烃表征）总产生量为0.50</w:t>
            </w:r>
            <w:r>
              <w:rPr>
                <w:rFonts w:hint="default" w:ascii="Times New Roman" w:hAnsi="Times New Roman" w:eastAsia="宋体" w:cs="Times New Roman"/>
                <w:i w:val="0"/>
                <w:iCs w:val="0"/>
                <w:caps w:val="0"/>
                <w:color w:val="auto"/>
                <w:spacing w:val="0"/>
                <w:sz w:val="24"/>
                <w:szCs w:val="24"/>
                <w:shd w:val="clear" w:fill="FFFFFF"/>
                <w:lang w:val="en-US" w:eastAsia="zh-CN"/>
              </w:rPr>
              <w:t>t/a</w:t>
            </w:r>
            <w:r>
              <w:rPr>
                <w:rFonts w:hint="default" w:ascii="Times New Roman" w:hAnsi="Times New Roman" w:eastAsia="宋体" w:cs="Times New Roman"/>
                <w:i w:val="0"/>
                <w:iCs w:val="0"/>
                <w:caps w:val="0"/>
                <w:color w:val="auto"/>
                <w:spacing w:val="0"/>
                <w:sz w:val="24"/>
                <w:szCs w:val="24"/>
                <w:shd w:val="clear" w:fill="FFFFFF"/>
              </w:rPr>
              <w:t>。</w:t>
            </w:r>
          </w:p>
          <w:p w14:paraId="5113FF08">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lang w:eastAsia="zh-CN"/>
              </w:rPr>
            </w:pPr>
            <w:r>
              <w:rPr>
                <w:rFonts w:hint="default" w:ascii="Times New Roman" w:hAnsi="Times New Roman" w:eastAsia="宋体" w:cs="Times New Roman"/>
                <w:i w:val="0"/>
                <w:iCs w:val="0"/>
                <w:caps w:val="0"/>
                <w:color w:val="auto"/>
                <w:spacing w:val="0"/>
                <w:sz w:val="24"/>
                <w:szCs w:val="24"/>
                <w:shd w:val="clear" w:fill="FFFFFF"/>
              </w:rPr>
              <w:t>本项目底胶类型按水基型计。底胶用量10t/a，按VOCs含量5%计（水性胶黏剂）</w:t>
            </w:r>
            <w:r>
              <w:rPr>
                <w:rFonts w:hint="default"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上胶工序底胶挥发产生的VOCs（以非甲烷总烃计）产生量为0.50t/a，产生速率0.208kg/h</w:t>
            </w:r>
            <w:r>
              <w:rPr>
                <w:rFonts w:hint="default" w:ascii="Times New Roman" w:hAnsi="Times New Roman" w:eastAsia="宋体" w:cs="Times New Roman"/>
                <w:i w:val="0"/>
                <w:iCs w:val="0"/>
                <w:caps w:val="0"/>
                <w:color w:val="auto"/>
                <w:spacing w:val="0"/>
                <w:sz w:val="24"/>
                <w:szCs w:val="24"/>
                <w:shd w:val="clear" w:fill="FFFFFF"/>
                <w:lang w:eastAsia="zh-CN"/>
              </w:rPr>
              <w:t>。</w:t>
            </w:r>
          </w:p>
          <w:p w14:paraId="7AC7C9D4">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2" w:firstLineChars="200"/>
              <w:textAlignment w:val="auto"/>
              <w:rPr>
                <w:rFonts w:hint="default" w:ascii="Times New Roman" w:hAnsi="Times New Roman" w:eastAsia="宋体" w:cs="Times New Roman"/>
                <w:b/>
                <w:bCs/>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③印刷工序（水性油墨、UV油墨挥发）：</w:t>
            </w:r>
          </w:p>
          <w:p w14:paraId="60FF1FFD">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本项目印刷工序中水性油墨和UV油墨挥发产生的VOCs（以非甲烷总烃计）</w:t>
            </w:r>
            <w:r>
              <w:rPr>
                <w:rFonts w:hint="default" w:ascii="Times New Roman" w:hAnsi="Times New Roman" w:eastAsia="宋体" w:cs="Times New Roman"/>
                <w:i w:val="0"/>
                <w:iCs w:val="0"/>
                <w:caps w:val="0"/>
                <w:color w:val="auto"/>
                <w:spacing w:val="0"/>
                <w:sz w:val="24"/>
                <w:szCs w:val="24"/>
                <w:shd w:val="clear" w:fill="FFFFFF"/>
                <w:lang w:val="en-US" w:eastAsia="zh-CN"/>
              </w:rPr>
              <w:t>参考</w:t>
            </w:r>
            <w:r>
              <w:rPr>
                <w:rFonts w:hint="default" w:ascii="Times New Roman" w:hAnsi="Times New Roman" w:eastAsia="宋体" w:cs="Times New Roman"/>
                <w:i w:val="0"/>
                <w:iCs w:val="0"/>
                <w:caps w:val="0"/>
                <w:color w:val="auto"/>
                <w:spacing w:val="0"/>
                <w:sz w:val="24"/>
                <w:szCs w:val="24"/>
                <w:shd w:val="clear" w:fill="FFFFFF"/>
              </w:rPr>
              <w:t>《油墨中可挥发性有机化合物（VOCs）含量的限值》（GB38507-2020）表1规定进行核算：水性油墨（柔印油墨）VOCs含量限值≤30%，能量固化油墨（UV油墨）VOCs含量限值≤5%。本项目水性油墨年用量为7吨、UV油墨年用量为2吨，按最严格限值（即水性油墨30%、UV油墨5%）计，VOCs总产生量约为2.2t/a。</w:t>
            </w:r>
          </w:p>
          <w:p w14:paraId="5BEC83A5">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由于水性油墨实际VOCs含量通常低于限值，且UV油墨固化迅速，本次评价保守取2.2t/a。年运行时间2400小时，产生速率为0.917kg/h。印刷后干燥工序（5米加热烘道、UV干燥机）热源均为电加热，不涉及燃料燃烧，无燃烧废气产生。</w:t>
            </w:r>
          </w:p>
          <w:p w14:paraId="0DD03849">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废气经集气罩收集后</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（收集效率90%</w:t>
            </w:r>
            <w:r>
              <w:rPr>
                <w:rFonts w:hint="eastAsia" w:ascii="Times New Roman" w:hAnsi="Times New Roman" w:eastAsia="宋体" w:cs="Times New Roman"/>
                <w:bCs w:val="0"/>
                <w:i w:val="0"/>
                <w:iCs w:val="0"/>
                <w:caps w:val="0"/>
                <w:color w:val="auto"/>
                <w:spacing w:val="0"/>
                <w:kern w:val="0"/>
                <w:sz w:val="24"/>
                <w:szCs w:val="24"/>
                <w:shd w:val="clear" w:fill="FFFFFF"/>
                <w:lang w:val="en-US" w:eastAsia="zh-CN" w:bidi="ar-SA"/>
              </w:rPr>
              <w:t>，风机风量</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12000m³/h）</w:t>
            </w:r>
            <w:r>
              <w:rPr>
                <w:rFonts w:hint="default" w:ascii="Times New Roman" w:hAnsi="Times New Roman" w:eastAsia="宋体" w:cs="Times New Roman"/>
                <w:i w:val="0"/>
                <w:iCs w:val="0"/>
                <w:caps w:val="0"/>
                <w:color w:val="auto"/>
                <w:spacing w:val="0"/>
                <w:sz w:val="24"/>
                <w:szCs w:val="24"/>
                <w:shd w:val="clear" w:fill="FFFFFF"/>
              </w:rPr>
              <w:t>与造粒、挤出、上胶工序有机废气一并进入“活性炭吸附脱附+蓄热催化燃烧一体化装置（RCO）”处理，处理后经15m高排气筒排放。</w:t>
            </w:r>
          </w:p>
          <w:p w14:paraId="269EE2D2">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lang w:val="en-US" w:eastAsia="zh-CN"/>
              </w:rPr>
              <w:t>本项目</w:t>
            </w:r>
            <w:r>
              <w:rPr>
                <w:rFonts w:hint="default" w:ascii="Times New Roman" w:hAnsi="Times New Roman" w:eastAsia="宋体" w:cs="Times New Roman"/>
                <w:i w:val="0"/>
                <w:iCs w:val="0"/>
                <w:caps w:val="0"/>
                <w:color w:val="auto"/>
                <w:spacing w:val="0"/>
                <w:sz w:val="24"/>
                <w:szCs w:val="24"/>
                <w:shd w:val="clear" w:fill="FFFFFF"/>
              </w:rPr>
              <w:t>造粒挤出、上胶、印刷三个工序的VOCs产生及排放情况汇总如下表</w:t>
            </w:r>
          </w:p>
          <w:p w14:paraId="0BD44A9A">
            <w:pPr>
              <w:pStyle w:val="31"/>
              <w:shd w:val="clear"/>
              <w:spacing w:line="240" w:lineRule="auto"/>
              <w:rPr>
                <w:rFonts w:hint="eastAsia" w:ascii="Times New Roman" w:hAnsi="Times New Roman" w:eastAsia="宋体" w:cs="Times New Roman"/>
                <w:b/>
                <w:bCs/>
                <w:i w:val="0"/>
                <w:iCs w:val="0"/>
                <w:caps w:val="0"/>
                <w:snapToGrid/>
                <w:color w:val="auto"/>
                <w:spacing w:val="0"/>
                <w:kern w:val="0"/>
                <w:sz w:val="21"/>
                <w:szCs w:val="21"/>
                <w:shd w:val="clear" w:fill="FFFFFF"/>
                <w:lang w:val="en-US" w:eastAsia="zh-CN" w:bidi="ar-SA"/>
              </w:rPr>
            </w:pPr>
            <w:r>
              <w:rPr>
                <w:rFonts w:hint="eastAsia" w:ascii="Times New Roman" w:hAnsi="Times New Roman" w:eastAsia="宋体" w:cs="Times New Roman"/>
                <w:b/>
                <w:bCs/>
                <w:i w:val="0"/>
                <w:iCs w:val="0"/>
                <w:caps w:val="0"/>
                <w:snapToGrid/>
                <w:color w:val="auto"/>
                <w:spacing w:val="0"/>
                <w:kern w:val="0"/>
                <w:sz w:val="21"/>
                <w:szCs w:val="21"/>
                <w:shd w:val="clear" w:fill="FFFFFF"/>
                <w:lang w:val="en-US" w:eastAsia="zh-CN" w:bidi="ar-SA"/>
              </w:rPr>
              <w:t>表4-2</w:t>
            </w:r>
            <w:r>
              <w:rPr>
                <w:rFonts w:hint="default" w:ascii="Times New Roman" w:hAnsi="Times New Roman" w:eastAsia="宋体" w:cs="Times New Roman"/>
                <w:b/>
                <w:bCs/>
                <w:i w:val="0"/>
                <w:iCs w:val="0"/>
                <w:caps w:val="0"/>
                <w:snapToGrid/>
                <w:color w:val="auto"/>
                <w:spacing w:val="0"/>
                <w:kern w:val="0"/>
                <w:sz w:val="21"/>
                <w:szCs w:val="21"/>
                <w:shd w:val="clear" w:fill="FFFFFF"/>
                <w:lang w:val="en-US" w:eastAsia="zh-CN" w:bidi="ar-SA"/>
              </w:rPr>
              <w:t>VOCs产生及排放情况汇总</w:t>
            </w:r>
            <w:r>
              <w:rPr>
                <w:rFonts w:hint="eastAsia" w:ascii="Times New Roman" w:hAnsi="Times New Roman" w:eastAsia="宋体" w:cs="Times New Roman"/>
                <w:b/>
                <w:bCs/>
                <w:i w:val="0"/>
                <w:iCs w:val="0"/>
                <w:caps w:val="0"/>
                <w:snapToGrid/>
                <w:color w:val="auto"/>
                <w:spacing w:val="0"/>
                <w:kern w:val="0"/>
                <w:sz w:val="21"/>
                <w:szCs w:val="21"/>
                <w:shd w:val="clear" w:fill="FFFFFF"/>
                <w:lang w:val="en-US" w:eastAsia="zh-CN" w:bidi="ar-SA"/>
              </w:rPr>
              <w:t>表</w:t>
            </w:r>
          </w:p>
          <w:tbl>
            <w:tblPr>
              <w:tblStyle w:val="25"/>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98"/>
              <w:gridCol w:w="764"/>
              <w:gridCol w:w="832"/>
              <w:gridCol w:w="654"/>
              <w:gridCol w:w="1036"/>
              <w:gridCol w:w="628"/>
              <w:gridCol w:w="791"/>
              <w:gridCol w:w="940"/>
              <w:gridCol w:w="1026"/>
            </w:tblGrid>
            <w:tr w14:paraId="050766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blHeader/>
                <w:jc w:val="center"/>
              </w:trPr>
              <w:tc>
                <w:tcPr>
                  <w:tcW w:w="473" w:type="pct"/>
                  <w:tcBorders>
                    <w:bottom w:val="single" w:color="auto" w:sz="12" w:space="0"/>
                  </w:tcBorders>
                  <w:shd w:val="clear" w:color="auto" w:fill="auto"/>
                  <w:vAlign w:val="center"/>
                </w:tcPr>
                <w:p w14:paraId="7AFE55C3">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工序</w:t>
                  </w:r>
                </w:p>
              </w:tc>
              <w:tc>
                <w:tcPr>
                  <w:tcW w:w="518" w:type="pct"/>
                  <w:tcBorders>
                    <w:bottom w:val="single" w:color="auto" w:sz="12" w:space="0"/>
                  </w:tcBorders>
                  <w:shd w:val="clear" w:color="auto" w:fill="auto"/>
                  <w:vAlign w:val="center"/>
                </w:tcPr>
                <w:p w14:paraId="7C688AC3">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产生量(t/a)</w:t>
                  </w:r>
                </w:p>
              </w:tc>
              <w:tc>
                <w:tcPr>
                  <w:tcW w:w="564" w:type="pct"/>
                  <w:tcBorders>
                    <w:bottom w:val="single" w:color="auto" w:sz="12" w:space="0"/>
                  </w:tcBorders>
                  <w:shd w:val="clear" w:color="auto" w:fill="auto"/>
                  <w:vAlign w:val="center"/>
                </w:tcPr>
                <w:p w14:paraId="6D6232D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产生速率(kg/h)</w:t>
                  </w:r>
                </w:p>
              </w:tc>
              <w:tc>
                <w:tcPr>
                  <w:tcW w:w="443" w:type="pct"/>
                  <w:tcBorders>
                    <w:bottom w:val="single" w:color="auto" w:sz="12" w:space="0"/>
                  </w:tcBorders>
                  <w:shd w:val="clear" w:color="auto" w:fill="auto"/>
                  <w:vAlign w:val="center"/>
                </w:tcPr>
                <w:p w14:paraId="0A3F7337">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收集效率</w:t>
                  </w:r>
                </w:p>
              </w:tc>
              <w:tc>
                <w:tcPr>
                  <w:tcW w:w="702" w:type="pct"/>
                  <w:tcBorders>
                    <w:bottom w:val="single" w:color="auto" w:sz="12" w:space="0"/>
                  </w:tcBorders>
                  <w:shd w:val="clear" w:color="auto" w:fill="auto"/>
                  <w:vAlign w:val="center"/>
                </w:tcPr>
                <w:p w14:paraId="2A2DF8CF">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治理措施</w:t>
                  </w:r>
                </w:p>
              </w:tc>
              <w:tc>
                <w:tcPr>
                  <w:tcW w:w="426" w:type="pct"/>
                  <w:tcBorders>
                    <w:bottom w:val="single" w:color="auto" w:sz="12" w:space="0"/>
                  </w:tcBorders>
                  <w:shd w:val="clear" w:color="auto" w:fill="auto"/>
                  <w:vAlign w:val="center"/>
                </w:tcPr>
                <w:p w14:paraId="1F87428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处理效率</w:t>
                  </w:r>
                </w:p>
              </w:tc>
              <w:tc>
                <w:tcPr>
                  <w:tcW w:w="536" w:type="pct"/>
                  <w:tcBorders>
                    <w:bottom w:val="single" w:color="auto" w:sz="12" w:space="0"/>
                  </w:tcBorders>
                  <w:shd w:val="clear" w:color="auto" w:fill="auto"/>
                  <w:vAlign w:val="center"/>
                </w:tcPr>
                <w:p w14:paraId="392A0F62">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有组织排放量(t/a)</w:t>
                  </w:r>
                </w:p>
              </w:tc>
              <w:tc>
                <w:tcPr>
                  <w:tcW w:w="637" w:type="pct"/>
                  <w:tcBorders>
                    <w:bottom w:val="single" w:color="auto" w:sz="12" w:space="0"/>
                  </w:tcBorders>
                  <w:shd w:val="clear" w:color="auto" w:fill="auto"/>
                  <w:vAlign w:val="center"/>
                </w:tcPr>
                <w:p w14:paraId="5D162E72">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eastAsia="宋体" w:cs="Times New Roman"/>
                      <w:b/>
                      <w:bCs/>
                      <w:color w:val="auto"/>
                      <w:kern w:val="0"/>
                      <w:sz w:val="21"/>
                      <w:szCs w:val="21"/>
                      <w:lang w:val="en-US" w:eastAsia="zh-CN" w:bidi="ar"/>
                    </w:rPr>
                    <w:t>有组织排放速率(kg/h)</w:t>
                  </w:r>
                </w:p>
              </w:tc>
              <w:tc>
                <w:tcPr>
                  <w:tcW w:w="696" w:type="pct"/>
                  <w:tcBorders>
                    <w:bottom w:val="single" w:color="auto" w:sz="12" w:space="0"/>
                  </w:tcBorders>
                  <w:shd w:val="clear" w:color="auto" w:fill="auto"/>
                  <w:vAlign w:val="center"/>
                </w:tcPr>
                <w:p w14:paraId="6398918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eastAsia="宋体" w:cs="Times New Roman"/>
                      <w:b/>
                      <w:bCs/>
                      <w:color w:val="auto"/>
                      <w:kern w:val="0"/>
                      <w:sz w:val="21"/>
                      <w:szCs w:val="21"/>
                      <w:lang w:val="en-US" w:eastAsia="zh-CN" w:bidi="ar"/>
                    </w:rPr>
                    <w:t>排放浓度</w:t>
                  </w:r>
                  <w:r>
                    <w:rPr>
                      <w:rFonts w:hint="eastAsia" w:cs="Times New Roman"/>
                      <w:b/>
                      <w:bCs/>
                      <w:color w:val="auto"/>
                      <w:kern w:val="0"/>
                      <w:sz w:val="21"/>
                      <w:szCs w:val="21"/>
                      <w:lang w:val="en-US" w:eastAsia="zh-CN" w:bidi="ar"/>
                    </w:rPr>
                    <w:t>（</w:t>
                  </w:r>
                  <w:r>
                    <w:rPr>
                      <w:rFonts w:hint="default" w:ascii="Times New Roman" w:hAnsi="Times New Roman" w:eastAsia="宋体" w:cs="Times New Roman"/>
                      <w:b/>
                      <w:bCs/>
                      <w:color w:val="auto"/>
                      <w:kern w:val="0"/>
                      <w:sz w:val="21"/>
                      <w:szCs w:val="21"/>
                      <w:lang w:val="en-US" w:eastAsia="zh-CN" w:bidi="ar"/>
                    </w:rPr>
                    <w:t>mg/m³</w:t>
                  </w:r>
                  <w:r>
                    <w:rPr>
                      <w:rFonts w:hint="eastAsia" w:cs="Times New Roman"/>
                      <w:b/>
                      <w:bCs/>
                      <w:color w:val="auto"/>
                      <w:kern w:val="0"/>
                      <w:sz w:val="21"/>
                      <w:szCs w:val="21"/>
                      <w:lang w:val="en-US" w:eastAsia="zh-CN" w:bidi="ar"/>
                    </w:rPr>
                    <w:t>）</w:t>
                  </w:r>
                </w:p>
              </w:tc>
            </w:tr>
            <w:tr w14:paraId="25FEDE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46" w:hRule="atLeast"/>
                <w:jc w:val="center"/>
              </w:trPr>
              <w:tc>
                <w:tcPr>
                  <w:tcW w:w="473" w:type="pct"/>
                  <w:tcBorders>
                    <w:top w:val="single" w:color="auto" w:sz="12" w:space="0"/>
                    <w:tl2br w:val="nil"/>
                    <w:tr2bl w:val="nil"/>
                  </w:tcBorders>
                  <w:shd w:val="clear" w:color="auto" w:fill="auto"/>
                  <w:vAlign w:val="center"/>
                </w:tcPr>
                <w:p w14:paraId="7BBF91DA">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造粒、挤出</w:t>
                  </w:r>
                </w:p>
              </w:tc>
              <w:tc>
                <w:tcPr>
                  <w:tcW w:w="518" w:type="pct"/>
                  <w:tcBorders>
                    <w:top w:val="single" w:color="auto" w:sz="12" w:space="0"/>
                    <w:tl2br w:val="nil"/>
                    <w:tr2bl w:val="nil"/>
                  </w:tcBorders>
                  <w:shd w:val="clear" w:color="auto" w:fill="auto"/>
                  <w:vAlign w:val="center"/>
                </w:tcPr>
                <w:p w14:paraId="08781177">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2.331</w:t>
                  </w:r>
                </w:p>
              </w:tc>
              <w:tc>
                <w:tcPr>
                  <w:tcW w:w="564" w:type="pct"/>
                  <w:tcBorders>
                    <w:top w:val="single" w:color="auto" w:sz="12" w:space="0"/>
                    <w:tl2br w:val="nil"/>
                    <w:tr2bl w:val="nil"/>
                  </w:tcBorders>
                  <w:shd w:val="clear" w:color="auto" w:fill="auto"/>
                  <w:vAlign w:val="center"/>
                </w:tcPr>
                <w:p w14:paraId="5E995118">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0.971</w:t>
                  </w:r>
                </w:p>
              </w:tc>
              <w:tc>
                <w:tcPr>
                  <w:tcW w:w="443" w:type="pct"/>
                  <w:tcBorders>
                    <w:top w:val="single" w:color="auto" w:sz="12" w:space="0"/>
                    <w:tl2br w:val="nil"/>
                    <w:tr2bl w:val="nil"/>
                  </w:tcBorders>
                  <w:shd w:val="clear" w:color="auto" w:fill="auto"/>
                  <w:vAlign w:val="center"/>
                </w:tcPr>
                <w:p w14:paraId="5CD07D5A">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90%</w:t>
                  </w:r>
                </w:p>
              </w:tc>
              <w:tc>
                <w:tcPr>
                  <w:tcW w:w="702" w:type="pct"/>
                  <w:vMerge w:val="restart"/>
                  <w:tcBorders>
                    <w:top w:val="single" w:color="auto" w:sz="12" w:space="0"/>
                    <w:tl2br w:val="nil"/>
                    <w:tr2bl w:val="nil"/>
                  </w:tcBorders>
                  <w:shd w:val="clear" w:color="auto" w:fill="auto"/>
                  <w:vAlign w:val="center"/>
                </w:tcPr>
                <w:p w14:paraId="173A5DC8">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kern w:val="0"/>
                      <w:sz w:val="21"/>
                      <w:szCs w:val="21"/>
                      <w:lang w:val="en-US" w:eastAsia="zh-CN" w:bidi="ar"/>
                    </w:rPr>
                    <w:t>活性炭吸附脱附+蓄热催化燃烧一体化装置（RCO）处理后</w:t>
                  </w:r>
                  <w:r>
                    <w:rPr>
                      <w:rFonts w:hint="eastAsia" w:ascii="Times New Roman" w:hAnsi="Times New Roman" w:eastAsia="宋体" w:cs="Times New Roman"/>
                      <w:color w:val="auto"/>
                      <w:kern w:val="0"/>
                      <w:sz w:val="21"/>
                      <w:szCs w:val="21"/>
                      <w:lang w:val="en-US" w:eastAsia="zh-CN" w:bidi="ar"/>
                    </w:rPr>
                    <w:t>+15m高排气筒</w:t>
                  </w:r>
                </w:p>
              </w:tc>
              <w:tc>
                <w:tcPr>
                  <w:tcW w:w="426" w:type="pct"/>
                  <w:vMerge w:val="restart"/>
                  <w:tcBorders>
                    <w:top w:val="single" w:color="auto" w:sz="12" w:space="0"/>
                    <w:tl2br w:val="nil"/>
                    <w:tr2bl w:val="nil"/>
                  </w:tcBorders>
                  <w:shd w:val="clear" w:color="auto" w:fill="auto"/>
                  <w:vAlign w:val="center"/>
                </w:tcPr>
                <w:p w14:paraId="62854DE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eastAsia" w:cs="Times New Roman"/>
                      <w:color w:val="auto"/>
                      <w:kern w:val="0"/>
                      <w:sz w:val="21"/>
                      <w:szCs w:val="21"/>
                      <w:lang w:val="en-US" w:eastAsia="zh-CN" w:bidi="ar"/>
                    </w:rPr>
                    <w:t>65</w:t>
                  </w:r>
                  <w:r>
                    <w:rPr>
                      <w:rFonts w:hint="default" w:ascii="Times New Roman" w:hAnsi="Times New Roman" w:eastAsia="宋体" w:cs="Times New Roman"/>
                      <w:color w:val="auto"/>
                      <w:kern w:val="0"/>
                      <w:sz w:val="21"/>
                      <w:szCs w:val="21"/>
                      <w:lang w:val="en-US" w:eastAsia="zh-CN" w:bidi="ar"/>
                    </w:rPr>
                    <w:t>%</w:t>
                  </w:r>
                </w:p>
              </w:tc>
              <w:tc>
                <w:tcPr>
                  <w:tcW w:w="536" w:type="pct"/>
                  <w:vMerge w:val="restart"/>
                  <w:tcBorders>
                    <w:top w:val="single" w:color="auto" w:sz="12" w:space="0"/>
                    <w:tl2br w:val="nil"/>
                    <w:tr2bl w:val="nil"/>
                  </w:tcBorders>
                  <w:shd w:val="clear" w:color="auto" w:fill="auto"/>
                  <w:vAlign w:val="center"/>
                </w:tcPr>
                <w:p w14:paraId="40D81B1B">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1.585</w:t>
                  </w:r>
                </w:p>
              </w:tc>
              <w:tc>
                <w:tcPr>
                  <w:tcW w:w="637" w:type="pct"/>
                  <w:vMerge w:val="restart"/>
                  <w:tcBorders>
                    <w:top w:val="single" w:color="auto" w:sz="12" w:space="0"/>
                    <w:tl2br w:val="nil"/>
                    <w:tr2bl w:val="nil"/>
                  </w:tcBorders>
                  <w:shd w:val="clear" w:color="auto" w:fill="auto"/>
                  <w:vAlign w:val="center"/>
                </w:tcPr>
                <w:p w14:paraId="2439ABF7">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0.660</w:t>
                  </w:r>
                </w:p>
              </w:tc>
              <w:tc>
                <w:tcPr>
                  <w:tcW w:w="696" w:type="pct"/>
                  <w:vMerge w:val="restart"/>
                  <w:tcBorders>
                    <w:top w:val="single" w:color="auto" w:sz="12" w:space="0"/>
                    <w:tl2br w:val="nil"/>
                    <w:tr2bl w:val="nil"/>
                  </w:tcBorders>
                  <w:shd w:val="clear" w:color="auto" w:fill="auto"/>
                  <w:vAlign w:val="center"/>
                </w:tcPr>
                <w:p w14:paraId="653DF068">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lang w:val="en-US"/>
                    </w:rPr>
                  </w:pPr>
                  <w:r>
                    <w:rPr>
                      <w:rFonts w:hint="default" w:ascii="Times New Roman" w:hAnsi="Times New Roman" w:eastAsia="宋体" w:cs="Times New Roman"/>
                      <w:b w:val="0"/>
                      <w:bCs w:val="0"/>
                      <w:color w:val="auto"/>
                      <w:kern w:val="0"/>
                      <w:sz w:val="21"/>
                      <w:szCs w:val="21"/>
                      <w:lang w:val="en-US" w:eastAsia="zh-CN" w:bidi="ar"/>
                    </w:rPr>
                    <w:t>55</w:t>
                  </w:r>
                  <w:r>
                    <w:rPr>
                      <w:rFonts w:hint="eastAsia" w:cs="Times New Roman"/>
                      <w:b w:val="0"/>
                      <w:bCs w:val="0"/>
                      <w:color w:val="auto"/>
                      <w:kern w:val="0"/>
                      <w:sz w:val="21"/>
                      <w:szCs w:val="21"/>
                      <w:lang w:val="en-US" w:eastAsia="zh-CN" w:bidi="ar"/>
                    </w:rPr>
                    <w:t>.0</w:t>
                  </w:r>
                </w:p>
              </w:tc>
            </w:tr>
            <w:tr w14:paraId="66D802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15" w:hRule="atLeast"/>
                <w:jc w:val="center"/>
              </w:trPr>
              <w:tc>
                <w:tcPr>
                  <w:tcW w:w="473" w:type="pct"/>
                  <w:tcBorders>
                    <w:tl2br w:val="nil"/>
                    <w:tr2bl w:val="nil"/>
                  </w:tcBorders>
                  <w:shd w:val="clear" w:color="auto" w:fill="auto"/>
                  <w:vAlign w:val="center"/>
                </w:tcPr>
                <w:p w14:paraId="1BA55B1A">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上胶</w:t>
                  </w:r>
                </w:p>
              </w:tc>
              <w:tc>
                <w:tcPr>
                  <w:tcW w:w="518" w:type="pct"/>
                  <w:tcBorders>
                    <w:tl2br w:val="nil"/>
                    <w:tr2bl w:val="nil"/>
                  </w:tcBorders>
                  <w:shd w:val="clear" w:color="auto" w:fill="auto"/>
                  <w:vAlign w:val="center"/>
                </w:tcPr>
                <w:p w14:paraId="0F98A7B5">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0.50</w:t>
                  </w:r>
                </w:p>
              </w:tc>
              <w:tc>
                <w:tcPr>
                  <w:tcW w:w="564" w:type="pct"/>
                  <w:tcBorders>
                    <w:tl2br w:val="nil"/>
                    <w:tr2bl w:val="nil"/>
                  </w:tcBorders>
                  <w:shd w:val="clear" w:color="auto" w:fill="auto"/>
                  <w:vAlign w:val="center"/>
                </w:tcPr>
                <w:p w14:paraId="1701BC59">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0.208</w:t>
                  </w:r>
                </w:p>
              </w:tc>
              <w:tc>
                <w:tcPr>
                  <w:tcW w:w="443" w:type="pct"/>
                  <w:tcBorders>
                    <w:tl2br w:val="nil"/>
                    <w:tr2bl w:val="nil"/>
                  </w:tcBorders>
                  <w:shd w:val="clear" w:color="auto" w:fill="auto"/>
                  <w:vAlign w:val="center"/>
                </w:tcPr>
                <w:p w14:paraId="5E2EFF44">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90%</w:t>
                  </w:r>
                </w:p>
              </w:tc>
              <w:tc>
                <w:tcPr>
                  <w:tcW w:w="702" w:type="pct"/>
                  <w:vMerge w:val="continue"/>
                  <w:tcBorders>
                    <w:tl2br w:val="nil"/>
                    <w:tr2bl w:val="nil"/>
                  </w:tcBorders>
                  <w:shd w:val="clear" w:color="auto" w:fill="auto"/>
                  <w:vAlign w:val="center"/>
                </w:tcPr>
                <w:p w14:paraId="35AAE4DE">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426" w:type="pct"/>
                  <w:vMerge w:val="continue"/>
                  <w:tcBorders>
                    <w:tl2br w:val="nil"/>
                    <w:tr2bl w:val="nil"/>
                  </w:tcBorders>
                  <w:shd w:val="clear" w:color="auto" w:fill="auto"/>
                  <w:vAlign w:val="center"/>
                </w:tcPr>
                <w:p w14:paraId="42A5622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536" w:type="pct"/>
                  <w:vMerge w:val="continue"/>
                  <w:tcBorders>
                    <w:tl2br w:val="nil"/>
                    <w:tr2bl w:val="nil"/>
                  </w:tcBorders>
                  <w:shd w:val="clear" w:color="auto" w:fill="auto"/>
                  <w:vAlign w:val="center"/>
                </w:tcPr>
                <w:p w14:paraId="00A8C909">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637" w:type="pct"/>
                  <w:vMerge w:val="continue"/>
                  <w:tcBorders>
                    <w:tl2br w:val="nil"/>
                    <w:tr2bl w:val="nil"/>
                  </w:tcBorders>
                  <w:shd w:val="clear" w:color="auto" w:fill="auto"/>
                  <w:vAlign w:val="center"/>
                </w:tcPr>
                <w:p w14:paraId="2A5B0E99">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696" w:type="pct"/>
                  <w:vMerge w:val="continue"/>
                  <w:tcBorders>
                    <w:tl2br w:val="nil"/>
                    <w:tr2bl w:val="nil"/>
                  </w:tcBorders>
                  <w:shd w:val="clear" w:color="auto" w:fill="auto"/>
                  <w:vAlign w:val="center"/>
                </w:tcPr>
                <w:p w14:paraId="2C228D2E">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r>
            <w:tr w14:paraId="7DE408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473" w:type="pct"/>
                  <w:tcBorders>
                    <w:tl2br w:val="nil"/>
                    <w:tr2bl w:val="nil"/>
                  </w:tcBorders>
                  <w:shd w:val="clear" w:color="auto" w:fill="auto"/>
                  <w:vAlign w:val="center"/>
                </w:tcPr>
                <w:p w14:paraId="154A338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印刷</w:t>
                  </w:r>
                </w:p>
              </w:tc>
              <w:tc>
                <w:tcPr>
                  <w:tcW w:w="518" w:type="pct"/>
                  <w:tcBorders>
                    <w:tl2br w:val="nil"/>
                    <w:tr2bl w:val="nil"/>
                  </w:tcBorders>
                  <w:shd w:val="clear" w:color="auto" w:fill="auto"/>
                  <w:vAlign w:val="center"/>
                </w:tcPr>
                <w:p w14:paraId="4D71A7E3">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2.2</w:t>
                  </w:r>
                </w:p>
              </w:tc>
              <w:tc>
                <w:tcPr>
                  <w:tcW w:w="564" w:type="pct"/>
                  <w:tcBorders>
                    <w:tl2br w:val="nil"/>
                    <w:tr2bl w:val="nil"/>
                  </w:tcBorders>
                  <w:shd w:val="clear" w:color="auto" w:fill="auto"/>
                  <w:vAlign w:val="center"/>
                </w:tcPr>
                <w:p w14:paraId="32DA19D8">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0.917</w:t>
                  </w:r>
                </w:p>
              </w:tc>
              <w:tc>
                <w:tcPr>
                  <w:tcW w:w="443" w:type="pct"/>
                  <w:tcBorders>
                    <w:tl2br w:val="nil"/>
                    <w:tr2bl w:val="nil"/>
                  </w:tcBorders>
                  <w:shd w:val="clear" w:color="auto" w:fill="auto"/>
                  <w:vAlign w:val="center"/>
                </w:tcPr>
                <w:p w14:paraId="3270B11B">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90%</w:t>
                  </w:r>
                </w:p>
              </w:tc>
              <w:tc>
                <w:tcPr>
                  <w:tcW w:w="702" w:type="pct"/>
                  <w:vMerge w:val="continue"/>
                  <w:tcBorders>
                    <w:tl2br w:val="nil"/>
                    <w:tr2bl w:val="nil"/>
                  </w:tcBorders>
                  <w:shd w:val="clear" w:color="auto" w:fill="auto"/>
                  <w:vAlign w:val="center"/>
                </w:tcPr>
                <w:p w14:paraId="5946C9AA">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426" w:type="pct"/>
                  <w:vMerge w:val="continue"/>
                  <w:tcBorders>
                    <w:tl2br w:val="nil"/>
                    <w:tr2bl w:val="nil"/>
                  </w:tcBorders>
                  <w:shd w:val="clear" w:color="auto" w:fill="auto"/>
                  <w:vAlign w:val="center"/>
                </w:tcPr>
                <w:p w14:paraId="4D41082C">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536" w:type="pct"/>
                  <w:vMerge w:val="continue"/>
                  <w:tcBorders>
                    <w:tl2br w:val="nil"/>
                    <w:tr2bl w:val="nil"/>
                  </w:tcBorders>
                  <w:shd w:val="clear" w:color="auto" w:fill="auto"/>
                  <w:vAlign w:val="center"/>
                </w:tcPr>
                <w:p w14:paraId="7D28AF67">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637" w:type="pct"/>
                  <w:vMerge w:val="continue"/>
                  <w:tcBorders>
                    <w:tl2br w:val="nil"/>
                    <w:tr2bl w:val="nil"/>
                  </w:tcBorders>
                  <w:shd w:val="clear" w:color="auto" w:fill="auto"/>
                  <w:vAlign w:val="center"/>
                </w:tcPr>
                <w:p w14:paraId="35A82D75">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696" w:type="pct"/>
                  <w:vMerge w:val="continue"/>
                  <w:tcBorders>
                    <w:tl2br w:val="nil"/>
                    <w:tr2bl w:val="nil"/>
                  </w:tcBorders>
                  <w:shd w:val="clear" w:color="auto" w:fill="auto"/>
                  <w:vAlign w:val="center"/>
                </w:tcPr>
                <w:p w14:paraId="5C8EE240">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r>
            <w:tr w14:paraId="3CF923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473" w:type="pct"/>
                  <w:tcBorders>
                    <w:tl2br w:val="nil"/>
                    <w:tr2bl w:val="nil"/>
                  </w:tcBorders>
                  <w:shd w:val="clear" w:color="auto" w:fill="auto"/>
                  <w:vAlign w:val="center"/>
                </w:tcPr>
                <w:p w14:paraId="4C959AD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合计</w:t>
                  </w:r>
                </w:p>
              </w:tc>
              <w:tc>
                <w:tcPr>
                  <w:tcW w:w="518" w:type="pct"/>
                  <w:tcBorders>
                    <w:tl2br w:val="nil"/>
                    <w:tr2bl w:val="nil"/>
                  </w:tcBorders>
                  <w:shd w:val="clear" w:color="auto" w:fill="auto"/>
                  <w:vAlign w:val="center"/>
                </w:tcPr>
                <w:p w14:paraId="08B2F312">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5.031</w:t>
                  </w:r>
                </w:p>
              </w:tc>
              <w:tc>
                <w:tcPr>
                  <w:tcW w:w="564" w:type="pct"/>
                  <w:tcBorders>
                    <w:tl2br w:val="nil"/>
                    <w:tr2bl w:val="nil"/>
                  </w:tcBorders>
                  <w:shd w:val="clear" w:color="auto" w:fill="auto"/>
                  <w:vAlign w:val="center"/>
                </w:tcPr>
                <w:p w14:paraId="0921B435">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2.096</w:t>
                  </w:r>
                </w:p>
              </w:tc>
              <w:tc>
                <w:tcPr>
                  <w:tcW w:w="443" w:type="pct"/>
                  <w:tcBorders>
                    <w:tl2br w:val="nil"/>
                    <w:tr2bl w:val="nil"/>
                  </w:tcBorders>
                  <w:shd w:val="clear" w:color="auto" w:fill="auto"/>
                  <w:vAlign w:val="center"/>
                </w:tcPr>
                <w:p w14:paraId="1D147A49">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kern w:val="0"/>
                      <w:sz w:val="21"/>
                      <w:szCs w:val="21"/>
                      <w:lang w:val="en-US" w:eastAsia="zh-CN" w:bidi="ar"/>
                    </w:rPr>
                    <w:t>/</w:t>
                  </w:r>
                </w:p>
              </w:tc>
              <w:tc>
                <w:tcPr>
                  <w:tcW w:w="702" w:type="pct"/>
                  <w:tcBorders>
                    <w:tl2br w:val="nil"/>
                    <w:tr2bl w:val="nil"/>
                  </w:tcBorders>
                  <w:shd w:val="clear" w:color="auto" w:fill="auto"/>
                  <w:vAlign w:val="center"/>
                </w:tcPr>
                <w:p w14:paraId="65D54FE5">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426" w:type="pct"/>
                  <w:tcBorders>
                    <w:tl2br w:val="nil"/>
                    <w:tr2bl w:val="nil"/>
                  </w:tcBorders>
                  <w:shd w:val="clear" w:color="auto" w:fill="auto"/>
                  <w:vAlign w:val="center"/>
                </w:tcPr>
                <w:p w14:paraId="1DAAAEE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65%</w:t>
                  </w:r>
                </w:p>
              </w:tc>
              <w:tc>
                <w:tcPr>
                  <w:tcW w:w="536" w:type="pct"/>
                  <w:tcBorders>
                    <w:tl2br w:val="nil"/>
                    <w:tr2bl w:val="nil"/>
                  </w:tcBorders>
                  <w:shd w:val="clear" w:color="auto" w:fill="auto"/>
                  <w:vAlign w:val="center"/>
                </w:tcPr>
                <w:p w14:paraId="3B54308B">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1.585</w:t>
                  </w:r>
                </w:p>
              </w:tc>
              <w:tc>
                <w:tcPr>
                  <w:tcW w:w="637" w:type="pct"/>
                  <w:tcBorders>
                    <w:tl2br w:val="nil"/>
                    <w:tr2bl w:val="nil"/>
                  </w:tcBorders>
                  <w:shd w:val="clear" w:color="auto" w:fill="auto"/>
                  <w:vAlign w:val="center"/>
                </w:tcPr>
                <w:p w14:paraId="7CCD70D4">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0.660</w:t>
                  </w:r>
                </w:p>
              </w:tc>
              <w:tc>
                <w:tcPr>
                  <w:tcW w:w="696" w:type="pct"/>
                  <w:tcBorders>
                    <w:tl2br w:val="nil"/>
                    <w:tr2bl w:val="nil"/>
                  </w:tcBorders>
                  <w:shd w:val="clear" w:color="auto" w:fill="auto"/>
                  <w:vAlign w:val="center"/>
                </w:tcPr>
                <w:p w14:paraId="68487005">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55</w:t>
                  </w:r>
                  <w:r>
                    <w:rPr>
                      <w:rFonts w:hint="eastAsia" w:cs="Times New Roman"/>
                      <w:b w:val="0"/>
                      <w:bCs w:val="0"/>
                      <w:color w:val="auto"/>
                      <w:kern w:val="0"/>
                      <w:sz w:val="21"/>
                      <w:szCs w:val="21"/>
                      <w:lang w:val="en-US" w:eastAsia="zh-CN" w:bidi="ar"/>
                    </w:rPr>
                    <w:t>.0</w:t>
                  </w:r>
                </w:p>
              </w:tc>
            </w:tr>
          </w:tbl>
          <w:p w14:paraId="5CB2EE6D">
            <w:pPr>
              <w:pStyle w:val="6"/>
              <w:keepNext/>
              <w:keepLines/>
              <w:pageBreakBefore w:val="0"/>
              <w:widowControl w:val="0"/>
              <w:numPr>
                <w:ilvl w:val="0"/>
                <w:numId w:val="0"/>
              </w:numPr>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本项目运营期产生的挥发性有机物（以非甲烷总烃计）主要来源于造粒、挤出成型、上胶及印刷四个工序，合计产生量为5.031t/a。废气经各产污环节顶部设置的集气罩（收集效率90%</w:t>
            </w:r>
            <w:r>
              <w:rPr>
                <w:rFonts w:hint="eastAsia" w:ascii="Times New Roman" w:hAnsi="Times New Roman" w:eastAsia="宋体" w:cs="Times New Roman"/>
                <w:bCs w:val="0"/>
                <w:i w:val="0"/>
                <w:iCs w:val="0"/>
                <w:caps w:val="0"/>
                <w:color w:val="auto"/>
                <w:spacing w:val="0"/>
                <w:kern w:val="0"/>
                <w:sz w:val="24"/>
                <w:szCs w:val="24"/>
                <w:shd w:val="clear" w:fill="FFFFFF"/>
                <w:lang w:val="en-US" w:eastAsia="zh-CN" w:bidi="ar-SA"/>
              </w:rPr>
              <w:t>，风机风量</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12000m³/h）收集后，统一引入一套活性炭吸附脱附+蓄热催化燃烧一体化装置（RCO）处理后进行处理</w:t>
            </w:r>
            <w:r>
              <w:rPr>
                <w:rFonts w:hint="eastAsia" w:ascii="Times New Roman" w:hAnsi="Times New Roman" w:eastAsia="宋体" w:cs="Times New Roman"/>
                <w:bCs w:val="0"/>
                <w:i w:val="0"/>
                <w:iCs w:val="0"/>
                <w:caps w:val="0"/>
                <w:color w:val="auto"/>
                <w:spacing w:val="0"/>
                <w:kern w:val="0"/>
                <w:sz w:val="24"/>
                <w:szCs w:val="24"/>
                <w:shd w:val="clear" w:fill="FFFFFF"/>
                <w:lang w:val="en-US" w:eastAsia="zh-CN" w:bidi="ar-SA"/>
              </w:rPr>
              <w:t>（</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处理效率按</w:t>
            </w:r>
            <w:r>
              <w:rPr>
                <w:rFonts w:hint="eastAsia" w:eastAsia="宋体" w:cs="Times New Roman"/>
                <w:bCs w:val="0"/>
                <w:i w:val="0"/>
                <w:iCs w:val="0"/>
                <w:caps w:val="0"/>
                <w:color w:val="auto"/>
                <w:spacing w:val="0"/>
                <w:kern w:val="0"/>
                <w:sz w:val="24"/>
                <w:szCs w:val="24"/>
                <w:shd w:val="clear" w:fill="FFFFFF"/>
                <w:lang w:val="en-US" w:eastAsia="zh-CN" w:bidi="ar-SA"/>
              </w:rPr>
              <w:t>65</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%计</w:t>
            </w:r>
            <w:r>
              <w:rPr>
                <w:rFonts w:hint="eastAsia" w:eastAsia="宋体" w:cs="Times New Roman"/>
                <w:bCs w:val="0"/>
                <w:i w:val="0"/>
                <w:iCs w:val="0"/>
                <w:caps w:val="0"/>
                <w:color w:val="auto"/>
                <w:spacing w:val="0"/>
                <w:kern w:val="0"/>
                <w:sz w:val="24"/>
                <w:szCs w:val="24"/>
                <w:shd w:val="clear" w:fill="FFFFFF"/>
                <w:lang w:val="en-US" w:eastAsia="zh-CN" w:bidi="ar-SA"/>
              </w:rPr>
              <w:t>，</w:t>
            </w:r>
            <w:r>
              <w:rPr>
                <w:rFonts w:hint="eastAsia" w:ascii="Times New Roman" w:hAnsi="Times New Roman" w:eastAsia="宋体" w:cs="Times New Roman"/>
                <w:bCs w:val="0"/>
                <w:i w:val="0"/>
                <w:iCs w:val="0"/>
                <w:caps w:val="0"/>
                <w:color w:val="auto"/>
                <w:spacing w:val="0"/>
                <w:kern w:val="0"/>
                <w:sz w:val="24"/>
                <w:szCs w:val="24"/>
                <w:shd w:val="clear" w:fill="FFFFFF"/>
                <w:lang w:val="en-US" w:eastAsia="zh-CN" w:bidi="ar-SA"/>
              </w:rPr>
              <w:t>风机风量</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12000m³/h</w:t>
            </w:r>
            <w:r>
              <w:rPr>
                <w:rFonts w:hint="eastAsia" w:ascii="Times New Roman" w:hAnsi="Times New Roman" w:eastAsia="宋体" w:cs="Times New Roman"/>
                <w:bCs w:val="0"/>
                <w:i w:val="0"/>
                <w:iCs w:val="0"/>
                <w:caps w:val="0"/>
                <w:color w:val="auto"/>
                <w:spacing w:val="0"/>
                <w:kern w:val="0"/>
                <w:sz w:val="24"/>
                <w:szCs w:val="24"/>
                <w:shd w:val="clear" w:fill="FFFFFF"/>
                <w:lang w:val="en-US" w:eastAsia="zh-CN" w:bidi="ar-SA"/>
              </w:rPr>
              <w:t>）</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，处理后的废气通过一根15米高的排气筒（DA002）高空排放。</w:t>
            </w:r>
          </w:p>
          <w:p w14:paraId="546EB288">
            <w:pPr>
              <w:pStyle w:val="6"/>
              <w:keepNext/>
              <w:keepLines/>
              <w:pageBreakBefore w:val="0"/>
              <w:widowControl w:val="0"/>
              <w:numPr>
                <w:ilvl w:val="0"/>
                <w:numId w:val="0"/>
              </w:numPr>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经核算，有组织VOCs产生量为4.528t/a，产生速率为1.886kg/h，产生浓度为</w:t>
            </w:r>
            <w:r>
              <w:rPr>
                <w:rFonts w:hint="eastAsia" w:eastAsia="宋体" w:cs="Times New Roman"/>
                <w:bCs w:val="0"/>
                <w:i w:val="0"/>
                <w:iCs w:val="0"/>
                <w:caps w:val="0"/>
                <w:color w:val="auto"/>
                <w:spacing w:val="0"/>
                <w:kern w:val="0"/>
                <w:sz w:val="24"/>
                <w:szCs w:val="24"/>
                <w:shd w:val="clear" w:fill="FFFFFF"/>
                <w:lang w:val="en-US" w:eastAsia="zh-CN" w:bidi="ar-SA"/>
              </w:rPr>
              <w:t>157.2</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mg/m³；处理后，有组织排放量为</w:t>
            </w:r>
            <w:r>
              <w:rPr>
                <w:rFonts w:hint="eastAsia" w:eastAsia="宋体" w:cs="Times New Roman"/>
                <w:bCs w:val="0"/>
                <w:i w:val="0"/>
                <w:iCs w:val="0"/>
                <w:caps w:val="0"/>
                <w:color w:val="auto"/>
                <w:spacing w:val="0"/>
                <w:kern w:val="0"/>
                <w:sz w:val="24"/>
                <w:szCs w:val="24"/>
                <w:shd w:val="clear" w:fill="FFFFFF"/>
                <w:lang w:val="en-US" w:eastAsia="zh-CN" w:bidi="ar-SA"/>
              </w:rPr>
              <w:t>1.585</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t/a，排放速率为0.</w:t>
            </w:r>
            <w:r>
              <w:rPr>
                <w:rFonts w:hint="eastAsia" w:eastAsia="宋体" w:cs="Times New Roman"/>
                <w:bCs w:val="0"/>
                <w:i w:val="0"/>
                <w:iCs w:val="0"/>
                <w:caps w:val="0"/>
                <w:color w:val="auto"/>
                <w:spacing w:val="0"/>
                <w:kern w:val="0"/>
                <w:sz w:val="24"/>
                <w:szCs w:val="24"/>
                <w:shd w:val="clear" w:fill="FFFFFF"/>
                <w:lang w:val="en-US" w:eastAsia="zh-CN" w:bidi="ar-SA"/>
              </w:rPr>
              <w:t>66</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kg/h，排放浓度约为</w:t>
            </w:r>
            <w:r>
              <w:rPr>
                <w:rFonts w:hint="eastAsia" w:eastAsia="宋体" w:cs="Times New Roman"/>
                <w:bCs w:val="0"/>
                <w:i w:val="0"/>
                <w:iCs w:val="0"/>
                <w:caps w:val="0"/>
                <w:color w:val="auto"/>
                <w:spacing w:val="0"/>
                <w:kern w:val="0"/>
                <w:sz w:val="24"/>
                <w:szCs w:val="24"/>
                <w:shd w:val="clear" w:fill="FFFFFF"/>
                <w:lang w:val="en-US" w:eastAsia="zh-CN" w:bidi="ar-SA"/>
              </w:rPr>
              <w:t>55</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mg/m³。排放浓度</w:t>
            </w:r>
            <w:r>
              <w:rPr>
                <w:rFonts w:hint="eastAsia" w:eastAsia="宋体" w:cs="Times New Roman"/>
                <w:bCs w:val="0"/>
                <w:i w:val="0"/>
                <w:iCs w:val="0"/>
                <w:caps w:val="0"/>
                <w:color w:val="auto"/>
                <w:spacing w:val="0"/>
                <w:kern w:val="0"/>
                <w:sz w:val="24"/>
                <w:szCs w:val="24"/>
                <w:shd w:val="clear" w:fill="FFFFFF"/>
                <w:lang w:val="en-US" w:eastAsia="zh-CN" w:bidi="ar-SA"/>
              </w:rPr>
              <w:t>满足</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《合成树脂工业污染物排放标准》（GB 31572-2015，含2024年修改单）表5大气污染物特别排放限值中非甲烷总烃60mg/m³的要求，可实现达标排放。</w:t>
            </w:r>
          </w:p>
          <w:p w14:paraId="793A62D5">
            <w:pPr>
              <w:pStyle w:val="6"/>
              <w:keepNext/>
              <w:keepLines/>
              <w:pageBreakBefore w:val="0"/>
              <w:widowControl w:val="0"/>
              <w:numPr>
                <w:ilvl w:val="0"/>
                <w:numId w:val="0"/>
              </w:numPr>
              <w:shd w:val="clear"/>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eastAsia="宋体" w:cs="Times New Roman"/>
                <w:b/>
                <w:bCs/>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
                <w:bCs/>
                <w:i w:val="0"/>
                <w:iCs w:val="0"/>
                <w:caps w:val="0"/>
                <w:color w:val="auto"/>
                <w:spacing w:val="0"/>
                <w:kern w:val="0"/>
                <w:sz w:val="24"/>
                <w:szCs w:val="24"/>
                <w:shd w:val="clear" w:fill="FFFFFF"/>
                <w:lang w:val="en-US" w:eastAsia="zh-CN" w:bidi="ar-SA"/>
              </w:rPr>
              <w:t>1.2排放口</w:t>
            </w:r>
            <w:r>
              <w:rPr>
                <w:rFonts w:hint="eastAsia" w:eastAsia="宋体" w:cs="Times New Roman"/>
                <w:b/>
                <w:bCs/>
                <w:i w:val="0"/>
                <w:iCs w:val="0"/>
                <w:caps w:val="0"/>
                <w:color w:val="auto"/>
                <w:spacing w:val="0"/>
                <w:kern w:val="0"/>
                <w:sz w:val="24"/>
                <w:szCs w:val="24"/>
                <w:shd w:val="clear" w:fill="FFFFFF"/>
                <w:lang w:val="en-US" w:eastAsia="zh-CN" w:bidi="ar-SA"/>
              </w:rPr>
              <w:t>设置情况</w:t>
            </w:r>
          </w:p>
          <w:p w14:paraId="3BC74FC2">
            <w:pPr>
              <w:shd w:val="clear"/>
              <w:spacing w:line="360" w:lineRule="auto"/>
              <w:ind w:firstLine="480" w:firstLineChars="200"/>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本项目共设置2个废气排放口，具体信息如下：</w:t>
            </w:r>
          </w:p>
          <w:p w14:paraId="244CF31F">
            <w:pPr>
              <w:pStyle w:val="31"/>
              <w:shd w:val="clear"/>
              <w:spacing w:line="240" w:lineRule="auto"/>
              <w:rPr>
                <w:rFonts w:hint="default"/>
                <w:b/>
                <w:bCs/>
                <w:color w:val="auto"/>
                <w:sz w:val="21"/>
                <w:szCs w:val="21"/>
                <w:lang w:val="en-US" w:eastAsia="zh-CN"/>
              </w:rPr>
            </w:pPr>
            <w:r>
              <w:rPr>
                <w:rFonts w:hint="eastAsia" w:cs="Times New Roman"/>
                <w:b/>
                <w:bCs/>
                <w:i w:val="0"/>
                <w:iCs w:val="0"/>
                <w:caps w:val="0"/>
                <w:color w:val="auto"/>
                <w:spacing w:val="0"/>
                <w:kern w:val="0"/>
                <w:sz w:val="21"/>
                <w:szCs w:val="21"/>
                <w:shd w:val="clear" w:fill="FFFFFF"/>
                <w:lang w:val="en-US" w:eastAsia="zh-CN" w:bidi="ar-SA"/>
              </w:rPr>
              <w:t>表4-3项目排气筒设置情况汇总表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18"/>
              <w:gridCol w:w="1145"/>
              <w:gridCol w:w="742"/>
              <w:gridCol w:w="1439"/>
              <w:gridCol w:w="905"/>
              <w:gridCol w:w="830"/>
              <w:gridCol w:w="680"/>
              <w:gridCol w:w="843"/>
            </w:tblGrid>
            <w:tr w14:paraId="12B8B3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18" w:type="dxa"/>
                  <w:tcBorders>
                    <w:bottom w:val="single" w:color="auto" w:sz="12" w:space="0"/>
                  </w:tcBorders>
                  <w:shd w:val="clear" w:color="auto" w:fill="auto"/>
                  <w:tcMar>
                    <w:top w:w="0" w:type="dxa"/>
                    <w:left w:w="0" w:type="dxa"/>
                    <w:bottom w:w="0" w:type="dxa"/>
                    <w:right w:w="0" w:type="dxa"/>
                  </w:tcMar>
                  <w:vAlign w:val="center"/>
                </w:tcPr>
                <w:p w14:paraId="14D0B3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排放口编号</w:t>
                  </w:r>
                </w:p>
              </w:tc>
              <w:tc>
                <w:tcPr>
                  <w:tcW w:w="1145" w:type="dxa"/>
                  <w:tcBorders>
                    <w:bottom w:val="single" w:color="auto" w:sz="12" w:space="0"/>
                  </w:tcBorders>
                  <w:shd w:val="clear" w:color="auto" w:fill="auto"/>
                  <w:tcMar>
                    <w:top w:w="0" w:type="dxa"/>
                    <w:left w:w="0" w:type="dxa"/>
                    <w:bottom w:w="0" w:type="dxa"/>
                    <w:right w:w="0" w:type="dxa"/>
                  </w:tcMar>
                  <w:vAlign w:val="center"/>
                </w:tcPr>
                <w:p w14:paraId="264875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排放口名称</w:t>
                  </w:r>
                </w:p>
              </w:tc>
              <w:tc>
                <w:tcPr>
                  <w:tcW w:w="742" w:type="dxa"/>
                  <w:tcBorders>
                    <w:bottom w:val="single" w:color="auto" w:sz="12" w:space="0"/>
                  </w:tcBorders>
                  <w:shd w:val="clear" w:color="auto" w:fill="auto"/>
                  <w:tcMar>
                    <w:top w:w="0" w:type="dxa"/>
                    <w:left w:w="0" w:type="dxa"/>
                    <w:bottom w:w="0" w:type="dxa"/>
                    <w:right w:w="0" w:type="dxa"/>
                  </w:tcMar>
                  <w:vAlign w:val="center"/>
                </w:tcPr>
                <w:p w14:paraId="76C251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污染物</w:t>
                  </w:r>
                </w:p>
              </w:tc>
              <w:tc>
                <w:tcPr>
                  <w:tcW w:w="1439" w:type="dxa"/>
                  <w:tcBorders>
                    <w:bottom w:val="single" w:color="auto" w:sz="12" w:space="0"/>
                  </w:tcBorders>
                  <w:shd w:val="clear" w:color="auto" w:fill="auto"/>
                  <w:tcMar>
                    <w:top w:w="0" w:type="dxa"/>
                    <w:left w:w="0" w:type="dxa"/>
                    <w:bottom w:w="0" w:type="dxa"/>
                    <w:right w:w="0" w:type="dxa"/>
                  </w:tcMar>
                  <w:vAlign w:val="center"/>
                </w:tcPr>
                <w:p w14:paraId="15937D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aps w:val="0"/>
                      <w:color w:val="auto"/>
                      <w:spacing w:val="0"/>
                      <w:kern w:val="0"/>
                      <w:sz w:val="21"/>
                      <w:szCs w:val="21"/>
                      <w:lang w:val="en-US" w:eastAsia="zh-CN" w:bidi="ar"/>
                    </w:rPr>
                    <w:t>排气筒底部中心坐标</w:t>
                  </w:r>
                </w:p>
              </w:tc>
              <w:tc>
                <w:tcPr>
                  <w:tcW w:w="905" w:type="dxa"/>
                  <w:tcBorders>
                    <w:bottom w:val="single" w:color="auto" w:sz="12" w:space="0"/>
                  </w:tcBorders>
                  <w:shd w:val="clear" w:color="auto" w:fill="auto"/>
                  <w:tcMar>
                    <w:top w:w="0" w:type="dxa"/>
                    <w:left w:w="0" w:type="dxa"/>
                    <w:bottom w:w="0" w:type="dxa"/>
                    <w:right w:w="0" w:type="dxa"/>
                  </w:tcMar>
                  <w:vAlign w:val="center"/>
                </w:tcPr>
                <w:p w14:paraId="203E56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排气筒高度(m)</w:t>
                  </w:r>
                </w:p>
              </w:tc>
              <w:tc>
                <w:tcPr>
                  <w:tcW w:w="830" w:type="dxa"/>
                  <w:tcBorders>
                    <w:bottom w:val="single" w:color="auto" w:sz="12" w:space="0"/>
                  </w:tcBorders>
                  <w:shd w:val="clear" w:color="auto" w:fill="auto"/>
                  <w:tcMar>
                    <w:top w:w="0" w:type="dxa"/>
                    <w:left w:w="0" w:type="dxa"/>
                    <w:bottom w:w="0" w:type="dxa"/>
                    <w:right w:w="0" w:type="dxa"/>
                  </w:tcMar>
                  <w:vAlign w:val="center"/>
                </w:tcPr>
                <w:p w14:paraId="1F8163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排气筒内径(m)</w:t>
                  </w:r>
                </w:p>
              </w:tc>
              <w:tc>
                <w:tcPr>
                  <w:tcW w:w="680" w:type="dxa"/>
                  <w:tcBorders>
                    <w:bottom w:val="single" w:color="auto" w:sz="12" w:space="0"/>
                  </w:tcBorders>
                  <w:shd w:val="clear" w:color="auto" w:fill="auto"/>
                  <w:tcMar>
                    <w:top w:w="0" w:type="dxa"/>
                    <w:left w:w="0" w:type="dxa"/>
                    <w:bottom w:w="0" w:type="dxa"/>
                    <w:right w:w="0" w:type="dxa"/>
                  </w:tcMar>
                  <w:vAlign w:val="center"/>
                </w:tcPr>
                <w:p w14:paraId="057D3E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温度(℃)</w:t>
                  </w:r>
                </w:p>
              </w:tc>
              <w:tc>
                <w:tcPr>
                  <w:tcW w:w="843" w:type="dxa"/>
                  <w:tcBorders>
                    <w:bottom w:val="single" w:color="auto" w:sz="12" w:space="0"/>
                  </w:tcBorders>
                  <w:shd w:val="clear" w:color="auto" w:fill="auto"/>
                  <w:tcMar>
                    <w:top w:w="0" w:type="dxa"/>
                    <w:left w:w="0" w:type="dxa"/>
                    <w:bottom w:w="0" w:type="dxa"/>
                    <w:right w:w="0" w:type="dxa"/>
                  </w:tcMar>
                  <w:vAlign w:val="center"/>
                </w:tcPr>
                <w:p w14:paraId="5C6222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aps w:val="0"/>
                      <w:color w:val="auto"/>
                      <w:spacing w:val="0"/>
                      <w:kern w:val="0"/>
                      <w:sz w:val="21"/>
                      <w:szCs w:val="21"/>
                      <w:lang w:val="en-US" w:eastAsia="zh-CN" w:bidi="ar"/>
                    </w:rPr>
                    <w:t>类型</w:t>
                  </w:r>
                </w:p>
              </w:tc>
            </w:tr>
            <w:tr w14:paraId="06B3C1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18" w:type="dxa"/>
                  <w:tcBorders>
                    <w:top w:val="single" w:color="auto" w:sz="12" w:space="0"/>
                    <w:tl2br w:val="nil"/>
                    <w:tr2bl w:val="nil"/>
                  </w:tcBorders>
                  <w:shd w:val="clear" w:color="auto" w:fill="auto"/>
                  <w:tcMar>
                    <w:top w:w="0" w:type="dxa"/>
                    <w:left w:w="0" w:type="dxa"/>
                    <w:bottom w:w="0" w:type="dxa"/>
                    <w:right w:w="0" w:type="dxa"/>
                  </w:tcMar>
                  <w:vAlign w:val="center"/>
                </w:tcPr>
                <w:p w14:paraId="2353BD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DA001</w:t>
                  </w:r>
                </w:p>
              </w:tc>
              <w:tc>
                <w:tcPr>
                  <w:tcW w:w="1145" w:type="dxa"/>
                  <w:tcBorders>
                    <w:top w:val="single" w:color="auto" w:sz="12" w:space="0"/>
                    <w:tl2br w:val="nil"/>
                    <w:tr2bl w:val="nil"/>
                  </w:tcBorders>
                  <w:shd w:val="clear" w:color="auto" w:fill="auto"/>
                  <w:tcMar>
                    <w:top w:w="0" w:type="dxa"/>
                    <w:left w:w="0" w:type="dxa"/>
                    <w:bottom w:w="0" w:type="dxa"/>
                    <w:right w:w="0" w:type="dxa"/>
                  </w:tcMar>
                  <w:vAlign w:val="center"/>
                </w:tcPr>
                <w:p w14:paraId="2B6C1D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投料混合废气排放口</w:t>
                  </w:r>
                </w:p>
              </w:tc>
              <w:tc>
                <w:tcPr>
                  <w:tcW w:w="742" w:type="dxa"/>
                  <w:tcBorders>
                    <w:top w:val="single" w:color="auto" w:sz="12" w:space="0"/>
                    <w:tl2br w:val="nil"/>
                    <w:tr2bl w:val="nil"/>
                  </w:tcBorders>
                  <w:shd w:val="clear" w:color="auto" w:fill="auto"/>
                  <w:tcMar>
                    <w:top w:w="0" w:type="dxa"/>
                    <w:left w:w="0" w:type="dxa"/>
                    <w:bottom w:w="0" w:type="dxa"/>
                    <w:right w:w="0" w:type="dxa"/>
                  </w:tcMar>
                  <w:vAlign w:val="center"/>
                </w:tcPr>
                <w:p w14:paraId="56618A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颗粒物</w:t>
                  </w:r>
                </w:p>
              </w:tc>
              <w:tc>
                <w:tcPr>
                  <w:tcW w:w="1439" w:type="dxa"/>
                  <w:tcBorders>
                    <w:top w:val="single" w:color="auto" w:sz="12" w:space="0"/>
                    <w:tl2br w:val="nil"/>
                    <w:tr2bl w:val="nil"/>
                  </w:tcBorders>
                  <w:shd w:val="clear" w:color="auto" w:fill="auto"/>
                  <w:tcMar>
                    <w:top w:w="0" w:type="dxa"/>
                    <w:left w:w="0" w:type="dxa"/>
                    <w:bottom w:w="0" w:type="dxa"/>
                    <w:right w:w="0" w:type="dxa"/>
                  </w:tcMar>
                  <w:vAlign w:val="center"/>
                </w:tcPr>
                <w:p w14:paraId="5CAF5E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aps w:val="0"/>
                      <w:color w:val="auto"/>
                      <w:spacing w:val="0"/>
                      <w:kern w:val="0"/>
                      <w:sz w:val="21"/>
                      <w:szCs w:val="21"/>
                      <w:lang w:val="en-US" w:eastAsia="zh-CN" w:bidi="ar"/>
                    </w:rPr>
                    <w:t>E87°49′18.326″N44°09′19.661″</w:t>
                  </w:r>
                </w:p>
              </w:tc>
              <w:tc>
                <w:tcPr>
                  <w:tcW w:w="905" w:type="dxa"/>
                  <w:tcBorders>
                    <w:top w:val="single" w:color="auto" w:sz="12" w:space="0"/>
                    <w:tl2br w:val="nil"/>
                    <w:tr2bl w:val="nil"/>
                  </w:tcBorders>
                  <w:shd w:val="clear" w:color="auto" w:fill="auto"/>
                  <w:tcMar>
                    <w:top w:w="0" w:type="dxa"/>
                    <w:left w:w="0" w:type="dxa"/>
                    <w:bottom w:w="0" w:type="dxa"/>
                    <w:right w:w="0" w:type="dxa"/>
                  </w:tcMar>
                  <w:vAlign w:val="center"/>
                </w:tcPr>
                <w:p w14:paraId="219680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15</w:t>
                  </w:r>
                </w:p>
              </w:tc>
              <w:tc>
                <w:tcPr>
                  <w:tcW w:w="830" w:type="dxa"/>
                  <w:tcBorders>
                    <w:top w:val="single" w:color="auto" w:sz="12" w:space="0"/>
                    <w:tl2br w:val="nil"/>
                    <w:tr2bl w:val="nil"/>
                  </w:tcBorders>
                  <w:shd w:val="clear" w:color="auto" w:fill="auto"/>
                  <w:tcMar>
                    <w:top w:w="0" w:type="dxa"/>
                    <w:left w:w="0" w:type="dxa"/>
                    <w:bottom w:w="0" w:type="dxa"/>
                    <w:right w:w="0" w:type="dxa"/>
                  </w:tcMar>
                  <w:vAlign w:val="center"/>
                </w:tcPr>
                <w:p w14:paraId="7F18EF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0.4</w:t>
                  </w:r>
                </w:p>
              </w:tc>
              <w:tc>
                <w:tcPr>
                  <w:tcW w:w="680" w:type="dxa"/>
                  <w:tcBorders>
                    <w:top w:val="single" w:color="auto" w:sz="12" w:space="0"/>
                    <w:tl2br w:val="nil"/>
                    <w:tr2bl w:val="nil"/>
                  </w:tcBorders>
                  <w:shd w:val="clear" w:color="auto" w:fill="auto"/>
                  <w:tcMar>
                    <w:top w:w="0" w:type="dxa"/>
                    <w:left w:w="0" w:type="dxa"/>
                    <w:bottom w:w="0" w:type="dxa"/>
                    <w:right w:w="0" w:type="dxa"/>
                  </w:tcMar>
                  <w:vAlign w:val="center"/>
                </w:tcPr>
                <w:p w14:paraId="113902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常温</w:t>
                  </w:r>
                </w:p>
              </w:tc>
              <w:tc>
                <w:tcPr>
                  <w:tcW w:w="843" w:type="dxa"/>
                  <w:tcBorders>
                    <w:top w:val="single" w:color="auto" w:sz="12" w:space="0"/>
                    <w:tl2br w:val="nil"/>
                    <w:tr2bl w:val="nil"/>
                  </w:tcBorders>
                  <w:shd w:val="clear" w:color="auto" w:fill="auto"/>
                  <w:tcMar>
                    <w:top w:w="0" w:type="dxa"/>
                    <w:left w:w="0" w:type="dxa"/>
                    <w:bottom w:w="0" w:type="dxa"/>
                    <w:right w:w="0" w:type="dxa"/>
                  </w:tcMar>
                  <w:vAlign w:val="center"/>
                </w:tcPr>
                <w:p w14:paraId="2ED42F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一般排放口</w:t>
                  </w:r>
                </w:p>
              </w:tc>
            </w:tr>
            <w:tr w14:paraId="7EADA8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8" w:type="dxa"/>
                  <w:tcBorders>
                    <w:tl2br w:val="nil"/>
                    <w:tr2bl w:val="nil"/>
                  </w:tcBorders>
                  <w:shd w:val="clear" w:color="auto" w:fill="auto"/>
                  <w:tcMar>
                    <w:top w:w="0" w:type="dxa"/>
                    <w:left w:w="0" w:type="dxa"/>
                    <w:bottom w:w="0" w:type="dxa"/>
                    <w:right w:w="0" w:type="dxa"/>
                  </w:tcMar>
                  <w:vAlign w:val="center"/>
                </w:tcPr>
                <w:p w14:paraId="2379C8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DA002</w:t>
                  </w:r>
                </w:p>
              </w:tc>
              <w:tc>
                <w:tcPr>
                  <w:tcW w:w="1145" w:type="dxa"/>
                  <w:tcBorders>
                    <w:tl2br w:val="nil"/>
                    <w:tr2bl w:val="nil"/>
                  </w:tcBorders>
                  <w:shd w:val="clear" w:color="auto" w:fill="auto"/>
                  <w:tcMar>
                    <w:top w:w="0" w:type="dxa"/>
                    <w:left w:w="0" w:type="dxa"/>
                    <w:bottom w:w="0" w:type="dxa"/>
                    <w:right w:w="0" w:type="dxa"/>
                  </w:tcMar>
                  <w:vAlign w:val="center"/>
                </w:tcPr>
                <w:p w14:paraId="6E5C8E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有机废气排放口</w:t>
                  </w:r>
                </w:p>
              </w:tc>
              <w:tc>
                <w:tcPr>
                  <w:tcW w:w="742" w:type="dxa"/>
                  <w:tcBorders>
                    <w:tl2br w:val="nil"/>
                    <w:tr2bl w:val="nil"/>
                  </w:tcBorders>
                  <w:shd w:val="clear" w:color="auto" w:fill="auto"/>
                  <w:tcMar>
                    <w:top w:w="0" w:type="dxa"/>
                    <w:left w:w="0" w:type="dxa"/>
                    <w:bottom w:w="0" w:type="dxa"/>
                    <w:right w:w="0" w:type="dxa"/>
                  </w:tcMar>
                  <w:vAlign w:val="center"/>
                </w:tcPr>
                <w:p w14:paraId="435376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非甲烷总烃</w:t>
                  </w:r>
                </w:p>
              </w:tc>
              <w:tc>
                <w:tcPr>
                  <w:tcW w:w="1439" w:type="dxa"/>
                  <w:tcBorders>
                    <w:tl2br w:val="nil"/>
                    <w:tr2bl w:val="nil"/>
                  </w:tcBorders>
                  <w:shd w:val="clear" w:color="auto" w:fill="auto"/>
                  <w:tcMar>
                    <w:top w:w="0" w:type="dxa"/>
                    <w:left w:w="0" w:type="dxa"/>
                    <w:bottom w:w="0" w:type="dxa"/>
                    <w:right w:w="0" w:type="dxa"/>
                  </w:tcMar>
                  <w:vAlign w:val="center"/>
                </w:tcPr>
                <w:p w14:paraId="745407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aps w:val="0"/>
                      <w:color w:val="auto"/>
                      <w:spacing w:val="0"/>
                      <w:kern w:val="0"/>
                      <w:sz w:val="21"/>
                      <w:szCs w:val="21"/>
                      <w:lang w:val="en-US" w:eastAsia="zh-CN" w:bidi="ar"/>
                    </w:rPr>
                    <w:t>E87°49′18.726″N44°09′20.061″</w:t>
                  </w:r>
                </w:p>
              </w:tc>
              <w:tc>
                <w:tcPr>
                  <w:tcW w:w="905" w:type="dxa"/>
                  <w:tcBorders>
                    <w:tl2br w:val="nil"/>
                    <w:tr2bl w:val="nil"/>
                  </w:tcBorders>
                  <w:shd w:val="clear" w:color="auto" w:fill="auto"/>
                  <w:tcMar>
                    <w:top w:w="0" w:type="dxa"/>
                    <w:left w:w="0" w:type="dxa"/>
                    <w:bottom w:w="0" w:type="dxa"/>
                    <w:right w:w="0" w:type="dxa"/>
                  </w:tcMar>
                  <w:vAlign w:val="center"/>
                </w:tcPr>
                <w:p w14:paraId="1637C0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15</w:t>
                  </w:r>
                </w:p>
              </w:tc>
              <w:tc>
                <w:tcPr>
                  <w:tcW w:w="830" w:type="dxa"/>
                  <w:tcBorders>
                    <w:tl2br w:val="nil"/>
                    <w:tr2bl w:val="nil"/>
                  </w:tcBorders>
                  <w:shd w:val="clear" w:color="auto" w:fill="auto"/>
                  <w:tcMar>
                    <w:top w:w="0" w:type="dxa"/>
                    <w:left w:w="0" w:type="dxa"/>
                    <w:bottom w:w="0" w:type="dxa"/>
                    <w:right w:w="0" w:type="dxa"/>
                  </w:tcMar>
                  <w:vAlign w:val="center"/>
                </w:tcPr>
                <w:p w14:paraId="7075EB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0.5</w:t>
                  </w:r>
                </w:p>
              </w:tc>
              <w:tc>
                <w:tcPr>
                  <w:tcW w:w="680" w:type="dxa"/>
                  <w:tcBorders>
                    <w:tl2br w:val="nil"/>
                    <w:tr2bl w:val="nil"/>
                  </w:tcBorders>
                  <w:shd w:val="clear" w:color="auto" w:fill="auto"/>
                  <w:tcMar>
                    <w:top w:w="0" w:type="dxa"/>
                    <w:left w:w="0" w:type="dxa"/>
                    <w:bottom w:w="0" w:type="dxa"/>
                    <w:right w:w="0" w:type="dxa"/>
                  </w:tcMar>
                  <w:vAlign w:val="center"/>
                </w:tcPr>
                <w:p w14:paraId="2326F8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40</w:t>
                  </w:r>
                </w:p>
              </w:tc>
              <w:tc>
                <w:tcPr>
                  <w:tcW w:w="843" w:type="dxa"/>
                  <w:tcBorders>
                    <w:tl2br w:val="nil"/>
                    <w:tr2bl w:val="nil"/>
                  </w:tcBorders>
                  <w:shd w:val="clear" w:color="auto" w:fill="auto"/>
                  <w:tcMar>
                    <w:top w:w="0" w:type="dxa"/>
                    <w:left w:w="0" w:type="dxa"/>
                    <w:bottom w:w="0" w:type="dxa"/>
                    <w:right w:w="0" w:type="dxa"/>
                  </w:tcMar>
                  <w:vAlign w:val="center"/>
                </w:tcPr>
                <w:p w14:paraId="0D3873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aps w:val="0"/>
                      <w:color w:val="auto"/>
                      <w:spacing w:val="0"/>
                      <w:kern w:val="0"/>
                      <w:sz w:val="21"/>
                      <w:szCs w:val="21"/>
                      <w:lang w:val="en-US" w:eastAsia="zh-CN" w:bidi="ar"/>
                    </w:rPr>
                    <w:t>一般排放口</w:t>
                  </w:r>
                </w:p>
              </w:tc>
            </w:tr>
          </w:tbl>
          <w:p w14:paraId="3E03A224">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1.3达标分析</w:t>
            </w:r>
          </w:p>
          <w:p w14:paraId="1B7BC0E9">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（1）有组织废气达标分析</w:t>
            </w:r>
          </w:p>
          <w:p w14:paraId="1467E0F9">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本项目DA001排气筒排放的颗粒物经布袋除尘器处理后排放浓度为6.14mg/m³，DA002排气筒排放的非甲烷总烃</w:t>
            </w:r>
            <w:r>
              <w:rPr>
                <w:rFonts w:hint="eastAsia" w:cs="Times New Roman"/>
                <w:bCs w:val="0"/>
                <w:i w:val="0"/>
                <w:iCs w:val="0"/>
                <w:caps w:val="0"/>
                <w:color w:val="auto"/>
                <w:spacing w:val="0"/>
                <w:kern w:val="0"/>
                <w:sz w:val="24"/>
                <w:szCs w:val="24"/>
                <w:shd w:val="clear" w:fill="FFFFFF"/>
                <w:lang w:val="en-US" w:eastAsia="zh-CN" w:bidi="ar-SA"/>
              </w:rPr>
              <w:t>经活性炭吸附脱附+蓄热催化燃烧一体化装置（RCO）处理后</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排放浓度为</w:t>
            </w:r>
            <w:r>
              <w:rPr>
                <w:rFonts w:hint="eastAsia" w:cs="Times New Roman"/>
                <w:bCs w:val="0"/>
                <w:i w:val="0"/>
                <w:iCs w:val="0"/>
                <w:caps w:val="0"/>
                <w:color w:val="auto"/>
                <w:spacing w:val="0"/>
                <w:kern w:val="0"/>
                <w:sz w:val="24"/>
                <w:szCs w:val="24"/>
                <w:shd w:val="clear" w:fill="FFFFFF"/>
                <w:lang w:val="en-US" w:eastAsia="zh-CN" w:bidi="ar-SA"/>
              </w:rPr>
              <w:t>55</w:t>
            </w: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mg/m³。</w:t>
            </w:r>
          </w:p>
          <w:p w14:paraId="79E3825A">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pPr>
            <w:r>
              <w:rPr>
                <w:rFonts w:hint="default" w:ascii="Times New Roman" w:hAnsi="Times New Roman" w:eastAsia="宋体" w:cs="Times New Roman"/>
                <w:bCs w:val="0"/>
                <w:i w:val="0"/>
                <w:iCs w:val="0"/>
                <w:caps w:val="0"/>
                <w:color w:val="auto"/>
                <w:spacing w:val="0"/>
                <w:kern w:val="0"/>
                <w:sz w:val="24"/>
                <w:szCs w:val="24"/>
                <w:shd w:val="clear" w:fill="FFFFFF"/>
                <w:lang w:val="en-US" w:eastAsia="zh-CN" w:bidi="ar-SA"/>
              </w:rPr>
              <w:t>对照《合成树脂工业污染物排放标准》（GB 31572-2015，含2024年修改单）表5大气污染物特别排放限值（颗粒物≤20mg/m³、非甲烷总烃≤60mg/m³），各污染物排放浓度均远低于标准限值，能够实现稳定达标排放。具体达标情况详见下表。</w:t>
            </w:r>
          </w:p>
          <w:p w14:paraId="289806B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240" w:lineRule="auto"/>
              <w:ind w:left="0" w:right="0" w:firstLine="422" w:firstLineChars="200"/>
              <w:jc w:val="center"/>
              <w:textAlignment w:val="auto"/>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表4-</w:t>
            </w:r>
            <w:r>
              <w:rPr>
                <w:rFonts w:hint="eastAsia" w:ascii="宋体" w:hAnsi="宋体" w:cs="宋体"/>
                <w:b/>
                <w:bCs/>
                <w:i w:val="0"/>
                <w:iCs w:val="0"/>
                <w:color w:val="auto"/>
                <w:kern w:val="0"/>
                <w:sz w:val="21"/>
                <w:szCs w:val="21"/>
                <w:u w:val="none"/>
                <w:lang w:val="en-US" w:eastAsia="zh-CN" w:bidi="ar"/>
              </w:rPr>
              <w:t>4</w:t>
            </w:r>
            <w:r>
              <w:rPr>
                <w:rFonts w:hint="eastAsia" w:ascii="宋体" w:hAnsi="宋体" w:eastAsia="宋体" w:cs="宋体"/>
                <w:b/>
                <w:bCs/>
                <w:i w:val="0"/>
                <w:iCs w:val="0"/>
                <w:color w:val="auto"/>
                <w:kern w:val="0"/>
                <w:sz w:val="21"/>
                <w:szCs w:val="21"/>
                <w:u w:val="none"/>
                <w:lang w:val="en-US" w:eastAsia="zh-CN" w:bidi="ar"/>
              </w:rPr>
              <w:t>有组织废气排放达标分析表</w:t>
            </w:r>
            <w:r>
              <w:rPr>
                <w:rFonts w:hint="default" w:ascii="Times New Roman" w:hAnsi="Times New Roman" w:eastAsia="宋体" w:cs="Times New Roman"/>
                <w:b/>
                <w:bCs/>
                <w:color w:val="auto"/>
                <w:sz w:val="21"/>
                <w:szCs w:val="21"/>
                <w:u w:val="none"/>
                <w:lang w:val="en-US" w:eastAsia="zh-CN" w:bidi="ar"/>
              </w:rPr>
              <w:t>(mg/m³)</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12"/>
              <w:gridCol w:w="1328"/>
              <w:gridCol w:w="1118"/>
              <w:gridCol w:w="1123"/>
              <w:gridCol w:w="2182"/>
              <w:gridCol w:w="638"/>
            </w:tblGrid>
            <w:tr w14:paraId="367215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PrEx>
              <w:trPr>
                <w:trHeight w:val="178" w:hRule="atLeast"/>
                <w:jc w:val="center"/>
              </w:trPr>
              <w:tc>
                <w:tcPr>
                  <w:tcW w:w="912" w:type="dxa"/>
                  <w:tcBorders>
                    <w:tl2br w:val="nil"/>
                    <w:tr2bl w:val="nil"/>
                  </w:tcBorders>
                  <w:shd w:val="clear" w:color="auto" w:fill="auto"/>
                  <w:vAlign w:val="center"/>
                </w:tcPr>
                <w:p w14:paraId="45584AB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排放口</w:t>
                  </w:r>
                </w:p>
              </w:tc>
              <w:tc>
                <w:tcPr>
                  <w:tcW w:w="1328" w:type="dxa"/>
                  <w:tcBorders>
                    <w:tl2br w:val="nil"/>
                    <w:tr2bl w:val="nil"/>
                  </w:tcBorders>
                  <w:shd w:val="clear" w:color="auto" w:fill="auto"/>
                  <w:vAlign w:val="center"/>
                </w:tcPr>
                <w:p w14:paraId="7BC552D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污染物</w:t>
                  </w:r>
                </w:p>
              </w:tc>
              <w:tc>
                <w:tcPr>
                  <w:tcW w:w="1118" w:type="dxa"/>
                  <w:tcBorders>
                    <w:tl2br w:val="nil"/>
                    <w:tr2bl w:val="nil"/>
                  </w:tcBorders>
                  <w:shd w:val="clear" w:color="auto" w:fill="auto"/>
                  <w:vAlign w:val="center"/>
                </w:tcPr>
                <w:p w14:paraId="39C2B07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排放浓度</w:t>
                  </w:r>
                </w:p>
              </w:tc>
              <w:tc>
                <w:tcPr>
                  <w:tcW w:w="1123" w:type="dxa"/>
                  <w:tcBorders>
                    <w:tl2br w:val="nil"/>
                    <w:tr2bl w:val="nil"/>
                  </w:tcBorders>
                  <w:shd w:val="clear" w:color="auto" w:fill="auto"/>
                  <w:vAlign w:val="center"/>
                </w:tcPr>
                <w:p w14:paraId="1BCF934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标准限值</w:t>
                  </w:r>
                </w:p>
              </w:tc>
              <w:tc>
                <w:tcPr>
                  <w:tcW w:w="2182" w:type="dxa"/>
                  <w:tcBorders>
                    <w:tl2br w:val="nil"/>
                    <w:tr2bl w:val="nil"/>
                  </w:tcBorders>
                  <w:shd w:val="clear" w:color="auto" w:fill="auto"/>
                  <w:vAlign w:val="center"/>
                </w:tcPr>
                <w:p w14:paraId="3A97444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标准来源</w:t>
                  </w:r>
                </w:p>
              </w:tc>
              <w:tc>
                <w:tcPr>
                  <w:tcW w:w="638" w:type="dxa"/>
                  <w:tcBorders>
                    <w:tl2br w:val="nil"/>
                    <w:tr2bl w:val="nil"/>
                  </w:tcBorders>
                  <w:shd w:val="clear" w:color="auto" w:fill="auto"/>
                  <w:vAlign w:val="center"/>
                </w:tcPr>
                <w:p w14:paraId="3C95E77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达标情况</w:t>
                  </w:r>
                </w:p>
              </w:tc>
            </w:tr>
            <w:tr w14:paraId="75E63C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912" w:type="dxa"/>
                  <w:tcBorders>
                    <w:tl2br w:val="nil"/>
                    <w:tr2bl w:val="nil"/>
                  </w:tcBorders>
                  <w:shd w:val="clear" w:color="auto" w:fill="auto"/>
                  <w:vAlign w:val="center"/>
                </w:tcPr>
                <w:p w14:paraId="726450D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DA001</w:t>
                  </w:r>
                </w:p>
              </w:tc>
              <w:tc>
                <w:tcPr>
                  <w:tcW w:w="1328" w:type="dxa"/>
                  <w:tcBorders>
                    <w:tl2br w:val="nil"/>
                    <w:tr2bl w:val="nil"/>
                  </w:tcBorders>
                  <w:shd w:val="clear" w:color="auto" w:fill="auto"/>
                  <w:vAlign w:val="center"/>
                </w:tcPr>
                <w:p w14:paraId="0B1F7A1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颗粒物</w:t>
                  </w:r>
                </w:p>
              </w:tc>
              <w:tc>
                <w:tcPr>
                  <w:tcW w:w="1118" w:type="dxa"/>
                  <w:tcBorders>
                    <w:tl2br w:val="nil"/>
                    <w:tr2bl w:val="nil"/>
                  </w:tcBorders>
                  <w:shd w:val="clear" w:color="auto" w:fill="auto"/>
                  <w:vAlign w:val="center"/>
                </w:tcPr>
                <w:p w14:paraId="6475760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6.14</w:t>
                  </w:r>
                </w:p>
              </w:tc>
              <w:tc>
                <w:tcPr>
                  <w:tcW w:w="1123" w:type="dxa"/>
                  <w:tcBorders>
                    <w:tl2br w:val="nil"/>
                    <w:tr2bl w:val="nil"/>
                  </w:tcBorders>
                  <w:shd w:val="clear" w:color="auto" w:fill="auto"/>
                  <w:vAlign w:val="center"/>
                </w:tcPr>
                <w:p w14:paraId="7F95F01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2182" w:type="dxa"/>
                  <w:tcBorders>
                    <w:tl2br w:val="nil"/>
                    <w:tr2bl w:val="nil"/>
                  </w:tcBorders>
                  <w:shd w:val="clear" w:color="auto" w:fill="auto"/>
                  <w:vAlign w:val="center"/>
                </w:tcPr>
                <w:p w14:paraId="24C2D93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GB31572-2015</w:t>
                  </w:r>
                  <w:r>
                    <w:rPr>
                      <w:rFonts w:hint="eastAsia" w:ascii="宋体" w:hAnsi="宋体" w:eastAsia="宋体" w:cs="宋体"/>
                      <w:i w:val="0"/>
                      <w:iCs w:val="0"/>
                      <w:color w:val="auto"/>
                      <w:kern w:val="0"/>
                      <w:sz w:val="21"/>
                      <w:szCs w:val="21"/>
                      <w:u w:val="none"/>
                      <w:lang w:val="en-US" w:eastAsia="zh-CN" w:bidi="ar"/>
                    </w:rPr>
                    <w:t>表</w:t>
                  </w:r>
                  <w:r>
                    <w:rPr>
                      <w:rStyle w:val="67"/>
                      <w:rFonts w:eastAsia="宋体"/>
                      <w:color w:val="auto"/>
                      <w:sz w:val="21"/>
                      <w:szCs w:val="21"/>
                      <w:lang w:val="en-US" w:eastAsia="zh-CN" w:bidi="ar"/>
                    </w:rPr>
                    <w:t>5</w:t>
                  </w:r>
                </w:p>
              </w:tc>
              <w:tc>
                <w:tcPr>
                  <w:tcW w:w="638" w:type="dxa"/>
                  <w:tcBorders>
                    <w:tl2br w:val="nil"/>
                    <w:tr2bl w:val="nil"/>
                  </w:tcBorders>
                  <w:shd w:val="clear" w:color="auto" w:fill="auto"/>
                  <w:vAlign w:val="center"/>
                </w:tcPr>
                <w:p w14:paraId="382AB57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达标</w:t>
                  </w:r>
                </w:p>
              </w:tc>
            </w:tr>
            <w:tr w14:paraId="231BD4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912" w:type="dxa"/>
                  <w:tcBorders>
                    <w:tl2br w:val="nil"/>
                    <w:tr2bl w:val="nil"/>
                  </w:tcBorders>
                  <w:shd w:val="clear" w:color="auto" w:fill="auto"/>
                  <w:vAlign w:val="center"/>
                </w:tcPr>
                <w:p w14:paraId="22779136">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DA002</w:t>
                  </w:r>
                </w:p>
              </w:tc>
              <w:tc>
                <w:tcPr>
                  <w:tcW w:w="1328" w:type="dxa"/>
                  <w:tcBorders>
                    <w:tl2br w:val="nil"/>
                    <w:tr2bl w:val="nil"/>
                  </w:tcBorders>
                  <w:shd w:val="clear" w:color="auto" w:fill="auto"/>
                  <w:vAlign w:val="center"/>
                </w:tcPr>
                <w:p w14:paraId="08AEDD0A">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非甲烷总烃</w:t>
                  </w:r>
                </w:p>
              </w:tc>
              <w:tc>
                <w:tcPr>
                  <w:tcW w:w="1118" w:type="dxa"/>
                  <w:tcBorders>
                    <w:tl2br w:val="nil"/>
                    <w:tr2bl w:val="nil"/>
                  </w:tcBorders>
                  <w:shd w:val="clear" w:color="auto" w:fill="auto"/>
                  <w:vAlign w:val="center"/>
                </w:tcPr>
                <w:p w14:paraId="0887604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55</w:t>
                  </w:r>
                </w:p>
              </w:tc>
              <w:tc>
                <w:tcPr>
                  <w:tcW w:w="1123" w:type="dxa"/>
                  <w:tcBorders>
                    <w:tl2br w:val="nil"/>
                    <w:tr2bl w:val="nil"/>
                  </w:tcBorders>
                  <w:shd w:val="clear" w:color="auto" w:fill="auto"/>
                  <w:vAlign w:val="center"/>
                </w:tcPr>
                <w:p w14:paraId="2319688C">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w:t>
                  </w:r>
                </w:p>
              </w:tc>
              <w:tc>
                <w:tcPr>
                  <w:tcW w:w="2182" w:type="dxa"/>
                  <w:tcBorders>
                    <w:tl2br w:val="nil"/>
                    <w:tr2bl w:val="nil"/>
                  </w:tcBorders>
                  <w:shd w:val="clear" w:color="auto" w:fill="auto"/>
                  <w:vAlign w:val="center"/>
                </w:tcPr>
                <w:p w14:paraId="7647D62C">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GB31572-2015</w:t>
                  </w:r>
                  <w:r>
                    <w:rPr>
                      <w:rFonts w:hint="eastAsia" w:ascii="宋体" w:hAnsi="宋体" w:eastAsia="宋体" w:cs="宋体"/>
                      <w:i w:val="0"/>
                      <w:iCs w:val="0"/>
                      <w:color w:val="auto"/>
                      <w:kern w:val="0"/>
                      <w:sz w:val="21"/>
                      <w:szCs w:val="21"/>
                      <w:u w:val="none"/>
                      <w:lang w:val="en-US" w:eastAsia="zh-CN" w:bidi="ar"/>
                    </w:rPr>
                    <w:t>表</w:t>
                  </w:r>
                  <w:r>
                    <w:rPr>
                      <w:rStyle w:val="67"/>
                      <w:rFonts w:eastAsia="宋体"/>
                      <w:color w:val="auto"/>
                      <w:sz w:val="21"/>
                      <w:szCs w:val="21"/>
                      <w:lang w:val="en-US" w:eastAsia="zh-CN" w:bidi="ar"/>
                    </w:rPr>
                    <w:t>5</w:t>
                  </w:r>
                </w:p>
              </w:tc>
              <w:tc>
                <w:tcPr>
                  <w:tcW w:w="638" w:type="dxa"/>
                  <w:tcBorders>
                    <w:tl2br w:val="nil"/>
                    <w:tr2bl w:val="nil"/>
                  </w:tcBorders>
                  <w:shd w:val="clear" w:color="auto" w:fill="auto"/>
                  <w:vAlign w:val="center"/>
                </w:tcPr>
                <w:p w14:paraId="19C747C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达标</w:t>
                  </w:r>
                </w:p>
              </w:tc>
            </w:tr>
          </w:tbl>
          <w:p w14:paraId="332D4FD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由上表可知，DA001排气筒颗粒物排放浓度为6.14mg/m³，远低于《合成树脂工业污染物排放标准》</w:t>
            </w:r>
            <w:r>
              <w:rPr>
                <w:rFonts w:hint="eastAsia" w:cs="Times New Roman"/>
                <w:bCs w:val="0"/>
                <w:color w:val="auto"/>
                <w:spacing w:val="0"/>
                <w:kern w:val="0"/>
                <w:position w:val="0"/>
                <w:sz w:val="24"/>
                <w:szCs w:val="24"/>
                <w:highlight w:val="none"/>
                <w:lang w:val="en-US" w:eastAsia="zh-CN" w:bidi="ar-SA"/>
              </w:rPr>
              <w:t>（GB 31572-2015，含2024年修改单）</w:t>
            </w:r>
            <w:r>
              <w:rPr>
                <w:rFonts w:hint="default" w:ascii="Times New Roman" w:hAnsi="Times New Roman" w:eastAsia="宋体" w:cs="Times New Roman"/>
                <w:bCs w:val="0"/>
                <w:color w:val="auto"/>
                <w:spacing w:val="0"/>
                <w:kern w:val="0"/>
                <w:position w:val="0"/>
                <w:sz w:val="24"/>
                <w:szCs w:val="24"/>
                <w:highlight w:val="none"/>
                <w:lang w:val="en-US" w:eastAsia="zh-CN" w:bidi="ar-SA"/>
              </w:rPr>
              <w:t>表5特别排放限值20mg/m³的要求；DA002排气筒非甲烷总烃排放浓度为</w:t>
            </w:r>
            <w:r>
              <w:rPr>
                <w:rFonts w:hint="eastAsia" w:cs="Times New Roman"/>
                <w:bCs w:val="0"/>
                <w:color w:val="auto"/>
                <w:spacing w:val="0"/>
                <w:kern w:val="0"/>
                <w:position w:val="0"/>
                <w:sz w:val="24"/>
                <w:szCs w:val="24"/>
                <w:highlight w:val="none"/>
                <w:lang w:val="en-US" w:eastAsia="zh-CN" w:bidi="ar-SA"/>
              </w:rPr>
              <w:t>55</w:t>
            </w:r>
            <w:r>
              <w:rPr>
                <w:rFonts w:hint="default" w:ascii="Times New Roman" w:hAnsi="Times New Roman" w:eastAsia="宋体" w:cs="Times New Roman"/>
                <w:bCs w:val="0"/>
                <w:color w:val="auto"/>
                <w:spacing w:val="0"/>
                <w:kern w:val="0"/>
                <w:position w:val="0"/>
                <w:sz w:val="24"/>
                <w:szCs w:val="24"/>
                <w:highlight w:val="none"/>
                <w:lang w:val="en-US" w:eastAsia="zh-CN" w:bidi="ar-SA"/>
              </w:rPr>
              <w:t>mg/m³，低于标准限值60mg/m³。两个排气筒均可实现稳定达标排放。</w:t>
            </w:r>
          </w:p>
          <w:p w14:paraId="6E2B65A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（2）无组织废气达标分析</w:t>
            </w:r>
          </w:p>
          <w:p w14:paraId="34C2B75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本项目无组织废气主要为未被集气罩收集的颗粒物和VOCs，其中颗粒物无组织排放量为0.736t/a，VOCs无组织排放量为0.503t/a。有组织排放的颗粒物经布袋除尘器处理后排放量为0.074t/a。</w:t>
            </w:r>
          </w:p>
          <w:p w14:paraId="6CDBB957">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eastAsia" w:ascii="Times New Roman" w:hAnsi="Times New Roman" w:eastAsia="宋体" w:cs="Times New Roman"/>
                <w:bCs w:val="0"/>
                <w:color w:val="auto"/>
                <w:spacing w:val="0"/>
                <w:kern w:val="0"/>
                <w:position w:val="0"/>
                <w:sz w:val="24"/>
                <w:szCs w:val="24"/>
                <w:highlight w:val="none"/>
                <w:lang w:val="en-US" w:eastAsia="zh-CN" w:bidi="ar-SA"/>
              </w:rPr>
              <w:t>建设单位</w:t>
            </w:r>
            <w:r>
              <w:rPr>
                <w:rFonts w:hint="default" w:ascii="Times New Roman" w:hAnsi="Times New Roman" w:eastAsia="宋体" w:cs="Times New Roman"/>
                <w:bCs w:val="0"/>
                <w:color w:val="auto"/>
                <w:spacing w:val="0"/>
                <w:kern w:val="0"/>
                <w:position w:val="0"/>
                <w:sz w:val="24"/>
                <w:szCs w:val="24"/>
                <w:highlight w:val="none"/>
                <w:lang w:val="en-US" w:eastAsia="zh-CN" w:bidi="ar-SA"/>
              </w:rPr>
              <w:t>在使用水性油墨和UV油墨等环保型材料，从源头减少VOCs的产生</w:t>
            </w:r>
            <w:r>
              <w:rPr>
                <w:rFonts w:hint="eastAsia" w:ascii="Times New Roman" w:hAnsi="Times New Roman" w:eastAsia="宋体" w:cs="Times New Roman"/>
                <w:bCs w:val="0"/>
                <w:color w:val="auto"/>
                <w:spacing w:val="0"/>
                <w:kern w:val="0"/>
                <w:position w:val="0"/>
                <w:sz w:val="24"/>
                <w:szCs w:val="24"/>
                <w:highlight w:val="none"/>
                <w:lang w:val="en-US" w:eastAsia="zh-CN" w:bidi="ar-SA"/>
              </w:rPr>
              <w:t>，</w:t>
            </w:r>
            <w:r>
              <w:rPr>
                <w:rFonts w:hint="default" w:ascii="Times New Roman" w:hAnsi="Times New Roman" w:eastAsia="宋体" w:cs="Times New Roman"/>
                <w:bCs w:val="0"/>
                <w:color w:val="auto"/>
                <w:spacing w:val="0"/>
                <w:kern w:val="0"/>
                <w:position w:val="0"/>
                <w:sz w:val="24"/>
                <w:szCs w:val="24"/>
                <w:highlight w:val="none"/>
                <w:lang w:val="en-US" w:eastAsia="zh-CN" w:bidi="ar-SA"/>
              </w:rPr>
              <w:t>粒机、挤出机、上胶机、印刷机等所有产污设备均设置局部集气罩，并保持持续抽风</w:t>
            </w:r>
            <w:r>
              <w:rPr>
                <w:rFonts w:hint="eastAsia" w:ascii="Times New Roman" w:hAnsi="Times New Roman" w:eastAsia="宋体" w:cs="Times New Roman"/>
                <w:bCs w:val="0"/>
                <w:color w:val="auto"/>
                <w:spacing w:val="0"/>
                <w:kern w:val="0"/>
                <w:position w:val="0"/>
                <w:sz w:val="24"/>
                <w:szCs w:val="24"/>
                <w:highlight w:val="none"/>
                <w:lang w:val="en-US" w:eastAsia="zh-CN" w:bidi="ar-SA"/>
              </w:rPr>
              <w:t>，</w:t>
            </w:r>
            <w:r>
              <w:rPr>
                <w:rFonts w:hint="default" w:ascii="Times New Roman" w:hAnsi="Times New Roman" w:eastAsia="宋体" w:cs="Times New Roman"/>
                <w:bCs w:val="0"/>
                <w:color w:val="auto"/>
                <w:spacing w:val="0"/>
                <w:kern w:val="0"/>
                <w:position w:val="0"/>
                <w:sz w:val="24"/>
                <w:szCs w:val="24"/>
                <w:highlight w:val="none"/>
                <w:lang w:val="en-US" w:eastAsia="zh-CN" w:bidi="ar-SA"/>
              </w:rPr>
              <w:t>集气罩开口面最远处的VOCs无组织排放位置，控制风速不低于0.3米/秒。</w:t>
            </w:r>
          </w:p>
          <w:p w14:paraId="4EBA5A05">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eastAsia" w:cs="Times New Roman"/>
                <w:bCs w:val="0"/>
                <w:color w:val="auto"/>
                <w:spacing w:val="0"/>
                <w:kern w:val="0"/>
                <w:position w:val="0"/>
                <w:sz w:val="24"/>
                <w:szCs w:val="24"/>
                <w:highlight w:val="none"/>
                <w:lang w:val="en-US" w:eastAsia="zh-CN" w:bidi="ar-SA"/>
              </w:rPr>
              <w:t>同时</w:t>
            </w:r>
            <w:r>
              <w:rPr>
                <w:rFonts w:hint="default" w:ascii="Times New Roman" w:hAnsi="Times New Roman" w:eastAsia="宋体" w:cs="Times New Roman"/>
                <w:bCs w:val="0"/>
                <w:color w:val="auto"/>
                <w:spacing w:val="0"/>
                <w:kern w:val="0"/>
                <w:position w:val="0"/>
                <w:sz w:val="24"/>
                <w:szCs w:val="24"/>
                <w:highlight w:val="none"/>
                <w:lang w:val="en-US" w:eastAsia="zh-CN" w:bidi="ar-SA"/>
              </w:rPr>
              <w:t>生产车间加强车间通风</w:t>
            </w:r>
            <w:r>
              <w:rPr>
                <w:rFonts w:hint="eastAsia" w:cs="Times New Roman"/>
                <w:bCs w:val="0"/>
                <w:color w:val="auto"/>
                <w:spacing w:val="0"/>
                <w:kern w:val="0"/>
                <w:position w:val="0"/>
                <w:sz w:val="24"/>
                <w:szCs w:val="24"/>
                <w:highlight w:val="none"/>
                <w:lang w:val="en-US" w:eastAsia="zh-CN" w:bidi="ar-SA"/>
              </w:rPr>
              <w:t>，</w:t>
            </w:r>
            <w:r>
              <w:rPr>
                <w:rFonts w:hint="default" w:ascii="Times New Roman" w:hAnsi="Times New Roman" w:eastAsia="宋体" w:cs="Times New Roman"/>
                <w:bCs w:val="0"/>
                <w:color w:val="auto"/>
                <w:spacing w:val="0"/>
                <w:kern w:val="0"/>
                <w:position w:val="0"/>
                <w:sz w:val="24"/>
                <w:szCs w:val="24"/>
                <w:highlight w:val="none"/>
                <w:lang w:val="en-US" w:eastAsia="zh-CN" w:bidi="ar-SA"/>
              </w:rPr>
              <w:t>厂界颗粒物浓度＜1.0mg/m³，非甲烷总烃浓度＜4.0mg/m³，满足《合成树脂工业污染物排放标准》</w:t>
            </w:r>
            <w:r>
              <w:rPr>
                <w:rFonts w:hint="eastAsia" w:cs="Times New Roman"/>
                <w:bCs w:val="0"/>
                <w:color w:val="auto"/>
                <w:spacing w:val="0"/>
                <w:kern w:val="0"/>
                <w:position w:val="0"/>
                <w:sz w:val="24"/>
                <w:szCs w:val="24"/>
                <w:highlight w:val="none"/>
                <w:lang w:val="en-US" w:eastAsia="zh-CN" w:bidi="ar-SA"/>
              </w:rPr>
              <w:t>（GB 31572-2015，含2024年修改单）</w:t>
            </w:r>
            <w:r>
              <w:rPr>
                <w:rFonts w:hint="default" w:ascii="Times New Roman" w:hAnsi="Times New Roman" w:eastAsia="宋体" w:cs="Times New Roman"/>
                <w:bCs w:val="0"/>
                <w:color w:val="auto"/>
                <w:spacing w:val="0"/>
                <w:kern w:val="0"/>
                <w:position w:val="0"/>
                <w:sz w:val="24"/>
                <w:szCs w:val="24"/>
                <w:highlight w:val="none"/>
                <w:lang w:val="en-US" w:eastAsia="zh-CN" w:bidi="ar-SA"/>
              </w:rPr>
              <w:t>表9企业边界大气污染物浓度限值；厂区内非甲烷总烃浓度满足《挥发性有机物无组织排放控制标准》（GB37822-2019）表A.1特别排放限值（1h平均≤6mg/m³，任意一次≤20mg/m³）。</w:t>
            </w:r>
          </w:p>
          <w:p w14:paraId="6405BBE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1.4废气治理措施可行性分析</w:t>
            </w:r>
          </w:p>
          <w:p w14:paraId="7D33766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为确保废气污染物稳定达标排放，最大限度减少对周边环境的影响，本项目针对不同废气污染源采取了针对性的治理措施，并辅以全厂区及车间的密闭管理措施。以下从布袋除尘器、</w:t>
            </w:r>
            <w:r>
              <w:rPr>
                <w:rFonts w:hint="eastAsia" w:cs="Times New Roman"/>
                <w:bCs w:val="0"/>
                <w:color w:val="auto"/>
                <w:spacing w:val="0"/>
                <w:kern w:val="0"/>
                <w:position w:val="0"/>
                <w:sz w:val="24"/>
                <w:szCs w:val="24"/>
                <w:highlight w:val="none"/>
                <w:lang w:val="en-US" w:eastAsia="zh-CN" w:bidi="ar-SA"/>
              </w:rPr>
              <w:t>蓄热催化燃烧</w:t>
            </w:r>
            <w:r>
              <w:rPr>
                <w:rFonts w:hint="default" w:ascii="Times New Roman" w:hAnsi="Times New Roman" w:eastAsia="宋体" w:cs="Times New Roman"/>
                <w:bCs w:val="0"/>
                <w:color w:val="auto"/>
                <w:spacing w:val="0"/>
                <w:kern w:val="0"/>
                <w:position w:val="0"/>
                <w:sz w:val="24"/>
                <w:szCs w:val="24"/>
                <w:highlight w:val="none"/>
                <w:lang w:val="en-US" w:eastAsia="zh-CN" w:bidi="ar-SA"/>
              </w:rPr>
              <w:t>装置以及厂区车间密闭管理三个维度进行可行性分析。</w:t>
            </w:r>
          </w:p>
          <w:p w14:paraId="2AEEC40F">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eastAsia" w:ascii="Times New Roman" w:hAnsi="Times New Roman" w:eastAsia="宋体" w:cs="Times New Roman"/>
                <w:b/>
                <w:bCs/>
                <w:color w:val="auto"/>
                <w:spacing w:val="0"/>
                <w:kern w:val="0"/>
                <w:position w:val="0"/>
                <w:sz w:val="24"/>
                <w:szCs w:val="24"/>
                <w:highlight w:val="none"/>
                <w:lang w:val="en-US" w:eastAsia="zh-CN" w:bidi="ar-SA"/>
              </w:rPr>
              <w:t>（1）</w:t>
            </w:r>
            <w:r>
              <w:rPr>
                <w:rFonts w:hint="default" w:ascii="Times New Roman" w:hAnsi="Times New Roman" w:eastAsia="宋体" w:cs="Times New Roman"/>
                <w:b/>
                <w:bCs/>
                <w:color w:val="auto"/>
                <w:spacing w:val="0"/>
                <w:kern w:val="0"/>
                <w:position w:val="0"/>
                <w:sz w:val="24"/>
                <w:szCs w:val="24"/>
                <w:highlight w:val="none"/>
                <w:lang w:val="en-US" w:eastAsia="zh-CN" w:bidi="ar-SA"/>
              </w:rPr>
              <w:t>布袋除尘器处理投料混合粉尘的可行性</w:t>
            </w:r>
          </w:p>
          <w:p w14:paraId="30C1F309">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本项目投料混合工序产生的含尘废气采用布袋除尘器进行净化处理。布袋除尘器是一种高效干式除尘设备，其工作原理是利用纤维织物的过滤作用对含尘气体进行过滤：当含尘气流进入布袋除尘器后，粒径较大的颗粒物因重力沉降落入灰斗，粒径较小的粉尘在通过滤袋时被拦截、吸附于滤袋表面，洁净气体排出，达到除尘目的。布袋除尘器具有除尘效率高（通常可达99%以上）、运行稳定、适应性强等优点，尤其适用于塑料制品行业粉状物料投料、混合等环节产生的低浓度、细颗粒粉尘治理。根据《排污许可证申请与核发技术规范橡胶和塑料制品工业》（HJ1122-2020）附录A中表A.2“塑料制品工业排污单位废气污染防治可行技术参考表”，颗粒物治理的可行技术包括袋式除尘（即布袋除尘）。本项目设计处理效率按99%计，配套风机风量5000m³/h，经处理后颗粒物排放浓度降至6.14mg/m³，远低于《合成树脂工业污染物排放标准》</w:t>
            </w:r>
            <w:r>
              <w:rPr>
                <w:rFonts w:hint="eastAsia" w:cs="Times New Roman"/>
                <w:bCs w:val="0"/>
                <w:color w:val="auto"/>
                <w:spacing w:val="0"/>
                <w:kern w:val="0"/>
                <w:position w:val="0"/>
                <w:sz w:val="24"/>
                <w:szCs w:val="24"/>
                <w:highlight w:val="none"/>
                <w:lang w:val="en-US" w:eastAsia="zh-CN" w:bidi="ar-SA"/>
              </w:rPr>
              <w:t>（GB 31572-2015，含2024年修改单）</w:t>
            </w:r>
            <w:r>
              <w:rPr>
                <w:rFonts w:hint="default" w:ascii="Times New Roman" w:hAnsi="Times New Roman" w:eastAsia="宋体" w:cs="Times New Roman"/>
                <w:bCs w:val="0"/>
                <w:color w:val="auto"/>
                <w:spacing w:val="0"/>
                <w:kern w:val="0"/>
                <w:position w:val="0"/>
                <w:sz w:val="24"/>
                <w:szCs w:val="24"/>
                <w:highlight w:val="none"/>
                <w:lang w:val="en-US" w:eastAsia="zh-CN" w:bidi="ar-SA"/>
              </w:rPr>
              <w:t>表5特别排放限值20mg/m³的要求，技术可行、效果可靠。同时，布袋除尘器定期清灰，收集的粉尘可回用于生产，实现资源化利用，符合清洁生产要求。</w:t>
            </w:r>
          </w:p>
          <w:p w14:paraId="319079B2">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eastAsia" w:ascii="Times New Roman" w:hAnsi="Times New Roman" w:eastAsia="宋体" w:cs="Times New Roman"/>
                <w:b/>
                <w:bCs/>
                <w:color w:val="auto"/>
                <w:spacing w:val="0"/>
                <w:kern w:val="0"/>
                <w:position w:val="0"/>
                <w:sz w:val="24"/>
                <w:szCs w:val="24"/>
                <w:highlight w:val="none"/>
                <w:lang w:val="en-US" w:eastAsia="zh-CN" w:bidi="ar-SA"/>
              </w:rPr>
              <w:t>（2）</w:t>
            </w:r>
            <w:r>
              <w:rPr>
                <w:rFonts w:hint="eastAsia" w:cs="Times New Roman"/>
                <w:b/>
                <w:bCs/>
                <w:color w:val="auto"/>
                <w:spacing w:val="0"/>
                <w:kern w:val="0"/>
                <w:position w:val="0"/>
                <w:sz w:val="24"/>
                <w:szCs w:val="24"/>
                <w:highlight w:val="none"/>
                <w:lang w:val="en-US" w:eastAsia="zh-CN" w:bidi="ar-SA"/>
              </w:rPr>
              <w:t>蓄热催化燃烧</w:t>
            </w:r>
            <w:r>
              <w:rPr>
                <w:rFonts w:hint="default" w:ascii="Times New Roman" w:hAnsi="Times New Roman" w:eastAsia="宋体" w:cs="Times New Roman"/>
                <w:b/>
                <w:bCs/>
                <w:color w:val="auto"/>
                <w:spacing w:val="0"/>
                <w:kern w:val="0"/>
                <w:position w:val="0"/>
                <w:sz w:val="24"/>
                <w:szCs w:val="24"/>
                <w:highlight w:val="none"/>
                <w:lang w:val="en-US" w:eastAsia="zh-CN" w:bidi="ar-SA"/>
              </w:rPr>
              <w:t>装置处理有机废气的可行性</w:t>
            </w:r>
          </w:p>
          <w:p w14:paraId="68B76DD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本项目造粒、挤出、上胶、印刷工序产生的挥发性有机物（VOCs）采用活性炭吸附脱附+蓄热催化燃烧一体化装置（RCO）处理后进行集中治理。</w:t>
            </w:r>
            <w:r>
              <w:rPr>
                <w:rFonts w:hint="eastAsia" w:cs="Times New Roman"/>
                <w:bCs w:val="0"/>
                <w:color w:val="auto"/>
                <w:spacing w:val="0"/>
                <w:kern w:val="0"/>
                <w:position w:val="0"/>
                <w:sz w:val="24"/>
                <w:szCs w:val="24"/>
                <w:highlight w:val="none"/>
                <w:lang w:val="en-US" w:eastAsia="zh-CN" w:bidi="ar-SA"/>
              </w:rPr>
              <w:t>其</w:t>
            </w:r>
            <w:r>
              <w:rPr>
                <w:rFonts w:hint="default" w:ascii="Times New Roman" w:hAnsi="Times New Roman" w:eastAsia="宋体" w:cs="Times New Roman"/>
                <w:bCs w:val="0"/>
                <w:color w:val="auto"/>
                <w:spacing w:val="0"/>
                <w:kern w:val="0"/>
                <w:position w:val="0"/>
                <w:sz w:val="24"/>
                <w:szCs w:val="24"/>
                <w:highlight w:val="none"/>
                <w:lang w:val="en-US" w:eastAsia="zh-CN" w:bidi="ar-SA"/>
              </w:rPr>
              <w:t>工作原理是在贵金属催化剂（常见为铂、钯等负载于蜂窝陶瓷载体）的作用下，使有机废气在较低温度（250~350℃）下发生无焰氧化分解，生成二氧化碳和水，从而去除有机物。与直接燃烧相比，活性炭吸附脱附+蓄热催化燃烧具有起燃温度低、能耗小、无二次污染、净化效率高等显著优势，尤其适用于中等浓度、连续排放的有机废气治理。参考《重点行业挥发性有机物综合治理方案》（环大气〔2019〕53号），</w:t>
            </w:r>
            <w:r>
              <w:rPr>
                <w:rFonts w:hint="eastAsia" w:cs="Times New Roman"/>
                <w:bCs w:val="0"/>
                <w:color w:val="auto"/>
                <w:spacing w:val="0"/>
                <w:kern w:val="0"/>
                <w:position w:val="0"/>
                <w:sz w:val="24"/>
                <w:szCs w:val="24"/>
                <w:highlight w:val="none"/>
                <w:lang w:val="en-US" w:eastAsia="zh-CN" w:bidi="ar-SA"/>
              </w:rPr>
              <w:t>该</w:t>
            </w:r>
            <w:r>
              <w:rPr>
                <w:rFonts w:hint="default" w:ascii="Times New Roman" w:hAnsi="Times New Roman" w:eastAsia="宋体" w:cs="Times New Roman"/>
                <w:bCs w:val="0"/>
                <w:color w:val="auto"/>
                <w:spacing w:val="0"/>
                <w:kern w:val="0"/>
                <w:position w:val="0"/>
                <w:sz w:val="24"/>
                <w:szCs w:val="24"/>
                <w:highlight w:val="none"/>
                <w:lang w:val="en-US" w:eastAsia="zh-CN" w:bidi="ar-SA"/>
              </w:rPr>
              <w:t>技术属于推荐的VOCs高效治理技术之一，广泛应用于塑料制品、印刷、涂装等行业。</w:t>
            </w:r>
          </w:p>
          <w:p w14:paraId="5334F4D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本项目设计处理效率为</w:t>
            </w:r>
            <w:r>
              <w:rPr>
                <w:rFonts w:hint="eastAsia" w:cs="Times New Roman"/>
                <w:bCs w:val="0"/>
                <w:color w:val="auto"/>
                <w:spacing w:val="0"/>
                <w:kern w:val="0"/>
                <w:position w:val="0"/>
                <w:sz w:val="24"/>
                <w:szCs w:val="24"/>
                <w:highlight w:val="none"/>
                <w:lang w:val="en-US" w:eastAsia="zh-CN" w:bidi="ar-SA"/>
              </w:rPr>
              <w:t>6</w:t>
            </w:r>
            <w:r>
              <w:rPr>
                <w:rFonts w:hint="default" w:ascii="Times New Roman" w:hAnsi="Times New Roman" w:eastAsia="宋体" w:cs="Times New Roman"/>
                <w:bCs w:val="0"/>
                <w:color w:val="auto"/>
                <w:spacing w:val="0"/>
                <w:kern w:val="0"/>
                <w:position w:val="0"/>
                <w:sz w:val="24"/>
                <w:szCs w:val="24"/>
                <w:highlight w:val="none"/>
                <w:lang w:val="en-US" w:eastAsia="zh-CN" w:bidi="ar-SA"/>
              </w:rPr>
              <w:t>5%，设计风量</w:t>
            </w:r>
            <w:r>
              <w:rPr>
                <w:rFonts w:hint="eastAsia" w:cs="Times New Roman"/>
                <w:bCs w:val="0"/>
                <w:color w:val="auto"/>
                <w:spacing w:val="0"/>
                <w:kern w:val="0"/>
                <w:position w:val="0"/>
                <w:sz w:val="24"/>
                <w:szCs w:val="24"/>
                <w:highlight w:val="none"/>
                <w:lang w:val="en-US" w:eastAsia="zh-CN" w:bidi="ar-SA"/>
              </w:rPr>
              <w:t>120</w:t>
            </w:r>
            <w:r>
              <w:rPr>
                <w:rFonts w:hint="default" w:ascii="Times New Roman" w:hAnsi="Times New Roman" w:eastAsia="宋体" w:cs="Times New Roman"/>
                <w:bCs w:val="0"/>
                <w:color w:val="auto"/>
                <w:spacing w:val="0"/>
                <w:kern w:val="0"/>
                <w:position w:val="0"/>
                <w:sz w:val="24"/>
                <w:szCs w:val="24"/>
                <w:highlight w:val="none"/>
                <w:lang w:val="en-US" w:eastAsia="zh-CN" w:bidi="ar-SA"/>
              </w:rPr>
              <w:t>00m³/h，经处理后非甲烷总烃排放浓度为</w:t>
            </w:r>
            <w:r>
              <w:rPr>
                <w:rFonts w:hint="eastAsia" w:ascii="Times New Roman" w:hAnsi="Times New Roman" w:eastAsia="宋体" w:cs="Times New Roman"/>
                <w:bCs w:val="0"/>
                <w:color w:val="auto"/>
                <w:spacing w:val="0"/>
                <w:kern w:val="0"/>
                <w:position w:val="0"/>
                <w:sz w:val="24"/>
                <w:szCs w:val="24"/>
                <w:highlight w:val="none"/>
                <w:lang w:val="en-US" w:eastAsia="zh-CN" w:bidi="ar-SA"/>
              </w:rPr>
              <w:t>55</w:t>
            </w:r>
            <w:r>
              <w:rPr>
                <w:rFonts w:hint="default" w:ascii="Times New Roman" w:hAnsi="Times New Roman" w:eastAsia="宋体" w:cs="Times New Roman"/>
                <w:bCs w:val="0"/>
                <w:color w:val="auto"/>
                <w:spacing w:val="0"/>
                <w:kern w:val="0"/>
                <w:position w:val="0"/>
                <w:sz w:val="24"/>
                <w:szCs w:val="24"/>
                <w:highlight w:val="none"/>
                <w:lang w:val="en-US" w:eastAsia="zh-CN" w:bidi="ar-SA"/>
              </w:rPr>
              <w:t>mg/m³，满足《合成树脂工业污染物排放标准》（GB 31572-2015，含2024年修改单）表5特别排放限值60mg/m³的要求。此外，</w:t>
            </w:r>
            <w:r>
              <w:rPr>
                <w:rFonts w:hint="eastAsia" w:ascii="Times New Roman" w:hAnsi="Times New Roman" w:eastAsia="宋体" w:cs="Times New Roman"/>
                <w:bCs w:val="0"/>
                <w:color w:val="auto"/>
                <w:spacing w:val="0"/>
                <w:kern w:val="0"/>
                <w:position w:val="0"/>
                <w:sz w:val="24"/>
                <w:szCs w:val="24"/>
                <w:highlight w:val="none"/>
                <w:lang w:val="en-US" w:eastAsia="zh-CN" w:bidi="ar-SA"/>
              </w:rPr>
              <w:t>装置</w:t>
            </w:r>
            <w:r>
              <w:rPr>
                <w:rFonts w:hint="default" w:ascii="Times New Roman" w:hAnsi="Times New Roman" w:eastAsia="宋体" w:cs="Times New Roman"/>
                <w:bCs w:val="0"/>
                <w:color w:val="auto"/>
                <w:spacing w:val="0"/>
                <w:kern w:val="0"/>
                <w:position w:val="0"/>
                <w:sz w:val="24"/>
                <w:szCs w:val="24"/>
                <w:highlight w:val="none"/>
                <w:lang w:val="en-US" w:eastAsia="zh-CN" w:bidi="ar-SA"/>
              </w:rPr>
              <w:t>配套了温度联锁控制、超温报警、自动停机等安全保护措施，确保设备长期安全稳定运行。装置定期对催化剂活性进行检测，并根据使用情况（通常2~3年）更换催化剂，以保证处理效率持续达标。</w:t>
            </w:r>
          </w:p>
          <w:p w14:paraId="3534E97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eastAsia" w:ascii="Times New Roman" w:hAnsi="Times New Roman" w:eastAsia="宋体" w:cs="Times New Roman"/>
                <w:b/>
                <w:bCs/>
                <w:color w:val="auto"/>
                <w:spacing w:val="0"/>
                <w:kern w:val="0"/>
                <w:position w:val="0"/>
                <w:sz w:val="24"/>
                <w:szCs w:val="24"/>
                <w:highlight w:val="none"/>
                <w:lang w:val="en-US" w:eastAsia="zh-CN" w:bidi="ar-SA"/>
              </w:rPr>
              <w:t>（3）</w:t>
            </w:r>
            <w:r>
              <w:rPr>
                <w:rFonts w:hint="default" w:ascii="Times New Roman" w:hAnsi="Times New Roman" w:eastAsia="宋体" w:cs="Times New Roman"/>
                <w:b/>
                <w:bCs/>
                <w:color w:val="auto"/>
                <w:spacing w:val="0"/>
                <w:kern w:val="0"/>
                <w:position w:val="0"/>
                <w:sz w:val="24"/>
                <w:szCs w:val="24"/>
                <w:highlight w:val="none"/>
                <w:lang w:val="en-US" w:eastAsia="zh-CN" w:bidi="ar-SA"/>
              </w:rPr>
              <w:t>厂区及车间密闭管理措施的有效性</w:t>
            </w:r>
          </w:p>
          <w:p w14:paraId="2DA4B2E6">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除了对废气进行收集和处理外，本项目还从源头和过程控制入手，强化无组织排放管控，具体措施如下：</w:t>
            </w:r>
          </w:p>
          <w:p w14:paraId="7B477FDD">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1）投料及混合区域密闭管理。投料站设计为封闭式结构，仅保留必要的操作口，投料时通过低落差、慢倾倒等方式减少粉尘扬起；混合机运行时料仓密闭，混合完成后物料通过密闭管道输送至造粒工段，减少粉尘外逸。</w:t>
            </w:r>
          </w:p>
          <w:p w14:paraId="1ED50D27">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2）生产车间整体密闭与负压控制。本项目生产车间采用钢结构封闭式厂房，门窗保持常闭状态，仅在物料进出、人员通行时短时开启。车间内产污设备（造粒机、挤出机、上胶机、印刷机等）均设置了局部集气罩并保持持续抽风，使车间整体处于微负压状态，有效防止废气向车间外逸散。</w:t>
            </w:r>
          </w:p>
          <w:p w14:paraId="39B8AFE9">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3）集气系统维护与管理。定期检查集气罩、风管、密封条等设施的完好性，确保收集效率不低于90%。对风机、阀门等关键部件建立运行台账，发现破损或泄漏及时维修更换，杜绝因设备老化导致的无组织排放增加。</w:t>
            </w:r>
          </w:p>
          <w:p w14:paraId="4E24508A">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（4）厂区环境管理。车间地面定期清扫，防止粉尘二次扬尘；原料库及危废</w:t>
            </w:r>
            <w:r>
              <w:rPr>
                <w:rFonts w:hint="eastAsia" w:cs="Times New Roman"/>
                <w:bCs w:val="0"/>
                <w:color w:val="auto"/>
                <w:spacing w:val="0"/>
                <w:kern w:val="0"/>
                <w:position w:val="0"/>
                <w:sz w:val="24"/>
                <w:szCs w:val="24"/>
                <w:highlight w:val="none"/>
                <w:lang w:val="en-US" w:eastAsia="zh-CN" w:bidi="ar-SA"/>
              </w:rPr>
              <w:t>贮存点</w:t>
            </w:r>
            <w:r>
              <w:rPr>
                <w:rFonts w:hint="default" w:ascii="Times New Roman" w:hAnsi="Times New Roman" w:eastAsia="宋体" w:cs="Times New Roman"/>
                <w:bCs w:val="0"/>
                <w:color w:val="auto"/>
                <w:spacing w:val="0"/>
                <w:kern w:val="0"/>
                <w:position w:val="0"/>
                <w:sz w:val="24"/>
                <w:szCs w:val="24"/>
                <w:highlight w:val="none"/>
                <w:lang w:val="en-US" w:eastAsia="zh-CN" w:bidi="ar-SA"/>
              </w:rPr>
              <w:t>均密闭管理，液态物料（底胶、油墨）存放于托盘上，防止泄漏挥发；建立废气治理设施巡检制度，确保环保设备与生产设备同步运行。</w:t>
            </w:r>
          </w:p>
          <w:p w14:paraId="44F295B5">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上述措施综合施策后，本项目无组织颗粒物排放浓度可控制在厂界1.0mg/m³以下，无组织非甲烷总烃排放浓度控制在厂界4.0mg/m³以下，厂区内非甲烷总烃浓度满足《挥发性有机物无组织排放控制标准》（GB37822-2019）表A.1特别排放限值要求。由此可见，本项目从点源（有组织）到面源（无组织），从技术治理到管理控制，形成了一套完整的废气防控体系，措施合理、技术可行、效果有保障。</w:t>
            </w:r>
          </w:p>
          <w:p w14:paraId="747D731E">
            <w:pPr>
              <w:keepNext w:val="0"/>
              <w:keepLines w:val="0"/>
              <w:pageBreakBefore w:val="0"/>
              <w:shd w:val="clear"/>
              <w:kinsoku/>
              <w:wordWrap/>
              <w:overflowPunct/>
              <w:topLinePunct w:val="0"/>
              <w:autoSpaceDE/>
              <w:autoSpaceDN/>
              <w:bidi w:val="0"/>
              <w:spacing w:line="360" w:lineRule="auto"/>
              <w:textAlignment w:val="auto"/>
              <w:rPr>
                <w:rFonts w:hint="eastAsia" w:ascii="Times New Roman" w:hAnsi="Times New Roman" w:eastAsia="宋体" w:cs="Times New Roman"/>
                <w:b/>
                <w:bCs/>
                <w:color w:val="auto"/>
                <w:spacing w:val="0"/>
                <w:kern w:val="0"/>
                <w:position w:val="0"/>
                <w:sz w:val="24"/>
                <w:szCs w:val="24"/>
                <w:highlight w:val="none"/>
                <w:lang w:val="en-US" w:eastAsia="zh-CN" w:bidi="ar-SA"/>
              </w:rPr>
            </w:pPr>
            <w:r>
              <w:rPr>
                <w:rFonts w:hint="eastAsia" w:ascii="Times New Roman" w:hAnsi="Times New Roman" w:eastAsia="宋体" w:cs="Times New Roman"/>
                <w:b/>
                <w:bCs/>
                <w:color w:val="auto"/>
                <w:spacing w:val="0"/>
                <w:kern w:val="0"/>
                <w:position w:val="0"/>
                <w:sz w:val="24"/>
                <w:szCs w:val="24"/>
                <w:highlight w:val="none"/>
                <w:lang w:val="en-US" w:eastAsia="zh-CN" w:bidi="ar-SA"/>
              </w:rPr>
              <w:t>1.5非正常工况</w:t>
            </w:r>
          </w:p>
          <w:p w14:paraId="5D73E323">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根据《环境影响评价技术导则大气环境》（HJ2.2-2018），非正常排放包括设备检修、污染物排放控制措施达不到应有效率、工艺设备运转异常等本项目非正常工况主要为袋式除尘装置</w:t>
            </w:r>
            <w:r>
              <w:rPr>
                <w:rFonts w:hint="eastAsia" w:ascii="Times New Roman" w:hAnsi="Times New Roman" w:eastAsia="宋体" w:cs="Times New Roman"/>
                <w:bCs w:val="0"/>
                <w:color w:val="auto"/>
                <w:spacing w:val="0"/>
                <w:kern w:val="0"/>
                <w:position w:val="0"/>
                <w:sz w:val="24"/>
                <w:szCs w:val="24"/>
                <w:highlight w:val="none"/>
                <w:lang w:val="en-US" w:eastAsia="zh-CN" w:bidi="ar-SA"/>
              </w:rPr>
              <w:t>、</w:t>
            </w:r>
            <w:r>
              <w:rPr>
                <w:rFonts w:hint="default" w:ascii="Times New Roman" w:hAnsi="Times New Roman" w:eastAsia="宋体" w:cs="Times New Roman"/>
                <w:bCs w:val="0"/>
                <w:color w:val="auto"/>
                <w:spacing w:val="0"/>
                <w:kern w:val="0"/>
                <w:position w:val="0"/>
                <w:sz w:val="24"/>
                <w:szCs w:val="24"/>
                <w:highlight w:val="none"/>
                <w:lang w:val="en-US" w:eastAsia="zh-CN" w:bidi="ar-SA"/>
              </w:rPr>
              <w:t>活性炭吸附脱附+蓄热催化燃烧</w:t>
            </w:r>
            <w:r>
              <w:rPr>
                <w:rFonts w:hint="eastAsia" w:ascii="Times New Roman" w:hAnsi="Times New Roman" w:eastAsia="宋体" w:cs="Times New Roman"/>
                <w:bCs w:val="0"/>
                <w:color w:val="auto"/>
                <w:spacing w:val="0"/>
                <w:kern w:val="0"/>
                <w:position w:val="0"/>
                <w:sz w:val="24"/>
                <w:szCs w:val="24"/>
                <w:highlight w:val="none"/>
                <w:lang w:val="en-US" w:eastAsia="zh-CN" w:bidi="ar-SA"/>
              </w:rPr>
              <w:t>装置</w:t>
            </w:r>
            <w:r>
              <w:rPr>
                <w:rFonts w:hint="default" w:ascii="Times New Roman" w:hAnsi="Times New Roman" w:eastAsia="宋体" w:cs="Times New Roman"/>
                <w:bCs w:val="0"/>
                <w:color w:val="auto"/>
                <w:spacing w:val="0"/>
                <w:kern w:val="0"/>
                <w:position w:val="0"/>
                <w:sz w:val="24"/>
                <w:szCs w:val="24"/>
                <w:highlight w:val="none"/>
                <w:lang w:val="en-US" w:eastAsia="zh-CN" w:bidi="ar-SA"/>
              </w:rPr>
              <w:t>失效、设备开停机、检修等情形。本项目非正常工况下废气排放情况分析如下：</w:t>
            </w:r>
          </w:p>
          <w:p w14:paraId="6116A11C">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（1）布袋除尘器故障</w:t>
            </w:r>
          </w:p>
          <w:p w14:paraId="3160AE19">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当布袋除尘器出现滤袋破损或清灰系统失效时，除尘效率会大幅下降。假设除尘效率由正常的99%降至80%，此时投料混合工序颗粒物排放浓度将由6.14mg/m³上升（122.7mg/m³），超过《合成树脂工业污染物排放标准》</w:t>
            </w:r>
            <w:r>
              <w:rPr>
                <w:rFonts w:hint="eastAsia" w:cs="Times New Roman"/>
                <w:bCs w:val="0"/>
                <w:color w:val="auto"/>
                <w:spacing w:val="0"/>
                <w:kern w:val="0"/>
                <w:position w:val="0"/>
                <w:sz w:val="24"/>
                <w:szCs w:val="24"/>
                <w:highlight w:val="none"/>
                <w:lang w:val="en-US" w:eastAsia="zh-CN" w:bidi="ar-SA"/>
              </w:rPr>
              <w:t>（GB 31572-2015，含2024年修改单）</w:t>
            </w:r>
            <w:r>
              <w:rPr>
                <w:rFonts w:hint="default" w:ascii="Times New Roman" w:hAnsi="Times New Roman" w:eastAsia="宋体" w:cs="Times New Roman"/>
                <w:bCs w:val="0"/>
                <w:color w:val="auto"/>
                <w:spacing w:val="0"/>
                <w:kern w:val="0"/>
                <w:position w:val="0"/>
                <w:sz w:val="24"/>
                <w:szCs w:val="24"/>
                <w:highlight w:val="none"/>
                <w:lang w:val="en-US" w:eastAsia="zh-CN" w:bidi="ar-SA"/>
              </w:rPr>
              <w:t>表5特别排放限值20mg/m³的要求。故障持续时间为1小时以内（从发现到停机检修），排放量约0.0031kg（按3.067kg/h×20%×1h计）。应对措施：设置压差报警装置，当滤袋两侧压差异常时自动报警；一旦发现故障，立即停止投料混合作业，关闭风机，组织维修，待除尘器恢复正常后方可复产。</w:t>
            </w:r>
          </w:p>
          <w:p w14:paraId="17E6B764">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（2）活性炭吸附脱附+蓄热催化燃烧装置失效</w:t>
            </w:r>
          </w:p>
          <w:p w14:paraId="5B6468B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活性炭吸附脱附+蓄热催化燃烧可能因催化剂失活或加热系统故障导致处理效率下降甚至完全失效。假设处理效率由</w:t>
            </w:r>
            <w:r>
              <w:rPr>
                <w:rFonts w:hint="eastAsia" w:cs="Times New Roman"/>
                <w:bCs w:val="0"/>
                <w:color w:val="auto"/>
                <w:spacing w:val="0"/>
                <w:kern w:val="0"/>
                <w:position w:val="0"/>
                <w:sz w:val="24"/>
                <w:szCs w:val="24"/>
                <w:highlight w:val="none"/>
                <w:lang w:val="en-US" w:eastAsia="zh-CN" w:bidi="ar-SA"/>
              </w:rPr>
              <w:t>6</w:t>
            </w:r>
            <w:r>
              <w:rPr>
                <w:rFonts w:hint="default" w:ascii="Times New Roman" w:hAnsi="Times New Roman" w:eastAsia="宋体" w:cs="Times New Roman"/>
                <w:bCs w:val="0"/>
                <w:color w:val="auto"/>
                <w:spacing w:val="0"/>
                <w:kern w:val="0"/>
                <w:position w:val="0"/>
                <w:sz w:val="24"/>
                <w:szCs w:val="24"/>
                <w:highlight w:val="none"/>
                <w:lang w:val="en-US" w:eastAsia="zh-CN" w:bidi="ar-SA"/>
              </w:rPr>
              <w:t>5%降至0%，此时VOCs排放浓度将由</w:t>
            </w:r>
            <w:r>
              <w:rPr>
                <w:rFonts w:hint="eastAsia" w:cs="Times New Roman"/>
                <w:bCs w:val="0"/>
                <w:color w:val="auto"/>
                <w:spacing w:val="0"/>
                <w:kern w:val="0"/>
                <w:position w:val="0"/>
                <w:sz w:val="24"/>
                <w:szCs w:val="24"/>
                <w:highlight w:val="none"/>
                <w:lang w:val="en-US" w:eastAsia="zh-CN" w:bidi="ar-SA"/>
              </w:rPr>
              <w:t>55</w:t>
            </w:r>
            <w:r>
              <w:rPr>
                <w:rFonts w:hint="default" w:ascii="Times New Roman" w:hAnsi="Times New Roman" w:eastAsia="宋体" w:cs="Times New Roman"/>
                <w:bCs w:val="0"/>
                <w:color w:val="auto"/>
                <w:spacing w:val="0"/>
                <w:kern w:val="0"/>
                <w:position w:val="0"/>
                <w:sz w:val="24"/>
                <w:szCs w:val="24"/>
                <w:highlight w:val="none"/>
                <w:lang w:val="en-US" w:eastAsia="zh-CN" w:bidi="ar-SA"/>
              </w:rPr>
              <w:t>mg/m³上升至</w:t>
            </w:r>
            <w:r>
              <w:rPr>
                <w:rFonts w:hint="eastAsia" w:cs="Times New Roman"/>
                <w:bCs w:val="0"/>
                <w:color w:val="auto"/>
                <w:spacing w:val="0"/>
                <w:kern w:val="0"/>
                <w:position w:val="0"/>
                <w:sz w:val="24"/>
                <w:szCs w:val="24"/>
                <w:highlight w:val="none"/>
                <w:lang w:val="en-US" w:eastAsia="zh-CN" w:bidi="ar-SA"/>
              </w:rPr>
              <w:t>157.2</w:t>
            </w:r>
            <w:r>
              <w:rPr>
                <w:rFonts w:hint="default" w:ascii="Times New Roman" w:hAnsi="Times New Roman" w:eastAsia="宋体" w:cs="Times New Roman"/>
                <w:bCs w:val="0"/>
                <w:color w:val="auto"/>
                <w:spacing w:val="0"/>
                <w:kern w:val="0"/>
                <w:position w:val="0"/>
                <w:sz w:val="24"/>
                <w:szCs w:val="24"/>
                <w:highlight w:val="none"/>
                <w:lang w:val="en-US" w:eastAsia="zh-CN" w:bidi="ar-SA"/>
              </w:rPr>
              <w:t>mg/m³，远超标准限值（60mg/m³）。故障持续时间按1小时计，VOCs排放量约1.886kg</w:t>
            </w:r>
            <w:r>
              <w:rPr>
                <w:rFonts w:hint="eastAsia" w:cs="Times New Roman"/>
                <w:bCs w:val="0"/>
                <w:color w:val="auto"/>
                <w:spacing w:val="0"/>
                <w:kern w:val="0"/>
                <w:position w:val="0"/>
                <w:sz w:val="24"/>
                <w:szCs w:val="24"/>
                <w:highlight w:val="none"/>
                <w:lang w:val="en-US" w:eastAsia="zh-CN" w:bidi="ar-SA"/>
              </w:rPr>
              <w:t>/h</w:t>
            </w:r>
            <w:r>
              <w:rPr>
                <w:rFonts w:hint="default" w:ascii="Times New Roman" w:hAnsi="Times New Roman" w:eastAsia="宋体" w:cs="Times New Roman"/>
                <w:bCs w:val="0"/>
                <w:color w:val="auto"/>
                <w:spacing w:val="0"/>
                <w:kern w:val="0"/>
                <w:position w:val="0"/>
                <w:sz w:val="24"/>
                <w:szCs w:val="24"/>
                <w:highlight w:val="none"/>
                <w:lang w:val="en-US" w:eastAsia="zh-CN" w:bidi="ar-SA"/>
              </w:rPr>
              <w:t>。</w:t>
            </w:r>
          </w:p>
          <w:p w14:paraId="357DB40F">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应对措施：配套温度、压力联锁控制系统，当床层温度异常或进出口温差过小时自动报警并停机；同时启动应急排空阀（切换至活性炭应急吸附罐，如有配置）；立即停止造粒、挤出、上胶、印刷生产作业，通知设备厂家或维保人员抢修，修复后方可恢复生产。</w:t>
            </w:r>
          </w:p>
          <w:p w14:paraId="6010F72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（3）开停机及检修工况</w:t>
            </w:r>
          </w:p>
          <w:p w14:paraId="7C961182">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生产线启动时，先开启废气处理设施（布袋除尘器、活性炭吸附脱附+蓄热催化燃烧装置），待系统运行稳定后再投料生产；停机时，先停止生产，待废气处理设施继续运行10~15分钟将残余废气处理完毕后再关闭。通过上述操作，开停机过程废气排放浓度与正常工况基本一致。检修时如需打开设备，应提前排空物料，并对设备内部进行吹扫，吹扫废气引入废气处理系统处理。</w:t>
            </w:r>
          </w:p>
          <w:p w14:paraId="0195D280">
            <w:pPr>
              <w:pageBreakBefore w:val="0"/>
              <w:shd w:val="clear"/>
              <w:kinsoku/>
              <w:wordWrap/>
              <w:overflowPunct/>
              <w:topLinePunct w:val="0"/>
              <w:autoSpaceDE/>
              <w:autoSpaceDN/>
              <w:bidi w:val="0"/>
              <w:spacing w:line="240" w:lineRule="auto"/>
              <w:ind w:left="0" w:right="0" w:firstLine="422" w:firstLineChars="200"/>
              <w:jc w:val="center"/>
              <w:textAlignment w:val="auto"/>
              <w:rPr>
                <w:rFonts w:hint="default" w:ascii="Times New Roman" w:hAnsi="Times New Roman" w:eastAsia="宋体" w:cs="Times New Roman"/>
                <w:b/>
                <w:bCs/>
                <w:color w:val="auto"/>
                <w:spacing w:val="0"/>
                <w:kern w:val="0"/>
                <w:position w:val="0"/>
                <w:sz w:val="21"/>
                <w:szCs w:val="21"/>
                <w:highlight w:val="none"/>
                <w:lang w:val="en-US" w:eastAsia="zh-CN" w:bidi="ar-SA"/>
              </w:rPr>
            </w:pPr>
            <w:r>
              <w:rPr>
                <w:rFonts w:hint="default" w:ascii="Times New Roman" w:hAnsi="Times New Roman" w:eastAsia="宋体" w:cs="Times New Roman"/>
                <w:b/>
                <w:bCs/>
                <w:color w:val="auto"/>
                <w:spacing w:val="0"/>
                <w:kern w:val="0"/>
                <w:position w:val="0"/>
                <w:sz w:val="21"/>
                <w:szCs w:val="21"/>
                <w:highlight w:val="none"/>
                <w:lang w:val="en-US" w:eastAsia="zh-CN" w:bidi="ar-SA"/>
              </w:rPr>
              <w:t>表1</w:t>
            </w:r>
            <w:r>
              <w:rPr>
                <w:rFonts w:hint="eastAsia" w:ascii="Times New Roman" w:hAnsi="Times New Roman" w:eastAsia="宋体" w:cs="Times New Roman"/>
                <w:b/>
                <w:bCs/>
                <w:color w:val="auto"/>
                <w:spacing w:val="0"/>
                <w:kern w:val="0"/>
                <w:position w:val="0"/>
                <w:sz w:val="21"/>
                <w:szCs w:val="21"/>
                <w:highlight w:val="none"/>
                <w:lang w:val="en-US" w:eastAsia="zh-CN" w:bidi="ar-SA"/>
              </w:rPr>
              <w:t xml:space="preserve">-6   </w:t>
            </w:r>
            <w:r>
              <w:rPr>
                <w:rFonts w:hint="default" w:ascii="Times New Roman" w:hAnsi="Times New Roman" w:eastAsia="宋体" w:cs="Times New Roman"/>
                <w:b/>
                <w:bCs/>
                <w:color w:val="auto"/>
                <w:spacing w:val="0"/>
                <w:kern w:val="0"/>
                <w:position w:val="0"/>
                <w:sz w:val="21"/>
                <w:szCs w:val="21"/>
                <w:highlight w:val="none"/>
                <w:lang w:val="en-US" w:eastAsia="zh-CN" w:bidi="ar-SA"/>
              </w:rPr>
              <w:t xml:space="preserve"> 非正常工况废气排放超标情况一览表</w:t>
            </w:r>
          </w:p>
          <w:tbl>
            <w:tblPr>
              <w:tblStyle w:val="25"/>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72"/>
              <w:gridCol w:w="1428"/>
              <w:gridCol w:w="561"/>
              <w:gridCol w:w="602"/>
              <w:gridCol w:w="712"/>
              <w:gridCol w:w="726"/>
              <w:gridCol w:w="496"/>
              <w:gridCol w:w="725"/>
              <w:gridCol w:w="516"/>
              <w:gridCol w:w="764"/>
            </w:tblGrid>
            <w:tr w14:paraId="25CBB0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9" w:type="dxa"/>
                  <w:tcBorders>
                    <w:bottom w:val="single" w:color="auto" w:sz="12" w:space="0"/>
                  </w:tcBorders>
                  <w:shd w:val="clear" w:color="auto" w:fill="auto"/>
                  <w:tcMar>
                    <w:top w:w="0" w:type="dxa"/>
                    <w:left w:w="0" w:type="dxa"/>
                    <w:bottom w:w="0" w:type="dxa"/>
                    <w:right w:w="0" w:type="dxa"/>
                  </w:tcMar>
                  <w:vAlign w:val="center"/>
                </w:tcPr>
                <w:p w14:paraId="7047F8D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非正常工况</w:t>
                  </w:r>
                </w:p>
              </w:tc>
              <w:tc>
                <w:tcPr>
                  <w:tcW w:w="1422" w:type="dxa"/>
                  <w:tcBorders>
                    <w:bottom w:val="single" w:color="auto" w:sz="12" w:space="0"/>
                  </w:tcBorders>
                  <w:shd w:val="clear" w:color="auto" w:fill="auto"/>
                  <w:tcMar>
                    <w:top w:w="0" w:type="dxa"/>
                    <w:left w:w="0" w:type="dxa"/>
                    <w:bottom w:w="0" w:type="dxa"/>
                    <w:right w:w="0" w:type="dxa"/>
                  </w:tcMar>
                  <w:vAlign w:val="center"/>
                </w:tcPr>
                <w:p w14:paraId="714FDFA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故障描述</w:t>
                  </w:r>
                </w:p>
              </w:tc>
              <w:tc>
                <w:tcPr>
                  <w:tcW w:w="559" w:type="dxa"/>
                  <w:tcBorders>
                    <w:bottom w:val="single" w:color="auto" w:sz="12" w:space="0"/>
                  </w:tcBorders>
                  <w:shd w:val="clear" w:color="auto" w:fill="auto"/>
                  <w:tcMar>
                    <w:top w:w="0" w:type="dxa"/>
                    <w:left w:w="0" w:type="dxa"/>
                    <w:bottom w:w="0" w:type="dxa"/>
                    <w:right w:w="0" w:type="dxa"/>
                  </w:tcMar>
                  <w:vAlign w:val="center"/>
                </w:tcPr>
                <w:p w14:paraId="533D398F">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w:t>
                  </w:r>
                </w:p>
              </w:tc>
              <w:tc>
                <w:tcPr>
                  <w:tcW w:w="600" w:type="dxa"/>
                  <w:tcBorders>
                    <w:bottom w:val="single" w:color="auto" w:sz="12" w:space="0"/>
                  </w:tcBorders>
                  <w:shd w:val="clear" w:color="auto" w:fill="auto"/>
                  <w:tcMar>
                    <w:top w:w="0" w:type="dxa"/>
                    <w:left w:w="0" w:type="dxa"/>
                    <w:bottom w:w="0" w:type="dxa"/>
                    <w:right w:w="0" w:type="dxa"/>
                  </w:tcMar>
                  <w:vAlign w:val="center"/>
                </w:tcPr>
                <w:p w14:paraId="279ADF2A">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处理效率</w:t>
                  </w:r>
                </w:p>
              </w:tc>
              <w:tc>
                <w:tcPr>
                  <w:tcW w:w="709" w:type="dxa"/>
                  <w:tcBorders>
                    <w:bottom w:val="single" w:color="auto" w:sz="12" w:space="0"/>
                  </w:tcBorders>
                  <w:shd w:val="clear" w:color="auto" w:fill="auto"/>
                  <w:tcMar>
                    <w:top w:w="0" w:type="dxa"/>
                    <w:left w:w="0" w:type="dxa"/>
                    <w:bottom w:w="0" w:type="dxa"/>
                    <w:right w:w="0" w:type="dxa"/>
                  </w:tcMar>
                  <w:vAlign w:val="center"/>
                </w:tcPr>
                <w:p w14:paraId="53CB303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排放浓度(mg/m³)</w:t>
                  </w:r>
                </w:p>
              </w:tc>
              <w:tc>
                <w:tcPr>
                  <w:tcW w:w="723" w:type="dxa"/>
                  <w:tcBorders>
                    <w:bottom w:val="single" w:color="auto" w:sz="12" w:space="0"/>
                  </w:tcBorders>
                  <w:shd w:val="clear" w:color="auto" w:fill="auto"/>
                  <w:tcMar>
                    <w:top w:w="0" w:type="dxa"/>
                    <w:left w:w="0" w:type="dxa"/>
                    <w:bottom w:w="0" w:type="dxa"/>
                    <w:right w:w="0" w:type="dxa"/>
                  </w:tcMar>
                  <w:vAlign w:val="center"/>
                </w:tcPr>
                <w:p w14:paraId="6EDB9F66">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标准限值(mg/m³)</w:t>
                  </w:r>
                </w:p>
              </w:tc>
              <w:tc>
                <w:tcPr>
                  <w:tcW w:w="494" w:type="dxa"/>
                  <w:tcBorders>
                    <w:bottom w:val="single" w:color="auto" w:sz="12" w:space="0"/>
                  </w:tcBorders>
                  <w:shd w:val="clear" w:color="auto" w:fill="auto"/>
                  <w:tcMar>
                    <w:top w:w="0" w:type="dxa"/>
                    <w:left w:w="0" w:type="dxa"/>
                    <w:bottom w:w="0" w:type="dxa"/>
                    <w:right w:w="0" w:type="dxa"/>
                  </w:tcMar>
                  <w:vAlign w:val="center"/>
                </w:tcPr>
                <w:p w14:paraId="09C569F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超标倍数</w:t>
                  </w:r>
                </w:p>
              </w:tc>
              <w:tc>
                <w:tcPr>
                  <w:tcW w:w="722" w:type="dxa"/>
                  <w:tcBorders>
                    <w:bottom w:val="single" w:color="auto" w:sz="12" w:space="0"/>
                  </w:tcBorders>
                  <w:shd w:val="clear" w:color="auto" w:fill="auto"/>
                  <w:tcMar>
                    <w:top w:w="0" w:type="dxa"/>
                    <w:left w:w="0" w:type="dxa"/>
                    <w:bottom w:w="0" w:type="dxa"/>
                    <w:right w:w="0" w:type="dxa"/>
                  </w:tcMar>
                  <w:vAlign w:val="center"/>
                </w:tcPr>
                <w:p w14:paraId="3118623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单次持续时间</w:t>
                  </w:r>
                </w:p>
              </w:tc>
              <w:tc>
                <w:tcPr>
                  <w:tcW w:w="514" w:type="dxa"/>
                  <w:tcBorders>
                    <w:bottom w:val="single" w:color="auto" w:sz="12" w:space="0"/>
                  </w:tcBorders>
                  <w:shd w:val="clear" w:color="auto" w:fill="auto"/>
                  <w:tcMar>
                    <w:top w:w="0" w:type="dxa"/>
                    <w:left w:w="0" w:type="dxa"/>
                    <w:bottom w:w="0" w:type="dxa"/>
                    <w:right w:w="0" w:type="dxa"/>
                  </w:tcMar>
                  <w:vAlign w:val="center"/>
                </w:tcPr>
                <w:p w14:paraId="268DAB1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年发生频次</w:t>
                  </w:r>
                </w:p>
              </w:tc>
              <w:tc>
                <w:tcPr>
                  <w:tcW w:w="761" w:type="dxa"/>
                  <w:tcBorders>
                    <w:bottom w:val="single" w:color="auto" w:sz="12" w:space="0"/>
                  </w:tcBorders>
                  <w:shd w:val="clear" w:color="auto" w:fill="auto"/>
                  <w:tcMar>
                    <w:top w:w="0" w:type="dxa"/>
                    <w:left w:w="0" w:type="dxa"/>
                    <w:bottom w:w="0" w:type="dxa"/>
                    <w:right w:w="0" w:type="dxa"/>
                  </w:tcMar>
                  <w:vAlign w:val="center"/>
                </w:tcPr>
                <w:p w14:paraId="5F39BDA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应对措施</w:t>
                  </w:r>
                </w:p>
              </w:tc>
            </w:tr>
            <w:tr w14:paraId="6DC383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9" w:type="dxa"/>
                  <w:tcBorders>
                    <w:top w:val="single" w:color="auto" w:sz="12" w:space="0"/>
                    <w:tl2br w:val="nil"/>
                    <w:tr2bl w:val="nil"/>
                  </w:tcBorders>
                  <w:shd w:val="clear" w:color="auto" w:fill="auto"/>
                  <w:tcMar>
                    <w:top w:w="0" w:type="dxa"/>
                    <w:left w:w="0" w:type="dxa"/>
                    <w:bottom w:w="0" w:type="dxa"/>
                    <w:right w:w="0" w:type="dxa"/>
                  </w:tcMar>
                  <w:vAlign w:val="center"/>
                </w:tcPr>
                <w:p w14:paraId="0C752CFA">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布袋除尘器故障</w:t>
                  </w:r>
                </w:p>
              </w:tc>
              <w:tc>
                <w:tcPr>
                  <w:tcW w:w="1422" w:type="dxa"/>
                  <w:tcBorders>
                    <w:top w:val="single" w:color="auto" w:sz="12" w:space="0"/>
                    <w:tl2br w:val="nil"/>
                    <w:tr2bl w:val="nil"/>
                  </w:tcBorders>
                  <w:shd w:val="clear" w:color="auto" w:fill="auto"/>
                  <w:tcMar>
                    <w:top w:w="0" w:type="dxa"/>
                    <w:left w:w="0" w:type="dxa"/>
                    <w:bottom w:w="0" w:type="dxa"/>
                    <w:right w:w="0" w:type="dxa"/>
                  </w:tcMar>
                  <w:vAlign w:val="center"/>
                </w:tcPr>
                <w:p w14:paraId="5724640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滤袋破损或清灰失效，除尘效率降至0%</w:t>
                  </w:r>
                </w:p>
              </w:tc>
              <w:tc>
                <w:tcPr>
                  <w:tcW w:w="559" w:type="dxa"/>
                  <w:tcBorders>
                    <w:top w:val="single" w:color="auto" w:sz="12" w:space="0"/>
                    <w:tl2br w:val="nil"/>
                    <w:tr2bl w:val="nil"/>
                  </w:tcBorders>
                  <w:shd w:val="clear" w:color="auto" w:fill="auto"/>
                  <w:tcMar>
                    <w:top w:w="0" w:type="dxa"/>
                    <w:left w:w="0" w:type="dxa"/>
                    <w:bottom w:w="0" w:type="dxa"/>
                    <w:right w:w="0" w:type="dxa"/>
                  </w:tcMar>
                  <w:vAlign w:val="center"/>
                </w:tcPr>
                <w:p w14:paraId="6392826F">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600" w:type="dxa"/>
                  <w:tcBorders>
                    <w:top w:val="single" w:color="auto" w:sz="12" w:space="0"/>
                    <w:tl2br w:val="nil"/>
                    <w:tr2bl w:val="nil"/>
                  </w:tcBorders>
                  <w:shd w:val="clear" w:color="auto" w:fill="auto"/>
                  <w:tcMar>
                    <w:top w:w="0" w:type="dxa"/>
                    <w:left w:w="0" w:type="dxa"/>
                    <w:bottom w:w="0" w:type="dxa"/>
                    <w:right w:w="0" w:type="dxa"/>
                  </w:tcMar>
                  <w:vAlign w:val="center"/>
                </w:tcPr>
                <w:p w14:paraId="156646A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709" w:type="dxa"/>
                  <w:tcBorders>
                    <w:top w:val="single" w:color="auto" w:sz="12" w:space="0"/>
                    <w:tl2br w:val="nil"/>
                    <w:tr2bl w:val="nil"/>
                  </w:tcBorders>
                  <w:shd w:val="clear" w:color="auto" w:fill="auto"/>
                  <w:tcMar>
                    <w:top w:w="0" w:type="dxa"/>
                    <w:left w:w="0" w:type="dxa"/>
                    <w:bottom w:w="0" w:type="dxa"/>
                    <w:right w:w="0" w:type="dxa"/>
                  </w:tcMar>
                  <w:vAlign w:val="center"/>
                </w:tcPr>
                <w:p w14:paraId="6EE78CF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122.7</w:t>
                  </w:r>
                </w:p>
              </w:tc>
              <w:tc>
                <w:tcPr>
                  <w:tcW w:w="723" w:type="dxa"/>
                  <w:tcBorders>
                    <w:top w:val="single" w:color="auto" w:sz="12" w:space="0"/>
                    <w:tl2br w:val="nil"/>
                    <w:tr2bl w:val="nil"/>
                  </w:tcBorders>
                  <w:shd w:val="clear" w:color="auto" w:fill="auto"/>
                  <w:tcMar>
                    <w:top w:w="0" w:type="dxa"/>
                    <w:left w:w="0" w:type="dxa"/>
                    <w:bottom w:w="0" w:type="dxa"/>
                    <w:right w:w="0" w:type="dxa"/>
                  </w:tcMar>
                  <w:vAlign w:val="center"/>
                </w:tcPr>
                <w:p w14:paraId="03C878B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494" w:type="dxa"/>
                  <w:tcBorders>
                    <w:top w:val="single" w:color="auto" w:sz="12" w:space="0"/>
                    <w:tl2br w:val="nil"/>
                    <w:tr2bl w:val="nil"/>
                  </w:tcBorders>
                  <w:shd w:val="clear" w:color="auto" w:fill="auto"/>
                  <w:tcMar>
                    <w:top w:w="0" w:type="dxa"/>
                    <w:left w:w="0" w:type="dxa"/>
                    <w:bottom w:w="0" w:type="dxa"/>
                    <w:right w:w="0" w:type="dxa"/>
                  </w:tcMar>
                  <w:vAlign w:val="center"/>
                </w:tcPr>
                <w:p w14:paraId="02320C0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5.14倍</w:t>
                  </w:r>
                </w:p>
              </w:tc>
              <w:tc>
                <w:tcPr>
                  <w:tcW w:w="722" w:type="dxa"/>
                  <w:tcBorders>
                    <w:top w:val="single" w:color="auto" w:sz="12" w:space="0"/>
                    <w:tl2br w:val="nil"/>
                    <w:tr2bl w:val="nil"/>
                  </w:tcBorders>
                  <w:shd w:val="clear" w:color="auto" w:fill="auto"/>
                  <w:tcMar>
                    <w:top w:w="0" w:type="dxa"/>
                    <w:left w:w="0" w:type="dxa"/>
                    <w:bottom w:w="0" w:type="dxa"/>
                    <w:right w:w="0" w:type="dxa"/>
                  </w:tcMar>
                  <w:vAlign w:val="center"/>
                </w:tcPr>
                <w:p w14:paraId="65299D0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≤1小时</w:t>
                  </w:r>
                </w:p>
              </w:tc>
              <w:tc>
                <w:tcPr>
                  <w:tcW w:w="514" w:type="dxa"/>
                  <w:tcBorders>
                    <w:top w:val="single" w:color="auto" w:sz="12" w:space="0"/>
                    <w:tl2br w:val="nil"/>
                    <w:tr2bl w:val="nil"/>
                  </w:tcBorders>
                  <w:shd w:val="clear" w:color="auto" w:fill="auto"/>
                  <w:tcMar>
                    <w:top w:w="0" w:type="dxa"/>
                    <w:left w:w="0" w:type="dxa"/>
                    <w:bottom w:w="0" w:type="dxa"/>
                    <w:right w:w="0" w:type="dxa"/>
                  </w:tcMar>
                  <w:vAlign w:val="center"/>
                </w:tcPr>
                <w:p w14:paraId="6BEB32E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≤1次/年</w:t>
                  </w:r>
                </w:p>
              </w:tc>
              <w:tc>
                <w:tcPr>
                  <w:tcW w:w="761" w:type="dxa"/>
                  <w:vMerge w:val="restart"/>
                  <w:tcBorders>
                    <w:top w:val="single" w:color="auto" w:sz="12" w:space="0"/>
                    <w:tl2br w:val="nil"/>
                    <w:tr2bl w:val="nil"/>
                  </w:tcBorders>
                  <w:shd w:val="clear" w:color="auto" w:fill="auto"/>
                  <w:tcMar>
                    <w:top w:w="0" w:type="dxa"/>
                    <w:left w:w="0" w:type="dxa"/>
                    <w:bottom w:w="0" w:type="dxa"/>
                    <w:right w:w="0" w:type="dxa"/>
                  </w:tcMar>
                  <w:vAlign w:val="center"/>
                </w:tcPr>
                <w:p w14:paraId="018A1EF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停止生产作业，修复后复产</w:t>
                  </w:r>
                </w:p>
              </w:tc>
            </w:tr>
            <w:tr w14:paraId="1CE0C8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769" w:type="dxa"/>
                  <w:tcBorders>
                    <w:tl2br w:val="nil"/>
                    <w:tr2bl w:val="nil"/>
                  </w:tcBorders>
                  <w:shd w:val="clear" w:color="auto" w:fill="auto"/>
                  <w:tcMar>
                    <w:top w:w="0" w:type="dxa"/>
                    <w:left w:w="0" w:type="dxa"/>
                    <w:bottom w:w="0" w:type="dxa"/>
                    <w:right w:w="0" w:type="dxa"/>
                  </w:tcMar>
                  <w:vAlign w:val="center"/>
                </w:tcPr>
                <w:p w14:paraId="76981DD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活性炭吸附脱附+蓄热催化燃烧</w:t>
                  </w:r>
                </w:p>
              </w:tc>
              <w:tc>
                <w:tcPr>
                  <w:tcW w:w="1422" w:type="dxa"/>
                  <w:tcBorders>
                    <w:tl2br w:val="nil"/>
                    <w:tr2bl w:val="nil"/>
                  </w:tcBorders>
                  <w:shd w:val="clear" w:color="auto" w:fill="auto"/>
                  <w:tcMar>
                    <w:top w:w="0" w:type="dxa"/>
                    <w:left w:w="0" w:type="dxa"/>
                    <w:bottom w:w="0" w:type="dxa"/>
                    <w:right w:w="0" w:type="dxa"/>
                  </w:tcMar>
                  <w:vAlign w:val="center"/>
                </w:tcPr>
                <w:p w14:paraId="71C32D16">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催化剂失活或加热故障，处理效率降至0%</w:t>
                  </w:r>
                </w:p>
              </w:tc>
              <w:tc>
                <w:tcPr>
                  <w:tcW w:w="559" w:type="dxa"/>
                  <w:tcBorders>
                    <w:tl2br w:val="nil"/>
                    <w:tr2bl w:val="nil"/>
                  </w:tcBorders>
                  <w:shd w:val="clear" w:color="auto" w:fill="auto"/>
                  <w:tcMar>
                    <w:top w:w="0" w:type="dxa"/>
                    <w:left w:w="0" w:type="dxa"/>
                    <w:bottom w:w="0" w:type="dxa"/>
                    <w:right w:w="0" w:type="dxa"/>
                  </w:tcMar>
                  <w:vAlign w:val="center"/>
                </w:tcPr>
                <w:p w14:paraId="368F0CE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非甲烷总烃</w:t>
                  </w:r>
                </w:p>
              </w:tc>
              <w:tc>
                <w:tcPr>
                  <w:tcW w:w="600" w:type="dxa"/>
                  <w:tcBorders>
                    <w:tl2br w:val="nil"/>
                    <w:tr2bl w:val="nil"/>
                  </w:tcBorders>
                  <w:shd w:val="clear" w:color="auto" w:fill="auto"/>
                  <w:tcMar>
                    <w:top w:w="0" w:type="dxa"/>
                    <w:left w:w="0" w:type="dxa"/>
                    <w:bottom w:w="0" w:type="dxa"/>
                    <w:right w:w="0" w:type="dxa"/>
                  </w:tcMar>
                  <w:vAlign w:val="center"/>
                </w:tcPr>
                <w:p w14:paraId="7154E3C7">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709" w:type="dxa"/>
                  <w:tcBorders>
                    <w:tl2br w:val="nil"/>
                    <w:tr2bl w:val="nil"/>
                  </w:tcBorders>
                  <w:shd w:val="clear" w:color="auto" w:fill="auto"/>
                  <w:tcMar>
                    <w:top w:w="0" w:type="dxa"/>
                    <w:left w:w="0" w:type="dxa"/>
                    <w:bottom w:w="0" w:type="dxa"/>
                    <w:right w:w="0" w:type="dxa"/>
                  </w:tcMar>
                  <w:vAlign w:val="center"/>
                </w:tcPr>
                <w:p w14:paraId="35613EA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157.2</w:t>
                  </w:r>
                </w:p>
              </w:tc>
              <w:tc>
                <w:tcPr>
                  <w:tcW w:w="723" w:type="dxa"/>
                  <w:tcBorders>
                    <w:tl2br w:val="nil"/>
                    <w:tr2bl w:val="nil"/>
                  </w:tcBorders>
                  <w:shd w:val="clear" w:color="auto" w:fill="auto"/>
                  <w:tcMar>
                    <w:top w:w="0" w:type="dxa"/>
                    <w:left w:w="0" w:type="dxa"/>
                    <w:bottom w:w="0" w:type="dxa"/>
                    <w:right w:w="0" w:type="dxa"/>
                  </w:tcMar>
                  <w:vAlign w:val="center"/>
                </w:tcPr>
                <w:p w14:paraId="1BE0BD7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w:t>
                  </w:r>
                </w:p>
              </w:tc>
              <w:tc>
                <w:tcPr>
                  <w:tcW w:w="494" w:type="dxa"/>
                  <w:tcBorders>
                    <w:tl2br w:val="nil"/>
                    <w:tr2bl w:val="nil"/>
                  </w:tcBorders>
                  <w:shd w:val="clear" w:color="auto" w:fill="auto"/>
                  <w:tcMar>
                    <w:top w:w="0" w:type="dxa"/>
                    <w:left w:w="0" w:type="dxa"/>
                    <w:bottom w:w="0" w:type="dxa"/>
                    <w:right w:w="0" w:type="dxa"/>
                  </w:tcMar>
                  <w:vAlign w:val="center"/>
                </w:tcPr>
                <w:p w14:paraId="1C07279F">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4.24倍</w:t>
                  </w:r>
                </w:p>
              </w:tc>
              <w:tc>
                <w:tcPr>
                  <w:tcW w:w="722" w:type="dxa"/>
                  <w:tcBorders>
                    <w:tl2br w:val="nil"/>
                    <w:tr2bl w:val="nil"/>
                  </w:tcBorders>
                  <w:shd w:val="clear" w:color="auto" w:fill="auto"/>
                  <w:tcMar>
                    <w:top w:w="0" w:type="dxa"/>
                    <w:left w:w="0" w:type="dxa"/>
                    <w:bottom w:w="0" w:type="dxa"/>
                    <w:right w:w="0" w:type="dxa"/>
                  </w:tcMar>
                  <w:vAlign w:val="center"/>
                </w:tcPr>
                <w:p w14:paraId="35D2174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≤1小时</w:t>
                  </w:r>
                </w:p>
              </w:tc>
              <w:tc>
                <w:tcPr>
                  <w:tcW w:w="514" w:type="dxa"/>
                  <w:tcBorders>
                    <w:tl2br w:val="nil"/>
                    <w:tr2bl w:val="nil"/>
                  </w:tcBorders>
                  <w:shd w:val="clear" w:color="auto" w:fill="auto"/>
                  <w:tcMar>
                    <w:top w:w="0" w:type="dxa"/>
                    <w:left w:w="0" w:type="dxa"/>
                    <w:bottom w:w="0" w:type="dxa"/>
                    <w:right w:w="0" w:type="dxa"/>
                  </w:tcMar>
                  <w:vAlign w:val="center"/>
                </w:tcPr>
                <w:p w14:paraId="1B804F0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≤1次/年</w:t>
                  </w:r>
                </w:p>
              </w:tc>
              <w:tc>
                <w:tcPr>
                  <w:tcW w:w="761" w:type="dxa"/>
                  <w:vMerge w:val="continue"/>
                  <w:tcBorders>
                    <w:tl2br w:val="nil"/>
                    <w:tr2bl w:val="nil"/>
                  </w:tcBorders>
                  <w:shd w:val="clear" w:color="auto" w:fill="auto"/>
                  <w:tcMar>
                    <w:top w:w="0" w:type="dxa"/>
                    <w:left w:w="0" w:type="dxa"/>
                    <w:bottom w:w="0" w:type="dxa"/>
                    <w:right w:w="0" w:type="dxa"/>
                  </w:tcMar>
                  <w:vAlign w:val="center"/>
                </w:tcPr>
                <w:p w14:paraId="383A155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p>
              </w:tc>
            </w:tr>
          </w:tbl>
          <w:p w14:paraId="288F3F9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（4）非正常工况管理要求</w:t>
            </w:r>
          </w:p>
          <w:p w14:paraId="44EE88D0">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为减少非正常工况的发生，企业应加强环保设施的日常维护与巡检，建立运行台账，关键设备（风机、阀门、传感器）定期校验。同时，制定突发环境事件应急预案中关于废气异常排放的处置章节，明确报告流程、控制措施和责任人，并定期组织演练。</w:t>
            </w:r>
          </w:p>
          <w:p w14:paraId="140866AE">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en-US" w:eastAsia="zh-CN" w:bidi="ar-SA"/>
              </w:rPr>
            </w:pPr>
            <w:r>
              <w:rPr>
                <w:rFonts w:hint="default" w:ascii="Times New Roman" w:hAnsi="Times New Roman" w:eastAsia="宋体" w:cs="Times New Roman"/>
                <w:bCs w:val="0"/>
                <w:color w:val="auto"/>
                <w:spacing w:val="0"/>
                <w:kern w:val="0"/>
                <w:position w:val="0"/>
                <w:sz w:val="24"/>
                <w:szCs w:val="24"/>
                <w:highlight w:val="none"/>
                <w:lang w:val="en-US" w:eastAsia="zh-CN" w:bidi="ar-SA"/>
              </w:rPr>
              <w:t>综上，在落实上述非正常工况应对措施的前提下，本项目非正常工况持续时间短、排放量有限，对周边环境的影响是暂时的、可控的。</w:t>
            </w:r>
          </w:p>
          <w:p w14:paraId="31E5F7C8">
            <w:pPr>
              <w:pStyle w:val="13"/>
              <w:keepNext w:val="0"/>
              <w:keepLines w:val="0"/>
              <w:pageBreakBefore w:val="0"/>
              <w:widowControl/>
              <w:shd w:val="clear"/>
              <w:kinsoku/>
              <w:wordWrap/>
              <w:overflowPunct/>
              <w:topLinePunct w:val="0"/>
              <w:autoSpaceDE/>
              <w:autoSpaceDN/>
              <w:bidi w:val="0"/>
              <w:adjustRightInd/>
              <w:snapToGrid w:val="0"/>
              <w:spacing w:before="0" w:after="0" w:line="360" w:lineRule="auto"/>
              <w:ind w:right="0"/>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1.</w:t>
            </w:r>
            <w:r>
              <w:rPr>
                <w:rFonts w:hint="eastAsia" w:ascii="Times New Roman" w:hAnsi="Times New Roman" w:eastAsia="宋体" w:cs="Times New Roman"/>
                <w:b/>
                <w:bCs/>
                <w:color w:val="auto"/>
                <w:spacing w:val="0"/>
                <w:kern w:val="0"/>
                <w:position w:val="0"/>
                <w:sz w:val="24"/>
                <w:szCs w:val="24"/>
                <w:highlight w:val="none"/>
                <w:lang w:val="en-US" w:eastAsia="zh-CN" w:bidi="ar-SA"/>
              </w:rPr>
              <w:t>6</w:t>
            </w:r>
            <w:r>
              <w:rPr>
                <w:rFonts w:hint="default" w:ascii="Times New Roman" w:hAnsi="Times New Roman" w:eastAsia="宋体" w:cs="Times New Roman"/>
                <w:b/>
                <w:bCs/>
                <w:color w:val="auto"/>
                <w:spacing w:val="0"/>
                <w:kern w:val="0"/>
                <w:position w:val="0"/>
                <w:sz w:val="24"/>
                <w:szCs w:val="24"/>
                <w:highlight w:val="none"/>
                <w:lang w:val="en-US" w:eastAsia="zh-CN" w:bidi="ar-SA"/>
              </w:rPr>
              <w:t>废气监测计划</w:t>
            </w:r>
          </w:p>
          <w:p w14:paraId="4D86D143">
            <w:pPr>
              <w:pStyle w:val="13"/>
              <w:keepNext w:val="0"/>
              <w:keepLines w:val="0"/>
              <w:pageBreakBefore w:val="0"/>
              <w:widowControl/>
              <w:shd w:val="clear"/>
              <w:kinsoku/>
              <w:wordWrap/>
              <w:overflowPunct/>
              <w:topLinePunct w:val="0"/>
              <w:autoSpaceDE/>
              <w:autoSpaceDN/>
              <w:bidi w:val="0"/>
              <w:adjustRightInd/>
              <w:snapToGrid w:val="0"/>
              <w:spacing w:before="0" w:after="0" w:line="360" w:lineRule="auto"/>
              <w:ind w:left="0" w:right="0" w:firstLine="480" w:firstLineChars="200"/>
              <w:textAlignment w:val="auto"/>
              <w:rPr>
                <w:rFonts w:hint="default" w:ascii="Times New Roman" w:hAnsi="Times New Roman" w:eastAsia="宋体" w:cs="Times New Roman"/>
                <w:bCs w:val="0"/>
                <w:color w:val="auto"/>
                <w:spacing w:val="0"/>
                <w:kern w:val="0"/>
                <w:position w:val="0"/>
                <w:sz w:val="24"/>
                <w:szCs w:val="24"/>
                <w:highlight w:val="none"/>
                <w:lang w:val="zh-CN" w:eastAsia="zh-CN" w:bidi="ar-SA"/>
              </w:rPr>
            </w:pPr>
            <w:r>
              <w:rPr>
                <w:rFonts w:hint="default" w:ascii="Times New Roman" w:hAnsi="Times New Roman" w:eastAsia="宋体" w:cs="Times New Roman"/>
                <w:bCs w:val="0"/>
                <w:color w:val="auto"/>
                <w:spacing w:val="0"/>
                <w:kern w:val="0"/>
                <w:position w:val="0"/>
                <w:sz w:val="24"/>
                <w:szCs w:val="24"/>
                <w:highlight w:val="none"/>
                <w:lang w:val="zh-CN" w:eastAsia="zh-CN" w:bidi="ar-SA"/>
              </w:rPr>
              <w:t>本项目为</w:t>
            </w:r>
            <w:r>
              <w:rPr>
                <w:rFonts w:hint="eastAsia" w:ascii="Times New Roman" w:hAnsi="Times New Roman" w:eastAsia="宋体" w:cs="Times New Roman"/>
                <w:bCs w:val="0"/>
                <w:color w:val="auto"/>
                <w:spacing w:val="0"/>
                <w:kern w:val="0"/>
                <w:position w:val="0"/>
                <w:sz w:val="24"/>
                <w:szCs w:val="24"/>
                <w:highlight w:val="none"/>
                <w:lang w:val="en-US" w:eastAsia="zh-CN" w:bidi="ar-SA"/>
              </w:rPr>
              <w:t>水泥制品</w:t>
            </w:r>
            <w:r>
              <w:rPr>
                <w:rFonts w:hint="default" w:ascii="Times New Roman" w:hAnsi="Times New Roman" w:eastAsia="宋体" w:cs="Times New Roman"/>
                <w:bCs w:val="0"/>
                <w:color w:val="auto"/>
                <w:spacing w:val="0"/>
                <w:kern w:val="0"/>
                <w:position w:val="0"/>
                <w:sz w:val="24"/>
                <w:szCs w:val="24"/>
                <w:highlight w:val="none"/>
                <w:lang w:val="zh-CN" w:eastAsia="zh-CN" w:bidi="ar-SA"/>
              </w:rPr>
              <w:t>制造</w:t>
            </w:r>
            <w:r>
              <w:rPr>
                <w:rFonts w:hint="eastAsia" w:ascii="Times New Roman" w:hAnsi="Times New Roman" w:eastAsia="宋体" w:cs="Times New Roman"/>
                <w:bCs w:val="0"/>
                <w:color w:val="auto"/>
                <w:spacing w:val="0"/>
                <w:kern w:val="0"/>
                <w:position w:val="0"/>
                <w:sz w:val="24"/>
                <w:szCs w:val="24"/>
                <w:highlight w:val="none"/>
                <w:lang w:val="en-US" w:eastAsia="zh-CN" w:bidi="ar-SA"/>
              </w:rPr>
              <w:t>业</w:t>
            </w:r>
            <w:r>
              <w:rPr>
                <w:rFonts w:hint="default" w:ascii="Times New Roman" w:hAnsi="Times New Roman" w:eastAsia="宋体" w:cs="Times New Roman"/>
                <w:bCs w:val="0"/>
                <w:color w:val="auto"/>
                <w:spacing w:val="0"/>
                <w:kern w:val="0"/>
                <w:position w:val="0"/>
                <w:sz w:val="24"/>
                <w:szCs w:val="24"/>
                <w:highlight w:val="none"/>
                <w:lang w:val="zh-CN" w:eastAsia="zh-CN" w:bidi="ar-SA"/>
              </w:rPr>
              <w:t>，根据《固定污染源排污许可分类管理名录（2019年版）》，本项目为</w:t>
            </w:r>
            <w:r>
              <w:rPr>
                <w:rFonts w:hint="eastAsia" w:ascii="Times New Roman" w:hAnsi="Times New Roman" w:eastAsia="宋体" w:cs="Times New Roman"/>
                <w:bCs w:val="0"/>
                <w:color w:val="auto"/>
                <w:spacing w:val="0"/>
                <w:kern w:val="0"/>
                <w:position w:val="0"/>
                <w:sz w:val="24"/>
                <w:szCs w:val="24"/>
                <w:highlight w:val="none"/>
                <w:lang w:val="zh-CN" w:eastAsia="zh-CN" w:bidi="ar-SA"/>
              </w:rPr>
              <w:t>“</w:t>
            </w:r>
            <w:r>
              <w:rPr>
                <w:rFonts w:hint="default" w:ascii="Times New Roman" w:hAnsi="Times New Roman" w:eastAsia="宋体" w:cs="Times New Roman"/>
                <w:bCs w:val="0"/>
                <w:color w:val="auto"/>
                <w:spacing w:val="0"/>
                <w:kern w:val="0"/>
                <w:position w:val="0"/>
                <w:sz w:val="24"/>
                <w:szCs w:val="24"/>
                <w:highlight w:val="none"/>
                <w:lang w:val="zh-CN" w:eastAsia="zh-CN" w:bidi="ar-SA"/>
              </w:rPr>
              <w:t>二十</w:t>
            </w:r>
            <w:r>
              <w:rPr>
                <w:rFonts w:hint="eastAsia" w:ascii="Times New Roman" w:hAnsi="Times New Roman" w:eastAsia="宋体" w:cs="Times New Roman"/>
                <w:bCs w:val="0"/>
                <w:color w:val="auto"/>
                <w:spacing w:val="0"/>
                <w:kern w:val="0"/>
                <w:position w:val="0"/>
                <w:sz w:val="24"/>
                <w:szCs w:val="24"/>
                <w:highlight w:val="none"/>
                <w:lang w:val="zh-CN" w:eastAsia="zh-CN" w:bidi="ar-SA"/>
              </w:rPr>
              <w:t>四</w:t>
            </w:r>
            <w:r>
              <w:rPr>
                <w:rFonts w:hint="default" w:ascii="Times New Roman" w:hAnsi="Times New Roman" w:eastAsia="宋体" w:cs="Times New Roman"/>
                <w:bCs w:val="0"/>
                <w:color w:val="auto"/>
                <w:spacing w:val="0"/>
                <w:kern w:val="0"/>
                <w:position w:val="0"/>
                <w:sz w:val="24"/>
                <w:szCs w:val="24"/>
                <w:highlight w:val="none"/>
                <w:lang w:val="zh-CN" w:eastAsia="zh-CN" w:bidi="ar-SA"/>
              </w:rPr>
              <w:t>、</w:t>
            </w:r>
            <w:r>
              <w:rPr>
                <w:rFonts w:hint="eastAsia" w:ascii="Times New Roman" w:hAnsi="Times New Roman" w:eastAsia="宋体" w:cs="Times New Roman"/>
                <w:bCs w:val="0"/>
                <w:color w:val="auto"/>
                <w:spacing w:val="0"/>
                <w:kern w:val="0"/>
                <w:position w:val="0"/>
                <w:sz w:val="24"/>
                <w:szCs w:val="24"/>
                <w:highlight w:val="none"/>
                <w:lang w:val="zh-CN" w:eastAsia="zh-CN" w:bidi="ar-SA"/>
              </w:rPr>
              <w:t>橡胶和塑料制品业</w:t>
            </w:r>
            <w:r>
              <w:rPr>
                <w:rFonts w:hint="eastAsia" w:ascii="Times New Roman" w:hAnsi="Times New Roman" w:eastAsia="宋体" w:cs="Times New Roman"/>
                <w:bCs w:val="0"/>
                <w:color w:val="auto"/>
                <w:spacing w:val="0"/>
                <w:kern w:val="0"/>
                <w:position w:val="0"/>
                <w:sz w:val="24"/>
                <w:szCs w:val="24"/>
                <w:highlight w:val="none"/>
                <w:lang w:val="en-US" w:eastAsia="zh-CN" w:bidi="ar-SA"/>
              </w:rPr>
              <w:t>29</w:t>
            </w:r>
            <w:r>
              <w:rPr>
                <w:rFonts w:hint="default" w:ascii="Times New Roman" w:hAnsi="Times New Roman" w:eastAsia="宋体" w:cs="Times New Roman"/>
                <w:bCs w:val="0"/>
                <w:color w:val="auto"/>
                <w:spacing w:val="0"/>
                <w:kern w:val="0"/>
                <w:position w:val="0"/>
                <w:sz w:val="24"/>
                <w:szCs w:val="24"/>
                <w:highlight w:val="none"/>
                <w:lang w:val="zh-CN" w:eastAsia="zh-CN" w:bidi="ar-SA"/>
              </w:rPr>
              <w:t>—</w:t>
            </w:r>
            <w:r>
              <w:rPr>
                <w:rFonts w:hint="eastAsia" w:ascii="Times New Roman" w:hAnsi="Times New Roman" w:eastAsia="宋体" w:cs="Times New Roman"/>
                <w:bCs w:val="0"/>
                <w:color w:val="auto"/>
                <w:spacing w:val="0"/>
                <w:kern w:val="0"/>
                <w:position w:val="0"/>
                <w:sz w:val="24"/>
                <w:szCs w:val="24"/>
                <w:highlight w:val="none"/>
                <w:lang w:val="en-US" w:eastAsia="zh-CN" w:bidi="ar-SA"/>
              </w:rPr>
              <w:t>塑料制品业292</w:t>
            </w:r>
            <w:r>
              <w:rPr>
                <w:rFonts w:hint="default" w:ascii="Times New Roman" w:hAnsi="Times New Roman" w:eastAsia="宋体" w:cs="Times New Roman"/>
                <w:bCs w:val="0"/>
                <w:color w:val="auto"/>
                <w:spacing w:val="0"/>
                <w:kern w:val="0"/>
                <w:position w:val="0"/>
                <w:sz w:val="24"/>
                <w:szCs w:val="24"/>
                <w:highlight w:val="none"/>
                <w:lang w:val="en-US" w:eastAsia="zh-CN" w:bidi="ar-SA"/>
              </w:rPr>
              <w:t>，</w:t>
            </w:r>
            <w:r>
              <w:rPr>
                <w:rFonts w:hint="eastAsia" w:ascii="Times New Roman" w:hAnsi="Times New Roman" w:eastAsia="宋体" w:cs="Times New Roman"/>
                <w:bCs w:val="0"/>
                <w:color w:val="auto"/>
                <w:spacing w:val="0"/>
                <w:kern w:val="0"/>
                <w:position w:val="0"/>
                <w:sz w:val="24"/>
                <w:szCs w:val="24"/>
                <w:highlight w:val="none"/>
                <w:lang w:val="en-US" w:eastAsia="zh-CN" w:bidi="ar-SA"/>
              </w:rPr>
              <w:t>塑料零件及其他塑料制品制造2929</w:t>
            </w:r>
            <w:r>
              <w:rPr>
                <w:rFonts w:hint="eastAsia" w:ascii="Times New Roman" w:hAnsi="Times New Roman" w:eastAsia="宋体" w:cs="Times New Roman"/>
                <w:bCs w:val="0"/>
                <w:color w:val="auto"/>
                <w:spacing w:val="0"/>
                <w:kern w:val="0"/>
                <w:position w:val="0"/>
                <w:sz w:val="24"/>
                <w:szCs w:val="24"/>
                <w:highlight w:val="none"/>
                <w:lang w:val="zh-CN" w:eastAsia="zh-CN" w:bidi="ar-SA"/>
              </w:rPr>
              <w:t>”</w:t>
            </w:r>
            <w:r>
              <w:rPr>
                <w:rFonts w:hint="default" w:ascii="Times New Roman" w:hAnsi="Times New Roman" w:eastAsia="宋体" w:cs="Times New Roman"/>
                <w:bCs w:val="0"/>
                <w:color w:val="auto"/>
                <w:spacing w:val="0"/>
                <w:kern w:val="0"/>
                <w:position w:val="0"/>
                <w:sz w:val="24"/>
                <w:szCs w:val="24"/>
                <w:highlight w:val="none"/>
                <w:lang w:val="zh-CN" w:eastAsia="zh-CN" w:bidi="ar-SA"/>
              </w:rPr>
              <w:t>，属于</w:t>
            </w:r>
            <w:r>
              <w:rPr>
                <w:rFonts w:hint="eastAsia" w:ascii="Times New Roman" w:hAnsi="Times New Roman" w:eastAsia="宋体" w:cs="Times New Roman"/>
                <w:bCs w:val="0"/>
                <w:color w:val="auto"/>
                <w:spacing w:val="0"/>
                <w:kern w:val="0"/>
                <w:position w:val="0"/>
                <w:sz w:val="24"/>
                <w:szCs w:val="24"/>
                <w:highlight w:val="none"/>
                <w:lang w:val="zh-CN" w:eastAsia="zh-CN" w:bidi="ar-SA"/>
              </w:rPr>
              <w:t>简化</w:t>
            </w:r>
            <w:r>
              <w:rPr>
                <w:rFonts w:hint="default" w:ascii="Times New Roman" w:hAnsi="Times New Roman" w:eastAsia="宋体" w:cs="Times New Roman"/>
                <w:bCs w:val="0"/>
                <w:color w:val="auto"/>
                <w:spacing w:val="0"/>
                <w:kern w:val="0"/>
                <w:position w:val="0"/>
                <w:sz w:val="24"/>
                <w:szCs w:val="24"/>
                <w:highlight w:val="none"/>
                <w:lang w:val="zh-CN" w:eastAsia="zh-CN" w:bidi="ar-SA"/>
              </w:rPr>
              <w:t>管理。</w:t>
            </w:r>
          </w:p>
          <w:p w14:paraId="0E013C03">
            <w:pPr>
              <w:pStyle w:val="13"/>
              <w:keepNext w:val="0"/>
              <w:keepLines w:val="0"/>
              <w:pageBreakBefore w:val="0"/>
              <w:widowControl/>
              <w:shd w:val="clear"/>
              <w:kinsoku/>
              <w:wordWrap/>
              <w:overflowPunct/>
              <w:topLinePunct w:val="0"/>
              <w:autoSpaceDE/>
              <w:autoSpaceDN/>
              <w:bidi w:val="0"/>
              <w:adjustRightInd/>
              <w:snapToGrid w:val="0"/>
              <w:spacing w:before="0" w:after="0" w:line="360" w:lineRule="auto"/>
              <w:ind w:left="0" w:right="0" w:firstLine="480" w:firstLineChars="200"/>
              <w:textAlignment w:val="auto"/>
              <w:rPr>
                <w:rFonts w:hint="eastAsia" w:ascii="Times New Roman" w:hAnsi="Times New Roman" w:eastAsia="宋体" w:cs="Times New Roman"/>
                <w:bCs w:val="0"/>
                <w:color w:val="auto"/>
                <w:spacing w:val="0"/>
                <w:kern w:val="0"/>
                <w:position w:val="0"/>
                <w:sz w:val="24"/>
                <w:szCs w:val="24"/>
                <w:highlight w:val="none"/>
                <w:u w:val="none"/>
                <w:lang w:val="en-US" w:eastAsia="zh-CN" w:bidi="ar-SA"/>
              </w:rPr>
            </w:pPr>
            <w:r>
              <w:rPr>
                <w:rFonts w:hint="eastAsia" w:ascii="Times New Roman" w:hAnsi="Times New Roman" w:eastAsia="宋体" w:cs="Times New Roman"/>
                <w:bCs w:val="0"/>
                <w:color w:val="auto"/>
                <w:spacing w:val="0"/>
                <w:kern w:val="0"/>
                <w:position w:val="0"/>
                <w:sz w:val="24"/>
                <w:szCs w:val="24"/>
                <w:highlight w:val="none"/>
                <w:lang w:val="en-US" w:eastAsia="zh-CN" w:bidi="ar-SA"/>
              </w:rPr>
              <w:t>根据《排污单位自</w:t>
            </w:r>
            <w:r>
              <w:rPr>
                <w:rFonts w:hint="eastAsia" w:ascii="Times New Roman" w:hAnsi="Times New Roman" w:eastAsia="宋体" w:cs="Times New Roman"/>
                <w:bCs w:val="0"/>
                <w:color w:val="auto"/>
                <w:spacing w:val="0"/>
                <w:kern w:val="0"/>
                <w:position w:val="0"/>
                <w:sz w:val="24"/>
                <w:szCs w:val="24"/>
                <w:highlight w:val="none"/>
                <w:u w:val="none"/>
                <w:lang w:val="en-US" w:eastAsia="zh-CN" w:bidi="ar-SA"/>
              </w:rPr>
              <w:t>行监测技术指南总则》（HJ819-2017）中最低监测频次要求，本项目污染源属于非主要污染源，排放口类型为一般排放口。监测计划、排放口基本情况见表4-7。</w:t>
            </w:r>
          </w:p>
          <w:p w14:paraId="41D838FF">
            <w:pPr>
              <w:pStyle w:val="13"/>
              <w:keepNext w:val="0"/>
              <w:keepLines w:val="0"/>
              <w:pageBreakBefore w:val="0"/>
              <w:widowControl/>
              <w:shd w:val="clear"/>
              <w:kinsoku/>
              <w:wordWrap/>
              <w:overflowPunct/>
              <w:topLinePunct w:val="0"/>
              <w:autoSpaceDE/>
              <w:autoSpaceDN/>
              <w:bidi w:val="0"/>
              <w:adjustRightInd/>
              <w:snapToGrid w:val="0"/>
              <w:spacing w:before="0" w:after="0" w:line="240" w:lineRule="auto"/>
              <w:ind w:left="0" w:right="0" w:firstLine="422" w:firstLineChars="200"/>
              <w:jc w:val="center"/>
              <w:textAlignment w:val="auto"/>
              <w:rPr>
                <w:rFonts w:hint="eastAsia" w:ascii="Times New Roman" w:hAnsi="Times New Roman" w:eastAsia="宋体" w:cs="Times New Roman"/>
                <w:bCs w:val="0"/>
                <w:color w:val="auto"/>
                <w:spacing w:val="0"/>
                <w:kern w:val="0"/>
                <w:position w:val="0"/>
                <w:sz w:val="21"/>
                <w:szCs w:val="21"/>
                <w:highlight w:val="none"/>
                <w:u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表4-</w:t>
            </w:r>
            <w:r>
              <w:rPr>
                <w:rFonts w:hint="eastAsia" w:ascii="Times New Roman" w:hAnsi="Times New Roman" w:eastAsia="宋体" w:cs="Times New Roman"/>
                <w:b/>
                <w:bCs/>
                <w:color w:val="auto"/>
                <w:kern w:val="0"/>
                <w:sz w:val="21"/>
                <w:szCs w:val="21"/>
                <w:highlight w:val="none"/>
                <w:lang w:val="en-US" w:eastAsia="zh-CN" w:bidi="ar-SA"/>
              </w:rPr>
              <w:t>7</w:t>
            </w:r>
            <w:r>
              <w:rPr>
                <w:rFonts w:hint="default" w:ascii="Times New Roman" w:hAnsi="Times New Roman" w:eastAsia="宋体" w:cs="Times New Roman"/>
                <w:b/>
                <w:bCs/>
                <w:color w:val="auto"/>
                <w:kern w:val="0"/>
                <w:sz w:val="21"/>
                <w:szCs w:val="21"/>
                <w:highlight w:val="none"/>
                <w:lang w:val="en-US" w:eastAsia="zh-CN" w:bidi="ar-SA"/>
              </w:rPr>
              <w:t xml:space="preserve">   本项目有组织废气监测计划</w:t>
            </w:r>
            <w:r>
              <w:rPr>
                <w:rFonts w:hint="eastAsia" w:ascii="Times New Roman" w:hAnsi="Times New Roman" w:eastAsia="宋体" w:cs="Times New Roman"/>
                <w:b/>
                <w:bCs/>
                <w:color w:val="auto"/>
                <w:kern w:val="0"/>
                <w:sz w:val="21"/>
                <w:szCs w:val="21"/>
                <w:highlight w:val="none"/>
                <w:lang w:val="en-US" w:eastAsia="zh-CN" w:bidi="ar-SA"/>
              </w:rPr>
              <w:t>一览</w:t>
            </w:r>
            <w:r>
              <w:rPr>
                <w:rFonts w:hint="default" w:ascii="Times New Roman" w:hAnsi="Times New Roman" w:eastAsia="宋体" w:cs="Times New Roman"/>
                <w:b/>
                <w:bCs/>
                <w:color w:val="auto"/>
                <w:kern w:val="0"/>
                <w:sz w:val="21"/>
                <w:szCs w:val="21"/>
                <w:highlight w:val="none"/>
                <w:lang w:val="en-US" w:eastAsia="zh-CN" w:bidi="ar-SA"/>
              </w:rPr>
              <w:t>表</w:t>
            </w:r>
          </w:p>
          <w:tbl>
            <w:tblPr>
              <w:tblStyle w:val="26"/>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129"/>
              <w:gridCol w:w="1114"/>
              <w:gridCol w:w="1243"/>
              <w:gridCol w:w="2918"/>
            </w:tblGrid>
            <w:tr w14:paraId="4D25FE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7" w:type="dxa"/>
                  <w:tcBorders>
                    <w:bottom w:val="single" w:color="auto" w:sz="12" w:space="0"/>
                  </w:tcBorders>
                  <w:vAlign w:val="center"/>
                </w:tcPr>
                <w:p w14:paraId="72018C72">
                  <w:pPr>
                    <w:pStyle w:val="30"/>
                    <w:shd w:val="clear"/>
                    <w:jc w:val="center"/>
                    <w:rPr>
                      <w:rFonts w:hint="default" w:ascii="Times New Roman" w:hAnsi="Times New Roman" w:cs="Times New Roman"/>
                      <w:b/>
                      <w:bCs/>
                      <w:color w:val="auto"/>
                      <w:sz w:val="21"/>
                      <w:szCs w:val="21"/>
                      <w:vertAlign w:val="baseline"/>
                    </w:rPr>
                  </w:pPr>
                  <w:r>
                    <w:rPr>
                      <w:rFonts w:hint="default" w:ascii="Times New Roman" w:hAnsi="Times New Roman" w:cs="Times New Roman"/>
                      <w:b/>
                      <w:bCs/>
                      <w:color w:val="auto"/>
                      <w:sz w:val="21"/>
                      <w:szCs w:val="21"/>
                    </w:rPr>
                    <w:t>污染源类别</w:t>
                  </w:r>
                </w:p>
              </w:tc>
              <w:tc>
                <w:tcPr>
                  <w:tcW w:w="1129" w:type="dxa"/>
                  <w:tcBorders>
                    <w:bottom w:val="single" w:color="auto" w:sz="12" w:space="0"/>
                  </w:tcBorders>
                  <w:vAlign w:val="center"/>
                </w:tcPr>
                <w:p w14:paraId="6FFF035D">
                  <w:pPr>
                    <w:keepNext w:val="0"/>
                    <w:keepLines w:val="0"/>
                    <w:widowControl/>
                    <w:suppressLineNumbers w:val="0"/>
                    <w:shd w:val="clear"/>
                    <w:jc w:val="center"/>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监测位置</w:t>
                  </w:r>
                </w:p>
              </w:tc>
              <w:tc>
                <w:tcPr>
                  <w:tcW w:w="1114" w:type="dxa"/>
                  <w:tcBorders>
                    <w:bottom w:val="single" w:color="auto" w:sz="12" w:space="0"/>
                  </w:tcBorders>
                  <w:vAlign w:val="center"/>
                </w:tcPr>
                <w:p w14:paraId="2DDFFD39">
                  <w:pPr>
                    <w:pStyle w:val="30"/>
                    <w:shd w:val="clear"/>
                    <w:jc w:val="center"/>
                    <w:rPr>
                      <w:rFonts w:hint="default" w:ascii="Times New Roman" w:hAnsi="Times New Roman" w:cs="Times New Roman"/>
                      <w:b/>
                      <w:bCs/>
                      <w:color w:val="auto"/>
                      <w:sz w:val="21"/>
                      <w:szCs w:val="21"/>
                      <w:vertAlign w:val="baseline"/>
                    </w:rPr>
                  </w:pPr>
                  <w:r>
                    <w:rPr>
                      <w:rFonts w:hint="default" w:ascii="Times New Roman" w:hAnsi="Times New Roman" w:cs="Times New Roman"/>
                      <w:b/>
                      <w:bCs/>
                      <w:color w:val="auto"/>
                      <w:sz w:val="21"/>
                      <w:szCs w:val="21"/>
                      <w:vertAlign w:val="baseline"/>
                    </w:rPr>
                    <w:t>监测指标</w:t>
                  </w:r>
                </w:p>
              </w:tc>
              <w:tc>
                <w:tcPr>
                  <w:tcW w:w="1243" w:type="dxa"/>
                  <w:tcBorders>
                    <w:bottom w:val="single" w:color="auto" w:sz="12" w:space="0"/>
                  </w:tcBorders>
                  <w:vAlign w:val="center"/>
                </w:tcPr>
                <w:p w14:paraId="471F1B9C">
                  <w:pPr>
                    <w:pStyle w:val="30"/>
                    <w:shd w:val="clear"/>
                    <w:jc w:val="center"/>
                    <w:rPr>
                      <w:rFonts w:hint="default" w:ascii="Times New Roman" w:hAnsi="Times New Roman" w:cs="Times New Roman"/>
                      <w:b/>
                      <w:bCs/>
                      <w:color w:val="auto"/>
                      <w:sz w:val="21"/>
                      <w:szCs w:val="21"/>
                      <w:vertAlign w:val="baseline"/>
                    </w:rPr>
                  </w:pPr>
                  <w:r>
                    <w:rPr>
                      <w:rFonts w:hint="default" w:ascii="Times New Roman" w:hAnsi="Times New Roman" w:cs="Times New Roman"/>
                      <w:b/>
                      <w:bCs/>
                      <w:color w:val="auto"/>
                      <w:sz w:val="21"/>
                      <w:szCs w:val="21"/>
                      <w:vertAlign w:val="baseline"/>
                    </w:rPr>
                    <w:t>监测频次</w:t>
                  </w:r>
                </w:p>
              </w:tc>
              <w:tc>
                <w:tcPr>
                  <w:tcW w:w="2918" w:type="dxa"/>
                  <w:tcBorders>
                    <w:bottom w:val="single" w:color="auto" w:sz="12" w:space="0"/>
                  </w:tcBorders>
                  <w:vAlign w:val="center"/>
                </w:tcPr>
                <w:p w14:paraId="1C6475F6">
                  <w:pPr>
                    <w:keepNext w:val="0"/>
                    <w:keepLines w:val="0"/>
                    <w:widowControl/>
                    <w:suppressLineNumbers w:val="0"/>
                    <w:shd w:val="clear"/>
                    <w:jc w:val="center"/>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执行标准</w:t>
                  </w:r>
                </w:p>
              </w:tc>
            </w:tr>
            <w:tr w14:paraId="600F67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7" w:type="dxa"/>
                  <w:vMerge w:val="restart"/>
                  <w:tcBorders>
                    <w:top w:val="single" w:color="auto" w:sz="12" w:space="0"/>
                    <w:tl2br w:val="nil"/>
                    <w:tr2bl w:val="nil"/>
                  </w:tcBorders>
                  <w:vAlign w:val="center"/>
                </w:tcPr>
                <w:p w14:paraId="684ABDFA">
                  <w:pPr>
                    <w:pStyle w:val="30"/>
                    <w:shd w:val="clear"/>
                    <w:jc w:val="center"/>
                    <w:rPr>
                      <w:rFonts w:hint="default" w:ascii="Times New Roman" w:hAnsi="Times New Roman" w:eastAsia="宋体" w:cs="Times New Roman"/>
                      <w:color w:val="auto"/>
                      <w:sz w:val="21"/>
                      <w:szCs w:val="21"/>
                      <w:vertAlign w:val="baseline"/>
                      <w:lang w:eastAsia="zh-CN"/>
                    </w:rPr>
                  </w:pPr>
                  <w:r>
                    <w:rPr>
                      <w:rFonts w:hint="default" w:ascii="Times New Roman" w:hAnsi="Times New Roman" w:cs="Times New Roman"/>
                      <w:color w:val="auto"/>
                      <w:sz w:val="21"/>
                      <w:szCs w:val="21"/>
                      <w:vertAlign w:val="baseline"/>
                      <w:lang w:eastAsia="zh-CN"/>
                    </w:rPr>
                    <w:t>有组织</w:t>
                  </w:r>
                </w:p>
              </w:tc>
              <w:tc>
                <w:tcPr>
                  <w:tcW w:w="1129" w:type="dxa"/>
                  <w:tcBorders>
                    <w:top w:val="single" w:color="auto" w:sz="12" w:space="0"/>
                    <w:tl2br w:val="nil"/>
                    <w:tr2bl w:val="nil"/>
                  </w:tcBorders>
                  <w:vAlign w:val="center"/>
                </w:tcPr>
                <w:p w14:paraId="008D9A5A">
                  <w:pPr>
                    <w:pStyle w:val="30"/>
                    <w:shd w:val="clea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DA00</w:t>
                  </w:r>
                  <w:r>
                    <w:rPr>
                      <w:rFonts w:hint="default" w:ascii="Times New Roman" w:hAnsi="Times New Roman" w:cs="Times New Roman"/>
                      <w:color w:val="auto"/>
                      <w:sz w:val="21"/>
                      <w:szCs w:val="21"/>
                      <w:lang w:val="en-US"/>
                    </w:rPr>
                    <w:t>1</w:t>
                  </w:r>
                </w:p>
              </w:tc>
              <w:tc>
                <w:tcPr>
                  <w:tcW w:w="1114" w:type="dxa"/>
                  <w:tcBorders>
                    <w:top w:val="single" w:color="auto" w:sz="12" w:space="0"/>
                    <w:tl2br w:val="nil"/>
                    <w:tr2bl w:val="nil"/>
                  </w:tcBorders>
                  <w:vAlign w:val="center"/>
                </w:tcPr>
                <w:p w14:paraId="43E08F76">
                  <w:pPr>
                    <w:pStyle w:val="30"/>
                    <w:shd w:val="clea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颗粒物</w:t>
                  </w:r>
                </w:p>
              </w:tc>
              <w:tc>
                <w:tcPr>
                  <w:tcW w:w="1243" w:type="dxa"/>
                  <w:tcBorders>
                    <w:top w:val="single" w:color="auto" w:sz="12" w:space="0"/>
                    <w:tl2br w:val="nil"/>
                    <w:tr2bl w:val="nil"/>
                  </w:tcBorders>
                  <w:vAlign w:val="center"/>
                </w:tcPr>
                <w:p w14:paraId="7BB01F3D">
                  <w:pPr>
                    <w:pStyle w:val="30"/>
                    <w:shd w:val="clear"/>
                    <w:jc w:val="center"/>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rPr>
                    <w:t>1次/半年</w:t>
                  </w:r>
                </w:p>
              </w:tc>
              <w:tc>
                <w:tcPr>
                  <w:tcW w:w="2918" w:type="dxa"/>
                  <w:vMerge w:val="restart"/>
                  <w:tcBorders>
                    <w:top w:val="single" w:color="auto" w:sz="12" w:space="0"/>
                    <w:tl2br w:val="nil"/>
                    <w:tr2bl w:val="nil"/>
                  </w:tcBorders>
                  <w:vAlign w:val="center"/>
                </w:tcPr>
                <w:p w14:paraId="5CB87587">
                  <w:pPr>
                    <w:shd w:val="clear"/>
                    <w:adjustRightInd w:val="0"/>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w:t>
                  </w:r>
                  <w:r>
                    <w:rPr>
                      <w:rFonts w:hint="default" w:ascii="Times New Roman" w:hAnsi="Times New Roman" w:cs="Times New Roman"/>
                      <w:color w:val="auto"/>
                      <w:kern w:val="0"/>
                      <w:sz w:val="21"/>
                      <w:szCs w:val="21"/>
                      <w:lang w:val="en-US" w:eastAsia="zh-CN"/>
                    </w:rPr>
                    <w:t>合成树脂工业污染物排放标准</w:t>
                  </w:r>
                  <w:r>
                    <w:rPr>
                      <w:rFonts w:hint="default" w:ascii="Times New Roman" w:hAnsi="Times New Roman" w:eastAsia="宋体" w:cs="Times New Roman"/>
                      <w:color w:val="auto"/>
                      <w:kern w:val="0"/>
                      <w:sz w:val="21"/>
                      <w:szCs w:val="21"/>
                      <w:lang w:val="en-US" w:eastAsia="zh-CN"/>
                    </w:rPr>
                    <w:t>》</w:t>
                  </w:r>
                  <w:r>
                    <w:rPr>
                      <w:rFonts w:hint="eastAsia" w:cs="Times New Roman"/>
                      <w:color w:val="auto"/>
                      <w:kern w:val="0"/>
                      <w:sz w:val="21"/>
                      <w:szCs w:val="21"/>
                      <w:lang w:val="en-US" w:eastAsia="zh-CN"/>
                    </w:rPr>
                    <w:t>（GB 31572-2015，含2024年修改单）</w:t>
                  </w:r>
                </w:p>
              </w:tc>
            </w:tr>
            <w:tr w14:paraId="3F4300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7" w:type="dxa"/>
                  <w:vMerge w:val="continue"/>
                  <w:tcBorders>
                    <w:tl2br w:val="nil"/>
                    <w:tr2bl w:val="nil"/>
                  </w:tcBorders>
                  <w:vAlign w:val="center"/>
                </w:tcPr>
                <w:p w14:paraId="79BBFAC5">
                  <w:pPr>
                    <w:pStyle w:val="30"/>
                    <w:shd w:val="clear"/>
                    <w:jc w:val="center"/>
                    <w:rPr>
                      <w:rFonts w:hint="default" w:ascii="Times New Roman" w:hAnsi="Times New Roman" w:eastAsia="宋体" w:cs="Times New Roman"/>
                      <w:color w:val="auto"/>
                      <w:sz w:val="21"/>
                      <w:szCs w:val="21"/>
                      <w:vertAlign w:val="baseline"/>
                      <w:lang w:eastAsia="zh-CN"/>
                    </w:rPr>
                  </w:pPr>
                </w:p>
              </w:tc>
              <w:tc>
                <w:tcPr>
                  <w:tcW w:w="1129" w:type="dxa"/>
                  <w:tcBorders>
                    <w:tl2br w:val="nil"/>
                    <w:tr2bl w:val="nil"/>
                  </w:tcBorders>
                  <w:vAlign w:val="center"/>
                </w:tcPr>
                <w:p w14:paraId="737ACF5D">
                  <w:pPr>
                    <w:pStyle w:val="30"/>
                    <w:shd w:val="clear"/>
                    <w:jc w:val="center"/>
                    <w:rPr>
                      <w:rFonts w:hint="default" w:ascii="Times New Roman" w:hAnsi="Times New Roman" w:eastAsia="宋体" w:cs="Times New Roman"/>
                      <w:color w:val="auto"/>
                      <w:sz w:val="21"/>
                      <w:szCs w:val="21"/>
                      <w:vertAlign w:val="baseline"/>
                      <w:lang w:eastAsia="zh-CN"/>
                    </w:rPr>
                  </w:pPr>
                  <w:r>
                    <w:rPr>
                      <w:rFonts w:hint="default" w:ascii="Times New Roman" w:hAnsi="Times New Roman" w:cs="Times New Roman"/>
                      <w:color w:val="auto"/>
                      <w:sz w:val="21"/>
                      <w:szCs w:val="21"/>
                    </w:rPr>
                    <w:t>DA00</w:t>
                  </w:r>
                  <w:r>
                    <w:rPr>
                      <w:rFonts w:hint="default" w:ascii="Times New Roman" w:hAnsi="Times New Roman" w:cs="Times New Roman"/>
                      <w:color w:val="auto"/>
                      <w:sz w:val="21"/>
                      <w:szCs w:val="21"/>
                      <w:lang w:val="en-US" w:eastAsia="zh-CN"/>
                    </w:rPr>
                    <w:t>2</w:t>
                  </w:r>
                </w:p>
              </w:tc>
              <w:tc>
                <w:tcPr>
                  <w:tcW w:w="1114" w:type="dxa"/>
                  <w:vMerge w:val="restart"/>
                  <w:tcBorders>
                    <w:tl2br w:val="nil"/>
                    <w:tr2bl w:val="nil"/>
                  </w:tcBorders>
                  <w:vAlign w:val="center"/>
                </w:tcPr>
                <w:p w14:paraId="6720F369">
                  <w:pPr>
                    <w:pStyle w:val="30"/>
                    <w:shd w:val="clear"/>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非甲烷</w:t>
                  </w:r>
                </w:p>
                <w:p w14:paraId="179FD4CD">
                  <w:pPr>
                    <w:pStyle w:val="30"/>
                    <w:shd w:val="clear"/>
                    <w:jc w:val="center"/>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lang w:eastAsia="zh-CN"/>
                    </w:rPr>
                    <w:t>总烃</w:t>
                  </w:r>
                </w:p>
              </w:tc>
              <w:tc>
                <w:tcPr>
                  <w:tcW w:w="1243" w:type="dxa"/>
                  <w:tcBorders>
                    <w:tl2br w:val="nil"/>
                    <w:tr2bl w:val="nil"/>
                  </w:tcBorders>
                  <w:vAlign w:val="center"/>
                </w:tcPr>
                <w:p w14:paraId="1410159F">
                  <w:pPr>
                    <w:pStyle w:val="30"/>
                    <w:shd w:val="clear"/>
                    <w:jc w:val="center"/>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rPr>
                    <w:t>1次/半年</w:t>
                  </w:r>
                </w:p>
              </w:tc>
              <w:tc>
                <w:tcPr>
                  <w:tcW w:w="2918" w:type="dxa"/>
                  <w:vMerge w:val="continue"/>
                  <w:tcBorders>
                    <w:tl2br w:val="nil"/>
                    <w:tr2bl w:val="nil"/>
                  </w:tcBorders>
                  <w:vAlign w:val="center"/>
                </w:tcPr>
                <w:p w14:paraId="22D64084">
                  <w:pPr>
                    <w:shd w:val="clear"/>
                    <w:adjustRightInd w:val="0"/>
                    <w:snapToGrid w:val="0"/>
                    <w:jc w:val="center"/>
                    <w:rPr>
                      <w:rFonts w:hint="default" w:ascii="Times New Roman" w:hAnsi="Times New Roman" w:eastAsia="宋体" w:cs="Times New Roman"/>
                      <w:color w:val="auto"/>
                      <w:kern w:val="0"/>
                      <w:sz w:val="21"/>
                      <w:szCs w:val="21"/>
                      <w:lang w:val="en-US" w:eastAsia="zh-CN" w:bidi="ar-SA"/>
                    </w:rPr>
                  </w:pPr>
                </w:p>
              </w:tc>
            </w:tr>
            <w:tr w14:paraId="7D03FE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7" w:type="dxa"/>
                  <w:vMerge w:val="restart"/>
                  <w:tcBorders>
                    <w:tl2br w:val="nil"/>
                    <w:tr2bl w:val="nil"/>
                  </w:tcBorders>
                  <w:vAlign w:val="center"/>
                </w:tcPr>
                <w:p w14:paraId="13555714">
                  <w:pPr>
                    <w:pStyle w:val="30"/>
                    <w:shd w:val="clear"/>
                    <w:jc w:val="center"/>
                    <w:rPr>
                      <w:rFonts w:hint="default" w:ascii="Times New Roman" w:hAnsi="Times New Roman" w:eastAsia="宋体" w:cs="Times New Roman"/>
                      <w:color w:val="auto"/>
                      <w:sz w:val="21"/>
                      <w:szCs w:val="21"/>
                      <w:vertAlign w:val="baseline"/>
                      <w:lang w:eastAsia="zh-CN"/>
                    </w:rPr>
                  </w:pPr>
                  <w:r>
                    <w:rPr>
                      <w:rFonts w:hint="default" w:ascii="Times New Roman" w:hAnsi="Times New Roman" w:cs="Times New Roman"/>
                      <w:color w:val="auto"/>
                      <w:sz w:val="21"/>
                      <w:szCs w:val="21"/>
                      <w:vertAlign w:val="baseline"/>
                      <w:lang w:eastAsia="zh-CN"/>
                    </w:rPr>
                    <w:t>无组织</w:t>
                  </w:r>
                </w:p>
              </w:tc>
              <w:tc>
                <w:tcPr>
                  <w:tcW w:w="1129" w:type="dxa"/>
                  <w:tcBorders>
                    <w:tl2br w:val="nil"/>
                    <w:tr2bl w:val="nil"/>
                  </w:tcBorders>
                  <w:vAlign w:val="center"/>
                </w:tcPr>
                <w:p w14:paraId="20F8AA85">
                  <w:pPr>
                    <w:pStyle w:val="30"/>
                    <w:shd w:val="clear"/>
                    <w:jc w:val="center"/>
                    <w:rPr>
                      <w:rFonts w:hint="default" w:ascii="Times New Roman" w:hAnsi="Times New Roman" w:eastAsia="宋体" w:cs="Times New Roman"/>
                      <w:color w:val="auto"/>
                      <w:sz w:val="21"/>
                      <w:szCs w:val="21"/>
                      <w:vertAlign w:val="baseline"/>
                      <w:lang w:eastAsia="zh-CN"/>
                    </w:rPr>
                  </w:pPr>
                  <w:r>
                    <w:rPr>
                      <w:rFonts w:hint="default" w:ascii="Times New Roman" w:hAnsi="Times New Roman" w:cs="Times New Roman"/>
                      <w:color w:val="auto"/>
                      <w:sz w:val="21"/>
                      <w:szCs w:val="21"/>
                      <w:vertAlign w:val="baseline"/>
                      <w:lang w:eastAsia="zh-CN"/>
                    </w:rPr>
                    <w:t>厂区</w:t>
                  </w:r>
                </w:p>
              </w:tc>
              <w:tc>
                <w:tcPr>
                  <w:tcW w:w="1114" w:type="dxa"/>
                  <w:vMerge w:val="continue"/>
                  <w:tcBorders>
                    <w:tl2br w:val="nil"/>
                    <w:tr2bl w:val="nil"/>
                  </w:tcBorders>
                  <w:vAlign w:val="center"/>
                </w:tcPr>
                <w:p w14:paraId="6B69EFB4">
                  <w:pPr>
                    <w:pStyle w:val="30"/>
                    <w:shd w:val="clear"/>
                    <w:jc w:val="center"/>
                    <w:rPr>
                      <w:rFonts w:hint="default" w:ascii="Times New Roman" w:hAnsi="Times New Roman" w:cs="Times New Roman"/>
                      <w:color w:val="auto"/>
                      <w:sz w:val="21"/>
                      <w:szCs w:val="21"/>
                      <w:vertAlign w:val="baseline"/>
                    </w:rPr>
                  </w:pPr>
                </w:p>
              </w:tc>
              <w:tc>
                <w:tcPr>
                  <w:tcW w:w="1243" w:type="dxa"/>
                  <w:tcBorders>
                    <w:tl2br w:val="nil"/>
                    <w:tr2bl w:val="nil"/>
                  </w:tcBorders>
                  <w:vAlign w:val="center"/>
                </w:tcPr>
                <w:p w14:paraId="5514DBCF">
                  <w:pPr>
                    <w:pStyle w:val="30"/>
                    <w:shd w:val="clear"/>
                    <w:jc w:val="center"/>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rPr>
                    <w:t>1次/年</w:t>
                  </w:r>
                </w:p>
              </w:tc>
              <w:tc>
                <w:tcPr>
                  <w:tcW w:w="2918" w:type="dxa"/>
                  <w:tcBorders>
                    <w:tl2br w:val="nil"/>
                    <w:tr2bl w:val="nil"/>
                  </w:tcBorders>
                  <w:vAlign w:val="center"/>
                </w:tcPr>
                <w:p w14:paraId="77266169">
                  <w:pPr>
                    <w:shd w:val="clear"/>
                    <w:adjustRightInd w:val="0"/>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rPr>
                    <w:t>挥发性有机物无组织排放控制标准》（GB37822-2019）表A.1中特别排放限值</w:t>
                  </w:r>
                </w:p>
              </w:tc>
            </w:tr>
            <w:tr w14:paraId="648460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7" w:type="dxa"/>
                  <w:vMerge w:val="continue"/>
                  <w:tcBorders>
                    <w:tl2br w:val="nil"/>
                    <w:tr2bl w:val="nil"/>
                  </w:tcBorders>
                  <w:vAlign w:val="center"/>
                </w:tcPr>
                <w:p w14:paraId="467D9FF9">
                  <w:pPr>
                    <w:pStyle w:val="30"/>
                    <w:shd w:val="clear"/>
                    <w:jc w:val="center"/>
                    <w:rPr>
                      <w:rFonts w:hint="default" w:ascii="Times New Roman" w:hAnsi="Times New Roman" w:cs="Times New Roman"/>
                      <w:color w:val="auto"/>
                      <w:sz w:val="21"/>
                      <w:szCs w:val="21"/>
                      <w:vertAlign w:val="baseline"/>
                    </w:rPr>
                  </w:pPr>
                </w:p>
              </w:tc>
              <w:tc>
                <w:tcPr>
                  <w:tcW w:w="1129" w:type="dxa"/>
                  <w:tcBorders>
                    <w:tl2br w:val="nil"/>
                    <w:tr2bl w:val="nil"/>
                  </w:tcBorders>
                  <w:vAlign w:val="center"/>
                </w:tcPr>
                <w:p w14:paraId="4735E6DC">
                  <w:pPr>
                    <w:pStyle w:val="30"/>
                    <w:shd w:val="clear"/>
                    <w:jc w:val="center"/>
                    <w:rPr>
                      <w:rFonts w:hint="default" w:ascii="Times New Roman" w:hAnsi="Times New Roman" w:eastAsia="宋体" w:cs="Times New Roman"/>
                      <w:color w:val="auto"/>
                      <w:sz w:val="21"/>
                      <w:szCs w:val="21"/>
                      <w:vertAlign w:val="baseline"/>
                      <w:lang w:eastAsia="zh-CN"/>
                    </w:rPr>
                  </w:pPr>
                  <w:r>
                    <w:rPr>
                      <w:rFonts w:hint="default" w:ascii="Times New Roman" w:hAnsi="Times New Roman" w:cs="Times New Roman"/>
                      <w:color w:val="auto"/>
                      <w:sz w:val="21"/>
                      <w:szCs w:val="21"/>
                      <w:vertAlign w:val="baseline"/>
                      <w:lang w:eastAsia="zh-CN"/>
                    </w:rPr>
                    <w:t>厂界</w:t>
                  </w:r>
                </w:p>
              </w:tc>
              <w:tc>
                <w:tcPr>
                  <w:tcW w:w="1114" w:type="dxa"/>
                  <w:vMerge w:val="continue"/>
                  <w:tcBorders>
                    <w:tl2br w:val="nil"/>
                    <w:tr2bl w:val="nil"/>
                  </w:tcBorders>
                  <w:vAlign w:val="center"/>
                </w:tcPr>
                <w:p w14:paraId="50DC07F5">
                  <w:pPr>
                    <w:pStyle w:val="30"/>
                    <w:shd w:val="clear"/>
                    <w:jc w:val="center"/>
                    <w:rPr>
                      <w:rFonts w:hint="default" w:ascii="Times New Roman" w:hAnsi="Times New Roman" w:cs="Times New Roman"/>
                      <w:color w:val="auto"/>
                      <w:sz w:val="21"/>
                      <w:szCs w:val="21"/>
                      <w:vertAlign w:val="baseline"/>
                    </w:rPr>
                  </w:pPr>
                </w:p>
              </w:tc>
              <w:tc>
                <w:tcPr>
                  <w:tcW w:w="1243" w:type="dxa"/>
                  <w:tcBorders>
                    <w:tl2br w:val="nil"/>
                    <w:tr2bl w:val="nil"/>
                  </w:tcBorders>
                  <w:vAlign w:val="center"/>
                </w:tcPr>
                <w:p w14:paraId="2473F80C">
                  <w:pPr>
                    <w:pStyle w:val="30"/>
                    <w:shd w:val="clear"/>
                    <w:jc w:val="center"/>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rPr>
                    <w:t>1次/年</w:t>
                  </w:r>
                </w:p>
              </w:tc>
              <w:tc>
                <w:tcPr>
                  <w:tcW w:w="2918" w:type="dxa"/>
                  <w:tcBorders>
                    <w:tl2br w:val="nil"/>
                    <w:tr2bl w:val="nil"/>
                  </w:tcBorders>
                  <w:vAlign w:val="center"/>
                </w:tcPr>
                <w:p w14:paraId="05FC157C">
                  <w:pPr>
                    <w:shd w:val="clear"/>
                    <w:adjustRightInd w:val="0"/>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w:t>
                  </w:r>
                  <w:r>
                    <w:rPr>
                      <w:rFonts w:hint="default" w:ascii="Times New Roman" w:hAnsi="Times New Roman" w:cs="Times New Roman"/>
                      <w:color w:val="auto"/>
                      <w:kern w:val="0"/>
                      <w:sz w:val="21"/>
                      <w:szCs w:val="21"/>
                      <w:lang w:val="en-US" w:eastAsia="zh-CN"/>
                    </w:rPr>
                    <w:t>合成树脂工业污染物排放标准</w:t>
                  </w:r>
                  <w:r>
                    <w:rPr>
                      <w:rFonts w:hint="default" w:ascii="Times New Roman" w:hAnsi="Times New Roman" w:eastAsia="宋体" w:cs="Times New Roman"/>
                      <w:color w:val="auto"/>
                      <w:kern w:val="0"/>
                      <w:sz w:val="21"/>
                      <w:szCs w:val="21"/>
                      <w:lang w:val="en-US" w:eastAsia="zh-CN"/>
                    </w:rPr>
                    <w:t>》</w:t>
                  </w:r>
                  <w:r>
                    <w:rPr>
                      <w:rFonts w:hint="eastAsia" w:cs="Times New Roman"/>
                      <w:color w:val="auto"/>
                      <w:kern w:val="0"/>
                      <w:sz w:val="21"/>
                      <w:szCs w:val="21"/>
                      <w:lang w:val="en-US" w:eastAsia="zh-CN"/>
                    </w:rPr>
                    <w:t>（GB 31572-2015，含2024年修改单）</w:t>
                  </w:r>
                  <w:r>
                    <w:rPr>
                      <w:rFonts w:hint="default" w:ascii="Times New Roman" w:hAnsi="Times New Roman" w:cs="Times New Roman"/>
                      <w:color w:val="auto"/>
                      <w:kern w:val="0"/>
                      <w:sz w:val="21"/>
                      <w:szCs w:val="21"/>
                      <w:lang w:val="en-US" w:eastAsia="zh-CN"/>
                    </w:rPr>
                    <w:t>表9</w:t>
                  </w:r>
                </w:p>
              </w:tc>
            </w:tr>
          </w:tbl>
          <w:p w14:paraId="013DB3B3">
            <w:pPr>
              <w:pStyle w:val="6"/>
              <w:keepNext/>
              <w:keepLines/>
              <w:pageBreakBefore w:val="0"/>
              <w:widowControl w:val="0"/>
              <w:numPr>
                <w:ilvl w:val="0"/>
                <w:numId w:val="0"/>
              </w:numPr>
              <w:shd w:val="clea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bCs/>
                <w:color w:val="auto"/>
                <w:spacing w:val="0"/>
                <w:kern w:val="0"/>
                <w:position w:val="0"/>
                <w:sz w:val="24"/>
                <w:szCs w:val="24"/>
                <w:highlight w:val="none"/>
                <w:lang w:val="en-US" w:eastAsia="zh-CN" w:bidi="ar-SA"/>
              </w:rPr>
            </w:pPr>
            <w:r>
              <w:rPr>
                <w:rFonts w:hint="default" w:ascii="Times New Roman" w:hAnsi="Times New Roman" w:eastAsia="宋体" w:cs="Times New Roman"/>
                <w:b/>
                <w:bCs/>
                <w:color w:val="auto"/>
                <w:spacing w:val="0"/>
                <w:kern w:val="0"/>
                <w:position w:val="0"/>
                <w:sz w:val="24"/>
                <w:szCs w:val="24"/>
                <w:highlight w:val="none"/>
                <w:lang w:val="en-US" w:eastAsia="zh-CN" w:bidi="ar-SA"/>
              </w:rPr>
              <w:t>2.废水</w:t>
            </w:r>
          </w:p>
          <w:p w14:paraId="76830721">
            <w:pPr>
              <w:pageBreakBefore w:val="0"/>
              <w:shd w:val="clear"/>
              <w:kinsoku/>
              <w:wordWrap/>
              <w:overflowPunct/>
              <w:topLinePunct w:val="0"/>
              <w:autoSpaceDE/>
              <w:autoSpaceDN/>
              <w:bidi w:val="0"/>
              <w:spacing w:beforeAutospacing="0" w:afterAutospacing="0" w:line="360" w:lineRule="auto"/>
              <w:ind w:left="0" w:leftChars="0" w:right="0" w:rightChars="0" w:firstLine="0" w:firstLineChars="0"/>
              <w:jc w:val="both"/>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rPr>
              <w:t>2.1环境影响分析</w:t>
            </w:r>
          </w:p>
          <w:p w14:paraId="71F501A1">
            <w:pPr>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本项目</w:t>
            </w:r>
            <w:r>
              <w:rPr>
                <w:rFonts w:hint="default" w:ascii="Times New Roman" w:hAnsi="Times New Roman" w:eastAsia="宋体" w:cs="Times New Roman"/>
                <w:color w:val="auto"/>
                <w:spacing w:val="0"/>
                <w:position w:val="0"/>
                <w:sz w:val="24"/>
                <w:szCs w:val="24"/>
                <w:highlight w:val="none"/>
                <w:lang w:val="en-US" w:eastAsia="zh-CN"/>
              </w:rPr>
              <w:t>运营期产生的</w:t>
            </w:r>
            <w:r>
              <w:rPr>
                <w:rFonts w:hint="default" w:ascii="Times New Roman" w:hAnsi="Times New Roman" w:eastAsia="宋体" w:cs="Times New Roman"/>
                <w:color w:val="auto"/>
                <w:spacing w:val="0"/>
                <w:position w:val="0"/>
                <w:sz w:val="24"/>
                <w:szCs w:val="24"/>
                <w:highlight w:val="none"/>
              </w:rPr>
              <w:t>污水主要为生活污水，生活污水排放量约</w:t>
            </w:r>
            <w:r>
              <w:rPr>
                <w:rFonts w:hint="eastAsia" w:ascii="Times New Roman" w:hAnsi="Times New Roman" w:cs="Times New Roman"/>
                <w:color w:val="auto"/>
                <w:spacing w:val="0"/>
                <w:position w:val="0"/>
                <w:sz w:val="24"/>
                <w:szCs w:val="24"/>
                <w:highlight w:val="none"/>
                <w:lang w:val="en-US" w:eastAsia="zh-CN"/>
              </w:rPr>
              <w:t>240</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rPr>
              <w:t>/a，主要污染物为</w:t>
            </w:r>
            <w:r>
              <w:rPr>
                <w:rFonts w:hint="default" w:ascii="Times New Roman" w:hAnsi="Times New Roman" w:cs="Times New Roman"/>
                <w:color w:val="auto"/>
                <w:spacing w:val="0"/>
                <w:position w:val="0"/>
                <w:sz w:val="24"/>
                <w:szCs w:val="24"/>
                <w:highlight w:val="none"/>
                <w:lang w:val="en-US" w:eastAsia="zh-CN"/>
              </w:rPr>
              <w:t>SS、BOD</w:t>
            </w:r>
            <w:r>
              <w:rPr>
                <w:rFonts w:hint="default" w:ascii="Times New Roman" w:hAnsi="Times New Roman" w:cs="Times New Roman"/>
                <w:color w:val="auto"/>
                <w:spacing w:val="0"/>
                <w:position w:val="0"/>
                <w:sz w:val="24"/>
                <w:szCs w:val="24"/>
                <w:highlight w:val="none"/>
                <w:vertAlign w:val="subscript"/>
                <w:lang w:val="en-US" w:eastAsia="zh-CN"/>
              </w:rPr>
              <w:t>5</w:t>
            </w:r>
            <w:r>
              <w:rPr>
                <w:rFonts w:hint="default" w:ascii="Times New Roman" w:hAnsi="Times New Roman" w:cs="Times New Roman"/>
                <w:color w:val="auto"/>
                <w:spacing w:val="0"/>
                <w:position w:val="0"/>
                <w:sz w:val="24"/>
                <w:szCs w:val="24"/>
                <w:highlight w:val="none"/>
                <w:lang w:val="en-US" w:eastAsia="zh-CN"/>
              </w:rPr>
              <w:t>、</w:t>
            </w:r>
            <w:r>
              <w:rPr>
                <w:rFonts w:hint="default" w:ascii="Times New Roman" w:hAnsi="Times New Roman" w:eastAsia="宋体" w:cs="Times New Roman"/>
                <w:color w:val="auto"/>
                <w:spacing w:val="0"/>
                <w:position w:val="0"/>
                <w:sz w:val="24"/>
                <w:szCs w:val="24"/>
                <w:highlight w:val="none"/>
              </w:rPr>
              <w:t>COD、NH</w:t>
            </w:r>
            <w:r>
              <w:rPr>
                <w:rFonts w:hint="default" w:ascii="Times New Roman" w:hAnsi="Times New Roman" w:eastAsia="宋体" w:cs="Times New Roman"/>
                <w:color w:val="auto"/>
                <w:spacing w:val="0"/>
                <w:position w:val="0"/>
                <w:sz w:val="24"/>
                <w:szCs w:val="24"/>
                <w:highlight w:val="none"/>
                <w:vertAlign w:val="subscript"/>
              </w:rPr>
              <w:t>3</w:t>
            </w:r>
            <w:r>
              <w:rPr>
                <w:rFonts w:hint="default" w:ascii="Times New Roman" w:hAnsi="Times New Roman" w:eastAsia="宋体" w:cs="Times New Roman"/>
                <w:color w:val="auto"/>
                <w:spacing w:val="0"/>
                <w:position w:val="0"/>
                <w:sz w:val="24"/>
                <w:szCs w:val="24"/>
                <w:highlight w:val="none"/>
              </w:rPr>
              <w:t>-N等，项目排放生活污水排入阜康市西部城区污水处理厂。</w:t>
            </w:r>
          </w:p>
          <w:p w14:paraId="0792CA76">
            <w:pPr>
              <w:pStyle w:val="7"/>
              <w:pageBreakBefore w:val="0"/>
              <w:widowControl w:val="0"/>
              <w:shd w:val="clear"/>
              <w:kinsoku/>
              <w:wordWrap/>
              <w:overflowPunct/>
              <w:topLinePunct w:val="0"/>
              <w:autoSpaceDE/>
              <w:autoSpaceDN/>
              <w:bidi w:val="0"/>
              <w:adjustRightInd/>
              <w:snapToGrid/>
              <w:spacing w:beforeLines="0" w:beforeAutospacing="0" w:afterLines="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本项目污水排放属间接排放，每天的污水量产生量较小，污染物浓度较低，排入污水处理厂对其冲击负荷小，不会影响污水处理厂的正常运行。综上所述，本项目的废水排放通过相应的措施处理后对周边水环境影响较小</w:t>
            </w:r>
          </w:p>
          <w:p w14:paraId="564E3987">
            <w:pPr>
              <w:pStyle w:val="8"/>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eastAsia="宋体" w:cs="Times New Roman"/>
                <w:b/>
                <w:bCs/>
                <w:color w:val="auto"/>
                <w:spacing w:val="0"/>
                <w:position w:val="0"/>
                <w:sz w:val="24"/>
                <w:szCs w:val="24"/>
                <w:highlight w:val="none"/>
                <w:lang w:val="en-US" w:eastAsia="zh-CN"/>
              </w:rPr>
              <w:t>2.2</w:t>
            </w:r>
            <w:r>
              <w:rPr>
                <w:rFonts w:hint="default" w:ascii="Times New Roman" w:hAnsi="Times New Roman" w:eastAsia="宋体" w:cs="Times New Roman"/>
                <w:b/>
                <w:bCs/>
                <w:color w:val="auto"/>
                <w:spacing w:val="0"/>
                <w:position w:val="0"/>
                <w:sz w:val="24"/>
                <w:szCs w:val="24"/>
                <w:highlight w:val="none"/>
              </w:rPr>
              <w:t>废水产生情况及处置措施</w:t>
            </w:r>
          </w:p>
          <w:p w14:paraId="0A843016">
            <w:pPr>
              <w:pStyle w:val="23"/>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lang w:val="en-US" w:eastAsia="zh-CN"/>
              </w:rPr>
              <w:t>根据水量平衡分析，本项目营运期劳动定员</w:t>
            </w:r>
            <w:r>
              <w:rPr>
                <w:rFonts w:hint="eastAsia" w:cs="Times New Roman"/>
                <w:color w:val="auto"/>
                <w:spacing w:val="0"/>
                <w:position w:val="0"/>
                <w:sz w:val="24"/>
                <w:szCs w:val="24"/>
                <w:highlight w:val="none"/>
                <w:lang w:val="en-US" w:eastAsia="zh-CN"/>
              </w:rPr>
              <w:t>20</w:t>
            </w:r>
            <w:r>
              <w:rPr>
                <w:rFonts w:hint="default" w:ascii="Times New Roman" w:hAnsi="Times New Roman" w:eastAsia="宋体" w:cs="Times New Roman"/>
                <w:color w:val="auto"/>
                <w:spacing w:val="0"/>
                <w:position w:val="0"/>
                <w:sz w:val="24"/>
                <w:szCs w:val="24"/>
                <w:highlight w:val="none"/>
                <w:lang w:val="en-US" w:eastAsia="zh-CN"/>
              </w:rPr>
              <w:t>人，</w:t>
            </w:r>
            <w:r>
              <w:rPr>
                <w:rFonts w:hint="default" w:ascii="Times New Roman" w:hAnsi="Times New Roman" w:eastAsia="宋体" w:cs="Times New Roman"/>
                <w:color w:val="auto"/>
                <w:spacing w:val="0"/>
                <w:position w:val="0"/>
                <w:sz w:val="24"/>
                <w:szCs w:val="24"/>
                <w:highlight w:val="none"/>
              </w:rPr>
              <w:t>生活污水</w:t>
            </w:r>
            <w:r>
              <w:rPr>
                <w:rFonts w:hint="default" w:ascii="Times New Roman" w:hAnsi="Times New Roman" w:eastAsia="宋体" w:cs="Times New Roman"/>
                <w:color w:val="auto"/>
                <w:spacing w:val="0"/>
                <w:position w:val="0"/>
                <w:sz w:val="24"/>
                <w:szCs w:val="24"/>
                <w:highlight w:val="none"/>
                <w:lang w:val="en-US" w:eastAsia="zh-CN"/>
              </w:rPr>
              <w:t>主要污染物为COD、SS、BOD</w:t>
            </w:r>
            <w:r>
              <w:rPr>
                <w:rFonts w:hint="default" w:ascii="Times New Roman" w:hAnsi="Times New Roman" w:eastAsia="宋体" w:cs="Times New Roman"/>
                <w:color w:val="auto"/>
                <w:spacing w:val="0"/>
                <w:position w:val="0"/>
                <w:sz w:val="24"/>
                <w:szCs w:val="24"/>
                <w:highlight w:val="none"/>
                <w:vertAlign w:val="subscript"/>
                <w:lang w:val="en-US" w:eastAsia="zh-CN"/>
              </w:rPr>
              <w:t>5</w:t>
            </w:r>
            <w:r>
              <w:rPr>
                <w:rFonts w:hint="default" w:ascii="Times New Roman" w:hAnsi="Times New Roman" w:eastAsia="宋体" w:cs="Times New Roman"/>
                <w:color w:val="auto"/>
                <w:spacing w:val="0"/>
                <w:position w:val="0"/>
                <w:sz w:val="24"/>
                <w:szCs w:val="24"/>
                <w:highlight w:val="none"/>
                <w:lang w:val="en-US" w:eastAsia="zh-CN"/>
              </w:rPr>
              <w:t>、NH</w:t>
            </w:r>
            <w:r>
              <w:rPr>
                <w:rFonts w:hint="default" w:ascii="Times New Roman" w:hAnsi="Times New Roman" w:eastAsia="宋体" w:cs="Times New Roman"/>
                <w:color w:val="auto"/>
                <w:spacing w:val="0"/>
                <w:position w:val="0"/>
                <w:sz w:val="24"/>
                <w:szCs w:val="24"/>
                <w:highlight w:val="none"/>
                <w:vertAlign w:val="subscript"/>
                <w:lang w:val="en-US" w:eastAsia="zh-CN"/>
              </w:rPr>
              <w:t>3</w:t>
            </w:r>
            <w:r>
              <w:rPr>
                <w:rFonts w:hint="default" w:ascii="Times New Roman" w:hAnsi="Times New Roman" w:eastAsia="宋体" w:cs="Times New Roman"/>
                <w:color w:val="auto"/>
                <w:spacing w:val="0"/>
                <w:position w:val="0"/>
                <w:sz w:val="24"/>
                <w:szCs w:val="24"/>
                <w:highlight w:val="none"/>
                <w:lang w:val="en-US" w:eastAsia="zh-CN"/>
              </w:rPr>
              <w:t>-N等。每人每天用水量按照</w:t>
            </w:r>
            <w:r>
              <w:rPr>
                <w:rFonts w:hint="default" w:ascii="Times New Roman" w:hAnsi="Times New Roman" w:cs="Times New Roman"/>
                <w:color w:val="auto"/>
                <w:spacing w:val="0"/>
                <w:position w:val="0"/>
                <w:sz w:val="24"/>
                <w:szCs w:val="24"/>
                <w:highlight w:val="none"/>
                <w:lang w:val="en-US" w:eastAsia="zh-CN"/>
              </w:rPr>
              <w:t>50</w:t>
            </w:r>
            <w:r>
              <w:rPr>
                <w:rFonts w:hint="default" w:ascii="Times New Roman" w:hAnsi="Times New Roman" w:eastAsia="宋体" w:cs="Times New Roman"/>
                <w:color w:val="auto"/>
                <w:spacing w:val="0"/>
                <w:position w:val="0"/>
                <w:sz w:val="24"/>
                <w:szCs w:val="24"/>
                <w:highlight w:val="none"/>
                <w:lang w:val="en-US" w:eastAsia="zh-CN"/>
              </w:rPr>
              <w:t>L/人</w:t>
            </w:r>
            <w:r>
              <w:rPr>
                <w:rFonts w:hint="default" w:ascii="Times New Roman" w:hAnsi="Times New Roman" w:cs="Times New Roman"/>
                <w:color w:val="auto"/>
                <w:spacing w:val="0"/>
                <w:position w:val="0"/>
                <w:sz w:val="24"/>
                <w:szCs w:val="24"/>
                <w:highlight w:val="none"/>
                <w:lang w:val="en-US" w:eastAsia="zh-CN"/>
              </w:rPr>
              <w:t>·</w:t>
            </w:r>
            <w:r>
              <w:rPr>
                <w:rFonts w:hint="default" w:ascii="Times New Roman" w:hAnsi="Times New Roman" w:eastAsia="宋体" w:cs="Times New Roman"/>
                <w:color w:val="auto"/>
                <w:spacing w:val="0"/>
                <w:position w:val="0"/>
                <w:sz w:val="24"/>
                <w:szCs w:val="24"/>
                <w:highlight w:val="none"/>
                <w:lang w:val="en-US" w:eastAsia="zh-CN"/>
              </w:rPr>
              <w:t>d计，则用水量为</w:t>
            </w:r>
            <w:r>
              <w:rPr>
                <w:rFonts w:hint="eastAsia" w:cs="Times New Roman"/>
                <w:color w:val="auto"/>
                <w:spacing w:val="0"/>
                <w:position w:val="0"/>
                <w:sz w:val="24"/>
                <w:szCs w:val="24"/>
                <w:highlight w:val="none"/>
                <w:lang w:val="en-US" w:eastAsia="zh-CN"/>
              </w:rPr>
              <w:t>1</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rPr>
              <w:t>/d</w:t>
            </w:r>
            <w:r>
              <w:rPr>
                <w:rFonts w:hint="default" w:ascii="Times New Roman" w:hAnsi="Times New Roman" w:eastAsia="宋体" w:cs="Times New Roman"/>
                <w:color w:val="auto"/>
                <w:spacing w:val="0"/>
                <w:position w:val="0"/>
                <w:sz w:val="24"/>
                <w:szCs w:val="24"/>
                <w:highlight w:val="none"/>
                <w:lang w:eastAsia="zh-CN"/>
              </w:rPr>
              <w:t>（</w:t>
            </w:r>
            <w:r>
              <w:rPr>
                <w:rFonts w:hint="eastAsia" w:cs="Times New Roman"/>
                <w:color w:val="auto"/>
                <w:spacing w:val="0"/>
                <w:position w:val="0"/>
                <w:sz w:val="24"/>
                <w:szCs w:val="24"/>
                <w:highlight w:val="none"/>
                <w:lang w:val="en-US" w:eastAsia="zh-CN"/>
              </w:rPr>
              <w:t>300</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rPr>
              <w:t>/a</w:t>
            </w: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lang w:val="en-US" w:eastAsia="zh-CN"/>
              </w:rPr>
              <w:t>，排放的污水量按用水量的80%计，则排水量约为</w:t>
            </w:r>
            <w:r>
              <w:rPr>
                <w:rFonts w:hint="default" w:ascii="Times New Roman" w:hAnsi="Times New Roman" w:cs="Times New Roman"/>
                <w:color w:val="auto"/>
                <w:spacing w:val="0"/>
                <w:position w:val="0"/>
                <w:sz w:val="24"/>
                <w:szCs w:val="24"/>
                <w:highlight w:val="none"/>
                <w:lang w:val="en-US" w:eastAsia="zh-CN"/>
              </w:rPr>
              <w:t>0.6</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lang w:val="en-US" w:eastAsia="zh-CN"/>
              </w:rPr>
              <w:t>/d（</w:t>
            </w:r>
            <w:r>
              <w:rPr>
                <w:rFonts w:hint="eastAsia" w:cs="Times New Roman"/>
                <w:color w:val="auto"/>
                <w:spacing w:val="0"/>
                <w:position w:val="0"/>
                <w:sz w:val="24"/>
                <w:szCs w:val="24"/>
                <w:highlight w:val="none"/>
                <w:lang w:val="en-US" w:eastAsia="zh-CN"/>
              </w:rPr>
              <w:t>240</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lang w:val="en-US" w:eastAsia="zh-CN"/>
              </w:rPr>
              <w:t>/a）。生活污水排入园区污水管网，最终排入阜康市西部城区污水处理厂处理，对项目区周围水环境影响较小。</w:t>
            </w:r>
          </w:p>
          <w:p w14:paraId="70936CB8">
            <w:pPr>
              <w:pStyle w:val="58"/>
              <w:pageBreakBefore w:val="0"/>
              <w:shd w:val="clear"/>
              <w:kinsoku/>
              <w:wordWrap/>
              <w:overflowPunct/>
              <w:topLinePunct w:val="0"/>
              <w:autoSpaceDE/>
              <w:autoSpaceDN/>
              <w:bidi w:val="0"/>
              <w:spacing w:beforeAutospacing="0" w:afterAutospacing="0" w:line="240" w:lineRule="auto"/>
              <w:ind w:left="0" w:leftChars="0" w:right="0" w:rightChars="0" w:firstLine="422" w:firstLineChars="20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表4-</w:t>
            </w:r>
            <w:r>
              <w:rPr>
                <w:rFonts w:hint="default" w:ascii="Times New Roman" w:hAnsi="Times New Roman" w:cs="Times New Roman"/>
                <w:b/>
                <w:bCs/>
                <w:color w:val="auto"/>
                <w:spacing w:val="0"/>
                <w:position w:val="0"/>
                <w:sz w:val="21"/>
                <w:szCs w:val="21"/>
                <w:highlight w:val="none"/>
                <w:lang w:val="en-US" w:eastAsia="zh-CN"/>
              </w:rPr>
              <w:t xml:space="preserve">5    </w:t>
            </w:r>
            <w:r>
              <w:rPr>
                <w:rFonts w:hint="default" w:ascii="Times New Roman" w:hAnsi="Times New Roman" w:eastAsia="宋体" w:cs="Times New Roman"/>
                <w:b/>
                <w:bCs/>
                <w:color w:val="auto"/>
                <w:spacing w:val="0"/>
                <w:position w:val="0"/>
                <w:sz w:val="21"/>
                <w:szCs w:val="21"/>
                <w:highlight w:val="none"/>
                <w:lang w:val="en-US" w:eastAsia="zh-CN"/>
              </w:rPr>
              <w:t>污水排放量及污染物浓度一览表</w:t>
            </w:r>
          </w:p>
          <w:tbl>
            <w:tblPr>
              <w:tblStyle w:val="26"/>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814"/>
              <w:gridCol w:w="1022"/>
              <w:gridCol w:w="1000"/>
              <w:gridCol w:w="1545"/>
              <w:gridCol w:w="972"/>
              <w:gridCol w:w="1009"/>
            </w:tblGrid>
            <w:tr w14:paraId="53C418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pct"/>
                  <w:vMerge w:val="restart"/>
                  <w:tcBorders>
                    <w:bottom w:val="single" w:color="auto" w:sz="4" w:space="0"/>
                  </w:tcBorders>
                  <w:noWrap w:val="0"/>
                  <w:vAlign w:val="center"/>
                </w:tcPr>
                <w:p w14:paraId="795D749D">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污染源</w:t>
                  </w:r>
                </w:p>
              </w:tc>
              <w:tc>
                <w:tcPr>
                  <w:tcW w:w="552" w:type="pct"/>
                  <w:vMerge w:val="restart"/>
                  <w:tcBorders>
                    <w:bottom w:val="single" w:color="auto" w:sz="4" w:space="0"/>
                  </w:tcBorders>
                  <w:noWrap w:val="0"/>
                  <w:vAlign w:val="center"/>
                </w:tcPr>
                <w:p w14:paraId="77C36934">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污染物</w:t>
                  </w:r>
                </w:p>
              </w:tc>
              <w:tc>
                <w:tcPr>
                  <w:tcW w:w="1371" w:type="pct"/>
                  <w:gridSpan w:val="2"/>
                  <w:tcBorders>
                    <w:bottom w:val="single" w:color="auto" w:sz="4" w:space="0"/>
                  </w:tcBorders>
                  <w:noWrap w:val="0"/>
                  <w:vAlign w:val="center"/>
                </w:tcPr>
                <w:p w14:paraId="1CCB9EF4">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产生情况</w:t>
                  </w:r>
                </w:p>
              </w:tc>
              <w:tc>
                <w:tcPr>
                  <w:tcW w:w="1047" w:type="pct"/>
                  <w:vMerge w:val="restart"/>
                  <w:tcBorders>
                    <w:bottom w:val="single" w:color="auto" w:sz="4" w:space="0"/>
                  </w:tcBorders>
                  <w:noWrap w:val="0"/>
                  <w:vAlign w:val="center"/>
                </w:tcPr>
                <w:p w14:paraId="0C070A06">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排放去向</w:t>
                  </w:r>
                </w:p>
              </w:tc>
              <w:tc>
                <w:tcPr>
                  <w:tcW w:w="1343" w:type="pct"/>
                  <w:gridSpan w:val="2"/>
                  <w:tcBorders>
                    <w:bottom w:val="single" w:color="auto" w:sz="4" w:space="0"/>
                  </w:tcBorders>
                  <w:noWrap w:val="0"/>
                  <w:vAlign w:val="center"/>
                </w:tcPr>
                <w:p w14:paraId="752F339D">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排放情况</w:t>
                  </w:r>
                </w:p>
              </w:tc>
            </w:tr>
            <w:tr w14:paraId="1FE84B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pct"/>
                  <w:vMerge w:val="continue"/>
                  <w:tcBorders>
                    <w:top w:val="single" w:color="auto" w:sz="4" w:space="0"/>
                    <w:bottom w:val="single" w:color="auto" w:sz="12" w:space="0"/>
                  </w:tcBorders>
                  <w:noWrap w:val="0"/>
                  <w:vAlign w:val="center"/>
                </w:tcPr>
                <w:p w14:paraId="197E8279">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p>
              </w:tc>
              <w:tc>
                <w:tcPr>
                  <w:tcW w:w="552" w:type="pct"/>
                  <w:vMerge w:val="continue"/>
                  <w:tcBorders>
                    <w:top w:val="single" w:color="auto" w:sz="4" w:space="0"/>
                    <w:bottom w:val="single" w:color="auto" w:sz="12" w:space="0"/>
                  </w:tcBorders>
                  <w:noWrap w:val="0"/>
                  <w:vAlign w:val="center"/>
                </w:tcPr>
                <w:p w14:paraId="4CE4F414">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p>
              </w:tc>
              <w:tc>
                <w:tcPr>
                  <w:tcW w:w="693" w:type="pct"/>
                  <w:tcBorders>
                    <w:top w:val="single" w:color="auto" w:sz="4" w:space="0"/>
                    <w:bottom w:val="single" w:color="auto" w:sz="12" w:space="0"/>
                  </w:tcBorders>
                  <w:noWrap w:val="0"/>
                  <w:vAlign w:val="center"/>
                </w:tcPr>
                <w:p w14:paraId="306AE001">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产生量</w:t>
                  </w:r>
                </w:p>
              </w:tc>
              <w:tc>
                <w:tcPr>
                  <w:tcW w:w="678" w:type="pct"/>
                  <w:tcBorders>
                    <w:top w:val="single" w:color="auto" w:sz="4" w:space="0"/>
                    <w:bottom w:val="single" w:color="auto" w:sz="12" w:space="0"/>
                  </w:tcBorders>
                  <w:noWrap w:val="0"/>
                  <w:vAlign w:val="center"/>
                </w:tcPr>
                <w:p w14:paraId="136AA9ED">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浓度</w:t>
                  </w:r>
                </w:p>
              </w:tc>
              <w:tc>
                <w:tcPr>
                  <w:tcW w:w="1047" w:type="pct"/>
                  <w:vMerge w:val="continue"/>
                  <w:tcBorders>
                    <w:top w:val="single" w:color="auto" w:sz="4" w:space="0"/>
                    <w:bottom w:val="single" w:color="auto" w:sz="12" w:space="0"/>
                  </w:tcBorders>
                  <w:noWrap w:val="0"/>
                  <w:vAlign w:val="center"/>
                </w:tcPr>
                <w:p w14:paraId="0ED3F1FF">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p>
              </w:tc>
              <w:tc>
                <w:tcPr>
                  <w:tcW w:w="659" w:type="pct"/>
                  <w:tcBorders>
                    <w:top w:val="single" w:color="auto" w:sz="4" w:space="0"/>
                    <w:bottom w:val="single" w:color="auto" w:sz="12" w:space="0"/>
                  </w:tcBorders>
                  <w:noWrap w:val="0"/>
                  <w:vAlign w:val="center"/>
                </w:tcPr>
                <w:p w14:paraId="0B597EB2">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排放量t/d</w:t>
                  </w:r>
                </w:p>
              </w:tc>
              <w:tc>
                <w:tcPr>
                  <w:tcW w:w="683" w:type="pct"/>
                  <w:tcBorders>
                    <w:top w:val="single" w:color="auto" w:sz="4" w:space="0"/>
                    <w:bottom w:val="single" w:color="auto" w:sz="12" w:space="0"/>
                  </w:tcBorders>
                  <w:noWrap w:val="0"/>
                  <w:vAlign w:val="center"/>
                </w:tcPr>
                <w:p w14:paraId="4027C15B">
                  <w:pPr>
                    <w:pStyle w:val="56"/>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浓度mg/L</w:t>
                  </w:r>
                </w:p>
              </w:tc>
            </w:tr>
            <w:tr w14:paraId="5DB666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pct"/>
                  <w:vMerge w:val="restart"/>
                  <w:tcBorders>
                    <w:top w:val="single" w:color="auto" w:sz="12" w:space="0"/>
                    <w:tl2br w:val="nil"/>
                    <w:tr2bl w:val="nil"/>
                  </w:tcBorders>
                  <w:noWrap w:val="0"/>
                  <w:vAlign w:val="center"/>
                </w:tcPr>
                <w:p w14:paraId="62B8FEE8">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生活污水</w:t>
                  </w:r>
                </w:p>
                <w:p w14:paraId="5DC41B45">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240</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1"/>
                      <w:szCs w:val="21"/>
                      <w:highlight w:val="none"/>
                      <w:lang w:val="en-US" w:eastAsia="zh-CN"/>
                    </w:rPr>
                    <w:t>/a</w:t>
                  </w:r>
                </w:p>
              </w:tc>
              <w:tc>
                <w:tcPr>
                  <w:tcW w:w="552" w:type="pct"/>
                  <w:tcBorders>
                    <w:top w:val="single" w:color="auto" w:sz="12" w:space="0"/>
                    <w:tl2br w:val="nil"/>
                    <w:tr2bl w:val="nil"/>
                  </w:tcBorders>
                  <w:noWrap w:val="0"/>
                  <w:vAlign w:val="center"/>
                </w:tcPr>
                <w:p w14:paraId="40A8AD0B">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COD</w:t>
                  </w:r>
                </w:p>
              </w:tc>
              <w:tc>
                <w:tcPr>
                  <w:tcW w:w="693" w:type="pct"/>
                  <w:tcBorders>
                    <w:top w:val="single" w:color="auto" w:sz="12" w:space="0"/>
                    <w:tl2br w:val="nil"/>
                    <w:tr2bl w:val="nil"/>
                  </w:tcBorders>
                  <w:noWrap w:val="0"/>
                  <w:vAlign w:val="center"/>
                </w:tcPr>
                <w:p w14:paraId="79135E13">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8</w:t>
                  </w:r>
                  <w:r>
                    <w:rPr>
                      <w:rFonts w:hint="default" w:ascii="Times New Roman" w:hAnsi="Times New Roman" w:cs="Times New Roman"/>
                      <w:color w:val="auto"/>
                      <w:spacing w:val="0"/>
                      <w:position w:val="0"/>
                      <w:sz w:val="21"/>
                      <w:szCs w:val="21"/>
                      <w:highlight w:val="none"/>
                      <w:lang w:val="en-US" w:eastAsia="zh-CN"/>
                    </w:rPr>
                    <w:t>4</w:t>
                  </w:r>
                  <w:r>
                    <w:rPr>
                      <w:rFonts w:hint="default" w:ascii="Times New Roman" w:hAnsi="Times New Roman" w:eastAsia="宋体" w:cs="Times New Roman"/>
                      <w:color w:val="auto"/>
                      <w:spacing w:val="0"/>
                      <w:position w:val="0"/>
                      <w:sz w:val="21"/>
                      <w:szCs w:val="21"/>
                      <w:highlight w:val="none"/>
                      <w:lang w:val="en-US" w:eastAsia="zh-CN"/>
                    </w:rPr>
                    <w:t>t/a</w:t>
                  </w:r>
                </w:p>
              </w:tc>
              <w:tc>
                <w:tcPr>
                  <w:tcW w:w="678" w:type="pct"/>
                  <w:tcBorders>
                    <w:top w:val="single" w:color="auto" w:sz="12" w:space="0"/>
                    <w:tl2br w:val="nil"/>
                    <w:tr2bl w:val="nil"/>
                  </w:tcBorders>
                  <w:noWrap w:val="0"/>
                  <w:vAlign w:val="center"/>
                </w:tcPr>
                <w:p w14:paraId="09554BA2">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350mg/L</w:t>
                  </w:r>
                </w:p>
              </w:tc>
              <w:tc>
                <w:tcPr>
                  <w:tcW w:w="1047" w:type="pct"/>
                  <w:vMerge w:val="restart"/>
                  <w:tcBorders>
                    <w:top w:val="single" w:color="auto" w:sz="12" w:space="0"/>
                    <w:tl2br w:val="nil"/>
                    <w:tr2bl w:val="nil"/>
                  </w:tcBorders>
                  <w:noWrap w:val="0"/>
                  <w:vAlign w:val="center"/>
                </w:tcPr>
                <w:p w14:paraId="50C820FC">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经园区污水管网，最终排入阜康市西部城区污水处理厂</w:t>
                  </w:r>
                </w:p>
              </w:tc>
              <w:tc>
                <w:tcPr>
                  <w:tcW w:w="1080" w:type="dxa"/>
                  <w:tcBorders>
                    <w:top w:val="single" w:color="auto" w:sz="12" w:space="0"/>
                    <w:tl2br w:val="nil"/>
                    <w:tr2bl w:val="nil"/>
                  </w:tcBorders>
                  <w:noWrap w:val="0"/>
                  <w:vAlign w:val="center"/>
                </w:tcPr>
                <w:p w14:paraId="0E3B9504">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8</w:t>
                  </w:r>
                  <w:r>
                    <w:rPr>
                      <w:rFonts w:hint="default" w:ascii="Times New Roman" w:hAnsi="Times New Roman" w:cs="Times New Roman"/>
                      <w:color w:val="auto"/>
                      <w:spacing w:val="0"/>
                      <w:position w:val="0"/>
                      <w:sz w:val="21"/>
                      <w:szCs w:val="21"/>
                      <w:highlight w:val="none"/>
                      <w:lang w:val="en-US" w:eastAsia="zh-CN"/>
                    </w:rPr>
                    <w:t>4</w:t>
                  </w:r>
                  <w:r>
                    <w:rPr>
                      <w:rFonts w:hint="default" w:ascii="Times New Roman" w:hAnsi="Times New Roman" w:eastAsia="宋体" w:cs="Times New Roman"/>
                      <w:color w:val="auto"/>
                      <w:spacing w:val="0"/>
                      <w:position w:val="0"/>
                      <w:sz w:val="21"/>
                      <w:szCs w:val="21"/>
                      <w:highlight w:val="none"/>
                      <w:lang w:val="en-US" w:eastAsia="zh-CN"/>
                    </w:rPr>
                    <w:t>t/a</w:t>
                  </w:r>
                </w:p>
              </w:tc>
              <w:tc>
                <w:tcPr>
                  <w:tcW w:w="1009" w:type="dxa"/>
                  <w:tcBorders>
                    <w:top w:val="single" w:color="auto" w:sz="12" w:space="0"/>
                    <w:tl2br w:val="nil"/>
                    <w:tr2bl w:val="nil"/>
                  </w:tcBorders>
                  <w:noWrap w:val="0"/>
                  <w:vAlign w:val="center"/>
                </w:tcPr>
                <w:p w14:paraId="0C1B6995">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350mg/L</w:t>
                  </w:r>
                </w:p>
              </w:tc>
            </w:tr>
            <w:tr w14:paraId="7F4232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pct"/>
                  <w:vMerge w:val="continue"/>
                  <w:tcBorders>
                    <w:tl2br w:val="nil"/>
                    <w:tr2bl w:val="nil"/>
                  </w:tcBorders>
                  <w:noWrap w:val="0"/>
                  <w:vAlign w:val="center"/>
                </w:tcPr>
                <w:p w14:paraId="07A09E60">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p>
              </w:tc>
              <w:tc>
                <w:tcPr>
                  <w:tcW w:w="552" w:type="pct"/>
                  <w:tcBorders>
                    <w:tl2br w:val="nil"/>
                    <w:tr2bl w:val="nil"/>
                  </w:tcBorders>
                  <w:noWrap w:val="0"/>
                  <w:vAlign w:val="center"/>
                </w:tcPr>
                <w:p w14:paraId="5AE424C2">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SS</w:t>
                  </w:r>
                </w:p>
              </w:tc>
              <w:tc>
                <w:tcPr>
                  <w:tcW w:w="693" w:type="pct"/>
                  <w:tcBorders>
                    <w:tl2br w:val="nil"/>
                    <w:tr2bl w:val="nil"/>
                  </w:tcBorders>
                  <w:noWrap w:val="0"/>
                  <w:vAlign w:val="center"/>
                </w:tcPr>
                <w:p w14:paraId="122AA980">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53</w:t>
                  </w:r>
                  <w:r>
                    <w:rPr>
                      <w:rFonts w:hint="default" w:ascii="Times New Roman" w:hAnsi="Times New Roman" w:eastAsia="宋体" w:cs="Times New Roman"/>
                      <w:color w:val="auto"/>
                      <w:spacing w:val="0"/>
                      <w:position w:val="0"/>
                      <w:sz w:val="21"/>
                      <w:szCs w:val="21"/>
                      <w:highlight w:val="none"/>
                      <w:lang w:val="en-US" w:eastAsia="zh-CN"/>
                    </w:rPr>
                    <w:t>t/a</w:t>
                  </w:r>
                </w:p>
              </w:tc>
              <w:tc>
                <w:tcPr>
                  <w:tcW w:w="678" w:type="pct"/>
                  <w:tcBorders>
                    <w:tl2br w:val="nil"/>
                    <w:tr2bl w:val="nil"/>
                  </w:tcBorders>
                  <w:noWrap w:val="0"/>
                  <w:vAlign w:val="center"/>
                </w:tcPr>
                <w:p w14:paraId="1F733409">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200mg/L</w:t>
                  </w:r>
                </w:p>
              </w:tc>
              <w:tc>
                <w:tcPr>
                  <w:tcW w:w="1047" w:type="pct"/>
                  <w:vMerge w:val="continue"/>
                  <w:tcBorders>
                    <w:tl2br w:val="nil"/>
                    <w:tr2bl w:val="nil"/>
                  </w:tcBorders>
                  <w:noWrap w:val="0"/>
                  <w:vAlign w:val="center"/>
                </w:tcPr>
                <w:p w14:paraId="10AE2DA9">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p>
              </w:tc>
              <w:tc>
                <w:tcPr>
                  <w:tcW w:w="1080" w:type="dxa"/>
                  <w:tcBorders>
                    <w:tl2br w:val="nil"/>
                    <w:tr2bl w:val="nil"/>
                  </w:tcBorders>
                  <w:noWrap w:val="0"/>
                  <w:vAlign w:val="center"/>
                </w:tcPr>
                <w:p w14:paraId="49FD7ADF">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53</w:t>
                  </w:r>
                  <w:r>
                    <w:rPr>
                      <w:rFonts w:hint="default" w:ascii="Times New Roman" w:hAnsi="Times New Roman" w:eastAsia="宋体" w:cs="Times New Roman"/>
                      <w:color w:val="auto"/>
                      <w:spacing w:val="0"/>
                      <w:position w:val="0"/>
                      <w:sz w:val="21"/>
                      <w:szCs w:val="21"/>
                      <w:highlight w:val="none"/>
                      <w:lang w:val="en-US" w:eastAsia="zh-CN"/>
                    </w:rPr>
                    <w:t>t/a</w:t>
                  </w:r>
                </w:p>
              </w:tc>
              <w:tc>
                <w:tcPr>
                  <w:tcW w:w="1009" w:type="dxa"/>
                  <w:tcBorders>
                    <w:tl2br w:val="nil"/>
                    <w:tr2bl w:val="nil"/>
                  </w:tcBorders>
                  <w:noWrap w:val="0"/>
                  <w:vAlign w:val="center"/>
                </w:tcPr>
                <w:p w14:paraId="068A3693">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200mg/L</w:t>
                  </w:r>
                </w:p>
              </w:tc>
            </w:tr>
            <w:tr w14:paraId="441674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pct"/>
                  <w:vMerge w:val="continue"/>
                  <w:tcBorders>
                    <w:tl2br w:val="nil"/>
                    <w:tr2bl w:val="nil"/>
                  </w:tcBorders>
                  <w:noWrap w:val="0"/>
                  <w:vAlign w:val="center"/>
                </w:tcPr>
                <w:p w14:paraId="0B5507AA">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p>
              </w:tc>
              <w:tc>
                <w:tcPr>
                  <w:tcW w:w="552" w:type="pct"/>
                  <w:tcBorders>
                    <w:tl2br w:val="nil"/>
                    <w:tr2bl w:val="nil"/>
                  </w:tcBorders>
                  <w:noWrap w:val="0"/>
                  <w:vAlign w:val="center"/>
                </w:tcPr>
                <w:p w14:paraId="216BC0CF">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BOD</w:t>
                  </w:r>
                  <w:r>
                    <w:rPr>
                      <w:rFonts w:hint="default" w:ascii="Times New Roman" w:hAnsi="Times New Roman" w:eastAsia="宋体" w:cs="Times New Roman"/>
                      <w:color w:val="auto"/>
                      <w:spacing w:val="0"/>
                      <w:position w:val="0"/>
                      <w:sz w:val="21"/>
                      <w:szCs w:val="21"/>
                      <w:highlight w:val="none"/>
                      <w:vertAlign w:val="subscript"/>
                      <w:lang w:val="en-US" w:eastAsia="zh-CN"/>
                    </w:rPr>
                    <w:t>5</w:t>
                  </w:r>
                </w:p>
              </w:tc>
              <w:tc>
                <w:tcPr>
                  <w:tcW w:w="693" w:type="pct"/>
                  <w:tcBorders>
                    <w:tl2br w:val="nil"/>
                    <w:tr2bl w:val="nil"/>
                  </w:tcBorders>
                  <w:noWrap w:val="0"/>
                  <w:vAlign w:val="center"/>
                </w:tcPr>
                <w:p w14:paraId="76AB7836">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48</w:t>
                  </w:r>
                  <w:r>
                    <w:rPr>
                      <w:rFonts w:hint="default" w:ascii="Times New Roman" w:hAnsi="Times New Roman" w:eastAsia="宋体" w:cs="Times New Roman"/>
                      <w:color w:val="auto"/>
                      <w:spacing w:val="0"/>
                      <w:position w:val="0"/>
                      <w:sz w:val="21"/>
                      <w:szCs w:val="21"/>
                      <w:highlight w:val="none"/>
                      <w:lang w:val="en-US" w:eastAsia="zh-CN"/>
                    </w:rPr>
                    <w:t>t/a</w:t>
                  </w:r>
                </w:p>
              </w:tc>
              <w:tc>
                <w:tcPr>
                  <w:tcW w:w="678" w:type="pct"/>
                  <w:tcBorders>
                    <w:tl2br w:val="nil"/>
                    <w:tr2bl w:val="nil"/>
                  </w:tcBorders>
                  <w:noWrap w:val="0"/>
                  <w:vAlign w:val="center"/>
                </w:tcPr>
                <w:p w14:paraId="0C53618C">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2</w:t>
                  </w:r>
                  <w:r>
                    <w:rPr>
                      <w:rFonts w:hint="eastAsia" w:cs="Times New Roman"/>
                      <w:color w:val="auto"/>
                      <w:spacing w:val="0"/>
                      <w:position w:val="0"/>
                      <w:sz w:val="21"/>
                      <w:szCs w:val="21"/>
                      <w:highlight w:val="none"/>
                      <w:lang w:val="en-US" w:eastAsia="zh-CN"/>
                    </w:rPr>
                    <w:t>2</w:t>
                  </w:r>
                  <w:r>
                    <w:rPr>
                      <w:rFonts w:hint="default" w:ascii="Times New Roman" w:hAnsi="Times New Roman" w:eastAsia="宋体" w:cs="Times New Roman"/>
                      <w:color w:val="auto"/>
                      <w:spacing w:val="0"/>
                      <w:position w:val="0"/>
                      <w:sz w:val="21"/>
                      <w:szCs w:val="21"/>
                      <w:highlight w:val="none"/>
                      <w:lang w:val="en-US" w:eastAsia="zh-CN"/>
                    </w:rPr>
                    <w:t>0mg/L</w:t>
                  </w:r>
                </w:p>
              </w:tc>
              <w:tc>
                <w:tcPr>
                  <w:tcW w:w="1047" w:type="pct"/>
                  <w:vMerge w:val="continue"/>
                  <w:tcBorders>
                    <w:tl2br w:val="nil"/>
                    <w:tr2bl w:val="nil"/>
                  </w:tcBorders>
                  <w:noWrap w:val="0"/>
                  <w:vAlign w:val="center"/>
                </w:tcPr>
                <w:p w14:paraId="662407EA">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p>
              </w:tc>
              <w:tc>
                <w:tcPr>
                  <w:tcW w:w="1080" w:type="dxa"/>
                  <w:tcBorders>
                    <w:tl2br w:val="nil"/>
                    <w:tr2bl w:val="nil"/>
                  </w:tcBorders>
                  <w:noWrap w:val="0"/>
                  <w:vAlign w:val="center"/>
                </w:tcPr>
                <w:p w14:paraId="4D785A8E">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48</w:t>
                  </w:r>
                  <w:r>
                    <w:rPr>
                      <w:rFonts w:hint="default" w:ascii="Times New Roman" w:hAnsi="Times New Roman" w:eastAsia="宋体" w:cs="Times New Roman"/>
                      <w:color w:val="auto"/>
                      <w:spacing w:val="0"/>
                      <w:position w:val="0"/>
                      <w:sz w:val="21"/>
                      <w:szCs w:val="21"/>
                      <w:highlight w:val="none"/>
                      <w:lang w:val="en-US" w:eastAsia="zh-CN"/>
                    </w:rPr>
                    <w:t>t/a</w:t>
                  </w:r>
                </w:p>
              </w:tc>
              <w:tc>
                <w:tcPr>
                  <w:tcW w:w="1009" w:type="dxa"/>
                  <w:tcBorders>
                    <w:tl2br w:val="nil"/>
                    <w:tr2bl w:val="nil"/>
                  </w:tcBorders>
                  <w:noWrap w:val="0"/>
                  <w:vAlign w:val="center"/>
                </w:tcPr>
                <w:p w14:paraId="3CB55953">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2</w:t>
                  </w:r>
                  <w:r>
                    <w:rPr>
                      <w:rFonts w:hint="eastAsia" w:cs="Times New Roman"/>
                      <w:color w:val="auto"/>
                      <w:spacing w:val="0"/>
                      <w:position w:val="0"/>
                      <w:sz w:val="21"/>
                      <w:szCs w:val="21"/>
                      <w:highlight w:val="none"/>
                      <w:lang w:val="en-US" w:eastAsia="zh-CN"/>
                    </w:rPr>
                    <w:t>2</w:t>
                  </w:r>
                  <w:r>
                    <w:rPr>
                      <w:rFonts w:hint="default" w:ascii="Times New Roman" w:hAnsi="Times New Roman" w:eastAsia="宋体" w:cs="Times New Roman"/>
                      <w:color w:val="auto"/>
                      <w:spacing w:val="0"/>
                      <w:position w:val="0"/>
                      <w:sz w:val="21"/>
                      <w:szCs w:val="21"/>
                      <w:highlight w:val="none"/>
                      <w:lang w:val="en-US" w:eastAsia="zh-CN"/>
                    </w:rPr>
                    <w:t>0mg/L</w:t>
                  </w:r>
                </w:p>
              </w:tc>
            </w:tr>
            <w:tr w14:paraId="047A1C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pct"/>
                  <w:vMerge w:val="continue"/>
                  <w:tcBorders>
                    <w:tl2br w:val="nil"/>
                    <w:tr2bl w:val="nil"/>
                  </w:tcBorders>
                  <w:noWrap w:val="0"/>
                  <w:vAlign w:val="center"/>
                </w:tcPr>
                <w:p w14:paraId="5C96CCF5">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p>
              </w:tc>
              <w:tc>
                <w:tcPr>
                  <w:tcW w:w="552" w:type="pct"/>
                  <w:tcBorders>
                    <w:tl2br w:val="nil"/>
                    <w:tr2bl w:val="nil"/>
                  </w:tcBorders>
                  <w:noWrap w:val="0"/>
                  <w:vAlign w:val="center"/>
                </w:tcPr>
                <w:p w14:paraId="6A5990FD">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NH</w:t>
                  </w:r>
                  <w:r>
                    <w:rPr>
                      <w:rFonts w:hint="default" w:ascii="Times New Roman" w:hAnsi="Times New Roman" w:eastAsia="宋体" w:cs="Times New Roman"/>
                      <w:color w:val="auto"/>
                      <w:spacing w:val="0"/>
                      <w:position w:val="0"/>
                      <w:sz w:val="21"/>
                      <w:szCs w:val="21"/>
                      <w:highlight w:val="none"/>
                      <w:vertAlign w:val="subscript"/>
                      <w:lang w:val="en-US" w:eastAsia="zh-CN"/>
                    </w:rPr>
                    <w:t>3</w:t>
                  </w:r>
                  <w:r>
                    <w:rPr>
                      <w:rFonts w:hint="default" w:ascii="Times New Roman" w:hAnsi="Times New Roman" w:eastAsia="宋体" w:cs="Times New Roman"/>
                      <w:color w:val="auto"/>
                      <w:spacing w:val="0"/>
                      <w:position w:val="0"/>
                      <w:sz w:val="21"/>
                      <w:szCs w:val="21"/>
                      <w:highlight w:val="none"/>
                      <w:lang w:val="en-US" w:eastAsia="zh-CN"/>
                    </w:rPr>
                    <w:t>-N</w:t>
                  </w:r>
                </w:p>
              </w:tc>
              <w:tc>
                <w:tcPr>
                  <w:tcW w:w="693" w:type="pct"/>
                  <w:tcBorders>
                    <w:tl2br w:val="nil"/>
                    <w:tr2bl w:val="nil"/>
                  </w:tcBorders>
                  <w:noWrap w:val="0"/>
                  <w:vAlign w:val="center"/>
                </w:tcPr>
                <w:p w14:paraId="2A18A0C1">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0.</w:t>
                  </w:r>
                  <w:r>
                    <w:rPr>
                      <w:rFonts w:hint="default" w:ascii="Times New Roman" w:hAnsi="Times New Roman"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7</w:t>
                  </w:r>
                  <w:r>
                    <w:rPr>
                      <w:rFonts w:hint="default" w:ascii="Times New Roman" w:hAnsi="Times New Roman" w:eastAsia="宋体" w:cs="Times New Roman"/>
                      <w:color w:val="auto"/>
                      <w:spacing w:val="0"/>
                      <w:position w:val="0"/>
                      <w:sz w:val="21"/>
                      <w:szCs w:val="21"/>
                      <w:highlight w:val="none"/>
                      <w:lang w:val="en-US" w:eastAsia="zh-CN"/>
                    </w:rPr>
                    <w:t>t/a</w:t>
                  </w:r>
                </w:p>
              </w:tc>
              <w:tc>
                <w:tcPr>
                  <w:tcW w:w="678" w:type="pct"/>
                  <w:tcBorders>
                    <w:tl2br w:val="nil"/>
                    <w:tr2bl w:val="nil"/>
                  </w:tcBorders>
                  <w:noWrap w:val="0"/>
                  <w:vAlign w:val="center"/>
                </w:tcPr>
                <w:p w14:paraId="1EC512F6">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3</w:t>
                  </w:r>
                  <w:r>
                    <w:rPr>
                      <w:rFonts w:hint="default" w:ascii="Times New Roman" w:hAnsi="Times New Roman" w:eastAsia="宋体" w:cs="Times New Roman"/>
                      <w:color w:val="auto"/>
                      <w:spacing w:val="0"/>
                      <w:position w:val="0"/>
                      <w:sz w:val="21"/>
                      <w:szCs w:val="21"/>
                      <w:highlight w:val="none"/>
                      <w:lang w:val="en-US" w:eastAsia="zh-CN"/>
                    </w:rPr>
                    <w:t>0mg/L</w:t>
                  </w:r>
                </w:p>
              </w:tc>
              <w:tc>
                <w:tcPr>
                  <w:tcW w:w="1047" w:type="pct"/>
                  <w:vMerge w:val="continue"/>
                  <w:tcBorders>
                    <w:tl2br w:val="nil"/>
                    <w:tr2bl w:val="nil"/>
                  </w:tcBorders>
                  <w:noWrap w:val="0"/>
                  <w:vAlign w:val="center"/>
                </w:tcPr>
                <w:p w14:paraId="04EB8237">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p>
              </w:tc>
              <w:tc>
                <w:tcPr>
                  <w:tcW w:w="1080" w:type="dxa"/>
                  <w:tcBorders>
                    <w:tl2br w:val="nil"/>
                    <w:tr2bl w:val="nil"/>
                  </w:tcBorders>
                  <w:noWrap w:val="0"/>
                  <w:vAlign w:val="center"/>
                </w:tcPr>
                <w:p w14:paraId="62BE304B">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0.</w:t>
                  </w:r>
                  <w:r>
                    <w:rPr>
                      <w:rFonts w:hint="default" w:ascii="Times New Roman" w:hAnsi="Times New Roman" w:cs="Times New Roman"/>
                      <w:color w:val="auto"/>
                      <w:spacing w:val="0"/>
                      <w:position w:val="0"/>
                      <w:sz w:val="21"/>
                      <w:szCs w:val="21"/>
                      <w:highlight w:val="none"/>
                      <w:lang w:val="en-US" w:eastAsia="zh-CN"/>
                    </w:rPr>
                    <w:t>00</w:t>
                  </w:r>
                  <w:r>
                    <w:rPr>
                      <w:rFonts w:hint="eastAsia" w:cs="Times New Roman"/>
                      <w:color w:val="auto"/>
                      <w:spacing w:val="0"/>
                      <w:position w:val="0"/>
                      <w:sz w:val="21"/>
                      <w:szCs w:val="21"/>
                      <w:highlight w:val="none"/>
                      <w:lang w:val="en-US" w:eastAsia="zh-CN"/>
                    </w:rPr>
                    <w:t>7</w:t>
                  </w:r>
                  <w:r>
                    <w:rPr>
                      <w:rFonts w:hint="default" w:ascii="Times New Roman" w:hAnsi="Times New Roman" w:eastAsia="宋体" w:cs="Times New Roman"/>
                      <w:color w:val="auto"/>
                      <w:spacing w:val="0"/>
                      <w:position w:val="0"/>
                      <w:sz w:val="21"/>
                      <w:szCs w:val="21"/>
                      <w:highlight w:val="none"/>
                      <w:lang w:val="en-US" w:eastAsia="zh-CN"/>
                    </w:rPr>
                    <w:t>t/a</w:t>
                  </w:r>
                </w:p>
              </w:tc>
              <w:tc>
                <w:tcPr>
                  <w:tcW w:w="1009" w:type="dxa"/>
                  <w:tcBorders>
                    <w:tl2br w:val="nil"/>
                    <w:tr2bl w:val="nil"/>
                  </w:tcBorders>
                  <w:noWrap w:val="0"/>
                  <w:vAlign w:val="center"/>
                </w:tcPr>
                <w:p w14:paraId="4BD41044">
                  <w:pPr>
                    <w:pStyle w:val="56"/>
                    <w:keepNext w:val="0"/>
                    <w:keepLines w:val="0"/>
                    <w:pageBreakBefore w:val="0"/>
                    <w:widowControl w:val="0"/>
                    <w:shd w:val="clear"/>
                    <w:kinsoku/>
                    <w:wordWrap/>
                    <w:overflowPunct/>
                    <w:topLinePunct w:val="0"/>
                    <w:autoSpaceDE/>
                    <w:autoSpaceDN/>
                    <w:bidi w:val="0"/>
                    <w:spacing w:beforeAutospacing="0" w:afterAutospacing="0" w:line="240" w:lineRule="auto"/>
                    <w:ind w:left="0" w:leftChars="0" w:right="0" w:rightChars="0" w:firstLine="0" w:firstLineChars="0"/>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3</w:t>
                  </w:r>
                  <w:r>
                    <w:rPr>
                      <w:rFonts w:hint="default" w:ascii="Times New Roman" w:hAnsi="Times New Roman" w:eastAsia="宋体" w:cs="Times New Roman"/>
                      <w:color w:val="auto"/>
                      <w:spacing w:val="0"/>
                      <w:position w:val="0"/>
                      <w:sz w:val="21"/>
                      <w:szCs w:val="21"/>
                      <w:highlight w:val="none"/>
                      <w:lang w:val="en-US" w:eastAsia="zh-CN"/>
                    </w:rPr>
                    <w:t>0mg/L</w:t>
                  </w:r>
                </w:p>
              </w:tc>
            </w:tr>
          </w:tbl>
          <w:p w14:paraId="4DEE9306">
            <w:pPr>
              <w:pStyle w:val="8"/>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lang w:val="en-US" w:eastAsia="zh-CN"/>
              </w:rPr>
              <w:t>2.3</w:t>
            </w:r>
            <w:r>
              <w:rPr>
                <w:rFonts w:hint="default" w:ascii="Times New Roman" w:hAnsi="Times New Roman" w:eastAsia="宋体" w:cs="Times New Roman"/>
                <w:b/>
                <w:bCs/>
                <w:color w:val="auto"/>
                <w:spacing w:val="0"/>
                <w:position w:val="0"/>
                <w:sz w:val="24"/>
                <w:szCs w:val="24"/>
                <w:highlight w:val="none"/>
              </w:rPr>
              <w:t>污水处理措施依托可行性分析</w:t>
            </w:r>
          </w:p>
          <w:p w14:paraId="2663FBA7">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rPr>
              <w:t>阜康市西部城区污水处理厂位于阜西产业园北侧，污水处理厂2020年已建成投运，目前园区内下水管网均已敷设完毕，各企业内排水管网与园区主下水管网接通后即可排水。阜西区污水处理厂日处理水量约2万m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rPr>
              <w:t>/日，</w:t>
            </w:r>
            <w:r>
              <w:rPr>
                <w:rFonts w:hint="default" w:ascii="Times New Roman" w:hAnsi="Times New Roman" w:eastAsia="宋体" w:cs="Times New Roman"/>
                <w:color w:val="auto"/>
                <w:spacing w:val="0"/>
                <w:position w:val="0"/>
                <w:sz w:val="24"/>
                <w:szCs w:val="24"/>
                <w:highlight w:val="none"/>
                <w:lang w:val="en-US" w:eastAsia="zh-CN"/>
              </w:rPr>
              <w:t>实际处理能力为1.53万</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lang w:val="en-US" w:eastAsia="zh-CN"/>
              </w:rPr>
              <w:t>/日，</w:t>
            </w:r>
            <w:r>
              <w:rPr>
                <w:rFonts w:hint="default" w:ascii="Times New Roman" w:hAnsi="Times New Roman" w:eastAsia="宋体" w:cs="Times New Roman"/>
                <w:color w:val="auto"/>
                <w:spacing w:val="0"/>
                <w:position w:val="0"/>
                <w:sz w:val="24"/>
                <w:szCs w:val="24"/>
                <w:highlight w:val="none"/>
              </w:rPr>
              <w:t>生产区主要构筑物有粗格栅间、细格栅间、曝气沉砂池、初沉池、MBR生物池、MBR膜池及膜设备间、污泥脱水机房、鼓风机房及变配电室、甲醇投加间等车间。污水处理厂采用MBR污水处理工艺，出水水质可达《城镇污水处理厂污染物排放标准》（GB18918-2002）中的一级A标准。本项目污水排放量约</w:t>
            </w:r>
            <w:r>
              <w:rPr>
                <w:rFonts w:hint="default" w:ascii="Times New Roman" w:hAnsi="Times New Roman" w:eastAsia="宋体" w:cs="Times New Roman"/>
                <w:color w:val="auto"/>
                <w:spacing w:val="0"/>
                <w:position w:val="0"/>
                <w:sz w:val="24"/>
                <w:szCs w:val="24"/>
                <w:highlight w:val="none"/>
                <w:lang w:val="en-US" w:eastAsia="zh-CN"/>
              </w:rPr>
              <w:t>0.</w:t>
            </w:r>
            <w:r>
              <w:rPr>
                <w:rFonts w:hint="eastAsia" w:cs="Times New Roman"/>
                <w:color w:val="auto"/>
                <w:spacing w:val="0"/>
                <w:position w:val="0"/>
                <w:sz w:val="24"/>
                <w:szCs w:val="24"/>
                <w:highlight w:val="none"/>
                <w:lang w:val="en-US" w:eastAsia="zh-CN"/>
              </w:rPr>
              <w:t>8</w:t>
            </w:r>
            <w:r>
              <w:rPr>
                <w:rFonts w:hint="default" w:ascii="Times New Roman" w:hAnsi="Times New Roman" w:eastAsia="宋体" w:cs="Times New Roman"/>
                <w:color w:val="auto"/>
                <w:spacing w:val="0"/>
                <w:position w:val="0"/>
                <w:sz w:val="24"/>
                <w:szCs w:val="24"/>
                <w:highlight w:val="none"/>
              </w:rPr>
              <w:t>m</w:t>
            </w:r>
            <w:r>
              <w:rPr>
                <w:rFonts w:hint="default" w:ascii="Times New Roman" w:hAnsi="Times New Roman" w:eastAsia="宋体" w:cs="Times New Roman"/>
                <w:color w:val="auto"/>
                <w:spacing w:val="0"/>
                <w:position w:val="0"/>
                <w:sz w:val="24"/>
                <w:szCs w:val="24"/>
                <w:highlight w:val="none"/>
                <w:vertAlign w:val="superscript"/>
              </w:rPr>
              <w:t>3</w:t>
            </w:r>
            <w:r>
              <w:rPr>
                <w:rFonts w:hint="default" w:ascii="Times New Roman" w:hAnsi="Times New Roman" w:eastAsia="宋体" w:cs="Times New Roman"/>
                <w:color w:val="auto"/>
                <w:spacing w:val="0"/>
                <w:position w:val="0"/>
                <w:sz w:val="24"/>
                <w:szCs w:val="24"/>
                <w:highlight w:val="none"/>
              </w:rPr>
              <w:t>/d，排放量较小，目前该污水处理厂余量充足，本项目生活污水依托园区排水管网进入阜康市西部城区污水处理厂处理合理、可行。</w:t>
            </w:r>
          </w:p>
          <w:p w14:paraId="42B5D244">
            <w:pPr>
              <w:pStyle w:val="50"/>
              <w:keepNext w:val="0"/>
              <w:keepLines w:val="0"/>
              <w:pageBreakBefore w:val="0"/>
              <w:widowControl w:val="0"/>
              <w:numPr>
                <w:ilvl w:val="0"/>
                <w:numId w:val="0"/>
              </w:numPr>
              <w:shd w:val="clear"/>
              <w:tabs>
                <w:tab w:val="left" w:pos="952"/>
              </w:tabs>
              <w:kinsoku/>
              <w:wordWrap/>
              <w:overflowPunct/>
              <w:topLinePunct w:val="0"/>
              <w:autoSpaceDE/>
              <w:autoSpaceDN/>
              <w:bidi w:val="0"/>
              <w:adjustRightInd/>
              <w:snapToGrid/>
              <w:spacing w:beforeAutospacing="0" w:afterAutospacing="0" w:line="360" w:lineRule="auto"/>
              <w:ind w:left="0" w:leftChars="0" w:right="0" w:rightChars="0"/>
              <w:jc w:val="both"/>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lang w:val="en-US" w:eastAsia="zh-CN"/>
              </w:rPr>
              <w:t>2.4</w:t>
            </w:r>
            <w:r>
              <w:rPr>
                <w:rFonts w:hint="default" w:ascii="Times New Roman" w:hAnsi="Times New Roman" w:eastAsia="宋体" w:cs="Times New Roman"/>
                <w:b/>
                <w:bCs/>
                <w:color w:val="auto"/>
                <w:spacing w:val="0"/>
                <w:position w:val="0"/>
                <w:sz w:val="24"/>
                <w:szCs w:val="24"/>
                <w:highlight w:val="none"/>
              </w:rPr>
              <w:t>废水排放监测计划</w:t>
            </w:r>
          </w:p>
          <w:p w14:paraId="30B35521">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根据《排污单位自行监测技术指南总则》(HJ819-2017)，本项目主要污染物监测计划见表4-</w:t>
            </w:r>
            <w:r>
              <w:rPr>
                <w:rFonts w:hint="default" w:ascii="Times New Roman" w:hAnsi="Times New Roman" w:eastAsia="宋体" w:cs="Times New Roman"/>
                <w:color w:val="auto"/>
                <w:spacing w:val="0"/>
                <w:position w:val="0"/>
                <w:sz w:val="24"/>
                <w:szCs w:val="24"/>
                <w:highlight w:val="none"/>
                <w:lang w:val="en-US" w:eastAsia="zh-CN"/>
              </w:rPr>
              <w:t>6</w:t>
            </w:r>
            <w:r>
              <w:rPr>
                <w:rFonts w:hint="default" w:ascii="Times New Roman" w:hAnsi="Times New Roman" w:eastAsia="宋体" w:cs="Times New Roman"/>
                <w:color w:val="auto"/>
                <w:spacing w:val="0"/>
                <w:position w:val="0"/>
                <w:sz w:val="24"/>
                <w:szCs w:val="24"/>
                <w:highlight w:val="none"/>
              </w:rPr>
              <w:t>。</w:t>
            </w:r>
          </w:p>
          <w:p w14:paraId="04A8B279">
            <w:pPr>
              <w:pageBreakBefore w:val="0"/>
              <w:shd w:val="clear"/>
              <w:kinsoku/>
              <w:wordWrap/>
              <w:overflowPunct/>
              <w:topLinePunct w:val="0"/>
              <w:autoSpaceDE/>
              <w:autoSpaceDN/>
              <w:bidi w:val="0"/>
              <w:spacing w:beforeAutospacing="0" w:afterAutospacing="0" w:line="240" w:lineRule="auto"/>
              <w:ind w:left="0" w:leftChars="0" w:right="0" w:rightChars="0" w:firstLine="422" w:firstLineChars="20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表4-</w:t>
            </w:r>
            <w:r>
              <w:rPr>
                <w:rFonts w:hint="default" w:ascii="Times New Roman" w:hAnsi="Times New Roman" w:cs="Times New Roman"/>
                <w:b/>
                <w:bCs/>
                <w:color w:val="auto"/>
                <w:spacing w:val="0"/>
                <w:position w:val="0"/>
                <w:sz w:val="21"/>
                <w:szCs w:val="21"/>
                <w:highlight w:val="none"/>
                <w:lang w:val="en-US" w:eastAsia="zh-CN"/>
              </w:rPr>
              <w:t xml:space="preserve">6    </w:t>
            </w:r>
            <w:r>
              <w:rPr>
                <w:rFonts w:hint="default" w:ascii="Times New Roman" w:hAnsi="Times New Roman" w:eastAsia="宋体" w:cs="Times New Roman"/>
                <w:b/>
                <w:bCs/>
                <w:color w:val="auto"/>
                <w:spacing w:val="0"/>
                <w:position w:val="0"/>
                <w:sz w:val="21"/>
                <w:szCs w:val="21"/>
                <w:highlight w:val="none"/>
              </w:rPr>
              <w:t>项目运营期水污染物监测计划</w:t>
            </w:r>
          </w:p>
          <w:tbl>
            <w:tblPr>
              <w:tblStyle w:val="25"/>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792"/>
              <w:gridCol w:w="416"/>
              <w:gridCol w:w="849"/>
              <w:gridCol w:w="3537"/>
              <w:gridCol w:w="849"/>
              <w:gridCol w:w="930"/>
            </w:tblGrid>
            <w:tr w14:paraId="26B5F1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56" w:hRule="atLeast"/>
                <w:jc w:val="center"/>
              </w:trPr>
              <w:tc>
                <w:tcPr>
                  <w:tcW w:w="537" w:type="pct"/>
                  <w:tcBorders>
                    <w:bottom w:val="single" w:color="000000" w:sz="12" w:space="0"/>
                  </w:tcBorders>
                  <w:noWrap w:val="0"/>
                  <w:vAlign w:val="center"/>
                </w:tcPr>
                <w:p w14:paraId="6A0EDD9D">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废水类别</w:t>
                  </w:r>
                </w:p>
              </w:tc>
              <w:tc>
                <w:tcPr>
                  <w:tcW w:w="282" w:type="pct"/>
                  <w:tcBorders>
                    <w:bottom w:val="single" w:color="000000" w:sz="12" w:space="0"/>
                  </w:tcBorders>
                  <w:noWrap w:val="0"/>
                  <w:vAlign w:val="center"/>
                </w:tcPr>
                <w:p w14:paraId="165C5E6D">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编号</w:t>
                  </w:r>
                </w:p>
              </w:tc>
              <w:tc>
                <w:tcPr>
                  <w:tcW w:w="575" w:type="pct"/>
                  <w:tcBorders>
                    <w:bottom w:val="single" w:color="000000" w:sz="12" w:space="0"/>
                  </w:tcBorders>
                  <w:noWrap w:val="0"/>
                  <w:vAlign w:val="center"/>
                </w:tcPr>
                <w:p w14:paraId="42CFFF82">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监测位置</w:t>
                  </w:r>
                </w:p>
              </w:tc>
              <w:tc>
                <w:tcPr>
                  <w:tcW w:w="2397" w:type="pct"/>
                  <w:tcBorders>
                    <w:bottom w:val="single" w:color="000000" w:sz="12" w:space="0"/>
                  </w:tcBorders>
                  <w:noWrap w:val="0"/>
                  <w:vAlign w:val="center"/>
                </w:tcPr>
                <w:p w14:paraId="7FA7844D">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监测项目</w:t>
                  </w:r>
                </w:p>
              </w:tc>
              <w:tc>
                <w:tcPr>
                  <w:tcW w:w="575" w:type="pct"/>
                  <w:tcBorders>
                    <w:bottom w:val="single" w:color="000000" w:sz="12" w:space="0"/>
                  </w:tcBorders>
                  <w:noWrap w:val="0"/>
                  <w:vAlign w:val="center"/>
                </w:tcPr>
                <w:p w14:paraId="345FE021">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监测频率</w:t>
                  </w:r>
                </w:p>
              </w:tc>
              <w:tc>
                <w:tcPr>
                  <w:tcW w:w="630" w:type="pct"/>
                  <w:tcBorders>
                    <w:bottom w:val="single" w:color="000000" w:sz="12" w:space="0"/>
                  </w:tcBorders>
                  <w:noWrap w:val="0"/>
                  <w:vAlign w:val="center"/>
                </w:tcPr>
                <w:p w14:paraId="63E31A9B">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实施单位</w:t>
                  </w:r>
                </w:p>
              </w:tc>
            </w:tr>
            <w:tr w14:paraId="6F22AC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537" w:type="pct"/>
                  <w:tcBorders>
                    <w:top w:val="single" w:color="000000" w:sz="12" w:space="0"/>
                    <w:tl2br w:val="nil"/>
                    <w:tr2bl w:val="nil"/>
                  </w:tcBorders>
                  <w:noWrap w:val="0"/>
                  <w:vAlign w:val="center"/>
                </w:tcPr>
                <w:p w14:paraId="660FBFF3">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生活废水</w:t>
                  </w:r>
                </w:p>
              </w:tc>
              <w:tc>
                <w:tcPr>
                  <w:tcW w:w="282" w:type="pct"/>
                  <w:tcBorders>
                    <w:top w:val="single" w:color="000000" w:sz="12" w:space="0"/>
                    <w:tl2br w:val="nil"/>
                    <w:tr2bl w:val="nil"/>
                  </w:tcBorders>
                  <w:noWrap w:val="0"/>
                  <w:vAlign w:val="center"/>
                </w:tcPr>
                <w:p w14:paraId="4F3D067A">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DW001</w:t>
                  </w:r>
                </w:p>
              </w:tc>
              <w:tc>
                <w:tcPr>
                  <w:tcW w:w="575" w:type="pct"/>
                  <w:tcBorders>
                    <w:top w:val="single" w:color="000000" w:sz="12" w:space="0"/>
                    <w:tl2br w:val="nil"/>
                    <w:tr2bl w:val="nil"/>
                  </w:tcBorders>
                  <w:noWrap w:val="0"/>
                  <w:vAlign w:val="center"/>
                </w:tcPr>
                <w:p w14:paraId="606D9B8B">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废水总排口</w:t>
                  </w:r>
                </w:p>
              </w:tc>
              <w:tc>
                <w:tcPr>
                  <w:tcW w:w="2397" w:type="pct"/>
                  <w:tcBorders>
                    <w:top w:val="single" w:color="000000" w:sz="12" w:space="0"/>
                    <w:tl2br w:val="nil"/>
                    <w:tr2bl w:val="nil"/>
                  </w:tcBorders>
                  <w:noWrap w:val="0"/>
                  <w:vAlign w:val="center"/>
                </w:tcPr>
                <w:p w14:paraId="2AAC08C2">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pH、化学需氧量、悬浮物、石油类、五日生化需氧量、氨氮、总磷、总氮</w:t>
                  </w:r>
                </w:p>
              </w:tc>
              <w:tc>
                <w:tcPr>
                  <w:tcW w:w="575" w:type="pct"/>
                  <w:tcBorders>
                    <w:top w:val="single" w:color="000000" w:sz="12" w:space="0"/>
                    <w:tl2br w:val="nil"/>
                    <w:tr2bl w:val="nil"/>
                  </w:tcBorders>
                  <w:noWrap w:val="0"/>
                  <w:vAlign w:val="center"/>
                </w:tcPr>
                <w:p w14:paraId="6E05A1FA">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lang w:val="en-US" w:eastAsia="zh-CN"/>
                    </w:rPr>
                    <w:t>季度</w:t>
                  </w:r>
                </w:p>
              </w:tc>
              <w:tc>
                <w:tcPr>
                  <w:tcW w:w="630" w:type="pct"/>
                  <w:tcBorders>
                    <w:top w:val="single" w:color="000000" w:sz="12" w:space="0"/>
                    <w:tl2br w:val="nil"/>
                    <w:tr2bl w:val="nil"/>
                  </w:tcBorders>
                  <w:noWrap w:val="0"/>
                  <w:vAlign w:val="center"/>
                </w:tcPr>
                <w:p w14:paraId="2096768B">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企业自行委托</w:t>
                  </w:r>
                </w:p>
              </w:tc>
            </w:tr>
          </w:tbl>
          <w:p w14:paraId="70FA2617">
            <w:pPr>
              <w:pageBreakBefore w:val="0"/>
              <w:shd w:val="clear"/>
              <w:kinsoku/>
              <w:topLinePunct w:val="0"/>
              <w:bidi w:val="0"/>
              <w:adjustRightInd w:val="0"/>
              <w:snapToGrid w:val="0"/>
              <w:spacing w:beforeAutospacing="0" w:afterAutospacing="0" w:line="360" w:lineRule="auto"/>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default" w:ascii="Times New Roman" w:hAnsi="Times New Roman" w:cs="Times New Roman"/>
                <w:b/>
                <w:bCs/>
                <w:color w:val="auto"/>
                <w:spacing w:val="0"/>
                <w:position w:val="0"/>
                <w:sz w:val="24"/>
                <w:highlight w:val="none"/>
              </w:rPr>
              <w:t>3</w:t>
            </w:r>
            <w:r>
              <w:rPr>
                <w:rFonts w:hint="default" w:ascii="Times New Roman" w:hAnsi="Times New Roman" w:cs="Times New Roman"/>
                <w:b/>
                <w:bCs/>
                <w:color w:val="auto"/>
                <w:spacing w:val="0"/>
                <w:position w:val="0"/>
                <w:sz w:val="24"/>
                <w:highlight w:val="none"/>
                <w:lang w:eastAsia="zh-CN"/>
              </w:rPr>
              <w:t>.</w:t>
            </w:r>
            <w:r>
              <w:rPr>
                <w:rFonts w:hint="default" w:ascii="Times New Roman" w:hAnsi="Times New Roman" w:cs="Times New Roman"/>
                <w:b/>
                <w:bCs/>
                <w:color w:val="auto"/>
                <w:spacing w:val="0"/>
                <w:position w:val="0"/>
                <w:sz w:val="24"/>
                <w:highlight w:val="none"/>
              </w:rPr>
              <w:t>噪声</w:t>
            </w:r>
          </w:p>
          <w:p w14:paraId="3F5F830B">
            <w:pPr>
              <w:pStyle w:val="5"/>
              <w:pageBreakBefore w:val="0"/>
              <w:shd w:val="clear"/>
              <w:kinsoku/>
              <w:topLinePunct w:val="0"/>
              <w:bidi w:val="0"/>
              <w:spacing w:beforeAutospacing="0" w:after="0" w:afterAutospacing="0" w:line="360" w:lineRule="auto"/>
              <w:ind w:left="0" w:leftChars="0" w:right="0" w:rightChars="0" w:firstLine="0" w:firstLineChars="0"/>
              <w:contextualSpacing/>
              <w:rPr>
                <w:rFonts w:hint="default" w:ascii="Times New Roman" w:hAnsi="Times New Roman" w:cs="Times New Roman"/>
                <w:b/>
                <w:bCs/>
                <w:color w:val="auto"/>
                <w:spacing w:val="0"/>
                <w:position w:val="0"/>
                <w:szCs w:val="24"/>
                <w:highlight w:val="none"/>
              </w:rPr>
            </w:pPr>
            <w:r>
              <w:rPr>
                <w:rFonts w:hint="default" w:ascii="Times New Roman" w:hAnsi="Times New Roman" w:cs="Times New Roman"/>
                <w:b/>
                <w:bCs/>
                <w:color w:val="auto"/>
                <w:spacing w:val="0"/>
                <w:position w:val="0"/>
                <w:szCs w:val="24"/>
                <w:highlight w:val="none"/>
              </w:rPr>
              <w:t>3.1噪声源强分析</w:t>
            </w:r>
          </w:p>
          <w:p w14:paraId="67A72383">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color w:val="auto"/>
                <w:spacing w:val="0"/>
                <w:position w:val="0"/>
                <w:sz w:val="24"/>
                <w:highlight w:val="none"/>
              </w:rPr>
            </w:pPr>
            <w:r>
              <w:rPr>
                <w:rFonts w:hint="default" w:ascii="Times New Roman" w:hAnsi="Times New Roman" w:cs="Times New Roman"/>
                <w:bCs/>
                <w:color w:val="auto"/>
                <w:spacing w:val="0"/>
                <w:position w:val="0"/>
                <w:sz w:val="24"/>
                <w:highlight w:val="none"/>
              </w:rPr>
              <w:t>本项目主要噪声源来自各类机械设备噪声，进出厂的车辆、叉车行驶、装卸过程及风机产生的噪声。项目采取消声减振、厂房隔声等降噪措施。产噪设备源强见表4-</w:t>
            </w:r>
            <w:r>
              <w:rPr>
                <w:rFonts w:hint="default" w:ascii="Times New Roman" w:hAnsi="Times New Roman" w:cs="Times New Roman"/>
                <w:bCs/>
                <w:color w:val="auto"/>
                <w:spacing w:val="0"/>
                <w:position w:val="0"/>
                <w:sz w:val="24"/>
                <w:highlight w:val="none"/>
                <w:lang w:val="en-US" w:eastAsia="zh-CN"/>
              </w:rPr>
              <w:t>7</w:t>
            </w:r>
            <w:r>
              <w:rPr>
                <w:rFonts w:hint="default" w:ascii="Times New Roman" w:hAnsi="Times New Roman" w:cs="Times New Roman"/>
                <w:color w:val="auto"/>
                <w:spacing w:val="0"/>
                <w:position w:val="0"/>
                <w:sz w:val="24"/>
                <w:highlight w:val="none"/>
              </w:rPr>
              <w:t>：</w:t>
            </w:r>
          </w:p>
          <w:p w14:paraId="06EE476F">
            <w:pPr>
              <w:pageBreakBefore w:val="0"/>
              <w:shd w:val="clear"/>
              <w:kinsoku/>
              <w:topLinePunct w:val="0"/>
              <w:bidi w:val="0"/>
              <w:adjustRightInd w:val="0"/>
              <w:snapToGrid w:val="0"/>
              <w:spacing w:beforeAutospacing="0" w:afterAutospacing="0"/>
              <w:ind w:left="0" w:leftChars="0" w:right="0" w:rightChars="0"/>
              <w:jc w:val="center"/>
              <w:rPr>
                <w:rFonts w:hint="default" w:ascii="Times New Roman" w:hAnsi="Times New Roman" w:cs="Times New Roman"/>
                <w:b/>
                <w:bCs/>
                <w:color w:val="auto"/>
                <w:spacing w:val="0"/>
                <w:position w:val="0"/>
                <w:szCs w:val="21"/>
                <w:highlight w:val="none"/>
              </w:rPr>
            </w:pPr>
            <w:r>
              <w:rPr>
                <w:rFonts w:hint="default" w:ascii="Times New Roman" w:hAnsi="Times New Roman" w:cs="Times New Roman"/>
                <w:b/>
                <w:bCs/>
                <w:color w:val="auto"/>
                <w:spacing w:val="0"/>
                <w:position w:val="0"/>
                <w:szCs w:val="21"/>
                <w:highlight w:val="none"/>
              </w:rPr>
              <w:t>表4-</w:t>
            </w:r>
            <w:r>
              <w:rPr>
                <w:rFonts w:hint="default" w:ascii="Times New Roman" w:hAnsi="Times New Roman" w:cs="Times New Roman"/>
                <w:b/>
                <w:bCs/>
                <w:color w:val="auto"/>
                <w:spacing w:val="0"/>
                <w:position w:val="0"/>
                <w:szCs w:val="21"/>
                <w:highlight w:val="none"/>
                <w:lang w:val="en-US" w:eastAsia="zh-CN"/>
              </w:rPr>
              <w:t>7</w:t>
            </w:r>
            <w:r>
              <w:rPr>
                <w:rFonts w:hint="default" w:ascii="Times New Roman" w:hAnsi="Times New Roman" w:cs="Times New Roman"/>
                <w:b/>
                <w:bCs/>
                <w:color w:val="auto"/>
                <w:spacing w:val="0"/>
                <w:position w:val="0"/>
                <w:szCs w:val="21"/>
                <w:highlight w:val="none"/>
              </w:rPr>
              <w:t xml:space="preserve">    项目产噪设备源强一览表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60"/>
              <w:gridCol w:w="804"/>
              <w:gridCol w:w="1186"/>
              <w:gridCol w:w="846"/>
              <w:gridCol w:w="1744"/>
              <w:gridCol w:w="1062"/>
            </w:tblGrid>
            <w:tr w14:paraId="323F2A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660" w:type="dxa"/>
                  <w:tcBorders>
                    <w:bottom w:val="single" w:color="auto" w:sz="12" w:space="0"/>
                  </w:tcBorders>
                  <w:shd w:val="clear" w:color="auto" w:fill="auto"/>
                  <w:vAlign w:val="center"/>
                </w:tcPr>
                <w:p w14:paraId="466C5DA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噪声源</w:t>
                  </w:r>
                </w:p>
              </w:tc>
              <w:tc>
                <w:tcPr>
                  <w:tcW w:w="804" w:type="dxa"/>
                  <w:tcBorders>
                    <w:bottom w:val="single" w:color="auto" w:sz="12" w:space="0"/>
                  </w:tcBorders>
                  <w:shd w:val="clear" w:color="auto" w:fill="auto"/>
                  <w:vAlign w:val="center"/>
                </w:tcPr>
                <w:p w14:paraId="2A36EB3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数量（台）</w:t>
                  </w:r>
                </w:p>
              </w:tc>
              <w:tc>
                <w:tcPr>
                  <w:tcW w:w="1186" w:type="dxa"/>
                  <w:tcBorders>
                    <w:bottom w:val="single" w:color="auto" w:sz="12" w:space="0"/>
                  </w:tcBorders>
                  <w:shd w:val="clear" w:color="auto" w:fill="auto"/>
                  <w:vAlign w:val="center"/>
                </w:tcPr>
                <w:p w14:paraId="0422787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单台声压级dB(A)</w:t>
                  </w:r>
                </w:p>
              </w:tc>
              <w:tc>
                <w:tcPr>
                  <w:tcW w:w="846" w:type="dxa"/>
                  <w:tcBorders>
                    <w:bottom w:val="single" w:color="auto" w:sz="12" w:space="0"/>
                  </w:tcBorders>
                  <w:shd w:val="clear" w:color="auto" w:fill="auto"/>
                  <w:vAlign w:val="center"/>
                </w:tcPr>
                <w:p w14:paraId="45B40C1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排放规律</w:t>
                  </w:r>
                </w:p>
              </w:tc>
              <w:tc>
                <w:tcPr>
                  <w:tcW w:w="1744" w:type="dxa"/>
                  <w:tcBorders>
                    <w:bottom w:val="single" w:color="auto" w:sz="12" w:space="0"/>
                  </w:tcBorders>
                  <w:shd w:val="clear" w:color="auto" w:fill="auto"/>
                  <w:vAlign w:val="center"/>
                </w:tcPr>
                <w:p w14:paraId="7778A2CC">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治理措施</w:t>
                  </w:r>
                </w:p>
              </w:tc>
              <w:tc>
                <w:tcPr>
                  <w:tcW w:w="1062" w:type="dxa"/>
                  <w:tcBorders>
                    <w:bottom w:val="single" w:color="auto" w:sz="12" w:space="0"/>
                  </w:tcBorders>
                  <w:shd w:val="clear" w:color="auto" w:fill="auto"/>
                  <w:vAlign w:val="center"/>
                </w:tcPr>
                <w:p w14:paraId="61C0380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降噪后声级dB(A)</w:t>
                  </w:r>
                </w:p>
              </w:tc>
            </w:tr>
            <w:tr w14:paraId="0E5AEF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660" w:type="dxa"/>
                  <w:tcBorders>
                    <w:top w:val="single" w:color="auto" w:sz="12" w:space="0"/>
                    <w:tl2br w:val="nil"/>
                    <w:tr2bl w:val="nil"/>
                  </w:tcBorders>
                  <w:shd w:val="clear" w:color="auto" w:fill="auto"/>
                  <w:vAlign w:val="center"/>
                </w:tcPr>
                <w:p w14:paraId="65FEF36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高速混合机</w:t>
                  </w:r>
                </w:p>
              </w:tc>
              <w:tc>
                <w:tcPr>
                  <w:tcW w:w="804" w:type="dxa"/>
                  <w:tcBorders>
                    <w:top w:val="single" w:color="auto" w:sz="12" w:space="0"/>
                    <w:tl2br w:val="nil"/>
                    <w:tr2bl w:val="nil"/>
                  </w:tcBorders>
                  <w:shd w:val="clear" w:color="auto" w:fill="auto"/>
                  <w:vAlign w:val="center"/>
                </w:tcPr>
                <w:p w14:paraId="723B512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1186" w:type="dxa"/>
                  <w:tcBorders>
                    <w:top w:val="single" w:color="auto" w:sz="12" w:space="0"/>
                    <w:tl2br w:val="nil"/>
                    <w:tr2bl w:val="nil"/>
                  </w:tcBorders>
                  <w:shd w:val="clear" w:color="auto" w:fill="auto"/>
                  <w:vAlign w:val="center"/>
                </w:tcPr>
                <w:p w14:paraId="6FA55AF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80~85</w:t>
                  </w:r>
                </w:p>
              </w:tc>
              <w:tc>
                <w:tcPr>
                  <w:tcW w:w="846" w:type="dxa"/>
                  <w:tcBorders>
                    <w:top w:val="single" w:color="auto" w:sz="12" w:space="0"/>
                    <w:tl2br w:val="nil"/>
                    <w:tr2bl w:val="nil"/>
                  </w:tcBorders>
                  <w:shd w:val="clear" w:color="auto" w:fill="auto"/>
                  <w:vAlign w:val="center"/>
                </w:tcPr>
                <w:p w14:paraId="2C3F401C">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连续</w:t>
                  </w:r>
                </w:p>
              </w:tc>
              <w:tc>
                <w:tcPr>
                  <w:tcW w:w="1744" w:type="dxa"/>
                  <w:tcBorders>
                    <w:top w:val="single" w:color="auto" w:sz="12" w:space="0"/>
                    <w:tl2br w:val="nil"/>
                    <w:tr2bl w:val="nil"/>
                  </w:tcBorders>
                  <w:shd w:val="clear" w:color="auto" w:fill="auto"/>
                  <w:vAlign w:val="center"/>
                </w:tcPr>
                <w:p w14:paraId="3838F3E7">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减振、厂房隔声</w:t>
                  </w:r>
                </w:p>
              </w:tc>
              <w:tc>
                <w:tcPr>
                  <w:tcW w:w="1062" w:type="dxa"/>
                  <w:tcBorders>
                    <w:top w:val="single" w:color="auto" w:sz="12" w:space="0"/>
                    <w:tl2br w:val="nil"/>
                    <w:tr2bl w:val="nil"/>
                  </w:tcBorders>
                  <w:shd w:val="clear" w:color="auto" w:fill="auto"/>
                  <w:vAlign w:val="center"/>
                </w:tcPr>
                <w:p w14:paraId="53DBC89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≤70</w:t>
                  </w:r>
                </w:p>
              </w:tc>
            </w:tr>
            <w:tr w14:paraId="4F8192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0" w:type="dxa"/>
                  <w:tcBorders>
                    <w:tl2br w:val="nil"/>
                    <w:tr2bl w:val="nil"/>
                  </w:tcBorders>
                  <w:shd w:val="clear" w:color="auto" w:fill="auto"/>
                  <w:vAlign w:val="center"/>
                </w:tcPr>
                <w:p w14:paraId="77F52D2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SJSZ-80造粒机</w:t>
                  </w:r>
                </w:p>
              </w:tc>
              <w:tc>
                <w:tcPr>
                  <w:tcW w:w="804" w:type="dxa"/>
                  <w:tcBorders>
                    <w:tl2br w:val="nil"/>
                    <w:tr2bl w:val="nil"/>
                  </w:tcBorders>
                  <w:shd w:val="clear" w:color="auto" w:fill="auto"/>
                  <w:vAlign w:val="center"/>
                </w:tcPr>
                <w:p w14:paraId="4CE531A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186" w:type="dxa"/>
                  <w:tcBorders>
                    <w:tl2br w:val="nil"/>
                    <w:tr2bl w:val="nil"/>
                  </w:tcBorders>
                  <w:shd w:val="clear" w:color="auto" w:fill="auto"/>
                  <w:vAlign w:val="center"/>
                </w:tcPr>
                <w:p w14:paraId="777FBD3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75~80</w:t>
                  </w:r>
                </w:p>
              </w:tc>
              <w:tc>
                <w:tcPr>
                  <w:tcW w:w="846" w:type="dxa"/>
                  <w:tcBorders>
                    <w:tl2br w:val="nil"/>
                    <w:tr2bl w:val="nil"/>
                  </w:tcBorders>
                  <w:shd w:val="clear" w:color="auto" w:fill="auto"/>
                  <w:vAlign w:val="center"/>
                </w:tcPr>
                <w:p w14:paraId="6293EC6C">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连续</w:t>
                  </w:r>
                </w:p>
              </w:tc>
              <w:tc>
                <w:tcPr>
                  <w:tcW w:w="1744" w:type="dxa"/>
                  <w:tcBorders>
                    <w:tl2br w:val="nil"/>
                    <w:tr2bl w:val="nil"/>
                  </w:tcBorders>
                  <w:shd w:val="clear" w:color="auto" w:fill="auto"/>
                  <w:vAlign w:val="center"/>
                </w:tcPr>
                <w:p w14:paraId="2AF1BAD6">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减振、厂房隔声</w:t>
                  </w:r>
                </w:p>
              </w:tc>
              <w:tc>
                <w:tcPr>
                  <w:tcW w:w="1062" w:type="dxa"/>
                  <w:tcBorders>
                    <w:tl2br w:val="nil"/>
                    <w:tr2bl w:val="nil"/>
                  </w:tcBorders>
                  <w:shd w:val="clear" w:color="auto" w:fill="auto"/>
                  <w:vAlign w:val="center"/>
                </w:tcPr>
                <w:p w14:paraId="378FA4F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≤65</w:t>
                  </w:r>
                </w:p>
              </w:tc>
            </w:tr>
            <w:tr w14:paraId="7ACA15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660" w:type="dxa"/>
                  <w:tcBorders>
                    <w:tl2br w:val="nil"/>
                    <w:tr2bl w:val="nil"/>
                  </w:tcBorders>
                  <w:shd w:val="clear" w:color="auto" w:fill="auto"/>
                  <w:vAlign w:val="center"/>
                </w:tcPr>
                <w:p w14:paraId="2799709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SJ-65挤出机</w:t>
                  </w:r>
                </w:p>
              </w:tc>
              <w:tc>
                <w:tcPr>
                  <w:tcW w:w="804" w:type="dxa"/>
                  <w:tcBorders>
                    <w:tl2br w:val="nil"/>
                    <w:tr2bl w:val="nil"/>
                  </w:tcBorders>
                  <w:shd w:val="clear" w:color="auto" w:fill="auto"/>
                  <w:vAlign w:val="center"/>
                </w:tcPr>
                <w:p w14:paraId="6361C23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1186" w:type="dxa"/>
                  <w:tcBorders>
                    <w:tl2br w:val="nil"/>
                    <w:tr2bl w:val="nil"/>
                  </w:tcBorders>
                  <w:shd w:val="clear" w:color="auto" w:fill="auto"/>
                  <w:vAlign w:val="center"/>
                </w:tcPr>
                <w:p w14:paraId="60212F1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70~75</w:t>
                  </w:r>
                </w:p>
              </w:tc>
              <w:tc>
                <w:tcPr>
                  <w:tcW w:w="846" w:type="dxa"/>
                  <w:tcBorders>
                    <w:tl2br w:val="nil"/>
                    <w:tr2bl w:val="nil"/>
                  </w:tcBorders>
                  <w:shd w:val="clear" w:color="auto" w:fill="auto"/>
                  <w:vAlign w:val="center"/>
                </w:tcPr>
                <w:p w14:paraId="14D47C0A">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连续</w:t>
                  </w:r>
                </w:p>
              </w:tc>
              <w:tc>
                <w:tcPr>
                  <w:tcW w:w="1744" w:type="dxa"/>
                  <w:tcBorders>
                    <w:tl2br w:val="nil"/>
                    <w:tr2bl w:val="nil"/>
                  </w:tcBorders>
                  <w:shd w:val="clear" w:color="auto" w:fill="auto"/>
                  <w:vAlign w:val="center"/>
                </w:tcPr>
                <w:p w14:paraId="6D4DE29A">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减振、厂房隔声</w:t>
                  </w:r>
                </w:p>
              </w:tc>
              <w:tc>
                <w:tcPr>
                  <w:tcW w:w="1062" w:type="dxa"/>
                  <w:tcBorders>
                    <w:tl2br w:val="nil"/>
                    <w:tr2bl w:val="nil"/>
                  </w:tcBorders>
                  <w:shd w:val="clear" w:color="auto" w:fill="auto"/>
                  <w:vAlign w:val="center"/>
                </w:tcPr>
                <w:p w14:paraId="0A92944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w:t>
                  </w:r>
                </w:p>
              </w:tc>
            </w:tr>
            <w:tr w14:paraId="416382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660" w:type="dxa"/>
                  <w:tcBorders>
                    <w:tl2br w:val="nil"/>
                    <w:tr2bl w:val="nil"/>
                  </w:tcBorders>
                  <w:shd w:val="clear" w:color="auto" w:fill="auto"/>
                  <w:vAlign w:val="center"/>
                </w:tcPr>
                <w:p w14:paraId="7D8635C5">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印刷机</w:t>
                  </w:r>
                </w:p>
              </w:tc>
              <w:tc>
                <w:tcPr>
                  <w:tcW w:w="804" w:type="dxa"/>
                  <w:tcBorders>
                    <w:tl2br w:val="nil"/>
                    <w:tr2bl w:val="nil"/>
                  </w:tcBorders>
                  <w:shd w:val="clear" w:color="auto" w:fill="auto"/>
                  <w:vAlign w:val="center"/>
                </w:tcPr>
                <w:p w14:paraId="73D8DDA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186" w:type="dxa"/>
                  <w:tcBorders>
                    <w:tl2br w:val="nil"/>
                    <w:tr2bl w:val="nil"/>
                  </w:tcBorders>
                  <w:shd w:val="clear" w:color="auto" w:fill="auto"/>
                  <w:vAlign w:val="center"/>
                </w:tcPr>
                <w:p w14:paraId="035E653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70~75</w:t>
                  </w:r>
                </w:p>
              </w:tc>
              <w:tc>
                <w:tcPr>
                  <w:tcW w:w="846" w:type="dxa"/>
                  <w:tcBorders>
                    <w:tl2br w:val="nil"/>
                    <w:tr2bl w:val="nil"/>
                  </w:tcBorders>
                  <w:shd w:val="clear" w:color="auto" w:fill="auto"/>
                  <w:vAlign w:val="center"/>
                </w:tcPr>
                <w:p w14:paraId="6F39681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连续</w:t>
                  </w:r>
                </w:p>
              </w:tc>
              <w:tc>
                <w:tcPr>
                  <w:tcW w:w="1744" w:type="dxa"/>
                  <w:tcBorders>
                    <w:tl2br w:val="nil"/>
                    <w:tr2bl w:val="nil"/>
                  </w:tcBorders>
                  <w:shd w:val="clear" w:color="auto" w:fill="auto"/>
                  <w:vAlign w:val="center"/>
                </w:tcPr>
                <w:p w14:paraId="415FB33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减振、厂房隔声</w:t>
                  </w:r>
                </w:p>
              </w:tc>
              <w:tc>
                <w:tcPr>
                  <w:tcW w:w="1062" w:type="dxa"/>
                  <w:tcBorders>
                    <w:tl2br w:val="nil"/>
                    <w:tr2bl w:val="nil"/>
                  </w:tcBorders>
                  <w:shd w:val="clear" w:color="auto" w:fill="auto"/>
                  <w:vAlign w:val="center"/>
                </w:tcPr>
                <w:p w14:paraId="63F2275A">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≤65</w:t>
                  </w:r>
                </w:p>
              </w:tc>
            </w:tr>
            <w:tr w14:paraId="2BA424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660" w:type="dxa"/>
                  <w:tcBorders>
                    <w:tl2br w:val="nil"/>
                    <w:tr2bl w:val="nil"/>
                  </w:tcBorders>
                  <w:shd w:val="clear" w:color="auto" w:fill="auto"/>
                  <w:vAlign w:val="center"/>
                </w:tcPr>
                <w:p w14:paraId="721C9717">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真空泵</w:t>
                  </w:r>
                </w:p>
              </w:tc>
              <w:tc>
                <w:tcPr>
                  <w:tcW w:w="804" w:type="dxa"/>
                  <w:tcBorders>
                    <w:tl2br w:val="nil"/>
                    <w:tr2bl w:val="nil"/>
                  </w:tcBorders>
                  <w:shd w:val="clear" w:color="auto" w:fill="auto"/>
                  <w:vAlign w:val="center"/>
                </w:tcPr>
                <w:p w14:paraId="4DFB0B8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186" w:type="dxa"/>
                  <w:tcBorders>
                    <w:tl2br w:val="nil"/>
                    <w:tr2bl w:val="nil"/>
                  </w:tcBorders>
                  <w:shd w:val="clear" w:color="auto" w:fill="auto"/>
                  <w:vAlign w:val="center"/>
                </w:tcPr>
                <w:p w14:paraId="4C9F60E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80~85</w:t>
                  </w:r>
                </w:p>
              </w:tc>
              <w:tc>
                <w:tcPr>
                  <w:tcW w:w="846" w:type="dxa"/>
                  <w:tcBorders>
                    <w:tl2br w:val="nil"/>
                    <w:tr2bl w:val="nil"/>
                  </w:tcBorders>
                  <w:shd w:val="clear" w:color="auto" w:fill="auto"/>
                  <w:vAlign w:val="center"/>
                </w:tcPr>
                <w:p w14:paraId="4249DA3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连续</w:t>
                  </w:r>
                </w:p>
              </w:tc>
              <w:tc>
                <w:tcPr>
                  <w:tcW w:w="1744" w:type="dxa"/>
                  <w:tcBorders>
                    <w:tl2br w:val="nil"/>
                    <w:tr2bl w:val="nil"/>
                  </w:tcBorders>
                  <w:shd w:val="clear" w:color="auto" w:fill="auto"/>
                  <w:vAlign w:val="center"/>
                </w:tcPr>
                <w:p w14:paraId="35259F9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减振、消声、厂房隔声</w:t>
                  </w:r>
                </w:p>
              </w:tc>
              <w:tc>
                <w:tcPr>
                  <w:tcW w:w="1062" w:type="dxa"/>
                  <w:tcBorders>
                    <w:tl2br w:val="nil"/>
                    <w:tr2bl w:val="nil"/>
                  </w:tcBorders>
                  <w:shd w:val="clear" w:color="auto" w:fill="auto"/>
                  <w:vAlign w:val="center"/>
                </w:tcPr>
                <w:p w14:paraId="681A0875">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≤70</w:t>
                  </w:r>
                </w:p>
              </w:tc>
            </w:tr>
            <w:tr w14:paraId="63C021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660" w:type="dxa"/>
                  <w:tcBorders>
                    <w:tl2br w:val="nil"/>
                    <w:tr2bl w:val="nil"/>
                  </w:tcBorders>
                  <w:shd w:val="clear" w:color="auto" w:fill="auto"/>
                  <w:vAlign w:val="center"/>
                </w:tcPr>
                <w:p w14:paraId="5D409139">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除尘风机</w:t>
                  </w:r>
                </w:p>
              </w:tc>
              <w:tc>
                <w:tcPr>
                  <w:tcW w:w="804" w:type="dxa"/>
                  <w:tcBorders>
                    <w:tl2br w:val="nil"/>
                    <w:tr2bl w:val="nil"/>
                  </w:tcBorders>
                  <w:shd w:val="clear" w:color="auto" w:fill="auto"/>
                  <w:vAlign w:val="center"/>
                </w:tcPr>
                <w:p w14:paraId="4F45E19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186" w:type="dxa"/>
                  <w:tcBorders>
                    <w:tl2br w:val="nil"/>
                    <w:tr2bl w:val="nil"/>
                  </w:tcBorders>
                  <w:shd w:val="clear" w:color="auto" w:fill="auto"/>
                  <w:vAlign w:val="center"/>
                </w:tcPr>
                <w:p w14:paraId="5811B78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80~85</w:t>
                  </w:r>
                </w:p>
              </w:tc>
              <w:tc>
                <w:tcPr>
                  <w:tcW w:w="846" w:type="dxa"/>
                  <w:tcBorders>
                    <w:tl2br w:val="nil"/>
                    <w:tr2bl w:val="nil"/>
                  </w:tcBorders>
                  <w:shd w:val="clear" w:color="auto" w:fill="auto"/>
                  <w:vAlign w:val="center"/>
                </w:tcPr>
                <w:p w14:paraId="3F63E95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连续</w:t>
                  </w:r>
                </w:p>
              </w:tc>
              <w:tc>
                <w:tcPr>
                  <w:tcW w:w="1744" w:type="dxa"/>
                  <w:tcBorders>
                    <w:tl2br w:val="nil"/>
                    <w:tr2bl w:val="nil"/>
                  </w:tcBorders>
                  <w:shd w:val="clear" w:color="auto" w:fill="auto"/>
                  <w:vAlign w:val="center"/>
                </w:tcPr>
                <w:p w14:paraId="6A6C8C14">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减振、消声、厂房隔声</w:t>
                  </w:r>
                </w:p>
              </w:tc>
              <w:tc>
                <w:tcPr>
                  <w:tcW w:w="1062" w:type="dxa"/>
                  <w:tcBorders>
                    <w:tl2br w:val="nil"/>
                    <w:tr2bl w:val="nil"/>
                  </w:tcBorders>
                  <w:shd w:val="clear" w:color="auto" w:fill="auto"/>
                  <w:vAlign w:val="center"/>
                </w:tcPr>
                <w:p w14:paraId="5FA61CA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≤70</w:t>
                  </w:r>
                </w:p>
              </w:tc>
            </w:tr>
          </w:tbl>
          <w:p w14:paraId="34C6C95F">
            <w:pPr>
              <w:pStyle w:val="5"/>
              <w:pageBreakBefore w:val="0"/>
              <w:shd w:val="clear"/>
              <w:kinsoku/>
              <w:topLinePunct w:val="0"/>
              <w:bidi w:val="0"/>
              <w:spacing w:beforeAutospacing="0" w:after="0" w:afterAutospacing="0" w:line="360" w:lineRule="auto"/>
              <w:ind w:left="0" w:leftChars="0" w:right="0" w:rightChars="0" w:firstLine="0" w:firstLineChars="0"/>
              <w:contextualSpacing/>
              <w:rPr>
                <w:rFonts w:hint="default" w:ascii="Times New Roman" w:hAnsi="Times New Roman" w:cs="Times New Roman"/>
                <w:b/>
                <w:bCs/>
                <w:color w:val="auto"/>
                <w:spacing w:val="0"/>
                <w:position w:val="0"/>
                <w:highlight w:val="none"/>
              </w:rPr>
            </w:pPr>
            <w:r>
              <w:rPr>
                <w:rFonts w:hint="default" w:ascii="Times New Roman" w:hAnsi="Times New Roman" w:cs="Times New Roman"/>
                <w:b/>
                <w:bCs/>
                <w:color w:val="auto"/>
                <w:spacing w:val="0"/>
                <w:position w:val="0"/>
                <w:highlight w:val="none"/>
              </w:rPr>
              <w:t>3.2噪声源强核算</w:t>
            </w:r>
          </w:p>
          <w:p w14:paraId="3A638D0D">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由于本项目噪声设备较多，声源复杂，分布不均匀，本次评价采用适用范围较广的整体声源模型，通过理论计算，预测噪声对敏感点的影响，从而科学地预测该项目的噪声影响情况。根据现场踏勘，项目区周边无环境敏感点。因此，本环评仅预测厂界噪声的影响。</w:t>
            </w:r>
          </w:p>
          <w:p w14:paraId="4C81F272">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本次环评噪声预测模式采用室外点声源预测模式，其计算过程如下：</w:t>
            </w:r>
          </w:p>
          <w:p w14:paraId="71FEBCA3">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① 计算某个声源在预测点的倍频带声压级</w:t>
            </w:r>
          </w:p>
          <w:p w14:paraId="0E7A6D84">
            <w:pPr>
              <w:pageBreakBefore w:val="0"/>
              <w:shd w:val="clear"/>
              <w:kinsoku/>
              <w:topLinePunct w:val="0"/>
              <w:autoSpaceDE w:val="0"/>
              <w:autoSpaceDN w:val="0"/>
              <w:bidi w:val="0"/>
              <w:adjustRightInd w:val="0"/>
              <w:spacing w:beforeAutospacing="0" w:afterAutospacing="0" w:line="360" w:lineRule="auto"/>
              <w:ind w:left="0" w:leftChars="0" w:right="0" w:rightChars="0"/>
              <w:jc w:val="center"/>
              <w:rPr>
                <w:rFonts w:hint="default" w:ascii="Times New Roman" w:hAnsi="Times New Roman" w:cs="Times New Roman"/>
                <w:bCs/>
                <w:color w:val="auto"/>
                <w:spacing w:val="0"/>
                <w:position w:val="0"/>
                <w:highlight w:val="none"/>
              </w:rPr>
            </w:pPr>
            <w:r>
              <w:rPr>
                <w:rFonts w:hint="default" w:ascii="Times New Roman" w:hAnsi="Times New Roman" w:cs="Times New Roman"/>
                <w:bCs/>
                <w:color w:val="auto"/>
                <w:spacing w:val="0"/>
                <w:position w:val="0"/>
                <w:highlight w:val="none"/>
              </w:rPr>
              <w:object>
                <v:shape id="_x0000_i1026" o:spt="75" type="#_x0000_t75" style="height:37.8pt;width:174pt;" o:ole="t" filled="f" o:preferrelative="t" stroked="f" coordsize="21600,21600">
                  <v:path/>
                  <v:fill on="f" focussize="0,0"/>
                  <v:stroke on="f" joinstyle="miter"/>
                  <v:imagedata r:id="rId11" o:title=""/>
                  <o:lock v:ext="edit" aspectratio="t"/>
                  <w10:wrap type="none"/>
                  <w10:anchorlock/>
                </v:shape>
                <o:OLEObject Type="Embed" ProgID="Equation.3" ShapeID="_x0000_i1026" DrawAspect="Content" ObjectID="_1468075726" r:id="rId10">
                  <o:LockedField>false</o:LockedField>
                </o:OLEObject>
              </w:object>
            </w:r>
          </w:p>
          <w:p w14:paraId="03511305">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式中：Loct(r)——点声源在预测点产生的倍频带声压级， dB(A)；</w:t>
            </w:r>
          </w:p>
          <w:p w14:paraId="2F449E0E">
            <w:pPr>
              <w:pageBreakBefore w:val="0"/>
              <w:shd w:val="clear"/>
              <w:kinsoku/>
              <w:topLinePunct w:val="0"/>
              <w:autoSpaceDE w:val="0"/>
              <w:autoSpaceDN w:val="0"/>
              <w:bidi w:val="0"/>
              <w:adjustRightInd w:val="0"/>
              <w:spacing w:beforeAutospacing="0" w:afterAutospacing="0" w:line="360" w:lineRule="auto"/>
              <w:ind w:left="0" w:leftChars="0" w:right="0" w:rightChars="0" w:firstLine="1200" w:firstLineChars="5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Loct(r0)——参考位置r0处</w:t>
            </w:r>
            <w:r>
              <w:rPr>
                <w:rFonts w:hint="default" w:ascii="Times New Roman" w:hAnsi="Times New Roman" w:cs="Times New Roman"/>
                <w:bCs/>
                <w:color w:val="auto"/>
                <w:spacing w:val="0"/>
                <w:position w:val="0"/>
                <w:sz w:val="24"/>
                <w:highlight w:val="none"/>
                <w:lang w:eastAsia="zh-CN"/>
              </w:rPr>
              <w:t>的</w:t>
            </w:r>
            <w:r>
              <w:rPr>
                <w:rFonts w:hint="default" w:ascii="Times New Roman" w:hAnsi="Times New Roman" w:cs="Times New Roman"/>
                <w:bCs/>
                <w:color w:val="auto"/>
                <w:spacing w:val="0"/>
                <w:position w:val="0"/>
                <w:sz w:val="24"/>
                <w:highlight w:val="none"/>
              </w:rPr>
              <w:t>倍频带声压级， dB(A)；</w:t>
            </w:r>
          </w:p>
          <w:p w14:paraId="6A144835">
            <w:pPr>
              <w:pageBreakBefore w:val="0"/>
              <w:shd w:val="clear"/>
              <w:kinsoku/>
              <w:topLinePunct w:val="0"/>
              <w:autoSpaceDE w:val="0"/>
              <w:autoSpaceDN w:val="0"/>
              <w:bidi w:val="0"/>
              <w:adjustRightInd w:val="0"/>
              <w:spacing w:beforeAutospacing="0" w:afterAutospacing="0" w:line="360" w:lineRule="auto"/>
              <w:ind w:left="0" w:leftChars="0" w:right="0" w:rightChars="0" w:firstLine="1200" w:firstLineChars="5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r——预测点距声源的距离，m；</w:t>
            </w:r>
          </w:p>
          <w:p w14:paraId="17FED1C5">
            <w:pPr>
              <w:pageBreakBefore w:val="0"/>
              <w:shd w:val="clear"/>
              <w:kinsoku/>
              <w:topLinePunct w:val="0"/>
              <w:autoSpaceDE w:val="0"/>
              <w:autoSpaceDN w:val="0"/>
              <w:bidi w:val="0"/>
              <w:adjustRightInd w:val="0"/>
              <w:spacing w:beforeAutospacing="0" w:afterAutospacing="0" w:line="360" w:lineRule="auto"/>
              <w:ind w:left="0" w:leftChars="0" w:right="0" w:rightChars="0" w:firstLine="1200" w:firstLineChars="5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r0——参考位置距声源的距离，m；</w:t>
            </w:r>
          </w:p>
          <w:p w14:paraId="074F91EA">
            <w:pPr>
              <w:pageBreakBefore w:val="0"/>
              <w:shd w:val="clear"/>
              <w:kinsoku/>
              <w:topLinePunct w:val="0"/>
              <w:autoSpaceDE w:val="0"/>
              <w:autoSpaceDN w:val="0"/>
              <w:bidi w:val="0"/>
              <w:adjustRightInd w:val="0"/>
              <w:spacing w:beforeAutospacing="0" w:afterAutospacing="0" w:line="360" w:lineRule="auto"/>
              <w:ind w:left="0" w:leftChars="0" w:right="0" w:rightChars="0" w:firstLine="1200" w:firstLineChars="5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ΔLoct——各种因素引起的衰减量（包括声屏障、遮挡物、空气吸收、地面效应等引起的衰减量）,dB(A)。</w:t>
            </w:r>
          </w:p>
          <w:p w14:paraId="77A800E4">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②预测点总影响值计算模式：</w:t>
            </w:r>
          </w:p>
          <w:p w14:paraId="2C4130FE">
            <w:pPr>
              <w:pageBreakBefore w:val="0"/>
              <w:shd w:val="clear"/>
              <w:kinsoku/>
              <w:topLinePunct w:val="0"/>
              <w:autoSpaceDE w:val="0"/>
              <w:autoSpaceDN w:val="0"/>
              <w:bidi w:val="0"/>
              <w:adjustRightInd w:val="0"/>
              <w:spacing w:beforeAutospacing="0" w:afterAutospacing="0" w:line="360" w:lineRule="auto"/>
              <w:ind w:left="0" w:leftChars="0" w:right="0" w:rightChars="0" w:firstLine="420" w:firstLineChars="200"/>
              <w:jc w:val="left"/>
              <w:rPr>
                <w:rFonts w:hint="default" w:ascii="Times New Roman" w:hAnsi="Times New Roman" w:cs="Times New Roman"/>
                <w:bCs/>
                <w:color w:val="auto"/>
                <w:spacing w:val="0"/>
                <w:position w:val="0"/>
                <w:highlight w:val="none"/>
              </w:rPr>
            </w:pPr>
            <w:r>
              <w:rPr>
                <w:rFonts w:hint="default" w:ascii="Times New Roman" w:hAnsi="Times New Roman" w:cs="Times New Roman"/>
                <w:bCs/>
                <w:color w:val="auto"/>
                <w:spacing w:val="0"/>
                <w:position w:val="0"/>
                <w:highlight w:val="none"/>
              </w:rPr>
              <w:t xml:space="preserve">     </w:t>
            </w:r>
            <w:r>
              <w:rPr>
                <w:rFonts w:hint="default" w:ascii="Times New Roman" w:hAnsi="Times New Roman" w:cs="Times New Roman"/>
                <w:bCs/>
                <w:color w:val="auto"/>
                <w:spacing w:val="0"/>
                <w:position w:val="0"/>
                <w:highlight w:val="none"/>
                <w:lang w:val="en-US" w:eastAsia="zh-CN"/>
              </w:rPr>
              <w:t xml:space="preserve">          </w:t>
            </w:r>
            <w:r>
              <w:rPr>
                <w:rFonts w:hint="default" w:ascii="Times New Roman" w:hAnsi="Times New Roman" w:cs="Times New Roman"/>
                <w:bCs/>
                <w:color w:val="auto"/>
                <w:spacing w:val="0"/>
                <w:position w:val="0"/>
                <w:highlight w:val="none"/>
              </w:rPr>
              <w:t xml:space="preserve"> </w:t>
            </w:r>
            <w:r>
              <w:rPr>
                <w:rFonts w:hint="default" w:ascii="Times New Roman" w:hAnsi="Times New Roman" w:cs="Times New Roman"/>
                <w:bCs/>
                <w:color w:val="auto"/>
                <w:spacing w:val="0"/>
                <w:position w:val="0"/>
                <w:highlight w:val="none"/>
                <w:lang w:val="en-US" w:eastAsia="zh-CN"/>
              </w:rPr>
              <w:t xml:space="preserve">     </w:t>
            </w:r>
            <w:r>
              <w:rPr>
                <w:rFonts w:hint="default" w:ascii="Times New Roman" w:hAnsi="Times New Roman" w:cs="Times New Roman"/>
                <w:bCs/>
                <w:color w:val="auto"/>
                <w:spacing w:val="0"/>
                <w:position w:val="0"/>
                <w:highlight w:val="none"/>
              </w:rPr>
              <w:drawing>
                <wp:inline distT="0" distB="0" distL="114300" distR="114300">
                  <wp:extent cx="1741170" cy="659765"/>
                  <wp:effectExtent l="0" t="0" r="0" b="0"/>
                  <wp:docPr id="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pic:cNvPicPr>
                            <a:picLocks noChangeAspect="1"/>
                          </pic:cNvPicPr>
                        </pic:nvPicPr>
                        <pic:blipFill>
                          <a:blip r:embed="rId12"/>
                          <a:stretch>
                            <a:fillRect/>
                          </a:stretch>
                        </pic:blipFill>
                        <pic:spPr>
                          <a:xfrm>
                            <a:off x="0" y="0"/>
                            <a:ext cx="1741170" cy="659765"/>
                          </a:xfrm>
                          <a:prstGeom prst="rect">
                            <a:avLst/>
                          </a:prstGeom>
                          <a:noFill/>
                          <a:ln>
                            <a:noFill/>
                          </a:ln>
                        </pic:spPr>
                      </pic:pic>
                    </a:graphicData>
                  </a:graphic>
                </wp:inline>
              </w:drawing>
            </w:r>
          </w:p>
          <w:p w14:paraId="5A6154EF">
            <w:pPr>
              <w:pageBreakBefore w:val="0"/>
              <w:shd w:val="clear"/>
              <w:kinsoku/>
              <w:topLinePunct w:val="0"/>
              <w:bidi w:val="0"/>
              <w:spacing w:beforeAutospacing="0" w:afterAutospacing="0"/>
              <w:ind w:left="0" w:leftChars="0" w:right="0" w:rightChars="0" w:firstLine="480"/>
              <w:rPr>
                <w:rFonts w:hint="default" w:ascii="Times New Roman" w:hAnsi="Times New Roman" w:cs="Times New Roman"/>
                <w:color w:val="auto"/>
                <w:spacing w:val="0"/>
                <w:position w:val="0"/>
                <w:highlight w:val="none"/>
              </w:rPr>
            </w:pPr>
            <w:r>
              <w:rPr>
                <w:rFonts w:hint="default" w:ascii="Times New Roman" w:hAnsi="Times New Roman" w:cs="Times New Roman"/>
                <w:color w:val="auto"/>
                <w:spacing w:val="0"/>
                <w:position w:val="0"/>
                <w:highlight w:val="none"/>
                <w:lang w:bidi="ar"/>
              </w:rPr>
              <w:t>式中：</w:t>
            </w:r>
            <w:r>
              <w:rPr>
                <w:rFonts w:hint="default" w:ascii="Times New Roman" w:hAnsi="Times New Roman" w:cs="Times New Roman"/>
                <w:color w:val="auto"/>
                <w:spacing w:val="0"/>
                <w:position w:val="0"/>
                <w:highlight w:val="none"/>
              </w:rPr>
              <w:drawing>
                <wp:inline distT="0" distB="0" distL="114300" distR="114300">
                  <wp:extent cx="219075" cy="228600"/>
                  <wp:effectExtent l="0" t="0" r="9525" b="0"/>
                  <wp:docPr id="1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pic:cNvPicPr>
                            <a:picLocks noChangeAspect="1"/>
                          </pic:cNvPicPr>
                        </pic:nvPicPr>
                        <pic:blipFill>
                          <a:blip r:embed="rId13"/>
                          <a:stretch>
                            <a:fillRect/>
                          </a:stretch>
                        </pic:blipFill>
                        <pic:spPr>
                          <a:xfrm>
                            <a:off x="0" y="0"/>
                            <a:ext cx="219075" cy="228600"/>
                          </a:xfrm>
                          <a:prstGeom prst="rect">
                            <a:avLst/>
                          </a:prstGeom>
                          <a:noFill/>
                          <a:ln>
                            <a:noFill/>
                          </a:ln>
                        </pic:spPr>
                      </pic:pic>
                    </a:graphicData>
                  </a:graphic>
                </wp:inline>
              </w:drawing>
            </w:r>
            <w:r>
              <w:rPr>
                <w:rFonts w:hint="default" w:ascii="Times New Roman" w:hAnsi="Times New Roman" w:cs="Times New Roman"/>
                <w:color w:val="auto"/>
                <w:spacing w:val="0"/>
                <w:position w:val="0"/>
                <w:highlight w:val="none"/>
                <w:lang w:bidi="ar"/>
              </w:rPr>
              <w:t>——几个声压级相加后的总声压级，dB(A)；</w:t>
            </w:r>
          </w:p>
          <w:p w14:paraId="083C6A0D">
            <w:pPr>
              <w:pageBreakBefore w:val="0"/>
              <w:shd w:val="clear"/>
              <w:kinsoku/>
              <w:topLinePunct w:val="0"/>
              <w:autoSpaceDE w:val="0"/>
              <w:autoSpaceDN w:val="0"/>
              <w:bidi w:val="0"/>
              <w:adjustRightInd w:val="0"/>
              <w:spacing w:beforeAutospacing="0" w:afterAutospacing="0" w:line="360" w:lineRule="auto"/>
              <w:ind w:left="0" w:leftChars="0" w:right="0" w:rightChars="0" w:firstLine="1050" w:firstLineChars="500"/>
              <w:jc w:val="left"/>
              <w:rPr>
                <w:rFonts w:hint="default" w:ascii="Times New Roman" w:hAnsi="Times New Roman" w:cs="Times New Roman"/>
                <w:bCs/>
                <w:color w:val="auto"/>
                <w:spacing w:val="0"/>
                <w:position w:val="0"/>
                <w:highlight w:val="none"/>
              </w:rPr>
            </w:pPr>
            <w:r>
              <w:rPr>
                <w:rFonts w:hint="default" w:ascii="Times New Roman" w:hAnsi="Times New Roman" w:cs="Times New Roman"/>
                <w:bCs/>
                <w:color w:val="auto"/>
                <w:spacing w:val="0"/>
                <w:position w:val="0"/>
                <w:highlight w:val="none"/>
              </w:rPr>
              <w:drawing>
                <wp:inline distT="0" distB="0" distL="114300" distR="114300">
                  <wp:extent cx="152400" cy="228600"/>
                  <wp:effectExtent l="0" t="0" r="0" b="0"/>
                  <wp:docPr id="1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6"/>
                          <pic:cNvPicPr>
                            <a:picLocks noChangeAspect="1"/>
                          </pic:cNvPicPr>
                        </pic:nvPicPr>
                        <pic:blipFill>
                          <a:blip r:embed="rId14"/>
                          <a:stretch>
                            <a:fillRect/>
                          </a:stretch>
                        </pic:blipFill>
                        <pic:spPr>
                          <a:xfrm>
                            <a:off x="0" y="0"/>
                            <a:ext cx="152400" cy="228600"/>
                          </a:xfrm>
                          <a:prstGeom prst="rect">
                            <a:avLst/>
                          </a:prstGeom>
                          <a:noFill/>
                          <a:ln>
                            <a:noFill/>
                          </a:ln>
                        </pic:spPr>
                      </pic:pic>
                    </a:graphicData>
                  </a:graphic>
                </wp:inline>
              </w:drawing>
            </w:r>
            <w:r>
              <w:rPr>
                <w:rFonts w:hint="default" w:ascii="Times New Roman" w:hAnsi="Times New Roman" w:cs="Times New Roman"/>
                <w:bCs/>
                <w:color w:val="auto"/>
                <w:spacing w:val="0"/>
                <w:position w:val="0"/>
                <w:highlight w:val="none"/>
              </w:rPr>
              <w:t xml:space="preserve"> ——某一个声压级，dB(A)。</w:t>
            </w:r>
          </w:p>
          <w:p w14:paraId="731F39CB">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其声波在传播过程中将通过所在建筑物的屏蔽衰减，并经过距离衰减、声屏障衰减、空气吸收衰减达到厂界。</w:t>
            </w:r>
          </w:p>
          <w:p w14:paraId="488EB3EA">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利用以上预测公式，使噪声源通过等效变换成若干等效声源，然后计算出与噪声源不同距离处的理论噪声值，得出噪声设备运行时对厂界噪声环境的影响状况，</w:t>
            </w:r>
          </w:p>
          <w:p w14:paraId="0063CFA8">
            <w:pPr>
              <w:pageBreakBefore w:val="0"/>
              <w:shd w:val="clear"/>
              <w:kinsoku/>
              <w:topLinePunct w:val="0"/>
              <w:autoSpaceDE w:val="0"/>
              <w:autoSpaceDN w:val="0"/>
              <w:bidi w:val="0"/>
              <w:adjustRightInd w:val="0"/>
              <w:spacing w:beforeAutospacing="0" w:afterAutospacing="0" w:line="360" w:lineRule="auto"/>
              <w:ind w:left="0" w:leftChars="0" w:right="0" w:rightChars="0" w:firstLine="0" w:firstLineChars="0"/>
              <w:jc w:val="left"/>
              <w:rPr>
                <w:rFonts w:hint="default" w:ascii="Times New Roman" w:hAnsi="Times New Roman" w:cs="Times New Roman"/>
                <w:b/>
                <w:color w:val="auto"/>
                <w:spacing w:val="0"/>
                <w:position w:val="0"/>
                <w:sz w:val="24"/>
                <w:highlight w:val="none"/>
              </w:rPr>
            </w:pPr>
            <w:r>
              <w:rPr>
                <w:rFonts w:hint="default" w:ascii="Times New Roman" w:hAnsi="Times New Roman" w:cs="Times New Roman"/>
                <w:b/>
                <w:color w:val="auto"/>
                <w:spacing w:val="0"/>
                <w:position w:val="0"/>
                <w:sz w:val="24"/>
                <w:highlight w:val="none"/>
              </w:rPr>
              <w:t>3.3预测结果</w:t>
            </w:r>
          </w:p>
          <w:p w14:paraId="4AC98B2D">
            <w:pPr>
              <w:pageBreakBefore w:val="0"/>
              <w:shd w:val="clear"/>
              <w:kinsoku/>
              <w:topLinePunct w:val="0"/>
              <w:autoSpaceDE w:val="0"/>
              <w:autoSpaceDN w:val="0"/>
              <w:bidi w:val="0"/>
              <w:adjustRightInd w:val="0"/>
              <w:spacing w:beforeAutospacing="0" w:afterAutospacing="0" w:line="360" w:lineRule="auto"/>
              <w:ind w:left="0" w:leftChars="0" w:right="0" w:rightChars="0" w:firstLine="480" w:firstLineChars="200"/>
              <w:jc w:val="left"/>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rPr>
              <w:t>本工程主要噪声源集中在室内，从环保角度，设定其噪声源最大强度90dB（A）声源1m处噪声值，增设隔振垫后降噪约20 dB（A），计算结果见表4-1</w:t>
            </w:r>
            <w:r>
              <w:rPr>
                <w:rFonts w:hint="default" w:ascii="Times New Roman" w:hAnsi="Times New Roman" w:cs="Times New Roman"/>
                <w:bCs/>
                <w:color w:val="auto"/>
                <w:spacing w:val="0"/>
                <w:position w:val="0"/>
                <w:sz w:val="24"/>
                <w:highlight w:val="none"/>
                <w:lang w:val="en-US" w:eastAsia="zh-CN"/>
              </w:rPr>
              <w:t>2</w:t>
            </w:r>
            <w:r>
              <w:rPr>
                <w:rFonts w:hint="default" w:ascii="Times New Roman" w:hAnsi="Times New Roman" w:cs="Times New Roman"/>
                <w:bCs/>
                <w:color w:val="auto"/>
                <w:spacing w:val="0"/>
                <w:position w:val="0"/>
                <w:sz w:val="24"/>
                <w:highlight w:val="none"/>
              </w:rPr>
              <w:t>。</w:t>
            </w:r>
          </w:p>
          <w:p w14:paraId="42B06B2F">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表4-</w:t>
            </w:r>
            <w:r>
              <w:rPr>
                <w:rFonts w:hint="default" w:ascii="Times New Roman" w:hAnsi="Times New Roman" w:cs="Times New Roman"/>
                <w:b/>
                <w:bCs/>
                <w:color w:val="auto"/>
                <w:spacing w:val="0"/>
                <w:position w:val="0"/>
                <w:sz w:val="21"/>
                <w:szCs w:val="18"/>
                <w:highlight w:val="none"/>
                <w:lang w:val="en-US" w:eastAsia="zh-CN"/>
              </w:rPr>
              <w:t>12</w:t>
            </w:r>
            <w:r>
              <w:rPr>
                <w:rFonts w:hint="default" w:ascii="Times New Roman" w:hAnsi="Times New Roman" w:cs="Times New Roman"/>
                <w:b/>
                <w:bCs/>
                <w:color w:val="auto"/>
                <w:spacing w:val="0"/>
                <w:position w:val="0"/>
                <w:sz w:val="21"/>
                <w:szCs w:val="18"/>
                <w:highlight w:val="none"/>
              </w:rPr>
              <w:t xml:space="preserve">    项目噪声源对周围环境的贡献量   dB(A)</w:t>
            </w:r>
          </w:p>
          <w:tbl>
            <w:tblPr>
              <w:tblStyle w:val="25"/>
              <w:tblW w:w="4996"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425"/>
              <w:gridCol w:w="557"/>
              <w:gridCol w:w="558"/>
              <w:gridCol w:w="558"/>
              <w:gridCol w:w="558"/>
              <w:gridCol w:w="558"/>
              <w:gridCol w:w="695"/>
              <w:gridCol w:w="766"/>
              <w:gridCol w:w="695"/>
            </w:tblGrid>
            <w:tr w14:paraId="70E7929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1644" w:type="pct"/>
                  <w:tcBorders>
                    <w:top w:val="single" w:color="auto" w:sz="12" w:space="0"/>
                    <w:left w:val="nil"/>
                    <w:bottom w:val="single" w:color="auto" w:sz="8" w:space="0"/>
                    <w:right w:val="single" w:color="auto" w:sz="8" w:space="0"/>
                  </w:tcBorders>
                  <w:noWrap w:val="0"/>
                  <w:vAlign w:val="center"/>
                </w:tcPr>
                <w:p w14:paraId="4633B0BD">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距声源距离（m）</w:t>
                  </w:r>
                </w:p>
              </w:tc>
              <w:tc>
                <w:tcPr>
                  <w:tcW w:w="378" w:type="pct"/>
                  <w:tcBorders>
                    <w:top w:val="single" w:color="auto" w:sz="12" w:space="0"/>
                    <w:left w:val="single" w:color="auto" w:sz="8" w:space="0"/>
                    <w:bottom w:val="single" w:color="auto" w:sz="8" w:space="0"/>
                    <w:right w:val="single" w:color="auto" w:sz="8" w:space="0"/>
                  </w:tcBorders>
                  <w:noWrap w:val="0"/>
                  <w:vAlign w:val="center"/>
                </w:tcPr>
                <w:p w14:paraId="39AABBE3">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10</w:t>
                  </w:r>
                </w:p>
              </w:tc>
              <w:tc>
                <w:tcPr>
                  <w:tcW w:w="378" w:type="pct"/>
                  <w:tcBorders>
                    <w:top w:val="single" w:color="auto" w:sz="12" w:space="0"/>
                    <w:left w:val="single" w:color="auto" w:sz="8" w:space="0"/>
                    <w:bottom w:val="single" w:color="auto" w:sz="8" w:space="0"/>
                    <w:right w:val="single" w:color="auto" w:sz="8" w:space="0"/>
                  </w:tcBorders>
                  <w:noWrap w:val="0"/>
                  <w:vAlign w:val="center"/>
                </w:tcPr>
                <w:p w14:paraId="0A9F74DB">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50</w:t>
                  </w:r>
                </w:p>
              </w:tc>
              <w:tc>
                <w:tcPr>
                  <w:tcW w:w="378" w:type="pct"/>
                  <w:tcBorders>
                    <w:top w:val="single" w:color="auto" w:sz="12" w:space="0"/>
                    <w:left w:val="single" w:color="auto" w:sz="8" w:space="0"/>
                    <w:bottom w:val="single" w:color="auto" w:sz="8" w:space="0"/>
                    <w:right w:val="single" w:color="auto" w:sz="8" w:space="0"/>
                  </w:tcBorders>
                  <w:noWrap w:val="0"/>
                  <w:vAlign w:val="center"/>
                </w:tcPr>
                <w:p w14:paraId="5D29710E">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60</w:t>
                  </w:r>
                </w:p>
              </w:tc>
              <w:tc>
                <w:tcPr>
                  <w:tcW w:w="378" w:type="pct"/>
                  <w:tcBorders>
                    <w:top w:val="single" w:color="auto" w:sz="12" w:space="0"/>
                    <w:left w:val="single" w:color="auto" w:sz="8" w:space="0"/>
                    <w:bottom w:val="single" w:color="auto" w:sz="8" w:space="0"/>
                    <w:right w:val="single" w:color="auto" w:sz="8" w:space="0"/>
                  </w:tcBorders>
                  <w:noWrap w:val="0"/>
                  <w:vAlign w:val="center"/>
                </w:tcPr>
                <w:p w14:paraId="514935AD">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70</w:t>
                  </w:r>
                </w:p>
              </w:tc>
              <w:tc>
                <w:tcPr>
                  <w:tcW w:w="378" w:type="pct"/>
                  <w:tcBorders>
                    <w:top w:val="single" w:color="auto" w:sz="12" w:space="0"/>
                    <w:left w:val="single" w:color="auto" w:sz="8" w:space="0"/>
                    <w:bottom w:val="single" w:color="auto" w:sz="8" w:space="0"/>
                    <w:right w:val="single" w:color="auto" w:sz="8" w:space="0"/>
                  </w:tcBorders>
                  <w:noWrap w:val="0"/>
                  <w:vAlign w:val="center"/>
                </w:tcPr>
                <w:p w14:paraId="632214FE">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80</w:t>
                  </w:r>
                </w:p>
              </w:tc>
              <w:tc>
                <w:tcPr>
                  <w:tcW w:w="471" w:type="pct"/>
                  <w:tcBorders>
                    <w:top w:val="single" w:color="auto" w:sz="12" w:space="0"/>
                    <w:left w:val="single" w:color="auto" w:sz="8" w:space="0"/>
                    <w:bottom w:val="single" w:color="auto" w:sz="8" w:space="0"/>
                    <w:right w:val="single" w:color="auto" w:sz="8" w:space="0"/>
                  </w:tcBorders>
                  <w:noWrap w:val="0"/>
                  <w:vAlign w:val="center"/>
                </w:tcPr>
                <w:p w14:paraId="0AA3B298">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100</w:t>
                  </w:r>
                </w:p>
              </w:tc>
              <w:tc>
                <w:tcPr>
                  <w:tcW w:w="519" w:type="pct"/>
                  <w:tcBorders>
                    <w:top w:val="single" w:color="auto" w:sz="12" w:space="0"/>
                    <w:left w:val="single" w:color="auto" w:sz="8" w:space="0"/>
                    <w:bottom w:val="single" w:color="auto" w:sz="8" w:space="0"/>
                    <w:right w:val="single" w:color="auto" w:sz="8" w:space="0"/>
                  </w:tcBorders>
                  <w:noWrap w:val="0"/>
                  <w:vAlign w:val="center"/>
                </w:tcPr>
                <w:p w14:paraId="09ECC6FA">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150</w:t>
                  </w:r>
                </w:p>
              </w:tc>
              <w:tc>
                <w:tcPr>
                  <w:tcW w:w="471" w:type="pct"/>
                  <w:tcBorders>
                    <w:top w:val="single" w:color="auto" w:sz="12" w:space="0"/>
                    <w:left w:val="single" w:color="auto" w:sz="8" w:space="0"/>
                    <w:bottom w:val="single" w:color="auto" w:sz="8" w:space="0"/>
                    <w:right w:val="nil"/>
                  </w:tcBorders>
                  <w:noWrap w:val="0"/>
                  <w:vAlign w:val="center"/>
                </w:tcPr>
                <w:p w14:paraId="1728CD16">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200</w:t>
                  </w:r>
                </w:p>
              </w:tc>
            </w:tr>
            <w:tr w14:paraId="2BCA813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1644" w:type="pct"/>
                  <w:tcBorders>
                    <w:top w:val="single" w:color="auto" w:sz="8" w:space="0"/>
                    <w:left w:val="nil"/>
                    <w:bottom w:val="single" w:color="auto" w:sz="12" w:space="0"/>
                    <w:right w:val="single" w:color="auto" w:sz="8" w:space="0"/>
                  </w:tcBorders>
                  <w:noWrap w:val="0"/>
                  <w:vAlign w:val="center"/>
                </w:tcPr>
                <w:p w14:paraId="4FCFF3B0">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预测值</w:t>
                  </w:r>
                </w:p>
              </w:tc>
              <w:tc>
                <w:tcPr>
                  <w:tcW w:w="378" w:type="pct"/>
                  <w:tcBorders>
                    <w:top w:val="single" w:color="auto" w:sz="8" w:space="0"/>
                    <w:left w:val="single" w:color="auto" w:sz="8" w:space="0"/>
                    <w:bottom w:val="single" w:color="auto" w:sz="12" w:space="0"/>
                    <w:right w:val="single" w:color="auto" w:sz="8" w:space="0"/>
                  </w:tcBorders>
                  <w:noWrap w:val="0"/>
                  <w:vAlign w:val="center"/>
                </w:tcPr>
                <w:p w14:paraId="4EDE939D">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69</w:t>
                  </w:r>
                </w:p>
              </w:tc>
              <w:tc>
                <w:tcPr>
                  <w:tcW w:w="378" w:type="pct"/>
                  <w:tcBorders>
                    <w:top w:val="single" w:color="auto" w:sz="8" w:space="0"/>
                    <w:left w:val="single" w:color="auto" w:sz="8" w:space="0"/>
                    <w:bottom w:val="single" w:color="auto" w:sz="12" w:space="0"/>
                    <w:right w:val="single" w:color="auto" w:sz="8" w:space="0"/>
                  </w:tcBorders>
                  <w:noWrap w:val="0"/>
                  <w:vAlign w:val="center"/>
                </w:tcPr>
                <w:p w14:paraId="275EA7C5">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55</w:t>
                  </w:r>
                </w:p>
              </w:tc>
              <w:tc>
                <w:tcPr>
                  <w:tcW w:w="378" w:type="pct"/>
                  <w:tcBorders>
                    <w:top w:val="single" w:color="auto" w:sz="8" w:space="0"/>
                    <w:left w:val="single" w:color="auto" w:sz="8" w:space="0"/>
                    <w:bottom w:val="single" w:color="auto" w:sz="12" w:space="0"/>
                    <w:right w:val="single" w:color="auto" w:sz="8" w:space="0"/>
                  </w:tcBorders>
                  <w:noWrap w:val="0"/>
                  <w:vAlign w:val="center"/>
                </w:tcPr>
                <w:p w14:paraId="22F77997">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54</w:t>
                  </w:r>
                </w:p>
              </w:tc>
              <w:tc>
                <w:tcPr>
                  <w:tcW w:w="378" w:type="pct"/>
                  <w:tcBorders>
                    <w:top w:val="single" w:color="auto" w:sz="8" w:space="0"/>
                    <w:left w:val="single" w:color="auto" w:sz="8" w:space="0"/>
                    <w:bottom w:val="single" w:color="auto" w:sz="12" w:space="0"/>
                    <w:right w:val="single" w:color="auto" w:sz="8" w:space="0"/>
                  </w:tcBorders>
                  <w:noWrap w:val="0"/>
                  <w:vAlign w:val="center"/>
                </w:tcPr>
                <w:p w14:paraId="69C23F84">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52</w:t>
                  </w:r>
                </w:p>
              </w:tc>
              <w:tc>
                <w:tcPr>
                  <w:tcW w:w="378" w:type="pct"/>
                  <w:tcBorders>
                    <w:top w:val="single" w:color="auto" w:sz="8" w:space="0"/>
                    <w:left w:val="single" w:color="auto" w:sz="8" w:space="0"/>
                    <w:bottom w:val="single" w:color="auto" w:sz="12" w:space="0"/>
                    <w:right w:val="single" w:color="auto" w:sz="8" w:space="0"/>
                  </w:tcBorders>
                  <w:noWrap w:val="0"/>
                  <w:vAlign w:val="center"/>
                </w:tcPr>
                <w:p w14:paraId="2CF907B7">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51</w:t>
                  </w:r>
                </w:p>
              </w:tc>
              <w:tc>
                <w:tcPr>
                  <w:tcW w:w="471" w:type="pct"/>
                  <w:tcBorders>
                    <w:top w:val="single" w:color="auto" w:sz="8" w:space="0"/>
                    <w:left w:val="single" w:color="auto" w:sz="8" w:space="0"/>
                    <w:bottom w:val="single" w:color="auto" w:sz="12" w:space="0"/>
                    <w:right w:val="single" w:color="auto" w:sz="8" w:space="0"/>
                  </w:tcBorders>
                  <w:noWrap w:val="0"/>
                  <w:vAlign w:val="center"/>
                </w:tcPr>
                <w:p w14:paraId="60DE2B52">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50</w:t>
                  </w:r>
                </w:p>
              </w:tc>
              <w:tc>
                <w:tcPr>
                  <w:tcW w:w="519" w:type="pct"/>
                  <w:tcBorders>
                    <w:top w:val="single" w:color="auto" w:sz="8" w:space="0"/>
                    <w:left w:val="single" w:color="auto" w:sz="8" w:space="0"/>
                    <w:bottom w:val="single" w:color="auto" w:sz="12" w:space="0"/>
                    <w:right w:val="single" w:color="auto" w:sz="8" w:space="0"/>
                  </w:tcBorders>
                  <w:noWrap w:val="0"/>
                  <w:vAlign w:val="center"/>
                </w:tcPr>
                <w:p w14:paraId="124D7287">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47</w:t>
                  </w:r>
                </w:p>
              </w:tc>
              <w:tc>
                <w:tcPr>
                  <w:tcW w:w="471" w:type="pct"/>
                  <w:tcBorders>
                    <w:top w:val="single" w:color="auto" w:sz="8" w:space="0"/>
                    <w:left w:val="single" w:color="auto" w:sz="8" w:space="0"/>
                    <w:bottom w:val="single" w:color="auto" w:sz="12" w:space="0"/>
                    <w:right w:val="nil"/>
                  </w:tcBorders>
                  <w:noWrap w:val="0"/>
                  <w:vAlign w:val="center"/>
                </w:tcPr>
                <w:p w14:paraId="7A90765E">
                  <w:pPr>
                    <w:pStyle w:val="3"/>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18"/>
                      <w:highlight w:val="none"/>
                    </w:rPr>
                  </w:pPr>
                  <w:r>
                    <w:rPr>
                      <w:rFonts w:hint="default" w:ascii="Times New Roman" w:hAnsi="Times New Roman" w:cs="Times New Roman"/>
                      <w:color w:val="auto"/>
                      <w:spacing w:val="0"/>
                      <w:position w:val="0"/>
                      <w:sz w:val="21"/>
                      <w:szCs w:val="18"/>
                      <w:highlight w:val="none"/>
                    </w:rPr>
                    <w:t>43</w:t>
                  </w:r>
                </w:p>
              </w:tc>
            </w:tr>
          </w:tbl>
          <w:p w14:paraId="5CFB1F54">
            <w:pPr>
              <w:pageBreakBefore w:val="0"/>
              <w:shd w:val="clear"/>
              <w:kinsoku/>
              <w:topLinePunct w:val="0"/>
              <w:bidi w:val="0"/>
              <w:adjustRightInd w:val="0"/>
              <w:snapToGrid w:val="0"/>
              <w:spacing w:beforeAutospacing="0" w:afterAutospacing="0" w:line="360" w:lineRule="auto"/>
              <w:ind w:left="0" w:leftChars="0" w:right="0" w:rightChars="0"/>
              <w:rPr>
                <w:rFonts w:hint="default" w:ascii="Times New Roman" w:hAnsi="Times New Roman" w:cs="Times New Roman"/>
                <w:color w:val="auto"/>
                <w:spacing w:val="0"/>
                <w:position w:val="0"/>
                <w:highlight w:val="none"/>
              </w:rPr>
            </w:pPr>
            <w:bookmarkStart w:id="4" w:name="_Hlk71786642"/>
            <w:r>
              <w:rPr>
                <w:rFonts w:hint="default" w:ascii="Times New Roman" w:hAnsi="Times New Roman" w:cs="Times New Roman"/>
                <w:color w:val="auto"/>
                <w:spacing w:val="0"/>
                <w:position w:val="0"/>
                <w:szCs w:val="21"/>
                <w:highlight w:val="none"/>
              </w:rPr>
              <w:t>注：现有边界噪声值取现有项目厂界噪声监测最大值。</w:t>
            </w:r>
          </w:p>
          <w:p w14:paraId="510D46E1">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由上表可知，噪声值随着距离的增加，项目噪声对周围噪声环境的影响将逐渐衰减，项目主要声源距离厂界距离远大于50m，故项目厂界噪声符合《工业企业厂界环境噪声排放标准》(G12348-2008</w:t>
            </w:r>
            <w:r>
              <w:rPr>
                <w:rFonts w:hint="default" w:ascii="Times New Roman" w:hAnsi="Times New Roman" w:cs="Times New Roman"/>
                <w:color w:val="auto"/>
                <w:spacing w:val="0"/>
                <w:position w:val="0"/>
                <w:sz w:val="24"/>
                <w:highlight w:val="none"/>
                <w:lang w:eastAsia="zh-CN"/>
              </w:rPr>
              <w:t>)</w:t>
            </w:r>
            <w:r>
              <w:rPr>
                <w:rFonts w:hint="default" w:ascii="Times New Roman" w:hAnsi="Times New Roman" w:cs="Times New Roman"/>
                <w:color w:val="auto"/>
                <w:spacing w:val="0"/>
                <w:position w:val="0"/>
                <w:sz w:val="24"/>
                <w:highlight w:val="none"/>
              </w:rPr>
              <w:t>中的3类标准要求。</w:t>
            </w:r>
          </w:p>
          <w:p w14:paraId="429B9D02">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本项目多数强噪声设备均安装在室内，故该项目建设对周围环境造成影响较小。</w:t>
            </w:r>
          </w:p>
          <w:p w14:paraId="14CDED8F">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综上所述，建设项目噪声排放对周围的环境影响较小，噪声防治措施可行。企业在生产过程中应注意加强设备噪声治理，在项目新建过程中应重视减震工程的设计及施工质量。确保厂界噪声达标，不影响周边环境。</w:t>
            </w:r>
          </w:p>
          <w:bookmarkEnd w:id="4"/>
          <w:p w14:paraId="7657133E">
            <w:pPr>
              <w:pStyle w:val="5"/>
              <w:pageBreakBefore w:val="0"/>
              <w:shd w:val="clear"/>
              <w:kinsoku/>
              <w:topLinePunct w:val="0"/>
              <w:bidi w:val="0"/>
              <w:spacing w:beforeAutospacing="0" w:after="0" w:afterAutospacing="0" w:line="360" w:lineRule="auto"/>
              <w:ind w:left="0" w:leftChars="0" w:right="0" w:rightChars="0" w:firstLine="0" w:firstLineChars="0"/>
              <w:contextualSpacing/>
              <w:rPr>
                <w:rFonts w:hint="default" w:ascii="Times New Roman" w:hAnsi="Times New Roman" w:cs="Times New Roman"/>
                <w:b/>
                <w:bCs/>
                <w:color w:val="auto"/>
                <w:spacing w:val="0"/>
                <w:position w:val="0"/>
                <w:szCs w:val="24"/>
                <w:highlight w:val="none"/>
              </w:rPr>
            </w:pPr>
            <w:r>
              <w:rPr>
                <w:rFonts w:hint="default" w:ascii="Times New Roman" w:hAnsi="Times New Roman" w:cs="Times New Roman"/>
                <w:b/>
                <w:bCs/>
                <w:color w:val="auto"/>
                <w:spacing w:val="0"/>
                <w:position w:val="0"/>
                <w:szCs w:val="24"/>
                <w:highlight w:val="none"/>
              </w:rPr>
              <w:t>3.4噪声防治措施</w:t>
            </w:r>
          </w:p>
          <w:p w14:paraId="76F771F8">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项目50m范围内不存在敏感目标，不会对周围敏感点造成影响。</w:t>
            </w:r>
          </w:p>
          <w:p w14:paraId="4F78857A">
            <w:pPr>
              <w:pageBreakBefore w:val="0"/>
              <w:shd w:val="clear"/>
              <w:kinsoku/>
              <w:topLinePunct w:val="0"/>
              <w:bidi w:val="0"/>
              <w:adjustRightInd w:val="0"/>
              <w:snapToGrid w:val="0"/>
              <w:spacing w:beforeAutospacing="0" w:afterAutospacing="0" w:line="360" w:lineRule="auto"/>
              <w:ind w:left="0" w:leftChars="0" w:right="0" w:rightChars="0" w:firstLine="489" w:firstLineChars="204"/>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尽管项目区产生噪声能够达标排放，但企业运营中仍应严格管理，避免出现噪声扰民现象，具体措施为：</w:t>
            </w:r>
          </w:p>
          <w:p w14:paraId="68C0AD98">
            <w:pPr>
              <w:pageBreakBefore w:val="0"/>
              <w:shd w:val="clear"/>
              <w:kinsoku/>
              <w:topLinePunct w:val="0"/>
              <w:bidi w:val="0"/>
              <w:adjustRightInd w:val="0"/>
              <w:snapToGrid w:val="0"/>
              <w:spacing w:beforeAutospacing="0" w:afterAutospacing="0" w:line="360" w:lineRule="auto"/>
              <w:ind w:left="0" w:leftChars="0" w:right="0" w:rightChars="0" w:firstLine="489" w:firstLineChars="204"/>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（1）加强设备检修维护，避免出现非正常高噪声运转；</w:t>
            </w:r>
          </w:p>
          <w:p w14:paraId="29D28B90">
            <w:pPr>
              <w:pageBreakBefore w:val="0"/>
              <w:shd w:val="clear"/>
              <w:kinsoku/>
              <w:topLinePunct w:val="0"/>
              <w:bidi w:val="0"/>
              <w:adjustRightInd w:val="0"/>
              <w:snapToGrid w:val="0"/>
              <w:spacing w:beforeAutospacing="0" w:afterAutospacing="0" w:line="360" w:lineRule="auto"/>
              <w:ind w:left="0" w:leftChars="0" w:right="0" w:rightChars="0" w:firstLine="489" w:firstLineChars="204"/>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（2）所有设备全部设置在车间内，严禁露天从事生产、维修活动；</w:t>
            </w:r>
          </w:p>
          <w:p w14:paraId="6A43AAE6">
            <w:pPr>
              <w:pageBreakBefore w:val="0"/>
              <w:shd w:val="clear"/>
              <w:kinsoku/>
              <w:topLinePunct w:val="0"/>
              <w:bidi w:val="0"/>
              <w:adjustRightInd w:val="0"/>
              <w:snapToGrid w:val="0"/>
              <w:spacing w:beforeAutospacing="0" w:afterAutospacing="0" w:line="360" w:lineRule="auto"/>
              <w:ind w:left="0" w:leftChars="0" w:right="0" w:rightChars="0" w:firstLine="489" w:firstLineChars="204"/>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（3）对高噪声设备要加装减震、降噪的防护措施；</w:t>
            </w:r>
          </w:p>
          <w:p w14:paraId="709E63A9">
            <w:pPr>
              <w:pageBreakBefore w:val="0"/>
              <w:shd w:val="clear"/>
              <w:kinsoku/>
              <w:topLinePunct w:val="0"/>
              <w:bidi w:val="0"/>
              <w:adjustRightInd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（4）对操作工人直接接触的噪声设备，采用隔声耳罩，对工人形成一定保护，降噪效果可达5~ 20dB(A)。</w:t>
            </w:r>
          </w:p>
          <w:p w14:paraId="20F49F19">
            <w:pPr>
              <w:pStyle w:val="5"/>
              <w:pageBreakBefore w:val="0"/>
              <w:shd w:val="clear"/>
              <w:kinsoku/>
              <w:topLinePunct w:val="0"/>
              <w:bidi w:val="0"/>
              <w:spacing w:beforeAutospacing="0" w:after="0" w:afterAutospacing="0" w:line="360" w:lineRule="auto"/>
              <w:ind w:left="0" w:leftChars="0" w:right="0" w:rightChars="0" w:firstLine="0" w:firstLineChars="0"/>
              <w:contextualSpacing/>
              <w:rPr>
                <w:rFonts w:hint="default" w:ascii="Times New Roman" w:hAnsi="Times New Roman" w:cs="Times New Roman"/>
                <w:b/>
                <w:bCs/>
                <w:color w:val="auto"/>
                <w:spacing w:val="0"/>
                <w:position w:val="0"/>
                <w:highlight w:val="none"/>
              </w:rPr>
            </w:pPr>
            <w:r>
              <w:rPr>
                <w:rFonts w:hint="default" w:ascii="Times New Roman" w:hAnsi="Times New Roman" w:cs="Times New Roman"/>
                <w:b/>
                <w:bCs/>
                <w:color w:val="auto"/>
                <w:spacing w:val="0"/>
                <w:position w:val="0"/>
                <w:highlight w:val="none"/>
              </w:rPr>
              <w:t>3.5</w:t>
            </w:r>
            <w:r>
              <w:rPr>
                <w:rFonts w:hint="default" w:ascii="Times New Roman" w:hAnsi="Times New Roman" w:cs="Times New Roman"/>
                <w:b/>
                <w:bCs/>
                <w:color w:val="auto"/>
                <w:spacing w:val="0"/>
                <w:position w:val="0"/>
                <w:szCs w:val="24"/>
                <w:highlight w:val="none"/>
              </w:rPr>
              <w:t>噪声监测计划</w:t>
            </w:r>
          </w:p>
          <w:p w14:paraId="7663E23B">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本项目噪声监测方案见表4-1</w:t>
            </w:r>
            <w:r>
              <w:rPr>
                <w:rFonts w:hint="default" w:ascii="Times New Roman" w:hAnsi="Times New Roman" w:cs="Times New Roman"/>
                <w:color w:val="auto"/>
                <w:spacing w:val="0"/>
                <w:position w:val="0"/>
                <w:sz w:val="24"/>
                <w:highlight w:val="none"/>
                <w:lang w:val="en-US" w:eastAsia="zh-CN"/>
              </w:rPr>
              <w:t>3</w:t>
            </w:r>
            <w:r>
              <w:rPr>
                <w:rFonts w:hint="default" w:ascii="Times New Roman" w:hAnsi="Times New Roman" w:cs="Times New Roman"/>
                <w:color w:val="auto"/>
                <w:spacing w:val="0"/>
                <w:position w:val="0"/>
                <w:sz w:val="24"/>
                <w:highlight w:val="none"/>
              </w:rPr>
              <w:t>。</w:t>
            </w:r>
          </w:p>
          <w:p w14:paraId="0DE4A0F5">
            <w:pPr>
              <w:keepNext w:val="0"/>
              <w:keepLines w:val="0"/>
              <w:pageBreakBefore w:val="0"/>
              <w:widowControl w:val="0"/>
              <w:shd w:val="clear"/>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表4-1</w:t>
            </w:r>
            <w:r>
              <w:rPr>
                <w:rFonts w:hint="default" w:ascii="Times New Roman" w:hAnsi="Times New Roman" w:cs="Times New Roman"/>
                <w:b/>
                <w:bCs/>
                <w:color w:val="auto"/>
                <w:spacing w:val="0"/>
                <w:position w:val="0"/>
                <w:sz w:val="21"/>
                <w:szCs w:val="21"/>
                <w:highlight w:val="none"/>
                <w:lang w:val="en-US" w:eastAsia="zh-CN"/>
              </w:rPr>
              <w:t>3</w:t>
            </w:r>
            <w:r>
              <w:rPr>
                <w:rFonts w:hint="default" w:ascii="Times New Roman" w:hAnsi="Times New Roman" w:cs="Times New Roman"/>
                <w:b/>
                <w:bCs/>
                <w:color w:val="auto"/>
                <w:spacing w:val="0"/>
                <w:position w:val="0"/>
                <w:sz w:val="21"/>
                <w:szCs w:val="21"/>
                <w:highlight w:val="none"/>
              </w:rPr>
              <w:t xml:space="preserve">    项目运营期噪声监测计划</w:t>
            </w:r>
          </w:p>
          <w:tbl>
            <w:tblPr>
              <w:tblStyle w:val="25"/>
              <w:tblW w:w="4998" w:type="pct"/>
              <w:tblInd w:w="10" w:type="dxa"/>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Layout w:type="fixed"/>
              <w:tblCellMar>
                <w:top w:w="0" w:type="dxa"/>
                <w:left w:w="108" w:type="dxa"/>
                <w:bottom w:w="0" w:type="dxa"/>
                <w:right w:w="108" w:type="dxa"/>
              </w:tblCellMar>
            </w:tblPr>
            <w:tblGrid>
              <w:gridCol w:w="1079"/>
              <w:gridCol w:w="1242"/>
              <w:gridCol w:w="1080"/>
              <w:gridCol w:w="2881"/>
              <w:gridCol w:w="1091"/>
            </w:tblGrid>
            <w:tr w14:paraId="2D6A7C81">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trHeight w:val="420" w:hRule="atLeast"/>
              </w:trPr>
              <w:tc>
                <w:tcPr>
                  <w:tcW w:w="1180" w:type="dxa"/>
                  <w:noWrap w:val="0"/>
                  <w:vAlign w:val="center"/>
                </w:tcPr>
                <w:p w14:paraId="7E89B1E2">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监测点位</w:t>
                  </w:r>
                </w:p>
              </w:tc>
              <w:tc>
                <w:tcPr>
                  <w:tcW w:w="1362" w:type="dxa"/>
                  <w:noWrap w:val="0"/>
                  <w:vAlign w:val="center"/>
                </w:tcPr>
                <w:p w14:paraId="75A612AB">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监测指标</w:t>
                  </w:r>
                </w:p>
              </w:tc>
              <w:tc>
                <w:tcPr>
                  <w:tcW w:w="1181" w:type="dxa"/>
                  <w:noWrap w:val="0"/>
                  <w:vAlign w:val="center"/>
                </w:tcPr>
                <w:p w14:paraId="767B8A47">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监测频次</w:t>
                  </w:r>
                </w:p>
              </w:tc>
              <w:tc>
                <w:tcPr>
                  <w:tcW w:w="3194" w:type="dxa"/>
                  <w:noWrap w:val="0"/>
                  <w:vAlign w:val="center"/>
                </w:tcPr>
                <w:p w14:paraId="3320A842">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执行标准</w:t>
                  </w:r>
                </w:p>
              </w:tc>
              <w:tc>
                <w:tcPr>
                  <w:tcW w:w="1192" w:type="dxa"/>
                  <w:noWrap w:val="0"/>
                  <w:vAlign w:val="center"/>
                </w:tcPr>
                <w:p w14:paraId="103D8873">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监测点位</w:t>
                  </w:r>
                </w:p>
              </w:tc>
            </w:tr>
            <w:tr w14:paraId="18D873DB">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trHeight w:val="415" w:hRule="atLeast"/>
              </w:trPr>
              <w:tc>
                <w:tcPr>
                  <w:tcW w:w="1180" w:type="dxa"/>
                  <w:noWrap w:val="0"/>
                  <w:vAlign w:val="center"/>
                </w:tcPr>
                <w:p w14:paraId="1842A942">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color w:val="auto"/>
                      <w:spacing w:val="0"/>
                      <w:position w:val="0"/>
                      <w:sz w:val="21"/>
                      <w:szCs w:val="21"/>
                      <w:highlight w:val="none"/>
                    </w:rPr>
                  </w:pPr>
                  <w:r>
                    <w:rPr>
                      <w:rFonts w:hint="default" w:ascii="Times New Roman" w:hAnsi="Times New Roman" w:eastAsia="宋体" w:cs="Times New Roman"/>
                      <w:b w:val="0"/>
                      <w:color w:val="auto"/>
                      <w:spacing w:val="0"/>
                      <w:position w:val="0"/>
                      <w:sz w:val="21"/>
                      <w:szCs w:val="21"/>
                      <w:highlight w:val="none"/>
                    </w:rPr>
                    <w:t>厂界外1米处</w:t>
                  </w:r>
                </w:p>
              </w:tc>
              <w:tc>
                <w:tcPr>
                  <w:tcW w:w="1362" w:type="dxa"/>
                  <w:noWrap w:val="0"/>
                  <w:vAlign w:val="center"/>
                </w:tcPr>
                <w:p w14:paraId="1FDBB498">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color w:val="auto"/>
                      <w:spacing w:val="0"/>
                      <w:position w:val="0"/>
                      <w:sz w:val="21"/>
                      <w:szCs w:val="21"/>
                      <w:highlight w:val="none"/>
                    </w:rPr>
                  </w:pPr>
                  <w:r>
                    <w:rPr>
                      <w:rFonts w:hint="default" w:ascii="Times New Roman" w:hAnsi="Times New Roman" w:eastAsia="宋体" w:cs="Times New Roman"/>
                      <w:b w:val="0"/>
                      <w:color w:val="auto"/>
                      <w:spacing w:val="0"/>
                      <w:position w:val="0"/>
                      <w:sz w:val="21"/>
                      <w:szCs w:val="21"/>
                      <w:highlight w:val="none"/>
                    </w:rPr>
                    <w:t>等效连续A声级</w:t>
                  </w:r>
                </w:p>
              </w:tc>
              <w:tc>
                <w:tcPr>
                  <w:tcW w:w="1181" w:type="dxa"/>
                  <w:noWrap w:val="0"/>
                  <w:vAlign w:val="center"/>
                </w:tcPr>
                <w:p w14:paraId="2F27D782">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color w:val="auto"/>
                      <w:spacing w:val="0"/>
                      <w:position w:val="0"/>
                      <w:sz w:val="21"/>
                      <w:szCs w:val="21"/>
                      <w:highlight w:val="none"/>
                    </w:rPr>
                  </w:pPr>
                  <w:r>
                    <w:rPr>
                      <w:rFonts w:hint="default" w:ascii="Times New Roman" w:hAnsi="Times New Roman" w:eastAsia="宋体" w:cs="Times New Roman"/>
                      <w:b w:val="0"/>
                      <w:color w:val="auto"/>
                      <w:spacing w:val="0"/>
                      <w:position w:val="0"/>
                      <w:sz w:val="21"/>
                      <w:szCs w:val="21"/>
                      <w:highlight w:val="none"/>
                    </w:rPr>
                    <w:t>1次/季度</w:t>
                  </w:r>
                </w:p>
              </w:tc>
              <w:tc>
                <w:tcPr>
                  <w:tcW w:w="3194" w:type="dxa"/>
                  <w:noWrap w:val="0"/>
                  <w:vAlign w:val="center"/>
                </w:tcPr>
                <w:p w14:paraId="33619EBB">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color w:val="auto"/>
                      <w:spacing w:val="0"/>
                      <w:position w:val="0"/>
                      <w:sz w:val="21"/>
                      <w:szCs w:val="21"/>
                      <w:highlight w:val="none"/>
                    </w:rPr>
                  </w:pPr>
                  <w:r>
                    <w:rPr>
                      <w:rFonts w:hint="default" w:ascii="Times New Roman" w:hAnsi="Times New Roman" w:eastAsia="宋体" w:cs="Times New Roman"/>
                      <w:b w:val="0"/>
                      <w:color w:val="auto"/>
                      <w:spacing w:val="0"/>
                      <w:position w:val="0"/>
                      <w:sz w:val="21"/>
                      <w:szCs w:val="21"/>
                      <w:highlight w:val="none"/>
                    </w:rPr>
                    <w:t>《工业企业厂界环境噪声排放标准》（GB12348-2008）3类标准</w:t>
                  </w:r>
                </w:p>
              </w:tc>
              <w:tc>
                <w:tcPr>
                  <w:tcW w:w="1192" w:type="dxa"/>
                  <w:noWrap w:val="0"/>
                  <w:vAlign w:val="center"/>
                </w:tcPr>
                <w:p w14:paraId="374BCEF2">
                  <w:pPr>
                    <w:pStyle w:val="39"/>
                    <w:keepNext w:val="0"/>
                    <w:keepLines w:val="0"/>
                    <w:pageBreakBefore w:val="0"/>
                    <w:widowControl w:val="0"/>
                    <w:shd w:val="clear"/>
                    <w:tabs>
                      <w:tab w:val="left" w:pos="1845"/>
                    </w:tabs>
                    <w:kinsoku/>
                    <w:wordWrap/>
                    <w:overflowPunct/>
                    <w:topLinePunct w:val="0"/>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color w:val="auto"/>
                      <w:spacing w:val="0"/>
                      <w:position w:val="0"/>
                      <w:sz w:val="21"/>
                      <w:szCs w:val="21"/>
                      <w:highlight w:val="none"/>
                    </w:rPr>
                  </w:pPr>
                  <w:r>
                    <w:rPr>
                      <w:rFonts w:hint="default" w:ascii="Times New Roman" w:hAnsi="Times New Roman" w:eastAsia="宋体" w:cs="Times New Roman"/>
                      <w:b w:val="0"/>
                      <w:color w:val="auto"/>
                      <w:spacing w:val="0"/>
                      <w:position w:val="0"/>
                      <w:sz w:val="21"/>
                      <w:szCs w:val="21"/>
                      <w:highlight w:val="none"/>
                    </w:rPr>
                    <w:t>厂界外1米处</w:t>
                  </w:r>
                </w:p>
              </w:tc>
            </w:tr>
          </w:tbl>
          <w:p w14:paraId="61460EEA">
            <w:pPr>
              <w:pStyle w:val="8"/>
              <w:pageBreakBefore w:val="0"/>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default" w:ascii="Times New Roman" w:hAnsi="Times New Roman" w:cs="Times New Roman"/>
                <w:b/>
                <w:bCs/>
                <w:color w:val="auto"/>
                <w:spacing w:val="0"/>
                <w:position w:val="0"/>
                <w:sz w:val="24"/>
                <w:highlight w:val="none"/>
              </w:rPr>
              <w:t>4.固体废物</w:t>
            </w:r>
          </w:p>
          <w:p w14:paraId="52B5F6B0">
            <w:pPr>
              <w:pStyle w:val="59"/>
              <w:keepNext w:val="0"/>
              <w:keepLines w:val="0"/>
              <w:pageBreakBefore w:val="0"/>
              <w:shd w:val="clear"/>
              <w:tabs>
                <w:tab w:val="left" w:pos="1892"/>
              </w:tabs>
              <w:kinsoku/>
              <w:wordWrap/>
              <w:overflowPunct/>
              <w:topLinePunct w:val="0"/>
              <w:autoSpaceDE/>
              <w:autoSpaceDN/>
              <w:bidi w:val="0"/>
              <w:adjustRightInd/>
              <w:snapToGrid/>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cs="Times New Roman"/>
                <w:b/>
                <w:bCs/>
                <w:color w:val="auto"/>
                <w:spacing w:val="0"/>
                <w:position w:val="0"/>
                <w:sz w:val="24"/>
                <w:highlight w:val="none"/>
                <w:lang w:val="en-US"/>
              </w:rPr>
              <w:t>4.1</w:t>
            </w:r>
            <w:r>
              <w:rPr>
                <w:rFonts w:hint="default" w:ascii="Times New Roman" w:hAnsi="Times New Roman" w:cs="Times New Roman"/>
                <w:b/>
                <w:bCs/>
                <w:color w:val="auto"/>
                <w:spacing w:val="0"/>
                <w:position w:val="0"/>
                <w:sz w:val="24"/>
                <w:highlight w:val="none"/>
              </w:rPr>
              <w:t>固废产出情况</w:t>
            </w:r>
          </w:p>
          <w:p w14:paraId="04ABBEA6">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b/>
                <w:bCs/>
                <w:color w:val="auto"/>
                <w:spacing w:val="0"/>
                <w:position w:val="0"/>
                <w:sz w:val="24"/>
                <w:szCs w:val="21"/>
                <w:highlight w:val="none"/>
                <w:lang w:val="en-US" w:eastAsia="zh-CN" w:bidi="ar-SA"/>
              </w:rPr>
            </w:pPr>
            <w:r>
              <w:rPr>
                <w:rFonts w:hint="eastAsia" w:ascii="Times New Roman" w:hAnsi="Times New Roman" w:eastAsia="宋体" w:cs="Times New Roman"/>
                <w:b/>
                <w:bCs/>
                <w:color w:val="auto"/>
                <w:spacing w:val="0"/>
                <w:position w:val="0"/>
                <w:sz w:val="24"/>
                <w:szCs w:val="21"/>
                <w:highlight w:val="none"/>
                <w:lang w:val="en-US" w:eastAsia="zh-CN" w:bidi="ar-SA"/>
              </w:rPr>
              <w:t>4.1.1</w:t>
            </w:r>
            <w:r>
              <w:rPr>
                <w:rFonts w:hint="default" w:ascii="Times New Roman" w:hAnsi="Times New Roman" w:eastAsia="宋体" w:cs="Times New Roman"/>
                <w:b/>
                <w:bCs/>
                <w:color w:val="auto"/>
                <w:spacing w:val="0"/>
                <w:position w:val="0"/>
                <w:sz w:val="24"/>
                <w:szCs w:val="21"/>
                <w:highlight w:val="none"/>
                <w:lang w:val="en-US" w:eastAsia="zh-CN" w:bidi="ar-SA"/>
              </w:rPr>
              <w:t>一般工业固体废物</w:t>
            </w:r>
          </w:p>
          <w:p w14:paraId="379E2ED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b/>
                <w:bCs/>
                <w:color w:val="auto"/>
                <w:spacing w:val="0"/>
                <w:position w:val="0"/>
                <w:sz w:val="24"/>
                <w:szCs w:val="21"/>
                <w:highlight w:val="none"/>
                <w:lang w:val="en-US" w:eastAsia="zh-CN" w:bidi="ar-SA"/>
              </w:rPr>
              <w:t>（1）废包装袋：</w:t>
            </w:r>
            <w:r>
              <w:rPr>
                <w:rFonts w:hint="default" w:ascii="Times New Roman" w:hAnsi="Times New Roman" w:eastAsia="宋体" w:cs="Times New Roman"/>
                <w:color w:val="auto"/>
                <w:spacing w:val="0"/>
                <w:position w:val="0"/>
                <w:sz w:val="24"/>
                <w:szCs w:val="21"/>
                <w:highlight w:val="none"/>
                <w:lang w:val="en-US" w:eastAsia="zh-CN" w:bidi="ar-SA"/>
              </w:rPr>
              <w:t>来源于PVC树脂粉、碳酸钙、稳定剂、色母粉、钛白粉、石蜡等粉状原料的拆包工序。各类原料均采用25kg/袋的编织袋或塑料袋包装，年用量合计约1227吨，废包装袋产生量约5吨/年。该部分固废属于一般工业固体废物，代码为900-003-S17，分类收集后外售物资回收公司综合利用。</w:t>
            </w:r>
          </w:p>
          <w:p w14:paraId="5F297FF7">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b/>
                <w:bCs/>
                <w:color w:val="auto"/>
                <w:spacing w:val="0"/>
                <w:position w:val="0"/>
                <w:sz w:val="24"/>
                <w:szCs w:val="21"/>
                <w:highlight w:val="none"/>
                <w:lang w:val="en-US" w:eastAsia="zh-CN" w:bidi="ar-SA"/>
              </w:rPr>
              <w:t>（2）不合格品：</w:t>
            </w:r>
            <w:r>
              <w:rPr>
                <w:rFonts w:hint="default" w:ascii="Times New Roman" w:hAnsi="Times New Roman" w:eastAsia="宋体" w:cs="Times New Roman"/>
                <w:color w:val="auto"/>
                <w:spacing w:val="0"/>
                <w:position w:val="0"/>
                <w:sz w:val="24"/>
                <w:szCs w:val="21"/>
                <w:highlight w:val="none"/>
                <w:lang w:val="en-US" w:eastAsia="zh-CN" w:bidi="ar-SA"/>
              </w:rPr>
              <w:t>来源于成品检验工序。封边条在收卷后进行外观及尺寸检验，产生的不合格品（如表面划痕、印刷缺陷、尺寸偏差等）产生量约12吨/年。不合格品主要成分为PVC、碳酸钙等，属于一般工业固体废物，代码为900-006-S17，集中收集后经破碎机破碎成颗粒状，回用于造粒工序，不外排。破碎工序在全密闭设备内进行，产生的少量粉尘经设备自带的除尘装置处理后无组织排放，对环境影响很小。</w:t>
            </w:r>
          </w:p>
          <w:p w14:paraId="778FF5CE">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2" w:firstLineChars="200"/>
              <w:textAlignment w:val="auto"/>
              <w:rPr>
                <w:rFonts w:hint="default" w:ascii="Segoe UI" w:hAnsi="Segoe UI" w:eastAsia="Segoe UI" w:cs="Segoe UI"/>
                <w:i w:val="0"/>
                <w:iCs w:val="0"/>
                <w:caps w:val="0"/>
                <w:color w:val="auto"/>
                <w:spacing w:val="0"/>
                <w:sz w:val="19"/>
                <w:szCs w:val="19"/>
              </w:rPr>
            </w:pPr>
            <w:r>
              <w:rPr>
                <w:rFonts w:hint="default" w:ascii="Times New Roman" w:hAnsi="Times New Roman" w:eastAsia="宋体" w:cs="Times New Roman"/>
                <w:b/>
                <w:bCs/>
                <w:color w:val="auto"/>
                <w:spacing w:val="0"/>
                <w:position w:val="0"/>
                <w:sz w:val="24"/>
                <w:szCs w:val="21"/>
                <w:highlight w:val="none"/>
                <w:lang w:val="en-US" w:eastAsia="zh-CN" w:bidi="ar-SA"/>
              </w:rPr>
              <w:t>（3）布袋除尘灰：</w:t>
            </w:r>
            <w:r>
              <w:rPr>
                <w:rFonts w:hint="default" w:ascii="Times New Roman" w:hAnsi="Times New Roman" w:eastAsia="宋体" w:cs="Times New Roman"/>
                <w:color w:val="auto"/>
                <w:spacing w:val="0"/>
                <w:position w:val="0"/>
                <w:sz w:val="24"/>
                <w:szCs w:val="21"/>
                <w:highlight w:val="none"/>
                <w:lang w:val="en-US" w:eastAsia="zh-CN" w:bidi="ar-SA"/>
              </w:rPr>
              <w:t>除尘灰属于一般工业固体废物，主要成分为PVC粉、碳酸钙等，可回用于生产（作为原料重新投入混合工序），实现资源化利用，代码为900-099-S59，产生量约7.288t/a（产生量7.362t/a×收集效率90%×处理效率99%）。</w:t>
            </w:r>
          </w:p>
          <w:p w14:paraId="613A94E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b/>
                <w:bCs/>
                <w:color w:val="auto"/>
                <w:spacing w:val="0"/>
                <w:position w:val="0"/>
                <w:sz w:val="24"/>
                <w:szCs w:val="21"/>
                <w:highlight w:val="none"/>
                <w:lang w:val="en-US" w:eastAsia="zh-CN" w:bidi="ar-SA"/>
              </w:rPr>
            </w:pPr>
            <w:r>
              <w:rPr>
                <w:rFonts w:hint="eastAsia" w:ascii="Times New Roman" w:hAnsi="Times New Roman" w:eastAsia="宋体" w:cs="Times New Roman"/>
                <w:b/>
                <w:bCs/>
                <w:color w:val="auto"/>
                <w:spacing w:val="0"/>
                <w:position w:val="0"/>
                <w:sz w:val="24"/>
                <w:szCs w:val="21"/>
                <w:highlight w:val="none"/>
                <w:lang w:val="en-US" w:eastAsia="zh-CN" w:bidi="ar-SA"/>
              </w:rPr>
              <w:t>4.1.2</w:t>
            </w:r>
            <w:r>
              <w:rPr>
                <w:rFonts w:hint="default" w:ascii="Times New Roman" w:hAnsi="Times New Roman" w:eastAsia="宋体" w:cs="Times New Roman"/>
                <w:b/>
                <w:bCs/>
                <w:color w:val="auto"/>
                <w:spacing w:val="0"/>
                <w:position w:val="0"/>
                <w:sz w:val="24"/>
                <w:szCs w:val="21"/>
                <w:highlight w:val="none"/>
                <w:lang w:val="en-US" w:eastAsia="zh-CN" w:bidi="ar-SA"/>
              </w:rPr>
              <w:t>危险废物</w:t>
            </w:r>
          </w:p>
          <w:p w14:paraId="0F634BCF">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1）废胶桶：来源于上胶（背胶）工序。底胶年用量10吨，采用桶装包装，使用后产生废胶桶，产生量约1t/a。废胶桶属于《国家危险废物名录》（2025年版）中废物代码为HW49（900-041-49）的危险废物，暂存于危废贮存点，定期委托有资质单位处置。</w:t>
            </w:r>
          </w:p>
          <w:p w14:paraId="27F39442">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2）废油墨桶：来源于印刷工序。水性油墨年用量7吨、UV油墨年用量2吨，均采用桶装包装，使用后产生废油墨桶，产生量约0.5t/a。废油墨桶属于HW49（900-041-49）类危险废物，暂存于危废贮存点，委托有资质单位处置。</w:t>
            </w:r>
          </w:p>
          <w:p w14:paraId="4614FD5A">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（3）废催化剂：来源于“活性炭吸附脱附+</w:t>
            </w:r>
            <w:r>
              <w:rPr>
                <w:rFonts w:hint="eastAsia" w:cs="Times New Roman"/>
                <w:color w:val="auto"/>
                <w:spacing w:val="0"/>
                <w:position w:val="0"/>
                <w:sz w:val="24"/>
                <w:szCs w:val="21"/>
                <w:highlight w:val="none"/>
                <w:lang w:val="en-US" w:eastAsia="zh-CN" w:bidi="ar-SA"/>
              </w:rPr>
              <w:t>蓄热催化燃烧</w:t>
            </w:r>
            <w:r>
              <w:rPr>
                <w:rFonts w:hint="default" w:ascii="Times New Roman" w:hAnsi="Times New Roman" w:eastAsia="宋体" w:cs="Times New Roman"/>
                <w:color w:val="auto"/>
                <w:spacing w:val="0"/>
                <w:position w:val="0"/>
                <w:sz w:val="24"/>
                <w:szCs w:val="21"/>
                <w:highlight w:val="none"/>
                <w:lang w:val="en-US" w:eastAsia="zh-CN" w:bidi="ar-SA"/>
              </w:rPr>
              <w:t>一体化装置”。该装置使用的贵金属催化剂（铂、钯等负载于蜂窝陶瓷载体）约每3年更换一次，单次更换量约0.1吨，折合年均产生量约0.033t/a。废催化剂属于HW50（772-007-50）类危险废物，更换时直接由有资质单位回收处置，不在厂区长期贮存。</w:t>
            </w:r>
          </w:p>
          <w:p w14:paraId="0FA45A14">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4）废机油：来源于生产设备（混合机、造粒机、挤出机、风机等）的定期维护保养。设备润滑及更换过程中产生废机油，产生量约0.1t/a。废机油属于HW08（900-214-08）类危险废物，采用专用容器收集，暂存于危废贮存点，委托有资质单位处置。</w:t>
            </w:r>
          </w:p>
          <w:p w14:paraId="7FA3D4F5">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5）含油废抹布：来源于设备擦拭、维修及保养工序。设备清洁过程中产生沾染机油的废抹布，产生量约0.05t/a。含油废抹布属于HW49（900-041-49）类危险废物，分类收集后暂存于危废贮存点，委托有资质单位处置。</w:t>
            </w:r>
          </w:p>
          <w:p w14:paraId="32B07631">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Segoe UI" w:hAnsi="Segoe UI" w:eastAsia="Segoe UI" w:cs="Segoe UI"/>
                <w:i w:val="0"/>
                <w:iCs w:val="0"/>
                <w:caps w:val="0"/>
                <w:color w:val="auto"/>
                <w:spacing w:val="0"/>
                <w:sz w:val="19"/>
                <w:szCs w:val="19"/>
              </w:rPr>
            </w:pPr>
            <w:r>
              <w:rPr>
                <w:rFonts w:hint="default" w:ascii="Times New Roman" w:hAnsi="Times New Roman" w:eastAsia="宋体" w:cs="Times New Roman"/>
                <w:color w:val="auto"/>
                <w:spacing w:val="0"/>
                <w:position w:val="0"/>
                <w:sz w:val="24"/>
                <w:szCs w:val="21"/>
                <w:highlight w:val="none"/>
                <w:lang w:val="en-US" w:eastAsia="zh-CN" w:bidi="ar-SA"/>
              </w:rPr>
              <w:t>（6）废UV灯管：来源于印刷工序UV干燥机。UV油墨固化过程中使用的UV灯管需定期更换，产生废UV灯管，产生量约0.01t/a（约2年更换一次）。废UV灯管属于HW29（900-023-29）类危险废物，暂存于危废贮存点，委托有资质单位处置。</w:t>
            </w:r>
          </w:p>
          <w:p w14:paraId="0B01E81B">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right="0"/>
              <w:textAlignment w:val="auto"/>
              <w:rPr>
                <w:rFonts w:hint="default" w:ascii="Times New Roman" w:hAnsi="Times New Roman" w:eastAsia="宋体" w:cs="Times New Roman"/>
                <w:b/>
                <w:bCs/>
                <w:color w:val="auto"/>
                <w:spacing w:val="0"/>
                <w:position w:val="0"/>
                <w:sz w:val="24"/>
                <w:szCs w:val="21"/>
                <w:highlight w:val="none"/>
                <w:lang w:val="en-US" w:eastAsia="zh-CN" w:bidi="ar-SA"/>
              </w:rPr>
            </w:pPr>
            <w:r>
              <w:rPr>
                <w:rFonts w:hint="eastAsia" w:ascii="Times New Roman" w:hAnsi="Times New Roman" w:eastAsia="宋体" w:cs="Times New Roman"/>
                <w:b/>
                <w:bCs/>
                <w:color w:val="auto"/>
                <w:spacing w:val="0"/>
                <w:position w:val="0"/>
                <w:sz w:val="24"/>
                <w:szCs w:val="21"/>
                <w:highlight w:val="none"/>
                <w:lang w:val="en-US" w:eastAsia="zh-CN" w:bidi="ar-SA"/>
              </w:rPr>
              <w:t>4.1.3</w:t>
            </w:r>
            <w:r>
              <w:rPr>
                <w:rFonts w:hint="default" w:ascii="Times New Roman" w:hAnsi="Times New Roman" w:eastAsia="宋体" w:cs="Times New Roman"/>
                <w:b/>
                <w:bCs/>
                <w:color w:val="auto"/>
                <w:spacing w:val="0"/>
                <w:position w:val="0"/>
                <w:sz w:val="24"/>
                <w:szCs w:val="21"/>
                <w:highlight w:val="none"/>
                <w:lang w:val="en-US" w:eastAsia="zh-CN" w:bidi="ar-SA"/>
              </w:rPr>
              <w:t>生活垃圾</w:t>
            </w:r>
          </w:p>
          <w:p w14:paraId="249E670B">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本项目劳动定员20人，年工作300天，生活垃圾产生量按0.5kg/人·天计，则产生量约3t/a。生活垃圾分类收集于垃圾桶内，每日由园区环卫部门统一清运处置。</w:t>
            </w:r>
          </w:p>
          <w:p w14:paraId="063AAAFC">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eastAsia="宋体" w:cs="Times New Roman"/>
                <w:color w:val="auto"/>
                <w:spacing w:val="0"/>
                <w:position w:val="0"/>
                <w:sz w:val="24"/>
                <w:szCs w:val="21"/>
                <w:highlight w:val="none"/>
                <w:lang w:val="en-US" w:eastAsia="zh-CN" w:bidi="ar-SA"/>
              </w:rPr>
            </w:pPr>
            <w:r>
              <w:rPr>
                <w:rFonts w:hint="default" w:ascii="Times New Roman" w:hAnsi="Times New Roman" w:eastAsia="宋体" w:cs="Times New Roman"/>
                <w:color w:val="auto"/>
                <w:spacing w:val="0"/>
                <w:position w:val="0"/>
                <w:sz w:val="24"/>
                <w:szCs w:val="21"/>
                <w:highlight w:val="none"/>
                <w:lang w:val="en-US" w:eastAsia="zh-CN" w:bidi="ar-SA"/>
              </w:rPr>
              <w:t>综上所述，本项目固体废物产生总量约为25.871t/a（不含生活垃圾），其中一般工业固体废物约24.288t/a，危险废物约1.583t/a（含废催化剂年均折算量）。各类固废均按相关标准及规范要求进行分类收集、暂存和处置，不直接外排环境。</w:t>
            </w:r>
          </w:p>
          <w:p w14:paraId="6725F8D3">
            <w:pPr>
              <w:pStyle w:val="24"/>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1"/>
                <w:highlight w:val="none"/>
                <w:lang w:val="en-US" w:eastAsia="zh-CN" w:bidi="ar-SA"/>
              </w:rPr>
              <w:t>根据《固体废物鉴别标准通则》（</w:t>
            </w:r>
            <w:r>
              <w:rPr>
                <w:rFonts w:hint="default" w:ascii="Times New Roman" w:hAnsi="Times New Roman" w:eastAsia="宋体" w:cs="Times New Roman"/>
                <w:color w:val="auto"/>
                <w:spacing w:val="0"/>
                <w:kern w:val="0"/>
                <w:position w:val="0"/>
                <w:sz w:val="24"/>
                <w:szCs w:val="24"/>
                <w:highlight w:val="none"/>
                <w:lang w:val="en-US" w:eastAsia="zh-CN" w:bidi="ar"/>
              </w:rPr>
              <w:t>GB34330-2017）等相关文件判定，鉴别分析汇总：</w:t>
            </w:r>
          </w:p>
          <w:p w14:paraId="39B1258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Cs w:val="21"/>
                <w:highlight w:val="none"/>
              </w:rPr>
            </w:pPr>
            <w:r>
              <w:rPr>
                <w:rFonts w:hint="default" w:ascii="Times New Roman" w:hAnsi="Times New Roman" w:cs="Times New Roman"/>
                <w:b/>
                <w:bCs/>
                <w:color w:val="auto"/>
                <w:spacing w:val="0"/>
                <w:position w:val="0"/>
                <w:szCs w:val="21"/>
                <w:highlight w:val="none"/>
              </w:rPr>
              <w:t>表4-12营运期固废产排情况一览表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18"/>
              <w:gridCol w:w="1112"/>
              <w:gridCol w:w="1028"/>
              <w:gridCol w:w="867"/>
              <w:gridCol w:w="1440"/>
              <w:gridCol w:w="1073"/>
              <w:gridCol w:w="1163"/>
            </w:tblGrid>
            <w:tr w14:paraId="38A2F7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7AAE37D4">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1112" w:type="dxa"/>
                  <w:tcBorders>
                    <w:tl2br w:val="nil"/>
                    <w:tr2bl w:val="nil"/>
                  </w:tcBorders>
                  <w:shd w:val="clear" w:color="auto" w:fill="auto"/>
                  <w:tcMar>
                    <w:top w:w="0" w:type="dxa"/>
                    <w:left w:w="0" w:type="dxa"/>
                    <w:bottom w:w="0" w:type="dxa"/>
                    <w:right w:w="0" w:type="dxa"/>
                  </w:tcMar>
                  <w:vAlign w:val="center"/>
                </w:tcPr>
                <w:p w14:paraId="18EBB569">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固废名称</w:t>
                  </w:r>
                </w:p>
              </w:tc>
              <w:tc>
                <w:tcPr>
                  <w:tcW w:w="1028" w:type="dxa"/>
                  <w:tcBorders>
                    <w:tl2br w:val="nil"/>
                    <w:tr2bl w:val="nil"/>
                  </w:tcBorders>
                  <w:shd w:val="clear" w:color="auto" w:fill="auto"/>
                  <w:tcMar>
                    <w:top w:w="0" w:type="dxa"/>
                    <w:left w:w="0" w:type="dxa"/>
                    <w:bottom w:w="0" w:type="dxa"/>
                    <w:right w:w="0" w:type="dxa"/>
                  </w:tcMar>
                  <w:vAlign w:val="center"/>
                </w:tcPr>
                <w:p w14:paraId="0988C60A">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产生工序</w:t>
                  </w:r>
                </w:p>
              </w:tc>
              <w:tc>
                <w:tcPr>
                  <w:tcW w:w="867" w:type="dxa"/>
                  <w:tcBorders>
                    <w:tl2br w:val="nil"/>
                    <w:tr2bl w:val="nil"/>
                  </w:tcBorders>
                  <w:shd w:val="clear" w:color="auto" w:fill="auto"/>
                  <w:tcMar>
                    <w:top w:w="0" w:type="dxa"/>
                    <w:left w:w="0" w:type="dxa"/>
                    <w:bottom w:w="0" w:type="dxa"/>
                    <w:right w:w="0" w:type="dxa"/>
                  </w:tcMar>
                  <w:vAlign w:val="center"/>
                </w:tcPr>
                <w:p w14:paraId="6C321586">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属性</w:t>
                  </w:r>
                </w:p>
              </w:tc>
              <w:tc>
                <w:tcPr>
                  <w:tcW w:w="1440" w:type="dxa"/>
                  <w:tcBorders>
                    <w:tl2br w:val="nil"/>
                    <w:tr2bl w:val="nil"/>
                  </w:tcBorders>
                  <w:shd w:val="clear" w:color="auto" w:fill="auto"/>
                  <w:tcMar>
                    <w:top w:w="0" w:type="dxa"/>
                    <w:left w:w="0" w:type="dxa"/>
                    <w:bottom w:w="0" w:type="dxa"/>
                    <w:right w:w="0" w:type="dxa"/>
                  </w:tcMar>
                  <w:vAlign w:val="center"/>
                </w:tcPr>
                <w:p w14:paraId="6220530D">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废物代码</w:t>
                  </w:r>
                </w:p>
              </w:tc>
              <w:tc>
                <w:tcPr>
                  <w:tcW w:w="1073" w:type="dxa"/>
                  <w:tcBorders>
                    <w:tl2br w:val="nil"/>
                    <w:tr2bl w:val="nil"/>
                  </w:tcBorders>
                  <w:shd w:val="clear" w:color="auto" w:fill="auto"/>
                  <w:tcMar>
                    <w:top w:w="0" w:type="dxa"/>
                    <w:left w:w="0" w:type="dxa"/>
                    <w:bottom w:w="0" w:type="dxa"/>
                    <w:right w:w="0" w:type="dxa"/>
                  </w:tcMar>
                  <w:vAlign w:val="center"/>
                </w:tcPr>
                <w:p w14:paraId="3BFCC0A2">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产生量（t/a）</w:t>
                  </w:r>
                </w:p>
              </w:tc>
              <w:tc>
                <w:tcPr>
                  <w:tcW w:w="1163" w:type="dxa"/>
                  <w:tcBorders>
                    <w:tl2br w:val="nil"/>
                    <w:tr2bl w:val="nil"/>
                  </w:tcBorders>
                  <w:shd w:val="clear" w:color="auto" w:fill="auto"/>
                  <w:tcMar>
                    <w:top w:w="0" w:type="dxa"/>
                    <w:left w:w="0" w:type="dxa"/>
                    <w:bottom w:w="0" w:type="dxa"/>
                    <w:right w:w="0" w:type="dxa"/>
                  </w:tcMar>
                  <w:vAlign w:val="center"/>
                </w:tcPr>
                <w:p w14:paraId="37D497A2">
                  <w:pPr>
                    <w:keepNext w:val="0"/>
                    <w:keepLines w:val="0"/>
                    <w:pageBreakBefore w:val="0"/>
                    <w:widowControl/>
                    <w:suppressLineNumbers w:val="0"/>
                    <w:shd w:val="clear"/>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处置方式</w:t>
                  </w:r>
                </w:p>
              </w:tc>
            </w:tr>
            <w:tr w14:paraId="55190F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70E705BF">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1</w:t>
                  </w:r>
                </w:p>
              </w:tc>
              <w:tc>
                <w:tcPr>
                  <w:tcW w:w="1112" w:type="dxa"/>
                  <w:tcBorders>
                    <w:tl2br w:val="nil"/>
                    <w:tr2bl w:val="nil"/>
                  </w:tcBorders>
                  <w:shd w:val="clear" w:color="auto" w:fill="auto"/>
                  <w:tcMar>
                    <w:top w:w="0" w:type="dxa"/>
                    <w:left w:w="0" w:type="dxa"/>
                    <w:bottom w:w="0" w:type="dxa"/>
                    <w:right w:w="0" w:type="dxa"/>
                  </w:tcMar>
                  <w:vAlign w:val="center"/>
                </w:tcPr>
                <w:p w14:paraId="6D07CC1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废包装袋</w:t>
                  </w:r>
                </w:p>
              </w:tc>
              <w:tc>
                <w:tcPr>
                  <w:tcW w:w="1028" w:type="dxa"/>
                  <w:tcBorders>
                    <w:tl2br w:val="nil"/>
                    <w:tr2bl w:val="nil"/>
                  </w:tcBorders>
                  <w:shd w:val="clear" w:color="auto" w:fill="auto"/>
                  <w:tcMar>
                    <w:top w:w="0" w:type="dxa"/>
                    <w:left w:w="0" w:type="dxa"/>
                    <w:bottom w:w="0" w:type="dxa"/>
                    <w:right w:w="0" w:type="dxa"/>
                  </w:tcMar>
                  <w:vAlign w:val="center"/>
                </w:tcPr>
                <w:p w14:paraId="0044FBEA">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原料拆包</w:t>
                  </w:r>
                </w:p>
              </w:tc>
              <w:tc>
                <w:tcPr>
                  <w:tcW w:w="867" w:type="dxa"/>
                  <w:tcBorders>
                    <w:tl2br w:val="nil"/>
                    <w:tr2bl w:val="nil"/>
                  </w:tcBorders>
                  <w:shd w:val="clear" w:color="auto" w:fill="auto"/>
                  <w:tcMar>
                    <w:top w:w="0" w:type="dxa"/>
                    <w:left w:w="0" w:type="dxa"/>
                    <w:bottom w:w="0" w:type="dxa"/>
                    <w:right w:w="0" w:type="dxa"/>
                  </w:tcMar>
                  <w:vAlign w:val="center"/>
                </w:tcPr>
                <w:p w14:paraId="66E18D0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一般固废</w:t>
                  </w:r>
                </w:p>
              </w:tc>
              <w:tc>
                <w:tcPr>
                  <w:tcW w:w="1440" w:type="dxa"/>
                  <w:tcBorders>
                    <w:tl2br w:val="nil"/>
                    <w:tr2bl w:val="nil"/>
                  </w:tcBorders>
                  <w:shd w:val="clear" w:color="auto" w:fill="auto"/>
                  <w:tcMar>
                    <w:top w:w="0" w:type="dxa"/>
                    <w:left w:w="0" w:type="dxa"/>
                    <w:bottom w:w="0" w:type="dxa"/>
                    <w:right w:w="0" w:type="dxa"/>
                  </w:tcMar>
                  <w:vAlign w:val="center"/>
                </w:tcPr>
                <w:p w14:paraId="3CA61624">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900-003-S17</w:t>
                  </w:r>
                </w:p>
              </w:tc>
              <w:tc>
                <w:tcPr>
                  <w:tcW w:w="1073" w:type="dxa"/>
                  <w:tcBorders>
                    <w:tl2br w:val="nil"/>
                    <w:tr2bl w:val="nil"/>
                  </w:tcBorders>
                  <w:shd w:val="clear" w:color="auto" w:fill="auto"/>
                  <w:tcMar>
                    <w:top w:w="0" w:type="dxa"/>
                    <w:left w:w="0" w:type="dxa"/>
                    <w:bottom w:w="0" w:type="dxa"/>
                    <w:right w:w="0" w:type="dxa"/>
                  </w:tcMar>
                  <w:vAlign w:val="center"/>
                </w:tcPr>
                <w:p w14:paraId="6CAD6F6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5</w:t>
                  </w:r>
                </w:p>
              </w:tc>
              <w:tc>
                <w:tcPr>
                  <w:tcW w:w="1163" w:type="dxa"/>
                  <w:tcBorders>
                    <w:tl2br w:val="nil"/>
                    <w:tr2bl w:val="nil"/>
                  </w:tcBorders>
                  <w:shd w:val="clear" w:color="auto" w:fill="auto"/>
                  <w:tcMar>
                    <w:top w:w="0" w:type="dxa"/>
                    <w:left w:w="0" w:type="dxa"/>
                    <w:bottom w:w="0" w:type="dxa"/>
                    <w:right w:w="0" w:type="dxa"/>
                  </w:tcMar>
                  <w:vAlign w:val="center"/>
                </w:tcPr>
                <w:p w14:paraId="5CB3BA8C">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外售综合利用</w:t>
                  </w:r>
                </w:p>
              </w:tc>
            </w:tr>
            <w:tr w14:paraId="16DB93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24DFB3B6">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2</w:t>
                  </w:r>
                </w:p>
              </w:tc>
              <w:tc>
                <w:tcPr>
                  <w:tcW w:w="1112" w:type="dxa"/>
                  <w:tcBorders>
                    <w:tl2br w:val="nil"/>
                    <w:tr2bl w:val="nil"/>
                  </w:tcBorders>
                  <w:shd w:val="clear" w:color="auto" w:fill="auto"/>
                  <w:tcMar>
                    <w:top w:w="0" w:type="dxa"/>
                    <w:left w:w="0" w:type="dxa"/>
                    <w:bottom w:w="0" w:type="dxa"/>
                    <w:right w:w="0" w:type="dxa"/>
                  </w:tcMar>
                  <w:vAlign w:val="center"/>
                </w:tcPr>
                <w:p w14:paraId="60513E8D">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不合格品</w:t>
                  </w:r>
                </w:p>
              </w:tc>
              <w:tc>
                <w:tcPr>
                  <w:tcW w:w="1028" w:type="dxa"/>
                  <w:tcBorders>
                    <w:tl2br w:val="nil"/>
                    <w:tr2bl w:val="nil"/>
                  </w:tcBorders>
                  <w:shd w:val="clear" w:color="auto" w:fill="auto"/>
                  <w:tcMar>
                    <w:top w:w="0" w:type="dxa"/>
                    <w:left w:w="0" w:type="dxa"/>
                    <w:bottom w:w="0" w:type="dxa"/>
                    <w:right w:w="0" w:type="dxa"/>
                  </w:tcMar>
                  <w:vAlign w:val="center"/>
                </w:tcPr>
                <w:p w14:paraId="74E6AC71">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检验</w:t>
                  </w:r>
                </w:p>
              </w:tc>
              <w:tc>
                <w:tcPr>
                  <w:tcW w:w="867" w:type="dxa"/>
                  <w:tcBorders>
                    <w:tl2br w:val="nil"/>
                    <w:tr2bl w:val="nil"/>
                  </w:tcBorders>
                  <w:shd w:val="clear" w:color="auto" w:fill="auto"/>
                  <w:tcMar>
                    <w:top w:w="0" w:type="dxa"/>
                    <w:left w:w="0" w:type="dxa"/>
                    <w:bottom w:w="0" w:type="dxa"/>
                    <w:right w:w="0" w:type="dxa"/>
                  </w:tcMar>
                  <w:vAlign w:val="center"/>
                </w:tcPr>
                <w:p w14:paraId="18EAAC8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一般固废</w:t>
                  </w:r>
                </w:p>
              </w:tc>
              <w:tc>
                <w:tcPr>
                  <w:tcW w:w="1440" w:type="dxa"/>
                  <w:tcBorders>
                    <w:tl2br w:val="nil"/>
                    <w:tr2bl w:val="nil"/>
                  </w:tcBorders>
                  <w:shd w:val="clear" w:color="auto" w:fill="auto"/>
                  <w:tcMar>
                    <w:top w:w="0" w:type="dxa"/>
                    <w:left w:w="0" w:type="dxa"/>
                    <w:bottom w:w="0" w:type="dxa"/>
                    <w:right w:w="0" w:type="dxa"/>
                  </w:tcMar>
                  <w:vAlign w:val="center"/>
                </w:tcPr>
                <w:p w14:paraId="04489D8A">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900-006-S17</w:t>
                  </w:r>
                </w:p>
              </w:tc>
              <w:tc>
                <w:tcPr>
                  <w:tcW w:w="1073" w:type="dxa"/>
                  <w:tcBorders>
                    <w:tl2br w:val="nil"/>
                    <w:tr2bl w:val="nil"/>
                  </w:tcBorders>
                  <w:shd w:val="clear" w:color="auto" w:fill="auto"/>
                  <w:tcMar>
                    <w:top w:w="0" w:type="dxa"/>
                    <w:left w:w="0" w:type="dxa"/>
                    <w:bottom w:w="0" w:type="dxa"/>
                    <w:right w:w="0" w:type="dxa"/>
                  </w:tcMar>
                  <w:vAlign w:val="center"/>
                </w:tcPr>
                <w:p w14:paraId="63AB7F9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12</w:t>
                  </w:r>
                </w:p>
              </w:tc>
              <w:tc>
                <w:tcPr>
                  <w:tcW w:w="1163" w:type="dxa"/>
                  <w:tcBorders>
                    <w:tl2br w:val="nil"/>
                    <w:tr2bl w:val="nil"/>
                  </w:tcBorders>
                  <w:shd w:val="clear" w:color="auto" w:fill="auto"/>
                  <w:tcMar>
                    <w:top w:w="0" w:type="dxa"/>
                    <w:left w:w="0" w:type="dxa"/>
                    <w:bottom w:w="0" w:type="dxa"/>
                    <w:right w:w="0" w:type="dxa"/>
                  </w:tcMar>
                  <w:vAlign w:val="center"/>
                </w:tcPr>
                <w:p w14:paraId="417339D8">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破碎后回用于生产</w:t>
                  </w:r>
                </w:p>
              </w:tc>
            </w:tr>
            <w:tr w14:paraId="7705D6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2C355C5C">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3</w:t>
                  </w:r>
                </w:p>
              </w:tc>
              <w:tc>
                <w:tcPr>
                  <w:tcW w:w="1112" w:type="dxa"/>
                  <w:tcBorders>
                    <w:tl2br w:val="nil"/>
                    <w:tr2bl w:val="nil"/>
                  </w:tcBorders>
                  <w:shd w:val="clear" w:color="auto" w:fill="auto"/>
                  <w:tcMar>
                    <w:top w:w="0" w:type="dxa"/>
                    <w:left w:w="0" w:type="dxa"/>
                    <w:bottom w:w="0" w:type="dxa"/>
                    <w:right w:w="0" w:type="dxa"/>
                  </w:tcMar>
                  <w:vAlign w:val="center"/>
                </w:tcPr>
                <w:p w14:paraId="4BD3C633">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布袋除尘灰</w:t>
                  </w:r>
                </w:p>
              </w:tc>
              <w:tc>
                <w:tcPr>
                  <w:tcW w:w="1028" w:type="dxa"/>
                  <w:tcBorders>
                    <w:tl2br w:val="nil"/>
                    <w:tr2bl w:val="nil"/>
                  </w:tcBorders>
                  <w:shd w:val="clear" w:color="auto" w:fill="auto"/>
                  <w:tcMar>
                    <w:top w:w="0" w:type="dxa"/>
                    <w:left w:w="0" w:type="dxa"/>
                    <w:bottom w:w="0" w:type="dxa"/>
                    <w:right w:w="0" w:type="dxa"/>
                  </w:tcMar>
                  <w:vAlign w:val="center"/>
                </w:tcPr>
                <w:p w14:paraId="2270BE5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废气处理</w:t>
                  </w:r>
                </w:p>
              </w:tc>
              <w:tc>
                <w:tcPr>
                  <w:tcW w:w="867" w:type="dxa"/>
                  <w:tcBorders>
                    <w:tl2br w:val="nil"/>
                    <w:tr2bl w:val="nil"/>
                  </w:tcBorders>
                  <w:shd w:val="clear" w:color="auto" w:fill="auto"/>
                  <w:tcMar>
                    <w:top w:w="0" w:type="dxa"/>
                    <w:left w:w="0" w:type="dxa"/>
                    <w:bottom w:w="0" w:type="dxa"/>
                    <w:right w:w="0" w:type="dxa"/>
                  </w:tcMar>
                  <w:vAlign w:val="center"/>
                </w:tcPr>
                <w:p w14:paraId="3FB7FF27">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一般固废</w:t>
                  </w:r>
                </w:p>
              </w:tc>
              <w:tc>
                <w:tcPr>
                  <w:tcW w:w="1440" w:type="dxa"/>
                  <w:tcBorders>
                    <w:tl2br w:val="nil"/>
                    <w:tr2bl w:val="nil"/>
                  </w:tcBorders>
                  <w:shd w:val="clear" w:color="auto" w:fill="auto"/>
                  <w:tcMar>
                    <w:top w:w="0" w:type="dxa"/>
                    <w:left w:w="0" w:type="dxa"/>
                    <w:bottom w:w="0" w:type="dxa"/>
                    <w:right w:w="0" w:type="dxa"/>
                  </w:tcMar>
                  <w:vAlign w:val="center"/>
                </w:tcPr>
                <w:p w14:paraId="091C361A">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900-099-S59</w:t>
                  </w:r>
                </w:p>
              </w:tc>
              <w:tc>
                <w:tcPr>
                  <w:tcW w:w="1073" w:type="dxa"/>
                  <w:tcBorders>
                    <w:tl2br w:val="nil"/>
                    <w:tr2bl w:val="nil"/>
                  </w:tcBorders>
                  <w:shd w:val="clear" w:color="auto" w:fill="auto"/>
                  <w:tcMar>
                    <w:top w:w="0" w:type="dxa"/>
                    <w:left w:w="0" w:type="dxa"/>
                    <w:bottom w:w="0" w:type="dxa"/>
                    <w:right w:w="0" w:type="dxa"/>
                  </w:tcMar>
                  <w:vAlign w:val="center"/>
                </w:tcPr>
                <w:p w14:paraId="175E379D">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lang w:val="en-US"/>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7.288</w:t>
                  </w:r>
                </w:p>
              </w:tc>
              <w:tc>
                <w:tcPr>
                  <w:tcW w:w="1163" w:type="dxa"/>
                  <w:tcBorders>
                    <w:tl2br w:val="nil"/>
                    <w:tr2bl w:val="nil"/>
                  </w:tcBorders>
                  <w:shd w:val="clear" w:color="auto" w:fill="auto"/>
                  <w:tcMar>
                    <w:top w:w="0" w:type="dxa"/>
                    <w:left w:w="0" w:type="dxa"/>
                    <w:bottom w:w="0" w:type="dxa"/>
                    <w:right w:w="0" w:type="dxa"/>
                  </w:tcMar>
                  <w:vAlign w:val="center"/>
                </w:tcPr>
                <w:p w14:paraId="78EF5322">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lang w:val="en-US" w:eastAsia="zh-CN"/>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回用于生产</w:t>
                  </w:r>
                </w:p>
              </w:tc>
            </w:tr>
            <w:tr w14:paraId="097AD6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58C423CC">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4</w:t>
                  </w:r>
                </w:p>
              </w:tc>
              <w:tc>
                <w:tcPr>
                  <w:tcW w:w="1112" w:type="dxa"/>
                  <w:tcBorders>
                    <w:tl2br w:val="nil"/>
                    <w:tr2bl w:val="nil"/>
                  </w:tcBorders>
                  <w:shd w:val="clear" w:color="auto" w:fill="auto"/>
                  <w:tcMar>
                    <w:top w:w="0" w:type="dxa"/>
                    <w:left w:w="0" w:type="dxa"/>
                    <w:bottom w:w="0" w:type="dxa"/>
                    <w:right w:w="0" w:type="dxa"/>
                  </w:tcMar>
                  <w:vAlign w:val="center"/>
                </w:tcPr>
                <w:p w14:paraId="694F075D">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废胶桶</w:t>
                  </w:r>
                </w:p>
              </w:tc>
              <w:tc>
                <w:tcPr>
                  <w:tcW w:w="1028" w:type="dxa"/>
                  <w:tcBorders>
                    <w:tl2br w:val="nil"/>
                    <w:tr2bl w:val="nil"/>
                  </w:tcBorders>
                  <w:shd w:val="clear" w:color="auto" w:fill="auto"/>
                  <w:tcMar>
                    <w:top w:w="0" w:type="dxa"/>
                    <w:left w:w="0" w:type="dxa"/>
                    <w:bottom w:w="0" w:type="dxa"/>
                    <w:right w:w="0" w:type="dxa"/>
                  </w:tcMar>
                  <w:vAlign w:val="center"/>
                </w:tcPr>
                <w:p w14:paraId="3BCC98A1">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上胶</w:t>
                  </w:r>
                </w:p>
              </w:tc>
              <w:tc>
                <w:tcPr>
                  <w:tcW w:w="867" w:type="dxa"/>
                  <w:tcBorders>
                    <w:tl2br w:val="nil"/>
                    <w:tr2bl w:val="nil"/>
                  </w:tcBorders>
                  <w:shd w:val="clear" w:color="auto" w:fill="auto"/>
                  <w:tcMar>
                    <w:top w:w="0" w:type="dxa"/>
                    <w:left w:w="0" w:type="dxa"/>
                    <w:bottom w:w="0" w:type="dxa"/>
                    <w:right w:w="0" w:type="dxa"/>
                  </w:tcMar>
                  <w:vAlign w:val="center"/>
                </w:tcPr>
                <w:p w14:paraId="44FC1843">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危险废物</w:t>
                  </w:r>
                </w:p>
              </w:tc>
              <w:tc>
                <w:tcPr>
                  <w:tcW w:w="1440" w:type="dxa"/>
                  <w:tcBorders>
                    <w:tl2br w:val="nil"/>
                    <w:tr2bl w:val="nil"/>
                  </w:tcBorders>
                  <w:shd w:val="clear" w:color="auto" w:fill="auto"/>
                  <w:tcMar>
                    <w:top w:w="0" w:type="dxa"/>
                    <w:left w:w="0" w:type="dxa"/>
                    <w:bottom w:w="0" w:type="dxa"/>
                    <w:right w:w="0" w:type="dxa"/>
                  </w:tcMar>
                  <w:vAlign w:val="center"/>
                </w:tcPr>
                <w:p w14:paraId="5596D385">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HW49（900-041-49）</w:t>
                  </w:r>
                </w:p>
              </w:tc>
              <w:tc>
                <w:tcPr>
                  <w:tcW w:w="1073" w:type="dxa"/>
                  <w:tcBorders>
                    <w:tl2br w:val="nil"/>
                    <w:tr2bl w:val="nil"/>
                  </w:tcBorders>
                  <w:shd w:val="clear" w:color="auto" w:fill="auto"/>
                  <w:tcMar>
                    <w:top w:w="0" w:type="dxa"/>
                    <w:left w:w="0" w:type="dxa"/>
                    <w:bottom w:w="0" w:type="dxa"/>
                    <w:right w:w="0" w:type="dxa"/>
                  </w:tcMar>
                  <w:vAlign w:val="center"/>
                </w:tcPr>
                <w:p w14:paraId="21C4B14B">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1</w:t>
                  </w:r>
                </w:p>
              </w:tc>
              <w:tc>
                <w:tcPr>
                  <w:tcW w:w="1163" w:type="dxa"/>
                  <w:vMerge w:val="restart"/>
                  <w:tcBorders>
                    <w:tl2br w:val="nil"/>
                    <w:tr2bl w:val="nil"/>
                  </w:tcBorders>
                  <w:shd w:val="clear" w:color="auto" w:fill="auto"/>
                  <w:tcMar>
                    <w:top w:w="0" w:type="dxa"/>
                    <w:left w:w="0" w:type="dxa"/>
                    <w:bottom w:w="0" w:type="dxa"/>
                    <w:right w:w="0" w:type="dxa"/>
                  </w:tcMar>
                  <w:vAlign w:val="center"/>
                </w:tcPr>
                <w:p w14:paraId="57ED8948">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委托有资质单位处置</w:t>
                  </w:r>
                </w:p>
              </w:tc>
            </w:tr>
            <w:tr w14:paraId="077672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0BB1ABB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5</w:t>
                  </w:r>
                </w:p>
              </w:tc>
              <w:tc>
                <w:tcPr>
                  <w:tcW w:w="1112" w:type="dxa"/>
                  <w:tcBorders>
                    <w:tl2br w:val="nil"/>
                    <w:tr2bl w:val="nil"/>
                  </w:tcBorders>
                  <w:shd w:val="clear" w:color="auto" w:fill="auto"/>
                  <w:tcMar>
                    <w:top w:w="0" w:type="dxa"/>
                    <w:left w:w="0" w:type="dxa"/>
                    <w:bottom w:w="0" w:type="dxa"/>
                    <w:right w:w="0" w:type="dxa"/>
                  </w:tcMar>
                  <w:vAlign w:val="center"/>
                </w:tcPr>
                <w:p w14:paraId="08860777">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废油墨桶</w:t>
                  </w:r>
                </w:p>
              </w:tc>
              <w:tc>
                <w:tcPr>
                  <w:tcW w:w="1028" w:type="dxa"/>
                  <w:tcBorders>
                    <w:tl2br w:val="nil"/>
                    <w:tr2bl w:val="nil"/>
                  </w:tcBorders>
                  <w:shd w:val="clear" w:color="auto" w:fill="auto"/>
                  <w:tcMar>
                    <w:top w:w="0" w:type="dxa"/>
                    <w:left w:w="0" w:type="dxa"/>
                    <w:bottom w:w="0" w:type="dxa"/>
                    <w:right w:w="0" w:type="dxa"/>
                  </w:tcMar>
                  <w:vAlign w:val="center"/>
                </w:tcPr>
                <w:p w14:paraId="2B6C9EC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印刷</w:t>
                  </w:r>
                </w:p>
              </w:tc>
              <w:tc>
                <w:tcPr>
                  <w:tcW w:w="867" w:type="dxa"/>
                  <w:tcBorders>
                    <w:tl2br w:val="nil"/>
                    <w:tr2bl w:val="nil"/>
                  </w:tcBorders>
                  <w:shd w:val="clear" w:color="auto" w:fill="auto"/>
                  <w:tcMar>
                    <w:top w:w="0" w:type="dxa"/>
                    <w:left w:w="0" w:type="dxa"/>
                    <w:bottom w:w="0" w:type="dxa"/>
                    <w:right w:w="0" w:type="dxa"/>
                  </w:tcMar>
                  <w:vAlign w:val="center"/>
                </w:tcPr>
                <w:p w14:paraId="61FE83E0">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危险废物</w:t>
                  </w:r>
                </w:p>
              </w:tc>
              <w:tc>
                <w:tcPr>
                  <w:tcW w:w="1440" w:type="dxa"/>
                  <w:tcBorders>
                    <w:tl2br w:val="nil"/>
                    <w:tr2bl w:val="nil"/>
                  </w:tcBorders>
                  <w:shd w:val="clear" w:color="auto" w:fill="auto"/>
                  <w:tcMar>
                    <w:top w:w="0" w:type="dxa"/>
                    <w:left w:w="0" w:type="dxa"/>
                    <w:bottom w:w="0" w:type="dxa"/>
                    <w:right w:w="0" w:type="dxa"/>
                  </w:tcMar>
                  <w:vAlign w:val="center"/>
                </w:tcPr>
                <w:p w14:paraId="29E857B2">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HW49（900-041-49）</w:t>
                  </w:r>
                </w:p>
              </w:tc>
              <w:tc>
                <w:tcPr>
                  <w:tcW w:w="1073" w:type="dxa"/>
                  <w:tcBorders>
                    <w:tl2br w:val="nil"/>
                    <w:tr2bl w:val="nil"/>
                  </w:tcBorders>
                  <w:shd w:val="clear" w:color="auto" w:fill="auto"/>
                  <w:tcMar>
                    <w:top w:w="0" w:type="dxa"/>
                    <w:left w:w="0" w:type="dxa"/>
                    <w:bottom w:w="0" w:type="dxa"/>
                    <w:right w:w="0" w:type="dxa"/>
                  </w:tcMar>
                  <w:vAlign w:val="center"/>
                </w:tcPr>
                <w:p w14:paraId="0882EDB0">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0.5</w:t>
                  </w:r>
                </w:p>
              </w:tc>
              <w:tc>
                <w:tcPr>
                  <w:tcW w:w="1163" w:type="dxa"/>
                  <w:vMerge w:val="continue"/>
                  <w:tcBorders>
                    <w:tl2br w:val="nil"/>
                    <w:tr2bl w:val="nil"/>
                  </w:tcBorders>
                  <w:shd w:val="clear" w:color="auto" w:fill="auto"/>
                  <w:tcMar>
                    <w:top w:w="0" w:type="dxa"/>
                    <w:left w:w="0" w:type="dxa"/>
                    <w:bottom w:w="0" w:type="dxa"/>
                    <w:right w:w="0" w:type="dxa"/>
                  </w:tcMar>
                  <w:vAlign w:val="center"/>
                </w:tcPr>
                <w:p w14:paraId="144B64F1">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p>
              </w:tc>
            </w:tr>
            <w:tr w14:paraId="1AB1DC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5FD1402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6</w:t>
                  </w:r>
                </w:p>
              </w:tc>
              <w:tc>
                <w:tcPr>
                  <w:tcW w:w="1112" w:type="dxa"/>
                  <w:tcBorders>
                    <w:tl2br w:val="nil"/>
                    <w:tr2bl w:val="nil"/>
                  </w:tcBorders>
                  <w:shd w:val="clear" w:color="auto" w:fill="auto"/>
                  <w:tcMar>
                    <w:top w:w="0" w:type="dxa"/>
                    <w:left w:w="0" w:type="dxa"/>
                    <w:bottom w:w="0" w:type="dxa"/>
                    <w:right w:w="0" w:type="dxa"/>
                  </w:tcMar>
                  <w:vAlign w:val="center"/>
                </w:tcPr>
                <w:p w14:paraId="31DD4984">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废催化剂</w:t>
                  </w:r>
                </w:p>
              </w:tc>
              <w:tc>
                <w:tcPr>
                  <w:tcW w:w="1028" w:type="dxa"/>
                  <w:tcBorders>
                    <w:tl2br w:val="nil"/>
                    <w:tr2bl w:val="nil"/>
                  </w:tcBorders>
                  <w:shd w:val="clear" w:color="auto" w:fill="auto"/>
                  <w:tcMar>
                    <w:top w:w="0" w:type="dxa"/>
                    <w:left w:w="0" w:type="dxa"/>
                    <w:bottom w:w="0" w:type="dxa"/>
                    <w:right w:w="0" w:type="dxa"/>
                  </w:tcMar>
                  <w:vAlign w:val="center"/>
                </w:tcPr>
                <w:p w14:paraId="424555FF">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eastAsia" w:cs="Times New Roman"/>
                      <w:b w:val="0"/>
                      <w:bCs w:val="0"/>
                      <w:i w:val="0"/>
                      <w:iCs w:val="0"/>
                      <w:caps w:val="0"/>
                      <w:color w:val="auto"/>
                      <w:spacing w:val="0"/>
                      <w:kern w:val="0"/>
                      <w:sz w:val="21"/>
                      <w:szCs w:val="21"/>
                      <w:lang w:val="en-US" w:eastAsia="zh-CN" w:bidi="ar"/>
                    </w:rPr>
                    <w:t>蓄热催化燃烧</w:t>
                  </w:r>
                  <w:r>
                    <w:rPr>
                      <w:rFonts w:hint="default" w:ascii="Times New Roman" w:hAnsi="Times New Roman" w:eastAsia="宋体" w:cs="Times New Roman"/>
                      <w:b w:val="0"/>
                      <w:bCs w:val="0"/>
                      <w:i w:val="0"/>
                      <w:iCs w:val="0"/>
                      <w:caps w:val="0"/>
                      <w:color w:val="auto"/>
                      <w:spacing w:val="0"/>
                      <w:kern w:val="0"/>
                      <w:sz w:val="21"/>
                      <w:szCs w:val="21"/>
                      <w:lang w:val="en-US" w:eastAsia="zh-CN" w:bidi="ar"/>
                    </w:rPr>
                    <w:t>装置</w:t>
                  </w:r>
                </w:p>
              </w:tc>
              <w:tc>
                <w:tcPr>
                  <w:tcW w:w="867" w:type="dxa"/>
                  <w:tcBorders>
                    <w:tl2br w:val="nil"/>
                    <w:tr2bl w:val="nil"/>
                  </w:tcBorders>
                  <w:shd w:val="clear" w:color="auto" w:fill="auto"/>
                  <w:tcMar>
                    <w:top w:w="0" w:type="dxa"/>
                    <w:left w:w="0" w:type="dxa"/>
                    <w:bottom w:w="0" w:type="dxa"/>
                    <w:right w:w="0" w:type="dxa"/>
                  </w:tcMar>
                  <w:vAlign w:val="center"/>
                </w:tcPr>
                <w:p w14:paraId="0EB0560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危险废物</w:t>
                  </w:r>
                </w:p>
              </w:tc>
              <w:tc>
                <w:tcPr>
                  <w:tcW w:w="1440" w:type="dxa"/>
                  <w:tcBorders>
                    <w:tl2br w:val="nil"/>
                    <w:tr2bl w:val="nil"/>
                  </w:tcBorders>
                  <w:shd w:val="clear" w:color="auto" w:fill="auto"/>
                  <w:tcMar>
                    <w:top w:w="0" w:type="dxa"/>
                    <w:left w:w="0" w:type="dxa"/>
                    <w:bottom w:w="0" w:type="dxa"/>
                    <w:right w:w="0" w:type="dxa"/>
                  </w:tcMar>
                  <w:vAlign w:val="center"/>
                </w:tcPr>
                <w:p w14:paraId="022D34EA">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HW50（772-007-50）</w:t>
                  </w:r>
                </w:p>
              </w:tc>
              <w:tc>
                <w:tcPr>
                  <w:tcW w:w="1073" w:type="dxa"/>
                  <w:tcBorders>
                    <w:tl2br w:val="nil"/>
                    <w:tr2bl w:val="nil"/>
                  </w:tcBorders>
                  <w:shd w:val="clear" w:color="auto" w:fill="auto"/>
                  <w:tcMar>
                    <w:top w:w="0" w:type="dxa"/>
                    <w:left w:w="0" w:type="dxa"/>
                    <w:bottom w:w="0" w:type="dxa"/>
                    <w:right w:w="0" w:type="dxa"/>
                  </w:tcMar>
                  <w:vAlign w:val="center"/>
                </w:tcPr>
                <w:p w14:paraId="42ADE1E0">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0.033（年均）</w:t>
                  </w:r>
                </w:p>
              </w:tc>
              <w:tc>
                <w:tcPr>
                  <w:tcW w:w="1163" w:type="dxa"/>
                  <w:vMerge w:val="continue"/>
                  <w:tcBorders>
                    <w:tl2br w:val="nil"/>
                    <w:tr2bl w:val="nil"/>
                  </w:tcBorders>
                  <w:shd w:val="clear" w:color="auto" w:fill="auto"/>
                  <w:tcMar>
                    <w:top w:w="0" w:type="dxa"/>
                    <w:left w:w="0" w:type="dxa"/>
                    <w:bottom w:w="0" w:type="dxa"/>
                    <w:right w:w="0" w:type="dxa"/>
                  </w:tcMar>
                  <w:vAlign w:val="center"/>
                </w:tcPr>
                <w:p w14:paraId="5D3EDA3F">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p>
              </w:tc>
            </w:tr>
            <w:tr w14:paraId="095F82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27DFECAF">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7</w:t>
                  </w:r>
                </w:p>
              </w:tc>
              <w:tc>
                <w:tcPr>
                  <w:tcW w:w="1112" w:type="dxa"/>
                  <w:tcBorders>
                    <w:tl2br w:val="nil"/>
                    <w:tr2bl w:val="nil"/>
                  </w:tcBorders>
                  <w:shd w:val="clear" w:color="auto" w:fill="auto"/>
                  <w:tcMar>
                    <w:top w:w="0" w:type="dxa"/>
                    <w:left w:w="0" w:type="dxa"/>
                    <w:bottom w:w="0" w:type="dxa"/>
                    <w:right w:w="0" w:type="dxa"/>
                  </w:tcMar>
                  <w:vAlign w:val="center"/>
                </w:tcPr>
                <w:p w14:paraId="0E1E14D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废机油</w:t>
                  </w:r>
                </w:p>
              </w:tc>
              <w:tc>
                <w:tcPr>
                  <w:tcW w:w="1028" w:type="dxa"/>
                  <w:tcBorders>
                    <w:tl2br w:val="nil"/>
                    <w:tr2bl w:val="nil"/>
                  </w:tcBorders>
                  <w:shd w:val="clear" w:color="auto" w:fill="auto"/>
                  <w:tcMar>
                    <w:top w:w="0" w:type="dxa"/>
                    <w:left w:w="0" w:type="dxa"/>
                    <w:bottom w:w="0" w:type="dxa"/>
                    <w:right w:w="0" w:type="dxa"/>
                  </w:tcMar>
                  <w:vAlign w:val="center"/>
                </w:tcPr>
                <w:p w14:paraId="26693F6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设备维护</w:t>
                  </w:r>
                </w:p>
              </w:tc>
              <w:tc>
                <w:tcPr>
                  <w:tcW w:w="867" w:type="dxa"/>
                  <w:tcBorders>
                    <w:tl2br w:val="nil"/>
                    <w:tr2bl w:val="nil"/>
                  </w:tcBorders>
                  <w:shd w:val="clear" w:color="auto" w:fill="auto"/>
                  <w:tcMar>
                    <w:top w:w="0" w:type="dxa"/>
                    <w:left w:w="0" w:type="dxa"/>
                    <w:bottom w:w="0" w:type="dxa"/>
                    <w:right w:w="0" w:type="dxa"/>
                  </w:tcMar>
                  <w:vAlign w:val="center"/>
                </w:tcPr>
                <w:p w14:paraId="6854E47B">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危险废物</w:t>
                  </w:r>
                </w:p>
              </w:tc>
              <w:tc>
                <w:tcPr>
                  <w:tcW w:w="1440" w:type="dxa"/>
                  <w:tcBorders>
                    <w:tl2br w:val="nil"/>
                    <w:tr2bl w:val="nil"/>
                  </w:tcBorders>
                  <w:shd w:val="clear" w:color="auto" w:fill="auto"/>
                  <w:tcMar>
                    <w:top w:w="0" w:type="dxa"/>
                    <w:left w:w="0" w:type="dxa"/>
                    <w:bottom w:w="0" w:type="dxa"/>
                    <w:right w:w="0" w:type="dxa"/>
                  </w:tcMar>
                  <w:vAlign w:val="center"/>
                </w:tcPr>
                <w:p w14:paraId="169D333B">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HW08（900-214-08）</w:t>
                  </w:r>
                </w:p>
              </w:tc>
              <w:tc>
                <w:tcPr>
                  <w:tcW w:w="1073" w:type="dxa"/>
                  <w:tcBorders>
                    <w:tl2br w:val="nil"/>
                    <w:tr2bl w:val="nil"/>
                  </w:tcBorders>
                  <w:shd w:val="clear" w:color="auto" w:fill="auto"/>
                  <w:tcMar>
                    <w:top w:w="0" w:type="dxa"/>
                    <w:left w:w="0" w:type="dxa"/>
                    <w:bottom w:w="0" w:type="dxa"/>
                    <w:right w:w="0" w:type="dxa"/>
                  </w:tcMar>
                  <w:vAlign w:val="center"/>
                </w:tcPr>
                <w:p w14:paraId="1E2C80E1">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0.1</w:t>
                  </w:r>
                </w:p>
              </w:tc>
              <w:tc>
                <w:tcPr>
                  <w:tcW w:w="1163" w:type="dxa"/>
                  <w:vMerge w:val="continue"/>
                  <w:tcBorders>
                    <w:tl2br w:val="nil"/>
                    <w:tr2bl w:val="nil"/>
                  </w:tcBorders>
                  <w:shd w:val="clear" w:color="auto" w:fill="auto"/>
                  <w:tcMar>
                    <w:top w:w="0" w:type="dxa"/>
                    <w:left w:w="0" w:type="dxa"/>
                    <w:bottom w:w="0" w:type="dxa"/>
                    <w:right w:w="0" w:type="dxa"/>
                  </w:tcMar>
                  <w:vAlign w:val="center"/>
                </w:tcPr>
                <w:p w14:paraId="79895FFB">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p>
              </w:tc>
            </w:tr>
            <w:tr w14:paraId="331A38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60AB5D55">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8</w:t>
                  </w:r>
                </w:p>
              </w:tc>
              <w:tc>
                <w:tcPr>
                  <w:tcW w:w="1112" w:type="dxa"/>
                  <w:tcBorders>
                    <w:tl2br w:val="nil"/>
                    <w:tr2bl w:val="nil"/>
                  </w:tcBorders>
                  <w:shd w:val="clear" w:color="auto" w:fill="auto"/>
                  <w:tcMar>
                    <w:top w:w="0" w:type="dxa"/>
                    <w:left w:w="0" w:type="dxa"/>
                    <w:bottom w:w="0" w:type="dxa"/>
                    <w:right w:w="0" w:type="dxa"/>
                  </w:tcMar>
                  <w:vAlign w:val="center"/>
                </w:tcPr>
                <w:p w14:paraId="7B7F99E2">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含油废抹布</w:t>
                  </w:r>
                </w:p>
              </w:tc>
              <w:tc>
                <w:tcPr>
                  <w:tcW w:w="1028" w:type="dxa"/>
                  <w:tcBorders>
                    <w:tl2br w:val="nil"/>
                    <w:tr2bl w:val="nil"/>
                  </w:tcBorders>
                  <w:shd w:val="clear" w:color="auto" w:fill="auto"/>
                  <w:tcMar>
                    <w:top w:w="0" w:type="dxa"/>
                    <w:left w:w="0" w:type="dxa"/>
                    <w:bottom w:w="0" w:type="dxa"/>
                    <w:right w:w="0" w:type="dxa"/>
                  </w:tcMar>
                  <w:vAlign w:val="center"/>
                </w:tcPr>
                <w:p w14:paraId="102AFEB1">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设备维护</w:t>
                  </w:r>
                </w:p>
              </w:tc>
              <w:tc>
                <w:tcPr>
                  <w:tcW w:w="867" w:type="dxa"/>
                  <w:tcBorders>
                    <w:tl2br w:val="nil"/>
                    <w:tr2bl w:val="nil"/>
                  </w:tcBorders>
                  <w:shd w:val="clear" w:color="auto" w:fill="auto"/>
                  <w:tcMar>
                    <w:top w:w="0" w:type="dxa"/>
                    <w:left w:w="0" w:type="dxa"/>
                    <w:bottom w:w="0" w:type="dxa"/>
                    <w:right w:w="0" w:type="dxa"/>
                  </w:tcMar>
                  <w:vAlign w:val="center"/>
                </w:tcPr>
                <w:p w14:paraId="6624F22C">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危险废物</w:t>
                  </w:r>
                </w:p>
              </w:tc>
              <w:tc>
                <w:tcPr>
                  <w:tcW w:w="1440" w:type="dxa"/>
                  <w:tcBorders>
                    <w:tl2br w:val="nil"/>
                    <w:tr2bl w:val="nil"/>
                  </w:tcBorders>
                  <w:shd w:val="clear" w:color="auto" w:fill="auto"/>
                  <w:tcMar>
                    <w:top w:w="0" w:type="dxa"/>
                    <w:left w:w="0" w:type="dxa"/>
                    <w:bottom w:w="0" w:type="dxa"/>
                    <w:right w:w="0" w:type="dxa"/>
                  </w:tcMar>
                  <w:vAlign w:val="center"/>
                </w:tcPr>
                <w:p w14:paraId="21C4AB7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HW49（900-041-49）</w:t>
                  </w:r>
                </w:p>
              </w:tc>
              <w:tc>
                <w:tcPr>
                  <w:tcW w:w="1073" w:type="dxa"/>
                  <w:tcBorders>
                    <w:tl2br w:val="nil"/>
                    <w:tr2bl w:val="nil"/>
                  </w:tcBorders>
                  <w:shd w:val="clear" w:color="auto" w:fill="auto"/>
                  <w:tcMar>
                    <w:top w:w="0" w:type="dxa"/>
                    <w:left w:w="0" w:type="dxa"/>
                    <w:bottom w:w="0" w:type="dxa"/>
                    <w:right w:w="0" w:type="dxa"/>
                  </w:tcMar>
                  <w:vAlign w:val="center"/>
                </w:tcPr>
                <w:p w14:paraId="1ACDF70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0.05</w:t>
                  </w:r>
                </w:p>
              </w:tc>
              <w:tc>
                <w:tcPr>
                  <w:tcW w:w="1163" w:type="dxa"/>
                  <w:vMerge w:val="continue"/>
                  <w:tcBorders>
                    <w:tl2br w:val="nil"/>
                    <w:tr2bl w:val="nil"/>
                  </w:tcBorders>
                  <w:shd w:val="clear" w:color="auto" w:fill="auto"/>
                  <w:tcMar>
                    <w:top w:w="0" w:type="dxa"/>
                    <w:left w:w="0" w:type="dxa"/>
                    <w:bottom w:w="0" w:type="dxa"/>
                    <w:right w:w="0" w:type="dxa"/>
                  </w:tcMar>
                  <w:vAlign w:val="center"/>
                </w:tcPr>
                <w:p w14:paraId="0542F2F0">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p>
              </w:tc>
            </w:tr>
            <w:tr w14:paraId="08ACCD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4EDC2909">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9</w:t>
                  </w:r>
                </w:p>
              </w:tc>
              <w:tc>
                <w:tcPr>
                  <w:tcW w:w="1112" w:type="dxa"/>
                  <w:tcBorders>
                    <w:tl2br w:val="nil"/>
                    <w:tr2bl w:val="nil"/>
                  </w:tcBorders>
                  <w:shd w:val="clear" w:color="auto" w:fill="auto"/>
                  <w:tcMar>
                    <w:top w:w="0" w:type="dxa"/>
                    <w:left w:w="0" w:type="dxa"/>
                    <w:bottom w:w="0" w:type="dxa"/>
                    <w:right w:w="0" w:type="dxa"/>
                  </w:tcMar>
                  <w:vAlign w:val="center"/>
                </w:tcPr>
                <w:p w14:paraId="1ADBB772">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废UV灯管</w:t>
                  </w:r>
                </w:p>
              </w:tc>
              <w:tc>
                <w:tcPr>
                  <w:tcW w:w="1028" w:type="dxa"/>
                  <w:tcBorders>
                    <w:tl2br w:val="nil"/>
                    <w:tr2bl w:val="nil"/>
                  </w:tcBorders>
                  <w:shd w:val="clear" w:color="auto" w:fill="auto"/>
                  <w:tcMar>
                    <w:top w:w="0" w:type="dxa"/>
                    <w:left w:w="0" w:type="dxa"/>
                    <w:bottom w:w="0" w:type="dxa"/>
                    <w:right w:w="0" w:type="dxa"/>
                  </w:tcMar>
                  <w:vAlign w:val="center"/>
                </w:tcPr>
                <w:p w14:paraId="1FA18CFB">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UV干燥</w:t>
                  </w:r>
                </w:p>
              </w:tc>
              <w:tc>
                <w:tcPr>
                  <w:tcW w:w="867" w:type="dxa"/>
                  <w:tcBorders>
                    <w:tl2br w:val="nil"/>
                    <w:tr2bl w:val="nil"/>
                  </w:tcBorders>
                  <w:shd w:val="clear" w:color="auto" w:fill="auto"/>
                  <w:tcMar>
                    <w:top w:w="0" w:type="dxa"/>
                    <w:left w:w="0" w:type="dxa"/>
                    <w:bottom w:w="0" w:type="dxa"/>
                    <w:right w:w="0" w:type="dxa"/>
                  </w:tcMar>
                  <w:vAlign w:val="center"/>
                </w:tcPr>
                <w:p w14:paraId="606E4E10">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危险废物</w:t>
                  </w:r>
                </w:p>
              </w:tc>
              <w:tc>
                <w:tcPr>
                  <w:tcW w:w="1440" w:type="dxa"/>
                  <w:tcBorders>
                    <w:tl2br w:val="nil"/>
                    <w:tr2bl w:val="nil"/>
                  </w:tcBorders>
                  <w:shd w:val="clear" w:color="auto" w:fill="auto"/>
                  <w:tcMar>
                    <w:top w:w="0" w:type="dxa"/>
                    <w:left w:w="0" w:type="dxa"/>
                    <w:bottom w:w="0" w:type="dxa"/>
                    <w:right w:w="0" w:type="dxa"/>
                  </w:tcMar>
                  <w:vAlign w:val="center"/>
                </w:tcPr>
                <w:p w14:paraId="1FE7F95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HW29（900-023-29）</w:t>
                  </w:r>
                </w:p>
              </w:tc>
              <w:tc>
                <w:tcPr>
                  <w:tcW w:w="1073" w:type="dxa"/>
                  <w:tcBorders>
                    <w:tl2br w:val="nil"/>
                    <w:tr2bl w:val="nil"/>
                  </w:tcBorders>
                  <w:shd w:val="clear" w:color="auto" w:fill="auto"/>
                  <w:tcMar>
                    <w:top w:w="0" w:type="dxa"/>
                    <w:left w:w="0" w:type="dxa"/>
                    <w:bottom w:w="0" w:type="dxa"/>
                    <w:right w:w="0" w:type="dxa"/>
                  </w:tcMar>
                  <w:vAlign w:val="center"/>
                </w:tcPr>
                <w:p w14:paraId="0B45478D">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0.01</w:t>
                  </w:r>
                </w:p>
              </w:tc>
              <w:tc>
                <w:tcPr>
                  <w:tcW w:w="1163" w:type="dxa"/>
                  <w:vMerge w:val="continue"/>
                  <w:tcBorders>
                    <w:tl2br w:val="nil"/>
                    <w:tr2bl w:val="nil"/>
                  </w:tcBorders>
                  <w:shd w:val="clear" w:color="auto" w:fill="auto"/>
                  <w:tcMar>
                    <w:top w:w="0" w:type="dxa"/>
                    <w:left w:w="0" w:type="dxa"/>
                    <w:bottom w:w="0" w:type="dxa"/>
                    <w:right w:w="0" w:type="dxa"/>
                  </w:tcMar>
                  <w:vAlign w:val="center"/>
                </w:tcPr>
                <w:p w14:paraId="6107153E">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sz w:val="21"/>
                      <w:szCs w:val="21"/>
                      <w:u w:val="none"/>
                    </w:rPr>
                  </w:pPr>
                </w:p>
              </w:tc>
            </w:tr>
            <w:tr w14:paraId="27E489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18" w:type="dxa"/>
                  <w:tcBorders>
                    <w:tl2br w:val="nil"/>
                    <w:tr2bl w:val="nil"/>
                  </w:tcBorders>
                  <w:shd w:val="clear" w:color="auto" w:fill="auto"/>
                  <w:tcMar>
                    <w:top w:w="0" w:type="dxa"/>
                    <w:left w:w="0" w:type="dxa"/>
                    <w:bottom w:w="0" w:type="dxa"/>
                    <w:right w:w="0" w:type="dxa"/>
                  </w:tcMar>
                  <w:vAlign w:val="center"/>
                </w:tcPr>
                <w:p w14:paraId="3AE62FB0">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10</w:t>
                  </w:r>
                </w:p>
              </w:tc>
              <w:tc>
                <w:tcPr>
                  <w:tcW w:w="1112" w:type="dxa"/>
                  <w:tcBorders>
                    <w:tl2br w:val="nil"/>
                    <w:tr2bl w:val="nil"/>
                  </w:tcBorders>
                  <w:shd w:val="clear" w:color="auto" w:fill="auto"/>
                  <w:tcMar>
                    <w:top w:w="0" w:type="dxa"/>
                    <w:left w:w="0" w:type="dxa"/>
                    <w:bottom w:w="0" w:type="dxa"/>
                    <w:right w:w="0" w:type="dxa"/>
                  </w:tcMar>
                  <w:vAlign w:val="center"/>
                </w:tcPr>
                <w:p w14:paraId="61FFDA74">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生活垃圾</w:t>
                  </w:r>
                </w:p>
              </w:tc>
              <w:tc>
                <w:tcPr>
                  <w:tcW w:w="1028" w:type="dxa"/>
                  <w:tcBorders>
                    <w:tl2br w:val="nil"/>
                    <w:tr2bl w:val="nil"/>
                  </w:tcBorders>
                  <w:shd w:val="clear" w:color="auto" w:fill="auto"/>
                  <w:tcMar>
                    <w:top w:w="0" w:type="dxa"/>
                    <w:left w:w="0" w:type="dxa"/>
                    <w:bottom w:w="0" w:type="dxa"/>
                    <w:right w:w="0" w:type="dxa"/>
                  </w:tcMar>
                  <w:vAlign w:val="center"/>
                </w:tcPr>
                <w:p w14:paraId="2429F8FD">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员工生活</w:t>
                  </w:r>
                </w:p>
              </w:tc>
              <w:tc>
                <w:tcPr>
                  <w:tcW w:w="867" w:type="dxa"/>
                  <w:tcBorders>
                    <w:tl2br w:val="nil"/>
                    <w:tr2bl w:val="nil"/>
                  </w:tcBorders>
                  <w:shd w:val="clear" w:color="auto" w:fill="auto"/>
                  <w:tcMar>
                    <w:top w:w="0" w:type="dxa"/>
                    <w:left w:w="0" w:type="dxa"/>
                    <w:bottom w:w="0" w:type="dxa"/>
                    <w:right w:w="0" w:type="dxa"/>
                  </w:tcMar>
                  <w:vAlign w:val="center"/>
                </w:tcPr>
                <w:p w14:paraId="4B7BE73A">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生活垃圾</w:t>
                  </w:r>
                </w:p>
              </w:tc>
              <w:tc>
                <w:tcPr>
                  <w:tcW w:w="1440" w:type="dxa"/>
                  <w:tcBorders>
                    <w:tl2br w:val="nil"/>
                    <w:tr2bl w:val="nil"/>
                  </w:tcBorders>
                  <w:shd w:val="clear" w:color="auto" w:fill="auto"/>
                  <w:tcMar>
                    <w:top w:w="0" w:type="dxa"/>
                    <w:left w:w="0" w:type="dxa"/>
                    <w:bottom w:w="0" w:type="dxa"/>
                    <w:right w:w="0" w:type="dxa"/>
                  </w:tcMar>
                  <w:vAlign w:val="center"/>
                </w:tcPr>
                <w:p w14:paraId="1526818C">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w:t>
                  </w:r>
                </w:p>
              </w:tc>
              <w:tc>
                <w:tcPr>
                  <w:tcW w:w="1073" w:type="dxa"/>
                  <w:tcBorders>
                    <w:tl2br w:val="nil"/>
                    <w:tr2bl w:val="nil"/>
                  </w:tcBorders>
                  <w:shd w:val="clear" w:color="auto" w:fill="auto"/>
                  <w:tcMar>
                    <w:top w:w="0" w:type="dxa"/>
                    <w:left w:w="0" w:type="dxa"/>
                    <w:bottom w:w="0" w:type="dxa"/>
                    <w:right w:w="0" w:type="dxa"/>
                  </w:tcMar>
                  <w:vAlign w:val="center"/>
                </w:tcPr>
                <w:p w14:paraId="0E870257">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3</w:t>
                  </w:r>
                </w:p>
              </w:tc>
              <w:tc>
                <w:tcPr>
                  <w:tcW w:w="1163" w:type="dxa"/>
                  <w:tcBorders>
                    <w:tl2br w:val="nil"/>
                    <w:tr2bl w:val="nil"/>
                  </w:tcBorders>
                  <w:shd w:val="clear" w:color="auto" w:fill="auto"/>
                  <w:tcMar>
                    <w:top w:w="0" w:type="dxa"/>
                    <w:left w:w="0" w:type="dxa"/>
                    <w:bottom w:w="0" w:type="dxa"/>
                    <w:right w:w="0" w:type="dxa"/>
                  </w:tcMar>
                  <w:vAlign w:val="center"/>
                </w:tcPr>
                <w:p w14:paraId="561B5E24">
                  <w:pPr>
                    <w:keepNext w:val="0"/>
                    <w:keepLines w:val="0"/>
                    <w:pageBreakBefore w:val="0"/>
                    <w:widowControl/>
                    <w:suppressLineNumbers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aps w:val="0"/>
                      <w:color w:val="auto"/>
                      <w:spacing w:val="0"/>
                      <w:kern w:val="0"/>
                      <w:sz w:val="21"/>
                      <w:szCs w:val="21"/>
                      <w:lang w:val="en-US" w:eastAsia="zh-CN" w:bidi="ar"/>
                    </w:rPr>
                    <w:t>环卫部门清运</w:t>
                  </w:r>
                </w:p>
              </w:tc>
            </w:tr>
          </w:tbl>
          <w:p w14:paraId="3C132EAD">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color w:val="auto"/>
                <w:spacing w:val="0"/>
                <w:position w:val="0"/>
                <w:highlight w:val="none"/>
              </w:rPr>
            </w:pPr>
            <w:r>
              <w:rPr>
                <w:rFonts w:hint="default" w:ascii="Times New Roman" w:hAnsi="Times New Roman" w:cs="Times New Roman"/>
                <w:b/>
                <w:bCs/>
                <w:color w:val="auto"/>
                <w:spacing w:val="0"/>
                <w:position w:val="0"/>
                <w:sz w:val="24"/>
                <w:highlight w:val="none"/>
              </w:rPr>
              <w:t>4.2固废环境管理要求及措施</w:t>
            </w:r>
          </w:p>
          <w:p w14:paraId="1665FC66">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highlight w:val="none"/>
              </w:rPr>
              <w:t>本项目生活垃圾暂存于垃圾桶、袋中，集中收集后交环卫部门处理，废金属边角料统一收集外售物资回收单位、项目产生的除尘灰经布袋收集后回用于搅拌及拌合工序，本项目拟在生产车间内西北侧设置一个占地面积约20m²的危险废物贮存点（具体位置详见附图3-1），用于暂存废胶桶、废油墨桶、废催化剂、废机油、含油废抹布、废UV灯管等危险废物。建设单位严格按照《一般工业固体废物贮存和填埋污染控制标准》（</w:t>
            </w:r>
            <w:r>
              <w:rPr>
                <w:rFonts w:hint="default" w:ascii="Times New Roman" w:hAnsi="Times New Roman" w:cs="Times New Roman"/>
                <w:color w:val="auto"/>
                <w:spacing w:val="0"/>
                <w:position w:val="0"/>
                <w:sz w:val="24"/>
                <w:szCs w:val="24"/>
                <w:highlight w:val="none"/>
              </w:rPr>
              <w:t>GB18599-2020）对固体废物进行处理处置。</w:t>
            </w:r>
          </w:p>
          <w:p w14:paraId="77CADC20">
            <w:pPr>
              <w:keepNext w:val="0"/>
              <w:keepLines w:val="0"/>
              <w:pageBreakBefore w:val="0"/>
              <w:shd w:val="clear"/>
              <w:kinsoku/>
              <w:wordWrap/>
              <w:overflowPunct/>
              <w:topLinePunct w:val="0"/>
              <w:autoSpaceDE/>
              <w:autoSpaceDN/>
              <w:bidi w:val="0"/>
              <w:adjustRightInd/>
              <w:snapToGrid/>
              <w:spacing w:beforeAutospacing="0" w:afterAutospacing="0" w:line="360" w:lineRule="auto"/>
              <w:ind w:right="0" w:rightChars="0"/>
              <w:textAlignment w:val="auto"/>
              <w:rPr>
                <w:rFonts w:hint="default" w:ascii="Times New Roman" w:hAnsi="Times New Roman" w:cs="Times New Roman"/>
                <w:color w:val="auto"/>
                <w:spacing w:val="0"/>
                <w:position w:val="0"/>
                <w:sz w:val="24"/>
                <w:szCs w:val="24"/>
                <w:highlight w:val="none"/>
              </w:rPr>
            </w:pPr>
            <w:r>
              <w:rPr>
                <w:rFonts w:hint="eastAsia" w:cs="Times New Roman"/>
                <w:b/>
                <w:bCs/>
                <w:color w:val="auto"/>
                <w:spacing w:val="0"/>
                <w:position w:val="0"/>
                <w:sz w:val="24"/>
                <w:szCs w:val="24"/>
                <w:highlight w:val="none"/>
                <w:lang w:val="en-US" w:eastAsia="zh-CN"/>
              </w:rPr>
              <w:t>4.2.1</w:t>
            </w:r>
            <w:r>
              <w:rPr>
                <w:rFonts w:hint="default" w:ascii="Times New Roman" w:hAnsi="Times New Roman" w:cs="Times New Roman"/>
                <w:b/>
                <w:bCs/>
                <w:color w:val="auto"/>
                <w:spacing w:val="0"/>
                <w:position w:val="0"/>
                <w:sz w:val="24"/>
                <w:szCs w:val="24"/>
                <w:highlight w:val="none"/>
              </w:rPr>
              <w:t>危废贮存点建设规模合理性分析</w:t>
            </w:r>
          </w:p>
          <w:p w14:paraId="0DF36E25">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①标准依据。根据《危险废物贮存污染控制标准》（GB18597-2023），贮存点是指“HJ 1259规定的纳入危险废物登记管理单位的，用于同一生产经营场所专门贮存危险废物的场所”</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"https://gdee.gd.gov.cn/hdjlpt/detail?pid=2829500" \l "/"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贮存点适用于危险废物产生量少、分布分散、环境风险相对较低的单位。本项目危险废物年产生量约4.88吨（含废催化剂年均折算量），属于“1吨（含）-10吨/年”的产生规模，且各类危废环境风险相对较低，适合采用贮存点方式进行管理。</w:t>
            </w:r>
          </w:p>
          <w:p w14:paraId="7B2F7FA8">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②危废产生量与贮存量核算。本项目危险废物产生及最大贮存量核算如下：</w:t>
            </w:r>
          </w:p>
          <w:p w14:paraId="6158F444">
            <w:pPr>
              <w:keepNext w:val="0"/>
              <w:keepLines w:val="0"/>
              <w:pageBreakBefore w:val="0"/>
              <w:shd w:val="clear"/>
              <w:kinsoku/>
              <w:wordWrap/>
              <w:overflowPunct/>
              <w:topLinePunct w:val="0"/>
              <w:autoSpaceDE/>
              <w:autoSpaceDN/>
              <w:bidi w:val="0"/>
              <w:adjustRightInd/>
              <w:snapToGrid/>
              <w:spacing w:beforeAutospacing="0" w:afterAutospacing="0" w:line="240" w:lineRule="auto"/>
              <w:ind w:right="0" w:right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b/>
                <w:bCs/>
                <w:color w:val="auto"/>
                <w:spacing w:val="0"/>
                <w:position w:val="0"/>
                <w:sz w:val="21"/>
                <w:szCs w:val="21"/>
                <w:highlight w:val="none"/>
                <w:lang w:val="en-US" w:eastAsia="zh-CN"/>
              </w:rPr>
              <w:t>表4-8   项目危险废物最大贮存量一览表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075"/>
              <w:gridCol w:w="1165"/>
              <w:gridCol w:w="1496"/>
              <w:gridCol w:w="1362"/>
              <w:gridCol w:w="2204"/>
            </w:tblGrid>
            <w:tr w14:paraId="06DDB0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blHeader/>
                <w:jc w:val="center"/>
              </w:trPr>
              <w:tc>
                <w:tcPr>
                  <w:tcW w:w="1075" w:type="dxa"/>
                  <w:tcBorders>
                    <w:tl2br w:val="nil"/>
                    <w:tr2bl w:val="nil"/>
                  </w:tcBorders>
                  <w:shd w:val="clear" w:color="auto" w:fill="auto"/>
                  <w:tcMar>
                    <w:top w:w="0" w:type="dxa"/>
                    <w:left w:w="0" w:type="dxa"/>
                    <w:bottom w:w="0" w:type="dxa"/>
                    <w:right w:w="0" w:type="dxa"/>
                  </w:tcMar>
                  <w:vAlign w:val="center"/>
                </w:tcPr>
                <w:p w14:paraId="0146706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en-US" w:eastAsia="zh-CN"/>
                    </w:rPr>
                    <w:t>危废名称</w:t>
                  </w:r>
                </w:p>
              </w:tc>
              <w:tc>
                <w:tcPr>
                  <w:tcW w:w="1165" w:type="dxa"/>
                  <w:tcBorders>
                    <w:tl2br w:val="nil"/>
                    <w:tr2bl w:val="nil"/>
                  </w:tcBorders>
                  <w:shd w:val="clear" w:color="auto" w:fill="auto"/>
                  <w:tcMar>
                    <w:top w:w="0" w:type="dxa"/>
                    <w:left w:w="0" w:type="dxa"/>
                    <w:bottom w:w="0" w:type="dxa"/>
                    <w:right w:w="0" w:type="dxa"/>
                  </w:tcMar>
                  <w:vAlign w:val="center"/>
                </w:tcPr>
                <w:p w14:paraId="426D6B92">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en-US" w:eastAsia="zh-CN"/>
                    </w:rPr>
                    <w:t>年产生量（t/a）</w:t>
                  </w:r>
                </w:p>
              </w:tc>
              <w:tc>
                <w:tcPr>
                  <w:tcW w:w="1496" w:type="dxa"/>
                  <w:tcBorders>
                    <w:tl2br w:val="nil"/>
                    <w:tr2bl w:val="nil"/>
                  </w:tcBorders>
                  <w:shd w:val="clear" w:color="auto" w:fill="auto"/>
                  <w:tcMar>
                    <w:top w:w="0" w:type="dxa"/>
                    <w:left w:w="0" w:type="dxa"/>
                    <w:bottom w:w="0" w:type="dxa"/>
                    <w:right w:w="0" w:type="dxa"/>
                  </w:tcMar>
                  <w:vAlign w:val="center"/>
                </w:tcPr>
                <w:p w14:paraId="2B2B364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en-US" w:eastAsia="zh-CN"/>
                    </w:rPr>
                    <w:t>转运周期</w:t>
                  </w:r>
                </w:p>
              </w:tc>
              <w:tc>
                <w:tcPr>
                  <w:tcW w:w="1362" w:type="dxa"/>
                  <w:tcBorders>
                    <w:tl2br w:val="nil"/>
                    <w:tr2bl w:val="nil"/>
                  </w:tcBorders>
                  <w:shd w:val="clear" w:color="auto" w:fill="auto"/>
                  <w:tcMar>
                    <w:top w:w="0" w:type="dxa"/>
                    <w:left w:w="0" w:type="dxa"/>
                    <w:bottom w:w="0" w:type="dxa"/>
                    <w:right w:w="0" w:type="dxa"/>
                  </w:tcMar>
                  <w:vAlign w:val="center"/>
                </w:tcPr>
                <w:p w14:paraId="364C9A5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en-US" w:eastAsia="zh-CN"/>
                    </w:rPr>
                    <w:t>单次最大贮存量（t）</w:t>
                  </w:r>
                </w:p>
              </w:tc>
              <w:tc>
                <w:tcPr>
                  <w:tcW w:w="2204" w:type="dxa"/>
                  <w:tcBorders>
                    <w:tl2br w:val="nil"/>
                    <w:tr2bl w:val="nil"/>
                  </w:tcBorders>
                  <w:shd w:val="clear" w:color="auto" w:fill="auto"/>
                  <w:tcMar>
                    <w:top w:w="0" w:type="dxa"/>
                    <w:left w:w="0" w:type="dxa"/>
                    <w:bottom w:w="0" w:type="dxa"/>
                    <w:right w:w="0" w:type="dxa"/>
                  </w:tcMar>
                  <w:vAlign w:val="center"/>
                </w:tcPr>
                <w:p w14:paraId="19D4448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en-US" w:eastAsia="zh-CN"/>
                    </w:rPr>
                    <w:t>贮存方式</w:t>
                  </w:r>
                </w:p>
              </w:tc>
            </w:tr>
            <w:tr w14:paraId="75B112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41117221">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废胶桶</w:t>
                  </w:r>
                </w:p>
              </w:tc>
              <w:tc>
                <w:tcPr>
                  <w:tcW w:w="1165" w:type="dxa"/>
                  <w:tcBorders>
                    <w:tl2br w:val="nil"/>
                    <w:tr2bl w:val="nil"/>
                  </w:tcBorders>
                  <w:shd w:val="clear" w:color="auto" w:fill="auto"/>
                  <w:tcMar>
                    <w:top w:w="0" w:type="dxa"/>
                    <w:left w:w="0" w:type="dxa"/>
                    <w:bottom w:w="0" w:type="dxa"/>
                    <w:right w:w="0" w:type="dxa"/>
                  </w:tcMar>
                  <w:vAlign w:val="center"/>
                </w:tcPr>
                <w:p w14:paraId="41B4F9C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1.0</w:t>
                  </w:r>
                </w:p>
              </w:tc>
              <w:tc>
                <w:tcPr>
                  <w:tcW w:w="1496" w:type="dxa"/>
                  <w:tcBorders>
                    <w:tl2br w:val="nil"/>
                    <w:tr2bl w:val="nil"/>
                  </w:tcBorders>
                  <w:shd w:val="clear" w:color="auto" w:fill="auto"/>
                  <w:tcMar>
                    <w:top w:w="0" w:type="dxa"/>
                    <w:left w:w="0" w:type="dxa"/>
                    <w:bottom w:w="0" w:type="dxa"/>
                    <w:right w:w="0" w:type="dxa"/>
                  </w:tcMar>
                  <w:vAlign w:val="center"/>
                </w:tcPr>
                <w:p w14:paraId="3727E7D9">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1次/年</w:t>
                  </w:r>
                </w:p>
              </w:tc>
              <w:tc>
                <w:tcPr>
                  <w:tcW w:w="1362" w:type="dxa"/>
                  <w:tcBorders>
                    <w:tl2br w:val="nil"/>
                    <w:tr2bl w:val="nil"/>
                  </w:tcBorders>
                  <w:shd w:val="clear" w:color="auto" w:fill="auto"/>
                  <w:tcMar>
                    <w:top w:w="0" w:type="dxa"/>
                    <w:left w:w="0" w:type="dxa"/>
                    <w:bottom w:w="0" w:type="dxa"/>
                    <w:right w:w="0" w:type="dxa"/>
                  </w:tcMar>
                  <w:vAlign w:val="center"/>
                </w:tcPr>
                <w:p w14:paraId="6C3F97D4">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1.0</w:t>
                  </w:r>
                </w:p>
              </w:tc>
              <w:tc>
                <w:tcPr>
                  <w:tcW w:w="2204" w:type="dxa"/>
                  <w:tcBorders>
                    <w:tl2br w:val="nil"/>
                    <w:tr2bl w:val="nil"/>
                  </w:tcBorders>
                  <w:shd w:val="clear" w:color="auto" w:fill="auto"/>
                  <w:tcMar>
                    <w:top w:w="0" w:type="dxa"/>
                    <w:left w:w="0" w:type="dxa"/>
                    <w:bottom w:w="0" w:type="dxa"/>
                    <w:right w:w="0" w:type="dxa"/>
                  </w:tcMar>
                  <w:vAlign w:val="center"/>
                </w:tcPr>
                <w:p w14:paraId="5E85F15D">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桶装密闭，托盘放置</w:t>
                  </w:r>
                </w:p>
              </w:tc>
            </w:tr>
            <w:tr w14:paraId="63587D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36C0E489">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废油墨桶</w:t>
                  </w:r>
                </w:p>
              </w:tc>
              <w:tc>
                <w:tcPr>
                  <w:tcW w:w="1165" w:type="dxa"/>
                  <w:tcBorders>
                    <w:tl2br w:val="nil"/>
                    <w:tr2bl w:val="nil"/>
                  </w:tcBorders>
                  <w:shd w:val="clear" w:color="auto" w:fill="auto"/>
                  <w:tcMar>
                    <w:top w:w="0" w:type="dxa"/>
                    <w:left w:w="0" w:type="dxa"/>
                    <w:bottom w:w="0" w:type="dxa"/>
                    <w:right w:w="0" w:type="dxa"/>
                  </w:tcMar>
                  <w:vAlign w:val="center"/>
                </w:tcPr>
                <w:p w14:paraId="038E33F9">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0.5</w:t>
                  </w:r>
                </w:p>
              </w:tc>
              <w:tc>
                <w:tcPr>
                  <w:tcW w:w="1496" w:type="dxa"/>
                  <w:tcBorders>
                    <w:tl2br w:val="nil"/>
                    <w:tr2bl w:val="nil"/>
                  </w:tcBorders>
                  <w:shd w:val="clear" w:color="auto" w:fill="auto"/>
                  <w:tcMar>
                    <w:top w:w="0" w:type="dxa"/>
                    <w:left w:w="0" w:type="dxa"/>
                    <w:bottom w:w="0" w:type="dxa"/>
                    <w:right w:w="0" w:type="dxa"/>
                  </w:tcMar>
                  <w:vAlign w:val="center"/>
                </w:tcPr>
                <w:p w14:paraId="6D0C6432">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1次/年</w:t>
                  </w:r>
                </w:p>
              </w:tc>
              <w:tc>
                <w:tcPr>
                  <w:tcW w:w="1362" w:type="dxa"/>
                  <w:tcBorders>
                    <w:tl2br w:val="nil"/>
                    <w:tr2bl w:val="nil"/>
                  </w:tcBorders>
                  <w:shd w:val="clear" w:color="auto" w:fill="auto"/>
                  <w:tcMar>
                    <w:top w:w="0" w:type="dxa"/>
                    <w:left w:w="0" w:type="dxa"/>
                    <w:bottom w:w="0" w:type="dxa"/>
                    <w:right w:w="0" w:type="dxa"/>
                  </w:tcMar>
                  <w:vAlign w:val="center"/>
                </w:tcPr>
                <w:p w14:paraId="1F5B7851">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0.5</w:t>
                  </w:r>
                </w:p>
              </w:tc>
              <w:tc>
                <w:tcPr>
                  <w:tcW w:w="2204" w:type="dxa"/>
                  <w:tcBorders>
                    <w:tl2br w:val="nil"/>
                    <w:tr2bl w:val="nil"/>
                  </w:tcBorders>
                  <w:shd w:val="clear" w:color="auto" w:fill="auto"/>
                  <w:tcMar>
                    <w:top w:w="0" w:type="dxa"/>
                    <w:left w:w="0" w:type="dxa"/>
                    <w:bottom w:w="0" w:type="dxa"/>
                    <w:right w:w="0" w:type="dxa"/>
                  </w:tcMar>
                  <w:vAlign w:val="center"/>
                </w:tcPr>
                <w:p w14:paraId="1DEDFF0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桶装密闭，托盘放置</w:t>
                  </w:r>
                </w:p>
              </w:tc>
            </w:tr>
            <w:tr w14:paraId="7193EE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1762D3E9">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废催化剂</w:t>
                  </w:r>
                </w:p>
              </w:tc>
              <w:tc>
                <w:tcPr>
                  <w:tcW w:w="1165" w:type="dxa"/>
                  <w:tcBorders>
                    <w:tl2br w:val="nil"/>
                    <w:tr2bl w:val="nil"/>
                  </w:tcBorders>
                  <w:shd w:val="clear" w:color="auto" w:fill="auto"/>
                  <w:tcMar>
                    <w:top w:w="0" w:type="dxa"/>
                    <w:left w:w="0" w:type="dxa"/>
                    <w:bottom w:w="0" w:type="dxa"/>
                    <w:right w:w="0" w:type="dxa"/>
                  </w:tcMar>
                  <w:vAlign w:val="center"/>
                </w:tcPr>
                <w:p w14:paraId="74605A7F">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0.033（年均）</w:t>
                  </w:r>
                </w:p>
              </w:tc>
              <w:tc>
                <w:tcPr>
                  <w:tcW w:w="1496" w:type="dxa"/>
                  <w:tcBorders>
                    <w:tl2br w:val="nil"/>
                    <w:tr2bl w:val="nil"/>
                  </w:tcBorders>
                  <w:shd w:val="clear" w:color="auto" w:fill="auto"/>
                  <w:tcMar>
                    <w:top w:w="0" w:type="dxa"/>
                    <w:left w:w="0" w:type="dxa"/>
                    <w:bottom w:w="0" w:type="dxa"/>
                    <w:right w:w="0" w:type="dxa"/>
                  </w:tcMar>
                  <w:vAlign w:val="center"/>
                </w:tcPr>
                <w:p w14:paraId="1C41690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更换时即产即清</w:t>
                  </w:r>
                </w:p>
              </w:tc>
              <w:tc>
                <w:tcPr>
                  <w:tcW w:w="1362" w:type="dxa"/>
                  <w:tcBorders>
                    <w:tl2br w:val="nil"/>
                    <w:tr2bl w:val="nil"/>
                  </w:tcBorders>
                  <w:shd w:val="clear" w:color="auto" w:fill="auto"/>
                  <w:tcMar>
                    <w:top w:w="0" w:type="dxa"/>
                    <w:left w:w="0" w:type="dxa"/>
                    <w:bottom w:w="0" w:type="dxa"/>
                    <w:right w:w="0" w:type="dxa"/>
                  </w:tcMar>
                  <w:vAlign w:val="center"/>
                </w:tcPr>
                <w:p w14:paraId="5EBE2944">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0.1（单次）</w:t>
                  </w:r>
                </w:p>
              </w:tc>
              <w:tc>
                <w:tcPr>
                  <w:tcW w:w="2204" w:type="dxa"/>
                  <w:tcBorders>
                    <w:tl2br w:val="nil"/>
                    <w:tr2bl w:val="nil"/>
                  </w:tcBorders>
                  <w:shd w:val="clear" w:color="auto" w:fill="auto"/>
                  <w:tcMar>
                    <w:top w:w="0" w:type="dxa"/>
                    <w:left w:w="0" w:type="dxa"/>
                    <w:bottom w:w="0" w:type="dxa"/>
                    <w:right w:w="0" w:type="dxa"/>
                  </w:tcMar>
                  <w:vAlign w:val="center"/>
                </w:tcPr>
                <w:p w14:paraId="240C7C86">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袋装密闭，不长期贮存</w:t>
                  </w:r>
                </w:p>
              </w:tc>
            </w:tr>
            <w:tr w14:paraId="5B7570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6F9C4D78">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废机油</w:t>
                  </w:r>
                </w:p>
              </w:tc>
              <w:tc>
                <w:tcPr>
                  <w:tcW w:w="1165" w:type="dxa"/>
                  <w:tcBorders>
                    <w:tl2br w:val="nil"/>
                    <w:tr2bl w:val="nil"/>
                  </w:tcBorders>
                  <w:shd w:val="clear" w:color="auto" w:fill="auto"/>
                  <w:tcMar>
                    <w:top w:w="0" w:type="dxa"/>
                    <w:left w:w="0" w:type="dxa"/>
                    <w:bottom w:w="0" w:type="dxa"/>
                    <w:right w:w="0" w:type="dxa"/>
                  </w:tcMar>
                  <w:vAlign w:val="center"/>
                </w:tcPr>
                <w:p w14:paraId="48782E80">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0.1</w:t>
                  </w:r>
                </w:p>
              </w:tc>
              <w:tc>
                <w:tcPr>
                  <w:tcW w:w="1496" w:type="dxa"/>
                  <w:tcBorders>
                    <w:tl2br w:val="nil"/>
                    <w:tr2bl w:val="nil"/>
                  </w:tcBorders>
                  <w:shd w:val="clear" w:color="auto" w:fill="auto"/>
                  <w:tcMar>
                    <w:top w:w="0" w:type="dxa"/>
                    <w:left w:w="0" w:type="dxa"/>
                    <w:bottom w:w="0" w:type="dxa"/>
                    <w:right w:w="0" w:type="dxa"/>
                  </w:tcMar>
                  <w:vAlign w:val="center"/>
                </w:tcPr>
                <w:p w14:paraId="40F2615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1次/年</w:t>
                  </w:r>
                </w:p>
              </w:tc>
              <w:tc>
                <w:tcPr>
                  <w:tcW w:w="1362" w:type="dxa"/>
                  <w:tcBorders>
                    <w:tl2br w:val="nil"/>
                    <w:tr2bl w:val="nil"/>
                  </w:tcBorders>
                  <w:shd w:val="clear" w:color="auto" w:fill="auto"/>
                  <w:tcMar>
                    <w:top w:w="0" w:type="dxa"/>
                    <w:left w:w="0" w:type="dxa"/>
                    <w:bottom w:w="0" w:type="dxa"/>
                    <w:right w:w="0" w:type="dxa"/>
                  </w:tcMar>
                  <w:vAlign w:val="center"/>
                </w:tcPr>
                <w:p w14:paraId="2A9823AA">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0.1</w:t>
                  </w:r>
                </w:p>
              </w:tc>
              <w:tc>
                <w:tcPr>
                  <w:tcW w:w="2204" w:type="dxa"/>
                  <w:tcBorders>
                    <w:tl2br w:val="nil"/>
                    <w:tr2bl w:val="nil"/>
                  </w:tcBorders>
                  <w:shd w:val="clear" w:color="auto" w:fill="auto"/>
                  <w:tcMar>
                    <w:top w:w="0" w:type="dxa"/>
                    <w:left w:w="0" w:type="dxa"/>
                    <w:bottom w:w="0" w:type="dxa"/>
                    <w:right w:w="0" w:type="dxa"/>
                  </w:tcMar>
                  <w:vAlign w:val="center"/>
                </w:tcPr>
                <w:p w14:paraId="46E972C0">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专用油桶密闭</w:t>
                  </w:r>
                </w:p>
              </w:tc>
            </w:tr>
            <w:tr w14:paraId="1612DA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22B70897">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含油废抹布</w:t>
                  </w:r>
                </w:p>
              </w:tc>
              <w:tc>
                <w:tcPr>
                  <w:tcW w:w="1165" w:type="dxa"/>
                  <w:tcBorders>
                    <w:tl2br w:val="nil"/>
                    <w:tr2bl w:val="nil"/>
                  </w:tcBorders>
                  <w:shd w:val="clear" w:color="auto" w:fill="auto"/>
                  <w:tcMar>
                    <w:top w:w="0" w:type="dxa"/>
                    <w:left w:w="0" w:type="dxa"/>
                    <w:bottom w:w="0" w:type="dxa"/>
                    <w:right w:w="0" w:type="dxa"/>
                  </w:tcMar>
                  <w:vAlign w:val="center"/>
                </w:tcPr>
                <w:p w14:paraId="168867A9">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0.05</w:t>
                  </w:r>
                </w:p>
              </w:tc>
              <w:tc>
                <w:tcPr>
                  <w:tcW w:w="1496" w:type="dxa"/>
                  <w:tcBorders>
                    <w:tl2br w:val="nil"/>
                    <w:tr2bl w:val="nil"/>
                  </w:tcBorders>
                  <w:shd w:val="clear" w:color="auto" w:fill="auto"/>
                  <w:tcMar>
                    <w:top w:w="0" w:type="dxa"/>
                    <w:left w:w="0" w:type="dxa"/>
                    <w:bottom w:w="0" w:type="dxa"/>
                    <w:right w:w="0" w:type="dxa"/>
                  </w:tcMar>
                  <w:vAlign w:val="center"/>
                </w:tcPr>
                <w:p w14:paraId="6FA372F6">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1次/年</w:t>
                  </w:r>
                </w:p>
              </w:tc>
              <w:tc>
                <w:tcPr>
                  <w:tcW w:w="1362" w:type="dxa"/>
                  <w:tcBorders>
                    <w:tl2br w:val="nil"/>
                    <w:tr2bl w:val="nil"/>
                  </w:tcBorders>
                  <w:shd w:val="clear" w:color="auto" w:fill="auto"/>
                  <w:tcMar>
                    <w:top w:w="0" w:type="dxa"/>
                    <w:left w:w="0" w:type="dxa"/>
                    <w:bottom w:w="0" w:type="dxa"/>
                    <w:right w:w="0" w:type="dxa"/>
                  </w:tcMar>
                  <w:vAlign w:val="center"/>
                </w:tcPr>
                <w:p w14:paraId="6CB3C192">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0.05</w:t>
                  </w:r>
                </w:p>
              </w:tc>
              <w:tc>
                <w:tcPr>
                  <w:tcW w:w="2204" w:type="dxa"/>
                  <w:tcBorders>
                    <w:tl2br w:val="nil"/>
                    <w:tr2bl w:val="nil"/>
                  </w:tcBorders>
                  <w:shd w:val="clear" w:color="auto" w:fill="auto"/>
                  <w:tcMar>
                    <w:top w:w="0" w:type="dxa"/>
                    <w:left w:w="0" w:type="dxa"/>
                    <w:bottom w:w="0" w:type="dxa"/>
                    <w:right w:w="0" w:type="dxa"/>
                  </w:tcMar>
                  <w:vAlign w:val="center"/>
                </w:tcPr>
                <w:p w14:paraId="5FFFC699">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袋装密闭</w:t>
                  </w:r>
                </w:p>
              </w:tc>
            </w:tr>
            <w:tr w14:paraId="0E88D4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751E7BC4">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废UV灯管</w:t>
                  </w:r>
                </w:p>
              </w:tc>
              <w:tc>
                <w:tcPr>
                  <w:tcW w:w="1165" w:type="dxa"/>
                  <w:tcBorders>
                    <w:tl2br w:val="nil"/>
                    <w:tr2bl w:val="nil"/>
                  </w:tcBorders>
                  <w:shd w:val="clear" w:color="auto" w:fill="auto"/>
                  <w:tcMar>
                    <w:top w:w="0" w:type="dxa"/>
                    <w:left w:w="0" w:type="dxa"/>
                    <w:bottom w:w="0" w:type="dxa"/>
                    <w:right w:w="0" w:type="dxa"/>
                  </w:tcMar>
                  <w:vAlign w:val="center"/>
                </w:tcPr>
                <w:p w14:paraId="25A2D71C">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0.01</w:t>
                  </w:r>
                </w:p>
              </w:tc>
              <w:tc>
                <w:tcPr>
                  <w:tcW w:w="1496" w:type="dxa"/>
                  <w:tcBorders>
                    <w:tl2br w:val="nil"/>
                    <w:tr2bl w:val="nil"/>
                  </w:tcBorders>
                  <w:shd w:val="clear" w:color="auto" w:fill="auto"/>
                  <w:tcMar>
                    <w:top w:w="0" w:type="dxa"/>
                    <w:left w:w="0" w:type="dxa"/>
                    <w:bottom w:w="0" w:type="dxa"/>
                    <w:right w:w="0" w:type="dxa"/>
                  </w:tcMar>
                  <w:vAlign w:val="center"/>
                </w:tcPr>
                <w:p w14:paraId="12C7B0E1">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1次/年</w:t>
                  </w:r>
                </w:p>
              </w:tc>
              <w:tc>
                <w:tcPr>
                  <w:tcW w:w="1362" w:type="dxa"/>
                  <w:tcBorders>
                    <w:tl2br w:val="nil"/>
                    <w:tr2bl w:val="nil"/>
                  </w:tcBorders>
                  <w:shd w:val="clear" w:color="auto" w:fill="auto"/>
                  <w:tcMar>
                    <w:top w:w="0" w:type="dxa"/>
                    <w:left w:w="0" w:type="dxa"/>
                    <w:bottom w:w="0" w:type="dxa"/>
                    <w:right w:w="0" w:type="dxa"/>
                  </w:tcMar>
                  <w:vAlign w:val="center"/>
                </w:tcPr>
                <w:p w14:paraId="3329BA98">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0.01</w:t>
                  </w:r>
                </w:p>
              </w:tc>
              <w:tc>
                <w:tcPr>
                  <w:tcW w:w="2204" w:type="dxa"/>
                  <w:tcBorders>
                    <w:tl2br w:val="nil"/>
                    <w:tr2bl w:val="nil"/>
                  </w:tcBorders>
                  <w:shd w:val="clear" w:color="auto" w:fill="auto"/>
                  <w:tcMar>
                    <w:top w:w="0" w:type="dxa"/>
                    <w:left w:w="0" w:type="dxa"/>
                    <w:bottom w:w="0" w:type="dxa"/>
                    <w:right w:w="0" w:type="dxa"/>
                  </w:tcMar>
                  <w:vAlign w:val="center"/>
                </w:tcPr>
                <w:p w14:paraId="47CA1D92">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专用包装箱密闭</w:t>
                  </w:r>
                </w:p>
              </w:tc>
            </w:tr>
            <w:tr w14:paraId="7E8FD7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jc w:val="center"/>
              </w:trPr>
              <w:tc>
                <w:tcPr>
                  <w:tcW w:w="1075" w:type="dxa"/>
                  <w:tcBorders>
                    <w:tl2br w:val="nil"/>
                    <w:tr2bl w:val="nil"/>
                  </w:tcBorders>
                  <w:shd w:val="clear" w:color="auto" w:fill="auto"/>
                  <w:tcMar>
                    <w:top w:w="0" w:type="dxa"/>
                    <w:left w:w="0" w:type="dxa"/>
                    <w:bottom w:w="0" w:type="dxa"/>
                    <w:right w:w="0" w:type="dxa"/>
                  </w:tcMar>
                  <w:vAlign w:val="center"/>
                </w:tcPr>
                <w:p w14:paraId="78D3C5C1">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合计</w:t>
                  </w:r>
                </w:p>
              </w:tc>
              <w:tc>
                <w:tcPr>
                  <w:tcW w:w="1165" w:type="dxa"/>
                  <w:tcBorders>
                    <w:tl2br w:val="nil"/>
                    <w:tr2bl w:val="nil"/>
                  </w:tcBorders>
                  <w:shd w:val="clear" w:color="auto" w:fill="auto"/>
                  <w:tcMar>
                    <w:top w:w="0" w:type="dxa"/>
                    <w:left w:w="0" w:type="dxa"/>
                    <w:bottom w:w="0" w:type="dxa"/>
                    <w:right w:w="0" w:type="dxa"/>
                  </w:tcMar>
                  <w:vAlign w:val="center"/>
                </w:tcPr>
                <w:p w14:paraId="795D8C5B">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约4.88</w:t>
                  </w:r>
                </w:p>
              </w:tc>
              <w:tc>
                <w:tcPr>
                  <w:tcW w:w="1496" w:type="dxa"/>
                  <w:tcBorders>
                    <w:tl2br w:val="nil"/>
                    <w:tr2bl w:val="nil"/>
                  </w:tcBorders>
                  <w:shd w:val="clear" w:color="auto" w:fill="auto"/>
                  <w:tcMar>
                    <w:top w:w="0" w:type="dxa"/>
                    <w:left w:w="0" w:type="dxa"/>
                    <w:bottom w:w="0" w:type="dxa"/>
                    <w:right w:w="0" w:type="dxa"/>
                  </w:tcMar>
                  <w:vAlign w:val="center"/>
                </w:tcPr>
                <w:p w14:paraId="23114688">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w:t>
                  </w:r>
                </w:p>
              </w:tc>
              <w:tc>
                <w:tcPr>
                  <w:tcW w:w="1362" w:type="dxa"/>
                  <w:tcBorders>
                    <w:tl2br w:val="nil"/>
                    <w:tr2bl w:val="nil"/>
                  </w:tcBorders>
                  <w:shd w:val="clear" w:color="auto" w:fill="auto"/>
                  <w:tcMar>
                    <w:top w:w="0" w:type="dxa"/>
                    <w:left w:w="0" w:type="dxa"/>
                    <w:bottom w:w="0" w:type="dxa"/>
                    <w:right w:w="0" w:type="dxa"/>
                  </w:tcMar>
                  <w:vAlign w:val="center"/>
                </w:tcPr>
                <w:p w14:paraId="4FA0512E">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约1.76</w:t>
                  </w:r>
                </w:p>
              </w:tc>
              <w:tc>
                <w:tcPr>
                  <w:tcW w:w="2204" w:type="dxa"/>
                  <w:tcBorders>
                    <w:tl2br w:val="nil"/>
                    <w:tr2bl w:val="nil"/>
                  </w:tcBorders>
                  <w:shd w:val="clear" w:color="auto" w:fill="auto"/>
                  <w:tcMar>
                    <w:top w:w="0" w:type="dxa"/>
                    <w:left w:w="0" w:type="dxa"/>
                    <w:bottom w:w="0" w:type="dxa"/>
                    <w:right w:w="0" w:type="dxa"/>
                  </w:tcMar>
                  <w:vAlign w:val="center"/>
                </w:tcPr>
                <w:p w14:paraId="09D53F31">
                  <w:pPr>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w:t>
                  </w:r>
                </w:p>
              </w:tc>
            </w:tr>
          </w:tbl>
          <w:p w14:paraId="24F85288">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本项目单次最大贮存量约1.76吨，远低于《危险废物贮存污染控制标准》（GB18597-2023）中贮存点实时贮存量不应超过3吨的规定</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"http://syglzx.imut.edu.cn/system/_content/download.jsp?urltype=news.DownloadAttachUrl&amp;owner=1865412296&amp;wbfileid=2564535" \l "1#1"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"https://gdee.gd.gov.cn/hdjlpt/detail?pid=2829500" \l "/"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w:t>
            </w:r>
          </w:p>
          <w:p w14:paraId="7679DA56">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③面积核算。危废贮存点面积核算如下：</w:t>
            </w:r>
          </w:p>
          <w:p w14:paraId="3A3217F0">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废机油采用200L专用油桶密闭贮存（每个油桶占地面积约0.35m²，共需1个），占地约0.5m²；废胶桶、废油墨桶采用原桶密闭暂存（按最大暂存量约1.5吨，每个200L包装桶占地面积约0.35m²，共需约8个），占地约3.0m²；含油废抹布、废催化剂、废UV灯管采用专用包装袋/箱密闭贮存，占地约2.0m²；分区隔离通道及操作区域，占地约5.0m²；合计需求面积约10.5m²。</w:t>
            </w:r>
          </w:p>
          <w:p w14:paraId="415064E6">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本项目设置20m²危废贮存点，可充分满足各类危废分区暂存、安全隔离及规范管理的实际需求，并留有余量。</w:t>
            </w:r>
          </w:p>
          <w:p w14:paraId="04B3BB84">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④贮存周期与转运要求。本项目各类危险废物转运周期均为1次/年，贮存期限不超过一年，符合《中华人民共和国固体废物污染环境防治法》第八十一条“危险废物贮存期限不得超过一年”的规定。危废贮存点实时贮存量不应超过3吨，本项目单次最大贮存量约1.76吨，满足标准要求。</w:t>
            </w:r>
          </w:p>
          <w:p w14:paraId="7C969735">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综上，本项目危废贮存点选址位于生产车间内西北侧，远离办公区及人员密集区域，便于危废收集转运；建设规模20m²，能够满足各类危废分类分区暂存需求，单次最大贮存量（约1.76吨）未超过3吨限值，贮存周期（1次/年）符合法规要求，建设规模合理可行。</w:t>
            </w:r>
          </w:p>
          <w:p w14:paraId="491E99CB">
            <w:pPr>
              <w:keepNext w:val="0"/>
              <w:keepLines w:val="0"/>
              <w:pageBreakBefore w:val="0"/>
              <w:shd w:val="clear"/>
              <w:kinsoku/>
              <w:wordWrap/>
              <w:overflowPunct/>
              <w:topLinePunct w:val="0"/>
              <w:autoSpaceDE/>
              <w:autoSpaceDN/>
              <w:bidi w:val="0"/>
              <w:adjustRightInd/>
              <w:snapToGrid/>
              <w:spacing w:beforeAutospacing="0" w:afterAutospacing="0" w:line="360" w:lineRule="auto"/>
              <w:ind w:right="0" w:rightChars="0"/>
              <w:textAlignment w:val="auto"/>
              <w:rPr>
                <w:rFonts w:hint="default" w:ascii="Times New Roman" w:hAnsi="Times New Roman" w:cs="Times New Roman"/>
                <w:color w:val="auto"/>
                <w:spacing w:val="0"/>
                <w:position w:val="0"/>
                <w:sz w:val="24"/>
                <w:szCs w:val="24"/>
                <w:highlight w:val="none"/>
              </w:rPr>
            </w:pPr>
            <w:r>
              <w:rPr>
                <w:rFonts w:hint="eastAsia" w:cs="Times New Roman"/>
                <w:b/>
                <w:bCs/>
                <w:color w:val="auto"/>
                <w:spacing w:val="0"/>
                <w:position w:val="0"/>
                <w:sz w:val="24"/>
                <w:szCs w:val="24"/>
                <w:highlight w:val="none"/>
                <w:lang w:val="en-US" w:eastAsia="zh-CN"/>
              </w:rPr>
              <w:t>4.2.2</w:t>
            </w:r>
            <w:r>
              <w:rPr>
                <w:rFonts w:hint="default" w:ascii="Times New Roman" w:hAnsi="Times New Roman" w:cs="Times New Roman"/>
                <w:b/>
                <w:bCs/>
                <w:color w:val="auto"/>
                <w:spacing w:val="0"/>
                <w:position w:val="0"/>
                <w:sz w:val="24"/>
                <w:szCs w:val="24"/>
                <w:highlight w:val="none"/>
              </w:rPr>
              <w:t>危废贮存点建设要求</w:t>
            </w:r>
          </w:p>
          <w:p w14:paraId="67444685">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危废贮存点按照《危险废物贮存污染控制标准》（GB18597-2023）中的要求建设，具体如下：</w:t>
            </w:r>
          </w:p>
          <w:p w14:paraId="4228EB54">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①总体要求。贮存点应具有固定区域边界，根据危险废物的类别、数量、形态、物理化学性质和环境风险等因素确定贮存设施类型和规模</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"http://static.changshu-china.com/upload/5e/ae348d8987cf6402eab4d2ada08e54.pdf" \l "12#11"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。本项目产生的危险废物种类较多但总量较小，适合采用贮存点方式进行管理。</w:t>
            </w:r>
          </w:p>
          <w:p w14:paraId="50D424AE">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②分区贮存要求。贮存点应根据危险废物的类别、形态、物理化学性质和污染防治等要求设置必要的贮存分区，避免不相容的危险废物接触、混合</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"http://syglzx.imut.edu.cn/system/_content/download.jsp?urltype=news.DownloadAttachUrl&amp;owner=1865412296&amp;wbfileid=2564535" \l "1#1"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本项目各类危废分类分区存放：废机油存放于液态危废区（专用油桶+托盘），废胶桶、废油墨桶存放于包装物危废区（原桶密闭+托盘），含油废抹布、废催化剂、废UV灯管存放于固态危废区（专用包装袋/箱密闭），各分区之间设置明显隔离标识。</w:t>
            </w:r>
          </w:p>
          <w:p w14:paraId="17E780B6">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③包装要求。贮存的危险废物应置于容器或包装物中，不得直接散堆</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"http://syglzx.imut.edu.cn/system/_content/download.jsp?urltype=news.DownloadAttachUrl&amp;owner=1865412296&amp;wbfileid=2564535" \l "1#1"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。液态危废（废机油）采用专用油桶密闭贮存，底部设置托盘；含液包装物（废胶桶、废油墨桶）原桶密封，底部设置托盘；固态危废（含油废抹布、废催化剂、废UV灯管）采用专用包装袋/箱密闭贮存。</w:t>
            </w:r>
          </w:p>
          <w:p w14:paraId="23D3A699">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④防渗要求。贮存点地面与裙脚应采取表面防渗措施，表面防渗材料应与所接触的物料或污染物相容。本项目危废贮存点防渗方案为：黏土夯实+2mm厚高密度聚乙烯膜（HDPE）+抗渗混凝土硬化地面，防渗技术为等效黏土防渗层Mb≥6.0m，K≤1×10⁻¹⁰cm/s</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"http://static.changshu-china.com/upload/5e/ae348d8987cf6402eab4d2ada08e54.pdf" \l "12#11"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w:t>
            </w:r>
          </w:p>
          <w:p w14:paraId="2C6F5AF6">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⑤“六防”措施。贮存点应采取防风、防晒、防雨、防漏、防渗、防腐等污染防治措施</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"http://syglzx.imut.edu.cn/system/_content/download.jsp?urltype=news.DownloadAttachUrl&amp;owner=1865412296&amp;wbfileid=2564535" \l "1#1"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。本项目危废贮存点位于封闭厂房内部，具备防风、防晒、防雨条件；地面进行重点防渗处理，具备防渗、防漏、防腐条件。</w:t>
            </w:r>
          </w:p>
          <w:p w14:paraId="4E6553C5">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⑥标识要求。贮存设施或场所、容器和包装物应按HJ 1276要求设置危险废物贮存设施或场所标志、危险废物贮存分区标志和危险废物标签等危险废物识别标志</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"http://static.changshu-china.com/upload/5e/ae348d8987cf6402eab4d2ada08e54.pdf" \l "12#11"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。本项目拟在危废贮存点明显位置设置危废贮存点标志，在各贮存分区设置分区标志，在每个包装容器明显位置粘贴危险废物标签</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"http://static.changshu-china.com/upload/5e/ae348d8987cf6402eab4d2ada08e54.pdf" \l "12#11"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w:t>
            </w:r>
          </w:p>
          <w:p w14:paraId="2900A9AD">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⑦台账与信息化管理。应建立危险废物管理台账并保存，记录危险废物的名称、来源、数量、特性和包装容器的类别、入库日期、存放库位、出库日期及接收单位名称等信息</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"http://syglzx.imut.edu.cn/system/_content/download.jsp?urltype=news.DownloadAttachUrl&amp;owner=1865412296&amp;wbfileid=2564535" \l "1#1"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。本项目属于HJ 1259规定的危险废物环境登记管理企业</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"http://static.changshu-china.com/upload/5e/ae348d8987cf6402eab4d2ada08e54.pdf" \l "12#11"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，按要求建立电子管理台账。</w:t>
            </w:r>
          </w:p>
          <w:p w14:paraId="5194C12E">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Segoe UI" w:hAnsi="Segoe UI" w:eastAsia="Segoe UI" w:cs="Segoe UI"/>
                <w:i w:val="0"/>
                <w:iCs w:val="0"/>
                <w:caps w:val="0"/>
                <w:color w:val="auto"/>
                <w:spacing w:val="0"/>
                <w:sz w:val="19"/>
                <w:szCs w:val="19"/>
              </w:rPr>
            </w:pPr>
            <w:r>
              <w:rPr>
                <w:rFonts w:hint="default" w:ascii="Times New Roman" w:hAnsi="Times New Roman" w:cs="Times New Roman"/>
                <w:color w:val="auto"/>
                <w:spacing w:val="0"/>
                <w:position w:val="0"/>
                <w:sz w:val="24"/>
                <w:szCs w:val="24"/>
                <w:highlight w:val="none"/>
              </w:rPr>
              <w:t>⑧应急要求。贮存点需要配置应急要求的应急人员、装备和物资</w:t>
            </w:r>
            <w:r>
              <w:rPr>
                <w:rFonts w:hint="default" w:ascii="Times New Roman" w:hAnsi="Times New Roman" w:cs="Times New Roman"/>
                <w:color w:val="auto"/>
                <w:spacing w:val="0"/>
                <w:position w:val="0"/>
                <w:sz w:val="24"/>
                <w:szCs w:val="24"/>
                <w:highlight w:val="none"/>
              </w:rPr>
              <w:fldChar w:fldCharType="begin"/>
            </w:r>
            <w:r>
              <w:rPr>
                <w:rFonts w:hint="default" w:ascii="Times New Roman" w:hAnsi="Times New Roman" w:cs="Times New Roman"/>
                <w:color w:val="auto"/>
                <w:spacing w:val="0"/>
                <w:position w:val="0"/>
                <w:sz w:val="24"/>
                <w:szCs w:val="24"/>
                <w:highlight w:val="none"/>
              </w:rPr>
              <w:instrText xml:space="preserve"> HYPERLINK "http://syglzx.imut.edu.cn/system/_content/download.jsp?urltype=news.DownloadAttachUrl&amp;owner=1865412296&amp;wbfileid=2564535" \l "1#1" \t "https://chat.deepseek.com/a/chat/s/_blank" </w:instrText>
            </w:r>
            <w:r>
              <w:rPr>
                <w:rFonts w:hint="default" w:ascii="Times New Roman" w:hAnsi="Times New Roman" w:cs="Times New Roman"/>
                <w:color w:val="auto"/>
                <w:spacing w:val="0"/>
                <w:position w:val="0"/>
                <w:sz w:val="24"/>
                <w:szCs w:val="24"/>
                <w:highlight w:val="none"/>
              </w:rPr>
              <w:fldChar w:fldCharType="separate"/>
            </w:r>
            <w:r>
              <w:rPr>
                <w:rFonts w:hint="default" w:ascii="Times New Roman" w:hAnsi="Times New Roman" w:cs="Times New Roman"/>
                <w:color w:val="auto"/>
                <w:spacing w:val="0"/>
                <w:position w:val="0"/>
                <w:sz w:val="24"/>
                <w:szCs w:val="24"/>
                <w:highlight w:val="none"/>
              </w:rPr>
              <w:fldChar w:fldCharType="end"/>
            </w:r>
            <w:r>
              <w:rPr>
                <w:rFonts w:hint="default" w:ascii="Times New Roman" w:hAnsi="Times New Roman" w:cs="Times New Roman"/>
                <w:color w:val="auto"/>
                <w:spacing w:val="0"/>
                <w:position w:val="0"/>
                <w:sz w:val="24"/>
                <w:szCs w:val="24"/>
                <w:highlight w:val="none"/>
              </w:rPr>
              <w:t>。本项目危废贮存点配备灭火器、应急沙、吸附棉、防护手套等应急物资。</w:t>
            </w:r>
          </w:p>
          <w:p w14:paraId="4D6150B8">
            <w:pPr>
              <w:pageBreakBefore w:val="0"/>
              <w:shd w:val="clear"/>
              <w:kinsoku/>
              <w:topLinePunct w:val="0"/>
              <w:bidi w:val="0"/>
              <w:spacing w:beforeAutospacing="0" w:afterAutospacing="0" w:line="360" w:lineRule="auto"/>
              <w:ind w:right="0" w:rightChars="0"/>
              <w:rPr>
                <w:rFonts w:hint="default" w:ascii="Times New Roman" w:hAnsi="Times New Roman" w:cs="Times New Roman"/>
                <w:color w:val="auto"/>
                <w:spacing w:val="0"/>
                <w:position w:val="0"/>
                <w:sz w:val="24"/>
                <w:highlight w:val="none"/>
              </w:rPr>
            </w:pPr>
            <w:r>
              <w:rPr>
                <w:rFonts w:hint="eastAsia" w:cs="Times New Roman"/>
                <w:b/>
                <w:bCs/>
                <w:color w:val="auto"/>
                <w:spacing w:val="0"/>
                <w:position w:val="0"/>
                <w:sz w:val="24"/>
                <w:highlight w:val="none"/>
                <w:lang w:val="en-US" w:eastAsia="zh-CN"/>
              </w:rPr>
              <w:t>4.2.3</w:t>
            </w:r>
            <w:r>
              <w:rPr>
                <w:rFonts w:hint="default" w:ascii="Times New Roman" w:hAnsi="Times New Roman" w:cs="Times New Roman"/>
                <w:b/>
                <w:bCs/>
                <w:color w:val="auto"/>
                <w:spacing w:val="0"/>
                <w:position w:val="0"/>
                <w:sz w:val="24"/>
                <w:highlight w:val="none"/>
              </w:rPr>
              <w:t>贮存场所污染防治措施</w:t>
            </w:r>
          </w:p>
          <w:p w14:paraId="50773CE6">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eastAsia="zh-CN"/>
              </w:rPr>
            </w:pPr>
            <w:r>
              <w:rPr>
                <w:rFonts w:hint="default" w:ascii="Times New Roman" w:hAnsi="Times New Roman" w:cs="Times New Roman"/>
                <w:color w:val="auto"/>
                <w:spacing w:val="0"/>
                <w:position w:val="0"/>
                <w:sz w:val="24"/>
                <w:szCs w:val="24"/>
                <w:highlight w:val="none"/>
              </w:rPr>
              <w:t>项目危险废物暂存场所严格按照《危险废物贮存污染控制标准》（GB18597-2023）中的要求规范建设和维护使用，具体情况如下：</w:t>
            </w:r>
          </w:p>
          <w:p w14:paraId="531BF88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①总体要求</w:t>
            </w:r>
          </w:p>
          <w:p w14:paraId="73F9F54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a.产生、收集、贮存、利用、处置危险废物的单位应建造危险废物贮存设施或设置贮存场所，并根据需要选择贮存设施类型。</w:t>
            </w:r>
          </w:p>
          <w:p w14:paraId="1D3641A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b.贮存危险废物应根据危险废物的类别、数量、形态、物理化学性质和环境风险等因素，确定贮存设施或场所类型和规模。</w:t>
            </w:r>
          </w:p>
          <w:p w14:paraId="6EEC6DC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c.贮存危险废物应根据危险废物的形态、物理化学性质、包装形式和污染物迁移途径，采取措施减少渗滤液及其衍生废物、渗漏的液态废物（简称渗漏液）、大气污染物和刺激性气味气体等污染物的产生，防止其污染环境。</w:t>
            </w:r>
          </w:p>
          <w:p w14:paraId="333F292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d.贮存设施或场所、容器和包装物应按HJ 1276要求设置危险废物贮存设施或场所标志、危险废物贮存分区标志和危险废物标签等危险废物识别标志。</w:t>
            </w:r>
          </w:p>
          <w:p w14:paraId="248DF19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e.贮存设施退役时，所有者或运营者应依法履行环境保护责任，退役前应妥善处理处置贮存设施内剩余的危险废物，并对贮存设施进行清理，消除污染；还应依据土壤污染防治相关法律法规履行场地环境风险防控责任。</w:t>
            </w:r>
          </w:p>
          <w:p w14:paraId="760A731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f.危险废物贮存除应满足环境保护相关要求外，还应执行国家安全生产、职业健康、交通运输、消防等法律法规和标准的相关要求。</w:t>
            </w:r>
          </w:p>
          <w:p w14:paraId="1B9A98B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②危险废物的收集</w:t>
            </w:r>
          </w:p>
          <w:p w14:paraId="152E382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a.危险废物产生单位进行的危险废物收集包括两个方面，一是在危险废物产生节点将危险废物集中到适当的包装容器中或运输车辆上的活动；二是将已包装或装到运输车辆上的危险废物集中到危险废物产生单位内部临时贮存设施的内部转运。</w:t>
            </w:r>
          </w:p>
          <w:p w14:paraId="5D503CB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b.危险废物的收集应根据危险废物产生的工艺特征、排放周期、危险废物特性、废物管理计划等因素制定收集计划。收集计划应包括收集任务概述、收集目标及原则、危险废物特性评估、危险废物收集量估算、收集作业范围和方法、收集设备与包装容器、安全生产与个人防护、工程防护与事故应急、进度安排与组织管理等。</w:t>
            </w:r>
          </w:p>
          <w:p w14:paraId="601F200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c.危险废物的收集应制定详细的操作规程，内容至少应包括适用范围、操作程序和方法、专用设备和工具、转移和交接、安全保障和应急防护等。</w:t>
            </w:r>
          </w:p>
          <w:p w14:paraId="719AF15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d.危险废物收集和转运作业人员应根据工作需要配备必要的个人防护装备，如手套、防护镜、防护服、防毒面具或口罩等。</w:t>
            </w:r>
          </w:p>
          <w:p w14:paraId="244C706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e.在危险废物的收集和转运过程中，应采取相应的安全防护和污染防治措施，包括防爆、防火、防中毒、防感染、防泄露、防飞扬、防雨或其它防止污染环境的措施。</w:t>
            </w:r>
          </w:p>
          <w:p w14:paraId="341C24A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f.危险废物收集时应根据危险废物的种类、数量、危险特性、物理形态、运输要求等因素确定包装形式，具体包装应符合如下要求：</w:t>
            </w:r>
          </w:p>
          <w:p w14:paraId="3419CB36">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1)包装材质要与危险废物相容，可根据废物特性选择钢、铝、塑料等材质。</w:t>
            </w:r>
          </w:p>
          <w:p w14:paraId="4796896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2)性质类似的废物可收集到同一容器中，性质不相容的危险废物不应混合包装。</w:t>
            </w:r>
          </w:p>
          <w:p w14:paraId="456BB89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3)危险废物包装应能有效隔断危险废物迁移扩散途径，并达到防渗、防漏要求。</w:t>
            </w:r>
          </w:p>
          <w:p w14:paraId="12D936F9">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4)包装好的危险废物应设置相应的标签，标签信息应填写完整翔实。</w:t>
            </w:r>
          </w:p>
          <w:p w14:paraId="11D39790">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5)盛装过危险废物的包装袋或包装容器破损后应按危险废物进行管理和处置。48496)危险废物还应根据GB12463的有关要求进行运输包装。</w:t>
            </w:r>
          </w:p>
          <w:p w14:paraId="0FEFD5D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g.危险废物的收集作业应满足如下要求：</w:t>
            </w:r>
          </w:p>
          <w:p w14:paraId="4E18CD2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1)应根据收集设备、转运车辆以及现场人员等实际情况确定相应作业区域，同时要设置作业界限标志和警示牌。</w:t>
            </w:r>
          </w:p>
          <w:p w14:paraId="0219341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2)作业区域内应设置危险废物收集专用通道和人员避险通道。</w:t>
            </w:r>
          </w:p>
          <w:p w14:paraId="13FF5CF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3)收集时应配备必要的收集工具和包装物，以及必要的应急监测设备及应急装备。</w:t>
            </w:r>
          </w:p>
          <w:p w14:paraId="1619063B">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4)危险废物收集应参照本标准附录A填写记录表，并将记录表作为危险废物管理的重要档案妥善保存。</w:t>
            </w:r>
          </w:p>
          <w:p w14:paraId="62D6576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5)收集结束后应清理和恢复收集作业区域，确保作业区域环境整洁安全。</w:t>
            </w:r>
          </w:p>
          <w:p w14:paraId="4F560FE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6)收集过危险废物的容器、设备、设施、场所及其它物品转作它用时，应消除污染，确保其使用安全。</w:t>
            </w:r>
          </w:p>
          <w:p w14:paraId="10F95D9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h.危险废物内部转运作业应满足如下要求：</w:t>
            </w:r>
          </w:p>
          <w:p w14:paraId="10A0E39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1)危险废物内部转运应综合考虑厂区的实际情况确定转运路线，尽量避开办公区和生活区。</w:t>
            </w:r>
          </w:p>
          <w:p w14:paraId="574A352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2)危险废物内部转运作业应采用专用的工具，危险废物内部转运应填写《危险废物厂内转运记录表》。</w:t>
            </w:r>
          </w:p>
          <w:p w14:paraId="0FD2D19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3)危险废物内部转运结束后，应对转运路线进行检查和清理，确保无危险废物遗失在转运路线上，并对转运工具进行清洗。</w:t>
            </w:r>
          </w:p>
          <w:p w14:paraId="197D305F">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i.收集不具备运输包装条件的危险废物时，且危险特性不会对环境和操作人员造成重大危害，可在临时包装后进行暂时贮存，但正式运输前应按本标准要求进行包装。</w:t>
            </w:r>
          </w:p>
          <w:p w14:paraId="46BC80EA">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lang w:val="en-US" w:eastAsia="zh-CN"/>
              </w:rPr>
              <w:t>③</w:t>
            </w:r>
            <w:r>
              <w:rPr>
                <w:rFonts w:hint="default" w:ascii="Times New Roman" w:hAnsi="Times New Roman" w:cs="Times New Roman"/>
                <w:color w:val="auto"/>
                <w:spacing w:val="0"/>
                <w:position w:val="0"/>
                <w:sz w:val="24"/>
                <w:highlight w:val="none"/>
              </w:rPr>
              <w:t>在危险废物暂存场所显著位置张贴危险</w:t>
            </w:r>
            <w:r>
              <w:rPr>
                <w:rFonts w:hint="default" w:ascii="Times New Roman" w:hAnsi="Times New Roman" w:eastAsia="宋体" w:cs="Times New Roman"/>
                <w:color w:val="auto"/>
                <w:spacing w:val="0"/>
                <w:position w:val="0"/>
                <w:sz w:val="24"/>
                <w:highlight w:val="none"/>
              </w:rPr>
              <w:t>废物的标识，根据《</w:t>
            </w:r>
            <w:r>
              <w:rPr>
                <w:rFonts w:hint="default" w:ascii="Times New Roman" w:hAnsi="Times New Roman" w:eastAsia="宋体" w:cs="Times New Roman"/>
                <w:color w:val="auto"/>
                <w:spacing w:val="0"/>
                <w:position w:val="0"/>
                <w:sz w:val="24"/>
                <w:highlight w:val="none"/>
              </w:rPr>
              <w:fldChar w:fldCharType="begin"/>
            </w:r>
            <w:r>
              <w:rPr>
                <w:rFonts w:hint="default" w:ascii="Times New Roman" w:hAnsi="Times New Roman" w:eastAsia="宋体" w:cs="Times New Roman"/>
                <w:color w:val="auto"/>
                <w:spacing w:val="0"/>
                <w:position w:val="0"/>
                <w:sz w:val="24"/>
                <w:highlight w:val="none"/>
              </w:rPr>
              <w:instrText xml:space="preserve"> HYPERLINK "https://www.mee.gov.cn/ywgz/fgbz/bz/bzwb/gthw/wxfwjbffbz/202302/W020230224650971041729.pdf" </w:instrText>
            </w:r>
            <w:r>
              <w:rPr>
                <w:rFonts w:hint="default" w:ascii="Times New Roman" w:hAnsi="Times New Roman" w:eastAsia="宋体" w:cs="Times New Roman"/>
                <w:color w:val="auto"/>
                <w:spacing w:val="0"/>
                <w:position w:val="0"/>
                <w:sz w:val="24"/>
                <w:highlight w:val="none"/>
              </w:rPr>
              <w:fldChar w:fldCharType="separate"/>
            </w:r>
            <w:r>
              <w:rPr>
                <w:rFonts w:hint="default" w:ascii="Times New Roman" w:hAnsi="Times New Roman" w:eastAsia="宋体" w:cs="Times New Roman"/>
                <w:color w:val="auto"/>
                <w:spacing w:val="0"/>
                <w:position w:val="0"/>
                <w:sz w:val="24"/>
                <w:highlight w:val="none"/>
              </w:rPr>
              <w:t>危险废物识别标志设置技术规范</w:t>
            </w:r>
            <w:r>
              <w:rPr>
                <w:rFonts w:hint="default" w:ascii="Times New Roman" w:hAnsi="Times New Roman" w:eastAsia="宋体" w:cs="Times New Roman"/>
                <w:color w:val="auto"/>
                <w:spacing w:val="0"/>
                <w:position w:val="0"/>
                <w:sz w:val="24"/>
                <w:highlight w:val="none"/>
              </w:rPr>
              <w:fldChar w:fldCharType="end"/>
            </w:r>
            <w:r>
              <w:rPr>
                <w:rFonts w:hint="default" w:ascii="Times New Roman" w:hAnsi="Times New Roman" w:eastAsia="宋体" w:cs="Times New Roman"/>
                <w:color w:val="auto"/>
                <w:spacing w:val="0"/>
                <w:position w:val="0"/>
                <w:sz w:val="24"/>
                <w:highlight w:val="none"/>
              </w:rPr>
              <w:t>》</w:t>
            </w:r>
            <w:r>
              <w:rPr>
                <w:rFonts w:hint="default" w:ascii="Times New Roman" w:hAnsi="Times New Roman" w:eastAsia="宋体" w:cs="Times New Roman"/>
                <w:color w:val="auto"/>
                <w:spacing w:val="0"/>
                <w:position w:val="0"/>
                <w:sz w:val="24"/>
                <w:highlight w:val="none"/>
              </w:rPr>
              <w:fldChar w:fldCharType="begin"/>
            </w:r>
            <w:r>
              <w:rPr>
                <w:rFonts w:hint="default" w:ascii="Times New Roman" w:hAnsi="Times New Roman" w:eastAsia="宋体" w:cs="Times New Roman"/>
                <w:color w:val="auto"/>
                <w:spacing w:val="0"/>
                <w:position w:val="0"/>
                <w:sz w:val="24"/>
                <w:highlight w:val="none"/>
              </w:rPr>
              <w:instrText xml:space="preserve"> HYPERLINK "https://www.mee.gov.cn/ywgz/fgbz/bz/bzwb/gthw/wxfwjbffbz/202302/W020230224650971041729.pdf" </w:instrText>
            </w:r>
            <w:r>
              <w:rPr>
                <w:rFonts w:hint="default" w:ascii="Times New Roman" w:hAnsi="Times New Roman" w:eastAsia="宋体" w:cs="Times New Roman"/>
                <w:color w:val="auto"/>
                <w:spacing w:val="0"/>
                <w:position w:val="0"/>
                <w:sz w:val="24"/>
                <w:highlight w:val="none"/>
              </w:rPr>
              <w:fldChar w:fldCharType="separate"/>
            </w:r>
            <w:r>
              <w:rPr>
                <w:rFonts w:hint="default" w:ascii="Times New Roman" w:hAnsi="Times New Roman" w:eastAsia="宋体" w:cs="Times New Roman"/>
                <w:color w:val="auto"/>
                <w:spacing w:val="0"/>
                <w:position w:val="0"/>
                <w:sz w:val="24"/>
                <w:highlight w:val="none"/>
              </w:rPr>
              <w:t>（HJ 1276—2022）</w:t>
            </w:r>
            <w:r>
              <w:rPr>
                <w:rFonts w:hint="default" w:ascii="Times New Roman" w:hAnsi="Times New Roman" w:eastAsia="宋体" w:cs="Times New Roman"/>
                <w:color w:val="auto"/>
                <w:spacing w:val="0"/>
                <w:position w:val="0"/>
                <w:sz w:val="24"/>
                <w:highlight w:val="none"/>
              </w:rPr>
              <w:fldChar w:fldCharType="end"/>
            </w:r>
            <w:r>
              <w:rPr>
                <w:rFonts w:hint="default" w:ascii="Times New Roman" w:hAnsi="Times New Roman" w:eastAsia="宋体" w:cs="Times New Roman"/>
                <w:color w:val="auto"/>
                <w:spacing w:val="0"/>
                <w:position w:val="0"/>
                <w:sz w:val="24"/>
                <w:highlight w:val="none"/>
              </w:rPr>
              <w:t>中</w:t>
            </w:r>
            <w:r>
              <w:rPr>
                <w:rFonts w:hint="default" w:ascii="Times New Roman" w:hAnsi="Times New Roman" w:cs="Times New Roman"/>
                <w:color w:val="auto"/>
                <w:spacing w:val="0"/>
                <w:position w:val="0"/>
                <w:sz w:val="24"/>
                <w:highlight w:val="none"/>
              </w:rPr>
              <w:t>的相关要求，盛装危险废物的容器上必须粘贴符合标准的标签。</w:t>
            </w:r>
          </w:p>
          <w:p w14:paraId="3B2328E4">
            <w:pPr>
              <w:pageBreakBefore w:val="0"/>
              <w:shd w:val="clear"/>
              <w:kinsoku/>
              <w:topLinePunct w:val="0"/>
              <w:bidi w:val="0"/>
              <w:spacing w:beforeAutospacing="0" w:afterAutospacing="0" w:line="360" w:lineRule="auto"/>
              <w:ind w:right="0" w:rightChars="0"/>
              <w:rPr>
                <w:rFonts w:hint="default" w:ascii="Times New Roman" w:hAnsi="Times New Roman" w:cs="Times New Roman"/>
                <w:color w:val="auto"/>
                <w:spacing w:val="0"/>
                <w:position w:val="0"/>
                <w:sz w:val="24"/>
                <w:highlight w:val="none"/>
              </w:rPr>
            </w:pPr>
            <w:r>
              <w:rPr>
                <w:rFonts w:hint="eastAsia" w:cs="Times New Roman"/>
                <w:b/>
                <w:bCs/>
                <w:color w:val="auto"/>
                <w:spacing w:val="0"/>
                <w:position w:val="0"/>
                <w:sz w:val="24"/>
                <w:highlight w:val="none"/>
                <w:lang w:val="en-US" w:eastAsia="zh-CN"/>
              </w:rPr>
              <w:t>4.2.4</w:t>
            </w:r>
            <w:r>
              <w:rPr>
                <w:rFonts w:hint="default" w:ascii="Times New Roman" w:hAnsi="Times New Roman" w:cs="Times New Roman"/>
                <w:b/>
                <w:bCs/>
                <w:color w:val="auto"/>
                <w:spacing w:val="0"/>
                <w:position w:val="0"/>
                <w:sz w:val="24"/>
                <w:highlight w:val="none"/>
              </w:rPr>
              <w:t>管理制度建设</w:t>
            </w:r>
          </w:p>
          <w:p w14:paraId="7E940A97">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lang w:eastAsia="zh-CN"/>
              </w:rPr>
            </w:pPr>
            <w:r>
              <w:rPr>
                <w:rFonts w:hint="default" w:ascii="Times New Roman" w:hAnsi="Times New Roman" w:cs="Times New Roman"/>
                <w:color w:val="auto"/>
                <w:spacing w:val="0"/>
                <w:position w:val="0"/>
                <w:sz w:val="24"/>
                <w:highlight w:val="none"/>
              </w:rPr>
              <w:t>①建立固废防治责任制度：建设单位按要求建立、健全污染环境防治责任制度，明确责任人。负责人熟悉危险废物管理相关法规、制度、标准、规范。</w:t>
            </w:r>
          </w:p>
          <w:p w14:paraId="1A5FF7F2">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②制定危险废物管理计划：按要求制定危险废物管理计划，计划涵盖危险废物的产生环节、种类、危害特性、产生量、利用处置方式并报环保部门备案，如发生重大改变及时申报。</w:t>
            </w:r>
          </w:p>
          <w:p w14:paraId="754C6150">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lang w:eastAsia="zh-CN"/>
              </w:rPr>
            </w:pPr>
            <w:r>
              <w:rPr>
                <w:rFonts w:hint="default" w:ascii="Times New Roman" w:hAnsi="Times New Roman" w:cs="Times New Roman"/>
                <w:color w:val="auto"/>
                <w:spacing w:val="0"/>
                <w:position w:val="0"/>
                <w:sz w:val="24"/>
                <w:highlight w:val="none"/>
              </w:rPr>
              <w:t>③建立申报登记制度：如实地向所在地县级以上地方人民政府环境保护行政主管部门申报危险废物的种类、产生量、流向、贮存、处置等有关资料。</w:t>
            </w:r>
          </w:p>
          <w:p w14:paraId="125C30D5">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④固废的暂存制度：项目产生的危险废物贮存执行《危险废物贮存污染控制标准》（GB18597-2023）及《危险废物收集储存运输技术规范》（HJ2025-2012）中相关规定要求，根据危险废物的包装、贮存设施的选址、设计、运行、安全防护、监测和关闭等要求进行合理的贮存。</w:t>
            </w:r>
          </w:p>
          <w:p w14:paraId="4BCCB174">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default" w:ascii="Times New Roman" w:hAnsi="Times New Roman" w:cs="Times New Roman"/>
                <w:b/>
                <w:bCs/>
                <w:color w:val="auto"/>
                <w:spacing w:val="0"/>
                <w:position w:val="0"/>
                <w:sz w:val="24"/>
                <w:highlight w:val="none"/>
              </w:rPr>
              <w:t>4.3危险废物转运要求</w:t>
            </w:r>
          </w:p>
          <w:p w14:paraId="73281416">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①危险废物的运输应采取危险废物转移电子联单制度，保证运输安全，防止非法转移和非法处置，保证危险废物的安全监控，防止危险废物污染事故发生。</w:t>
            </w:r>
          </w:p>
          <w:p w14:paraId="62CE0332">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②危险废物产生者和危险废物贮存设施经营者均须做好危险废物情况的记录，记录上须注明危险废物的名称、来源、数量、特性和包装容器的类别、入库日期、存放库位、废物出库日期及接收单位名称，危险废物的记录和货单在危险废物回收后应继续保留5年。</w:t>
            </w:r>
          </w:p>
          <w:p w14:paraId="108A3EDE">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③建设单位严格按照转移电子联单要求做好危废的去向记录，确保废物由有资质的单位进行处置，不得随意倾倒。针对危险废物，应严格按照《危险废物贮存污染控制标准》《危险废物转移管理办法》和“五联单”方式对危险废物进行暂存和转移管理，并及时交与具备处理资质的单位进行处理，将管理联单和危废处理协议送生态环境局备案。</w:t>
            </w:r>
          </w:p>
          <w:p w14:paraId="384A005F">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综上所述，本项目的各类固体废物均能得到合理妥善的处置，因此对环境影响较小。</w:t>
            </w:r>
          </w:p>
          <w:p w14:paraId="0BAC891A">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b/>
                <w:bCs/>
                <w:color w:val="auto"/>
                <w:spacing w:val="0"/>
                <w:position w:val="0"/>
                <w:sz w:val="24"/>
                <w:highlight w:val="none"/>
              </w:rPr>
            </w:pPr>
            <w:r>
              <w:rPr>
                <w:rFonts w:hint="default" w:ascii="Times New Roman" w:hAnsi="Times New Roman" w:cs="Times New Roman"/>
                <w:b/>
                <w:bCs/>
                <w:color w:val="auto"/>
                <w:spacing w:val="0"/>
                <w:position w:val="0"/>
                <w:sz w:val="24"/>
                <w:highlight w:val="none"/>
              </w:rPr>
              <w:t>5.地下水、土壤防治措施</w:t>
            </w:r>
          </w:p>
          <w:p w14:paraId="3D1090F0">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pacing w:val="0"/>
                <w:position w:val="0"/>
                <w:sz w:val="24"/>
                <w:highlight w:val="none"/>
                <w:lang w:val="zh-CN"/>
              </w:rPr>
            </w:pPr>
            <w:r>
              <w:rPr>
                <w:rFonts w:hint="default" w:ascii="Times New Roman" w:hAnsi="Times New Roman" w:eastAsia="宋体" w:cs="Times New Roman"/>
                <w:color w:val="auto"/>
                <w:spacing w:val="0"/>
                <w:position w:val="0"/>
                <w:sz w:val="24"/>
                <w:highlight w:val="none"/>
                <w:lang w:val="zh-CN"/>
              </w:rPr>
              <w:t>根据《环境影响评价技术导则地下水环境》（HJ6010-2016）中附录A确定建设项目所属的地下水环境影响评价项目类别，本项目属于N 轻工—116、塑料制品制造—报告表—Ⅳ类。</w:t>
            </w:r>
          </w:p>
          <w:p w14:paraId="2CE147E8">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lang w:val="zh-CN"/>
              </w:rPr>
            </w:pPr>
            <w:r>
              <w:rPr>
                <w:rFonts w:hint="default" w:ascii="Times New Roman" w:hAnsi="Times New Roman" w:eastAsia="宋体" w:cs="Times New Roman"/>
                <w:color w:val="auto"/>
                <w:spacing w:val="0"/>
                <w:position w:val="0"/>
                <w:sz w:val="24"/>
                <w:highlight w:val="none"/>
                <w:lang w:val="zh-CN"/>
              </w:rPr>
              <w:t>本项目地下水环境影响评价类别为Ⅳ类，根据《环境影响评价技术导则地下水环境》（HJ6010-</w:t>
            </w:r>
            <w:r>
              <w:rPr>
                <w:rFonts w:hint="default" w:ascii="Times New Roman" w:hAnsi="Times New Roman" w:cs="Times New Roman"/>
                <w:color w:val="auto"/>
                <w:spacing w:val="0"/>
                <w:position w:val="0"/>
                <w:sz w:val="24"/>
                <w:highlight w:val="none"/>
                <w:lang w:val="zh-CN"/>
              </w:rPr>
              <w:t>2016）Ⅳ类建设项目可不开展地下水环境影响评价。</w:t>
            </w:r>
          </w:p>
          <w:p w14:paraId="33DE22E2">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eastAsia="宋体" w:cs="Times New Roman"/>
                <w:color w:val="auto"/>
                <w:spacing w:val="0"/>
                <w:kern w:val="0"/>
                <w:position w:val="0"/>
                <w:sz w:val="24"/>
                <w:szCs w:val="24"/>
                <w:highlight w:val="none"/>
                <w:lang w:val="en-US" w:eastAsia="zh-CN" w:bidi="ar"/>
              </w:rPr>
              <w:t>本项目位于阜康市产业园苏通小微创业园新疆塑圣新型建材有限公司院内，</w:t>
            </w:r>
            <w:r>
              <w:rPr>
                <w:rFonts w:hint="default" w:ascii="Times New Roman" w:hAnsi="Times New Roman" w:cs="Times New Roman"/>
                <w:color w:val="auto"/>
                <w:spacing w:val="0"/>
                <w:position w:val="0"/>
                <w:sz w:val="24"/>
                <w:highlight w:val="none"/>
              </w:rPr>
              <w:t>根据项目特点，进行分区并对不同分区采取相应的防渗措施。</w:t>
            </w:r>
          </w:p>
          <w:p w14:paraId="36FFED4A">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（1）防渗分区</w:t>
            </w:r>
          </w:p>
          <w:p w14:paraId="3F56D893">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根据装置、单元的特点和所处的区域及部位，本项目厂区划分为一般污染防治区、重点污染防治区、简单防渗区。</w:t>
            </w:r>
          </w:p>
          <w:p w14:paraId="0DD19575">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重点污染防治区：危废</w:t>
            </w:r>
            <w:r>
              <w:rPr>
                <w:rFonts w:hint="eastAsia" w:cs="Times New Roman"/>
                <w:color w:val="auto"/>
                <w:spacing w:val="0"/>
                <w:position w:val="0"/>
                <w:sz w:val="24"/>
                <w:highlight w:val="none"/>
                <w:lang w:eastAsia="zh-CN"/>
              </w:rPr>
              <w:t>贮存点</w:t>
            </w:r>
            <w:r>
              <w:rPr>
                <w:rFonts w:hint="default" w:ascii="Times New Roman" w:hAnsi="Times New Roman" w:cs="Times New Roman"/>
                <w:color w:val="auto"/>
                <w:spacing w:val="0"/>
                <w:position w:val="0"/>
                <w:sz w:val="24"/>
                <w:highlight w:val="none"/>
              </w:rPr>
              <w:t>。</w:t>
            </w:r>
          </w:p>
          <w:p w14:paraId="7D0C56DC">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一般污染防治区：生产车间。</w:t>
            </w:r>
          </w:p>
          <w:p w14:paraId="40FAF8B9">
            <w:pPr>
              <w:pageBreakBefore w:val="0"/>
              <w:shd w:val="clear"/>
              <w:kinsoku/>
              <w:topLinePunct w:val="0"/>
              <w:bidi w:val="0"/>
              <w:spacing w:beforeAutospacing="0" w:afterAutospacing="0" w:line="360" w:lineRule="auto"/>
              <w:ind w:left="0" w:leftChars="0" w:right="0" w:rightChars="0" w:firstLine="480" w:firstLineChars="200"/>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简单污染防治区：生活区、进出场道路。</w:t>
            </w:r>
          </w:p>
          <w:p w14:paraId="258EBF8E">
            <w:pPr>
              <w:keepNext w:val="0"/>
              <w:keepLines w:val="0"/>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（2）分区防渗处理</w:t>
            </w:r>
          </w:p>
          <w:p w14:paraId="544551FA">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重点防渗区：本项目重点防渗区</w:t>
            </w:r>
            <w:r>
              <w:rPr>
                <w:rFonts w:hint="default" w:ascii="Times New Roman" w:hAnsi="Times New Roman" w:cs="Times New Roman"/>
                <w:color w:val="auto"/>
                <w:spacing w:val="0"/>
                <w:position w:val="0"/>
                <w:sz w:val="24"/>
                <w:highlight w:val="none"/>
                <w:lang w:val="en-US" w:eastAsia="zh-CN"/>
              </w:rPr>
              <w:t>为</w:t>
            </w:r>
            <w:r>
              <w:rPr>
                <w:rFonts w:hint="default" w:ascii="Times New Roman" w:hAnsi="Times New Roman" w:cs="Times New Roman"/>
                <w:color w:val="auto"/>
                <w:spacing w:val="0"/>
                <w:position w:val="0"/>
                <w:sz w:val="24"/>
                <w:highlight w:val="none"/>
              </w:rPr>
              <w:t>危废</w:t>
            </w:r>
            <w:r>
              <w:rPr>
                <w:rFonts w:hint="eastAsia" w:cs="Times New Roman"/>
                <w:color w:val="auto"/>
                <w:spacing w:val="0"/>
                <w:position w:val="0"/>
                <w:sz w:val="24"/>
                <w:highlight w:val="none"/>
                <w:lang w:eastAsia="zh-CN"/>
              </w:rPr>
              <w:t>贮存点</w:t>
            </w:r>
            <w:r>
              <w:rPr>
                <w:rFonts w:hint="default" w:ascii="Times New Roman" w:hAnsi="Times New Roman" w:cs="Times New Roman"/>
                <w:color w:val="auto"/>
                <w:spacing w:val="0"/>
                <w:position w:val="0"/>
                <w:sz w:val="24"/>
                <w:highlight w:val="none"/>
                <w:lang w:eastAsia="zh-CN"/>
              </w:rPr>
              <w:t>；</w:t>
            </w:r>
            <w:r>
              <w:rPr>
                <w:rFonts w:hint="default" w:ascii="Times New Roman" w:hAnsi="Times New Roman" w:cs="Times New Roman"/>
                <w:color w:val="auto"/>
                <w:spacing w:val="0"/>
                <w:position w:val="0"/>
                <w:sz w:val="24"/>
                <w:highlight w:val="none"/>
              </w:rPr>
              <w:t>防渗方案黏土夯实+2mm厚高密度聚乙烯膜（HDPE）+水泥地面，防渗技术为：等效黏土防渗层Mb≥6.0m，K≤1×10</w:t>
            </w:r>
            <w:r>
              <w:rPr>
                <w:rFonts w:hint="default" w:ascii="Times New Roman" w:hAnsi="Times New Roman" w:cs="Times New Roman"/>
                <w:color w:val="auto"/>
                <w:spacing w:val="0"/>
                <w:position w:val="0"/>
                <w:sz w:val="24"/>
                <w:highlight w:val="none"/>
                <w:vertAlign w:val="superscript"/>
              </w:rPr>
              <w:t>-10</w:t>
            </w:r>
            <w:r>
              <w:rPr>
                <w:rFonts w:hint="default" w:ascii="Times New Roman" w:hAnsi="Times New Roman" w:cs="Times New Roman"/>
                <w:color w:val="auto"/>
                <w:spacing w:val="0"/>
                <w:position w:val="0"/>
                <w:sz w:val="24"/>
                <w:highlight w:val="none"/>
              </w:rPr>
              <w:t>cm/s。</w:t>
            </w:r>
          </w:p>
          <w:p w14:paraId="7A72F3F6">
            <w:pPr>
              <w:pageBreakBefore w:val="0"/>
              <w:shd w:val="clear"/>
              <w:kinsoku/>
              <w:topLinePunct w:val="0"/>
              <w:bidi w:val="0"/>
              <w:spacing w:beforeAutospacing="0" w:afterAutospacing="0" w:line="360" w:lineRule="auto"/>
              <w:ind w:left="0" w:leftChars="0" w:right="0" w:rightChars="0" w:firstLine="480" w:firstLineChars="200"/>
              <w:jc w:val="left"/>
              <w:rPr>
                <w:rFonts w:hint="default" w:ascii="Times New Roman" w:hAnsi="Times New Roman" w:cs="Times New Roman"/>
                <w:color w:val="auto"/>
                <w:spacing w:val="0"/>
                <w:position w:val="0"/>
                <w:sz w:val="24"/>
                <w:highlight w:val="none"/>
              </w:rPr>
            </w:pPr>
            <w:r>
              <w:rPr>
                <w:rFonts w:hint="default" w:ascii="Times New Roman" w:hAnsi="Times New Roman" w:cs="Times New Roman"/>
                <w:color w:val="auto"/>
                <w:spacing w:val="0"/>
                <w:position w:val="0"/>
                <w:sz w:val="24"/>
                <w:highlight w:val="none"/>
              </w:rPr>
              <w:t>一般防渗区：采用厚度Mb=1.5m，渗透系数K≤10</w:t>
            </w:r>
            <w:r>
              <w:rPr>
                <w:rFonts w:hint="default" w:ascii="Times New Roman" w:hAnsi="Times New Roman" w:cs="Times New Roman"/>
                <w:color w:val="auto"/>
                <w:spacing w:val="0"/>
                <w:position w:val="0"/>
                <w:sz w:val="24"/>
                <w:highlight w:val="none"/>
                <w:vertAlign w:val="superscript"/>
              </w:rPr>
              <w:t>-7</w:t>
            </w:r>
            <w:r>
              <w:rPr>
                <w:rFonts w:hint="default" w:ascii="Times New Roman" w:hAnsi="Times New Roman" w:cs="Times New Roman"/>
                <w:color w:val="auto"/>
                <w:spacing w:val="0"/>
                <w:position w:val="0"/>
                <w:sz w:val="24"/>
                <w:highlight w:val="none"/>
              </w:rPr>
              <w:t>cm/s防渗等效的20cm厚P4等级水泥制品进行防渗。地面涂1mm厚环氧树脂进行防腐。要求防渗技术要求为：等效黏土防渗层Mb≥1.5m，K≤1×10</w:t>
            </w:r>
            <w:r>
              <w:rPr>
                <w:rFonts w:hint="default" w:ascii="Times New Roman" w:hAnsi="Times New Roman" w:cs="Times New Roman"/>
                <w:color w:val="auto"/>
                <w:spacing w:val="0"/>
                <w:position w:val="0"/>
                <w:sz w:val="24"/>
                <w:highlight w:val="none"/>
                <w:vertAlign w:val="superscript"/>
              </w:rPr>
              <w:t>-7</w:t>
            </w:r>
            <w:r>
              <w:rPr>
                <w:rFonts w:hint="default" w:ascii="Times New Roman" w:hAnsi="Times New Roman" w:cs="Times New Roman"/>
                <w:color w:val="auto"/>
                <w:spacing w:val="0"/>
                <w:position w:val="0"/>
                <w:sz w:val="24"/>
                <w:highlight w:val="none"/>
              </w:rPr>
              <w:t>cm/s；或参照GB16889执行。</w:t>
            </w:r>
          </w:p>
          <w:p w14:paraId="482F745B">
            <w:pPr>
              <w:pageBreakBefore w:val="0"/>
              <w:shd w:val="clear"/>
              <w:kinsoku/>
              <w:topLinePunct w:val="0"/>
              <w:bidi w:val="0"/>
              <w:spacing w:beforeAutospacing="0" w:afterAutospacing="0" w:line="360" w:lineRule="auto"/>
              <w:ind w:left="0" w:leftChars="0" w:right="0" w:rightChars="0" w:firstLine="480" w:firstLineChars="200"/>
              <w:jc w:val="left"/>
              <w:rPr>
                <w:rFonts w:hint="default" w:ascii="Times New Roman" w:hAnsi="Times New Roman" w:eastAsia="宋体" w:cs="Times New Roman"/>
                <w:color w:val="auto"/>
                <w:spacing w:val="0"/>
                <w:position w:val="0"/>
                <w:sz w:val="24"/>
                <w:highlight w:val="none"/>
                <w:lang w:val="en-US" w:eastAsia="zh-CN"/>
              </w:rPr>
            </w:pPr>
            <w:r>
              <w:rPr>
                <w:rFonts w:hint="default" w:ascii="Times New Roman" w:hAnsi="Times New Roman" w:cs="Times New Roman"/>
                <w:color w:val="auto"/>
                <w:spacing w:val="0"/>
                <w:position w:val="0"/>
                <w:sz w:val="24"/>
                <w:highlight w:val="none"/>
              </w:rPr>
              <w:t>简单污染防治区：硬化地面即可，生活区以及进出场道路已依托现有厂区。本项目</w:t>
            </w:r>
            <w:r>
              <w:rPr>
                <w:rFonts w:hint="default" w:ascii="Times New Roman" w:hAnsi="Times New Roman" w:cs="Times New Roman"/>
                <w:color w:val="auto"/>
                <w:spacing w:val="0"/>
                <w:position w:val="0"/>
                <w:sz w:val="24"/>
                <w:highlight w:val="none"/>
                <w:lang w:val="en-US" w:eastAsia="zh-CN"/>
              </w:rPr>
              <w:t>各污染区防渗措施见表-13。</w:t>
            </w:r>
          </w:p>
          <w:p w14:paraId="5BB83ECB">
            <w:pPr>
              <w:pageBreakBefore w:val="0"/>
              <w:shd w:val="clear"/>
              <w:kinsoku/>
              <w:topLinePunct w:val="0"/>
              <w:bidi w:val="0"/>
              <w:spacing w:beforeAutospacing="0" w:afterAutospacing="0" w:line="240" w:lineRule="auto"/>
              <w:ind w:left="0" w:leftChars="0" w:right="0" w:rightChars="0"/>
              <w:jc w:val="center"/>
              <w:rPr>
                <w:rFonts w:hint="default" w:ascii="Times New Roman" w:hAnsi="Times New Roman" w:cs="Times New Roman"/>
                <w:b/>
                <w:bCs/>
                <w:color w:val="auto"/>
                <w:spacing w:val="0"/>
                <w:position w:val="0"/>
                <w:sz w:val="21"/>
                <w:szCs w:val="18"/>
                <w:highlight w:val="none"/>
              </w:rPr>
            </w:pPr>
            <w:r>
              <w:rPr>
                <w:rFonts w:hint="default" w:ascii="Times New Roman" w:hAnsi="Times New Roman" w:cs="Times New Roman"/>
                <w:b/>
                <w:bCs/>
                <w:color w:val="auto"/>
                <w:spacing w:val="0"/>
                <w:position w:val="0"/>
                <w:sz w:val="21"/>
                <w:szCs w:val="18"/>
                <w:highlight w:val="none"/>
              </w:rPr>
              <w:t>表4-13各污染区防渗措施</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091"/>
              <w:gridCol w:w="1134"/>
              <w:gridCol w:w="1615"/>
              <w:gridCol w:w="743"/>
              <w:gridCol w:w="1709"/>
            </w:tblGrid>
            <w:tr w14:paraId="08567C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bottom w:val="single" w:color="auto" w:sz="12" w:space="0"/>
                  </w:tcBorders>
                  <w:noWrap w:val="0"/>
                  <w:vAlign w:val="center"/>
                </w:tcPr>
                <w:p w14:paraId="6C0F820D">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zh-TW" w:eastAsia="zh-TW"/>
                    </w:rPr>
                    <w:t>场区内建筑物</w:t>
                  </w:r>
                </w:p>
              </w:tc>
              <w:tc>
                <w:tcPr>
                  <w:tcW w:w="739" w:type="pct"/>
                  <w:tcBorders>
                    <w:bottom w:val="single" w:color="auto" w:sz="12" w:space="0"/>
                  </w:tcBorders>
                  <w:noWrap w:val="0"/>
                  <w:vAlign w:val="center"/>
                </w:tcPr>
                <w:p w14:paraId="7FDD16A5">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zh-TW" w:eastAsia="zh-TW"/>
                    </w:rPr>
                    <w:t>包气带防污性能</w:t>
                  </w:r>
                </w:p>
              </w:tc>
              <w:tc>
                <w:tcPr>
                  <w:tcW w:w="769" w:type="pct"/>
                  <w:tcBorders>
                    <w:bottom w:val="single" w:color="auto" w:sz="12" w:space="0"/>
                  </w:tcBorders>
                  <w:noWrap w:val="0"/>
                  <w:vAlign w:val="center"/>
                </w:tcPr>
                <w:p w14:paraId="352CBECE">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zh-TW" w:eastAsia="zh-TW"/>
                    </w:rPr>
                    <w:t>污染控制难易程度</w:t>
                  </w:r>
                </w:p>
              </w:tc>
              <w:tc>
                <w:tcPr>
                  <w:tcW w:w="1095" w:type="pct"/>
                  <w:tcBorders>
                    <w:bottom w:val="single" w:color="auto" w:sz="12" w:space="0"/>
                  </w:tcBorders>
                  <w:noWrap w:val="0"/>
                  <w:vAlign w:val="center"/>
                </w:tcPr>
                <w:p w14:paraId="2DE7D5DB">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lang w:val="zh-TW" w:eastAsia="zh-TW"/>
                    </w:rPr>
                  </w:pPr>
                  <w:r>
                    <w:rPr>
                      <w:rFonts w:hint="default" w:ascii="Times New Roman" w:hAnsi="Times New Roman" w:cs="Times New Roman"/>
                      <w:b/>
                      <w:bCs/>
                      <w:color w:val="auto"/>
                      <w:spacing w:val="0"/>
                      <w:position w:val="0"/>
                      <w:sz w:val="21"/>
                      <w:szCs w:val="21"/>
                      <w:highlight w:val="none"/>
                      <w:lang w:val="zh-TW" w:eastAsia="zh-TW"/>
                    </w:rPr>
                    <w:t>污染物类型</w:t>
                  </w:r>
                </w:p>
              </w:tc>
              <w:tc>
                <w:tcPr>
                  <w:tcW w:w="503" w:type="pct"/>
                  <w:tcBorders>
                    <w:bottom w:val="single" w:color="auto" w:sz="12" w:space="0"/>
                  </w:tcBorders>
                  <w:noWrap w:val="0"/>
                  <w:vAlign w:val="center"/>
                </w:tcPr>
                <w:p w14:paraId="648DB18A">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val="zh-TW" w:eastAsia="zh-TW"/>
                    </w:rPr>
                    <w:t>防渗分区</w:t>
                  </w:r>
                </w:p>
              </w:tc>
              <w:tc>
                <w:tcPr>
                  <w:tcW w:w="1158" w:type="pct"/>
                  <w:tcBorders>
                    <w:bottom w:val="single" w:color="auto" w:sz="12" w:space="0"/>
                  </w:tcBorders>
                  <w:noWrap w:val="0"/>
                  <w:vAlign w:val="center"/>
                </w:tcPr>
                <w:p w14:paraId="26DFB2BE">
                  <w:pPr>
                    <w:keepNext w:val="0"/>
                    <w:keepLines w:val="0"/>
                    <w:pageBreakBefore w:val="0"/>
                    <w:widowControl/>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lang w:bidi="ar"/>
                    </w:rPr>
                    <w:t>防渗处理措施</w:t>
                  </w:r>
                </w:p>
              </w:tc>
            </w:tr>
            <w:tr w14:paraId="49C92B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44C21C4C">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rPr>
                    <w:t>危废</w:t>
                  </w:r>
                  <w:r>
                    <w:rPr>
                      <w:rFonts w:hint="eastAsia" w:cs="Times New Roman"/>
                      <w:color w:val="auto"/>
                      <w:spacing w:val="0"/>
                      <w:position w:val="0"/>
                      <w:sz w:val="21"/>
                      <w:szCs w:val="21"/>
                      <w:highlight w:val="none"/>
                      <w:lang w:eastAsia="zh-CN"/>
                    </w:rPr>
                    <w:t>贮存点、</w:t>
                  </w:r>
                  <w:r>
                    <w:rPr>
                      <w:rFonts w:ascii="Segoe UI" w:hAnsi="Segoe UI" w:eastAsia="Segoe UI" w:cs="Segoe UI"/>
                      <w:i w:val="0"/>
                      <w:iCs w:val="0"/>
                      <w:caps w:val="0"/>
                      <w:color w:val="auto"/>
                      <w:spacing w:val="0"/>
                      <w:sz w:val="22"/>
                      <w:szCs w:val="22"/>
                      <w:shd w:val="clear" w:fill="FFFFFF"/>
                    </w:rPr>
                    <w:t>原料库</w:t>
                  </w:r>
                </w:p>
              </w:tc>
              <w:tc>
                <w:tcPr>
                  <w:tcW w:w="739" w:type="pct"/>
                  <w:tcBorders>
                    <w:tl2br w:val="nil"/>
                    <w:tr2bl w:val="nil"/>
                  </w:tcBorders>
                  <w:noWrap w:val="0"/>
                  <w:vAlign w:val="center"/>
                </w:tcPr>
                <w:p w14:paraId="3159A061">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弱</w:t>
                  </w:r>
                </w:p>
              </w:tc>
              <w:tc>
                <w:tcPr>
                  <w:tcW w:w="769" w:type="pct"/>
                  <w:tcBorders>
                    <w:tl2br w:val="nil"/>
                    <w:tr2bl w:val="nil"/>
                  </w:tcBorders>
                  <w:noWrap w:val="0"/>
                  <w:vAlign w:val="center"/>
                </w:tcPr>
                <w:p w14:paraId="017D6021">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zh-TW" w:eastAsia="zh-TW"/>
                    </w:rPr>
                    <w:t>难</w:t>
                  </w:r>
                </w:p>
              </w:tc>
              <w:tc>
                <w:tcPr>
                  <w:tcW w:w="1095" w:type="pct"/>
                  <w:tcBorders>
                    <w:tl2br w:val="nil"/>
                    <w:tr2bl w:val="nil"/>
                  </w:tcBorders>
                  <w:noWrap w:val="0"/>
                  <w:vAlign w:val="center"/>
                </w:tcPr>
                <w:p w14:paraId="3A37A5B3">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zh-TW" w:eastAsia="zh-TW"/>
                    </w:rPr>
                  </w:pPr>
                  <w:r>
                    <w:rPr>
                      <w:rFonts w:hint="default" w:ascii="Times New Roman" w:hAnsi="Times New Roman" w:cs="Times New Roman"/>
                      <w:color w:val="auto"/>
                      <w:spacing w:val="0"/>
                      <w:position w:val="0"/>
                      <w:sz w:val="21"/>
                      <w:szCs w:val="21"/>
                      <w:highlight w:val="none"/>
                    </w:rPr>
                    <w:t>非</w:t>
                  </w:r>
                  <w:r>
                    <w:rPr>
                      <w:rFonts w:hint="default" w:ascii="Times New Roman" w:hAnsi="Times New Roman" w:cs="Times New Roman"/>
                      <w:color w:val="auto"/>
                      <w:spacing w:val="0"/>
                      <w:position w:val="0"/>
                      <w:sz w:val="21"/>
                      <w:szCs w:val="21"/>
                      <w:highlight w:val="none"/>
                      <w:lang w:val="zh-TW" w:eastAsia="zh-TW"/>
                    </w:rPr>
                    <w:t>重金属、持久性有机物污染物</w:t>
                  </w:r>
                  <w:r>
                    <w:rPr>
                      <w:rFonts w:hint="default" w:ascii="Times New Roman" w:hAnsi="Times New Roman" w:cs="Times New Roman"/>
                      <w:color w:val="auto"/>
                      <w:spacing w:val="0"/>
                      <w:position w:val="0"/>
                      <w:sz w:val="21"/>
                      <w:szCs w:val="21"/>
                      <w:highlight w:val="none"/>
                    </w:rPr>
                    <w:t>的</w:t>
                  </w:r>
                  <w:r>
                    <w:rPr>
                      <w:rFonts w:hint="default" w:ascii="Times New Roman" w:hAnsi="Times New Roman" w:cs="Times New Roman"/>
                      <w:color w:val="auto"/>
                      <w:spacing w:val="0"/>
                      <w:position w:val="0"/>
                      <w:sz w:val="21"/>
                      <w:szCs w:val="21"/>
                      <w:highlight w:val="none"/>
                      <w:lang w:val="zh-TW" w:eastAsia="zh-TW"/>
                    </w:rPr>
                    <w:t>其他类型</w:t>
                  </w:r>
                </w:p>
              </w:tc>
              <w:tc>
                <w:tcPr>
                  <w:tcW w:w="503" w:type="pct"/>
                  <w:tcBorders>
                    <w:tl2br w:val="nil"/>
                    <w:tr2bl w:val="nil"/>
                  </w:tcBorders>
                  <w:noWrap w:val="0"/>
                  <w:vAlign w:val="center"/>
                </w:tcPr>
                <w:p w14:paraId="18EFEB1E">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重点防渗</w:t>
                  </w:r>
                </w:p>
              </w:tc>
              <w:tc>
                <w:tcPr>
                  <w:tcW w:w="1158" w:type="pct"/>
                  <w:tcBorders>
                    <w:tl2br w:val="nil"/>
                    <w:tr2bl w:val="nil"/>
                  </w:tcBorders>
                  <w:noWrap w:val="0"/>
                  <w:vAlign w:val="center"/>
                </w:tcPr>
                <w:p w14:paraId="3AD3F8C1">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等效黏土防渗层Mb≥</w:t>
                  </w:r>
                  <w:r>
                    <w:rPr>
                      <w:rFonts w:hint="default" w:ascii="Times New Roman" w:hAnsi="Times New Roman" w:cs="Times New Roman"/>
                      <w:color w:val="auto"/>
                      <w:spacing w:val="0"/>
                      <w:position w:val="0"/>
                      <w:sz w:val="21"/>
                      <w:szCs w:val="21"/>
                      <w:highlight w:val="none"/>
                      <w:lang w:val="en-US" w:eastAsia="zh-CN"/>
                    </w:rPr>
                    <w:t>6.0</w:t>
                  </w:r>
                  <w:r>
                    <w:rPr>
                      <w:rFonts w:hint="default" w:ascii="Times New Roman" w:hAnsi="Times New Roman" w:cs="Times New Roman"/>
                      <w:color w:val="auto"/>
                      <w:spacing w:val="0"/>
                      <w:position w:val="0"/>
                      <w:sz w:val="21"/>
                      <w:szCs w:val="21"/>
                      <w:highlight w:val="none"/>
                    </w:rPr>
                    <w:t>m，K≤1.0×10</w:t>
                  </w:r>
                  <w:r>
                    <w:rPr>
                      <w:rFonts w:hint="default" w:ascii="Times New Roman" w:hAnsi="Times New Roman" w:cs="Times New Roman"/>
                      <w:color w:val="auto"/>
                      <w:spacing w:val="0"/>
                      <w:position w:val="0"/>
                      <w:sz w:val="21"/>
                      <w:szCs w:val="21"/>
                      <w:highlight w:val="none"/>
                      <w:vertAlign w:val="superscript"/>
                    </w:rPr>
                    <w:t>-</w:t>
                  </w:r>
                  <w:r>
                    <w:rPr>
                      <w:rFonts w:hint="default" w:ascii="Times New Roman" w:hAnsi="Times New Roman" w:cs="Times New Roman"/>
                      <w:color w:val="auto"/>
                      <w:spacing w:val="0"/>
                      <w:position w:val="0"/>
                      <w:sz w:val="21"/>
                      <w:szCs w:val="21"/>
                      <w:highlight w:val="none"/>
                      <w:vertAlign w:val="superscript"/>
                      <w:lang w:val="en-US" w:eastAsia="zh-CN"/>
                    </w:rPr>
                    <w:t>10</w:t>
                  </w:r>
                  <w:r>
                    <w:rPr>
                      <w:rFonts w:hint="default" w:ascii="Times New Roman" w:hAnsi="Times New Roman" w:cs="Times New Roman"/>
                      <w:color w:val="auto"/>
                      <w:spacing w:val="0"/>
                      <w:position w:val="0"/>
                      <w:sz w:val="21"/>
                      <w:szCs w:val="21"/>
                      <w:highlight w:val="none"/>
                    </w:rPr>
                    <w:t>cm/s</w:t>
                  </w:r>
                </w:p>
              </w:tc>
            </w:tr>
            <w:tr w14:paraId="26FC28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2682BF05">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0"/>
                      <w:position w:val="0"/>
                      <w:sz w:val="21"/>
                      <w:szCs w:val="21"/>
                      <w:highlight w:val="none"/>
                      <w:lang w:eastAsia="zh-CN"/>
                    </w:rPr>
                  </w:pPr>
                  <w:r>
                    <w:rPr>
                      <w:rFonts w:hint="default" w:ascii="Times New Roman" w:hAnsi="Times New Roman" w:cs="Times New Roman"/>
                      <w:color w:val="auto"/>
                      <w:spacing w:val="0"/>
                      <w:position w:val="0"/>
                      <w:sz w:val="21"/>
                      <w:szCs w:val="21"/>
                      <w:highlight w:val="none"/>
                    </w:rPr>
                    <w:t>生产区</w:t>
                  </w:r>
                  <w:r>
                    <w:rPr>
                      <w:rFonts w:hint="eastAsia" w:cs="Times New Roman"/>
                      <w:color w:val="auto"/>
                      <w:spacing w:val="0"/>
                      <w:position w:val="0"/>
                      <w:sz w:val="21"/>
                      <w:szCs w:val="21"/>
                      <w:highlight w:val="none"/>
                      <w:lang w:eastAsia="zh-CN"/>
                    </w:rPr>
                    <w:t>、</w:t>
                  </w:r>
                  <w:r>
                    <w:rPr>
                      <w:rFonts w:ascii="Segoe UI" w:hAnsi="Segoe UI" w:eastAsia="Segoe UI" w:cs="Segoe UI"/>
                      <w:i w:val="0"/>
                      <w:iCs w:val="0"/>
                      <w:caps w:val="0"/>
                      <w:color w:val="auto"/>
                      <w:spacing w:val="0"/>
                      <w:sz w:val="22"/>
                      <w:szCs w:val="22"/>
                      <w:shd w:val="clear" w:fill="FFFFFF"/>
                    </w:rPr>
                    <w:t>一般固废暂存区</w:t>
                  </w:r>
                </w:p>
              </w:tc>
              <w:tc>
                <w:tcPr>
                  <w:tcW w:w="739" w:type="pct"/>
                  <w:tcBorders>
                    <w:tl2br w:val="nil"/>
                    <w:tr2bl w:val="nil"/>
                  </w:tcBorders>
                  <w:noWrap w:val="0"/>
                  <w:vAlign w:val="center"/>
                </w:tcPr>
                <w:p w14:paraId="1DE2265C">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弱</w:t>
                  </w:r>
                </w:p>
              </w:tc>
              <w:tc>
                <w:tcPr>
                  <w:tcW w:w="769" w:type="pct"/>
                  <w:tcBorders>
                    <w:tl2br w:val="nil"/>
                    <w:tr2bl w:val="nil"/>
                  </w:tcBorders>
                  <w:noWrap w:val="0"/>
                  <w:vAlign w:val="center"/>
                </w:tcPr>
                <w:p w14:paraId="7FE89F84">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易－</w:t>
                  </w:r>
                  <w:r>
                    <w:rPr>
                      <w:rFonts w:hint="default" w:ascii="Times New Roman" w:hAnsi="Times New Roman" w:cs="Times New Roman"/>
                      <w:color w:val="auto"/>
                      <w:spacing w:val="0"/>
                      <w:position w:val="0"/>
                      <w:sz w:val="21"/>
                      <w:szCs w:val="21"/>
                      <w:highlight w:val="none"/>
                      <w:lang w:val="zh-TW" w:eastAsia="zh-TW"/>
                    </w:rPr>
                    <w:t>难</w:t>
                  </w:r>
                </w:p>
              </w:tc>
              <w:tc>
                <w:tcPr>
                  <w:tcW w:w="1095" w:type="pct"/>
                  <w:tcBorders>
                    <w:tl2br w:val="nil"/>
                    <w:tr2bl w:val="nil"/>
                  </w:tcBorders>
                  <w:noWrap w:val="0"/>
                  <w:vAlign w:val="center"/>
                </w:tcPr>
                <w:p w14:paraId="03267093">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lang w:val="zh-TW" w:eastAsia="zh-TW"/>
                    </w:rPr>
                  </w:pPr>
                  <w:r>
                    <w:rPr>
                      <w:rFonts w:hint="default" w:ascii="Times New Roman" w:hAnsi="Times New Roman" w:cs="Times New Roman"/>
                      <w:color w:val="auto"/>
                      <w:spacing w:val="0"/>
                      <w:position w:val="0"/>
                      <w:sz w:val="21"/>
                      <w:szCs w:val="21"/>
                      <w:highlight w:val="none"/>
                    </w:rPr>
                    <w:t>非</w:t>
                  </w:r>
                  <w:r>
                    <w:rPr>
                      <w:rFonts w:hint="default" w:ascii="Times New Roman" w:hAnsi="Times New Roman" w:cs="Times New Roman"/>
                      <w:color w:val="auto"/>
                      <w:spacing w:val="0"/>
                      <w:position w:val="0"/>
                      <w:sz w:val="21"/>
                      <w:szCs w:val="21"/>
                      <w:highlight w:val="none"/>
                      <w:lang w:val="zh-TW" w:eastAsia="zh-TW"/>
                    </w:rPr>
                    <w:t>重金属、持久性有机物</w:t>
                  </w:r>
                </w:p>
              </w:tc>
              <w:tc>
                <w:tcPr>
                  <w:tcW w:w="503" w:type="pct"/>
                  <w:tcBorders>
                    <w:tl2br w:val="nil"/>
                    <w:tr2bl w:val="nil"/>
                  </w:tcBorders>
                  <w:noWrap w:val="0"/>
                  <w:vAlign w:val="center"/>
                </w:tcPr>
                <w:p w14:paraId="538BE584">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一般防渗</w:t>
                  </w:r>
                </w:p>
              </w:tc>
              <w:tc>
                <w:tcPr>
                  <w:tcW w:w="1158" w:type="pct"/>
                  <w:tcBorders>
                    <w:tl2br w:val="nil"/>
                    <w:tr2bl w:val="nil"/>
                  </w:tcBorders>
                  <w:noWrap w:val="0"/>
                  <w:vAlign w:val="center"/>
                </w:tcPr>
                <w:p w14:paraId="1732540A">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等效黏土防渗层Mb≥1.5m，K≤1.0×10</w:t>
                  </w:r>
                  <w:r>
                    <w:rPr>
                      <w:rFonts w:hint="default" w:ascii="Times New Roman" w:hAnsi="Times New Roman" w:cs="Times New Roman"/>
                      <w:color w:val="auto"/>
                      <w:spacing w:val="0"/>
                      <w:position w:val="0"/>
                      <w:sz w:val="21"/>
                      <w:szCs w:val="21"/>
                      <w:highlight w:val="none"/>
                      <w:vertAlign w:val="superscript"/>
                    </w:rPr>
                    <w:t>-7</w:t>
                  </w:r>
                  <w:r>
                    <w:rPr>
                      <w:rFonts w:hint="default" w:ascii="Times New Roman" w:hAnsi="Times New Roman" w:cs="Times New Roman"/>
                      <w:color w:val="auto"/>
                      <w:spacing w:val="0"/>
                      <w:position w:val="0"/>
                      <w:sz w:val="21"/>
                      <w:szCs w:val="21"/>
                      <w:highlight w:val="none"/>
                    </w:rPr>
                    <w:t>cm/s</w:t>
                  </w:r>
                </w:p>
              </w:tc>
            </w:tr>
            <w:tr w14:paraId="602473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36E1F5D9">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办公生活区</w:t>
                  </w:r>
                </w:p>
              </w:tc>
              <w:tc>
                <w:tcPr>
                  <w:tcW w:w="739" w:type="pct"/>
                  <w:tcBorders>
                    <w:tl2br w:val="nil"/>
                    <w:tr2bl w:val="nil"/>
                  </w:tcBorders>
                  <w:noWrap w:val="0"/>
                  <w:vAlign w:val="center"/>
                </w:tcPr>
                <w:p w14:paraId="35D11D28">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弱</w:t>
                  </w:r>
                </w:p>
              </w:tc>
              <w:tc>
                <w:tcPr>
                  <w:tcW w:w="769" w:type="pct"/>
                  <w:tcBorders>
                    <w:tl2br w:val="nil"/>
                    <w:tr2bl w:val="nil"/>
                  </w:tcBorders>
                  <w:noWrap w:val="0"/>
                  <w:vAlign w:val="center"/>
                </w:tcPr>
                <w:p w14:paraId="191C0B12">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易</w:t>
                  </w:r>
                </w:p>
              </w:tc>
              <w:tc>
                <w:tcPr>
                  <w:tcW w:w="1095" w:type="pct"/>
                  <w:tcBorders>
                    <w:tl2br w:val="nil"/>
                    <w:tr2bl w:val="nil"/>
                  </w:tcBorders>
                  <w:noWrap w:val="0"/>
                  <w:vAlign w:val="center"/>
                </w:tcPr>
                <w:p w14:paraId="0F4CDE22">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zh-TW" w:eastAsia="zh-TW"/>
                    </w:rPr>
                    <w:t>污染物</w:t>
                  </w:r>
                  <w:r>
                    <w:rPr>
                      <w:rFonts w:hint="default" w:ascii="Times New Roman" w:hAnsi="Times New Roman" w:cs="Times New Roman"/>
                      <w:color w:val="auto"/>
                      <w:spacing w:val="0"/>
                      <w:position w:val="0"/>
                      <w:sz w:val="21"/>
                      <w:szCs w:val="21"/>
                      <w:highlight w:val="none"/>
                    </w:rPr>
                    <w:t>的</w:t>
                  </w:r>
                  <w:r>
                    <w:rPr>
                      <w:rFonts w:hint="default" w:ascii="Times New Roman" w:hAnsi="Times New Roman" w:cs="Times New Roman"/>
                      <w:color w:val="auto"/>
                      <w:spacing w:val="0"/>
                      <w:position w:val="0"/>
                      <w:sz w:val="21"/>
                      <w:szCs w:val="21"/>
                      <w:highlight w:val="none"/>
                      <w:lang w:val="zh-TW" w:eastAsia="zh-TW"/>
                    </w:rPr>
                    <w:t>其他类型</w:t>
                  </w:r>
                </w:p>
              </w:tc>
              <w:tc>
                <w:tcPr>
                  <w:tcW w:w="503" w:type="pct"/>
                  <w:tcBorders>
                    <w:tl2br w:val="nil"/>
                    <w:tr2bl w:val="nil"/>
                  </w:tcBorders>
                  <w:noWrap w:val="0"/>
                  <w:vAlign w:val="center"/>
                </w:tcPr>
                <w:p w14:paraId="515D57D3">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简单防渗</w:t>
                  </w:r>
                </w:p>
              </w:tc>
              <w:tc>
                <w:tcPr>
                  <w:tcW w:w="1158" w:type="pct"/>
                  <w:tcBorders>
                    <w:tl2br w:val="nil"/>
                    <w:tr2bl w:val="nil"/>
                  </w:tcBorders>
                  <w:noWrap w:val="0"/>
                  <w:vAlign w:val="center"/>
                </w:tcPr>
                <w:p w14:paraId="02241C5A">
                  <w:pPr>
                    <w:keepNext w:val="0"/>
                    <w:keepLines w:val="0"/>
                    <w:pageBreakBefore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zh-TW" w:eastAsia="zh-TW"/>
                    </w:rPr>
                    <w:t>一般地面硬化</w:t>
                  </w:r>
                </w:p>
              </w:tc>
            </w:tr>
          </w:tbl>
          <w:p w14:paraId="0BADBA30">
            <w:pPr>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0"/>
                <w:highlight w:val="none"/>
              </w:rPr>
            </w:pPr>
            <w:r>
              <w:rPr>
                <w:rFonts w:hint="default" w:ascii="Times New Roman" w:hAnsi="Times New Roman" w:cs="Times New Roman"/>
                <w:color w:val="auto"/>
                <w:spacing w:val="0"/>
                <w:position w:val="0"/>
                <w:sz w:val="24"/>
                <w:szCs w:val="20"/>
                <w:highlight w:val="none"/>
              </w:rPr>
              <w:t>（3）环境影响分析</w:t>
            </w:r>
          </w:p>
          <w:p w14:paraId="4F37B203">
            <w:pPr>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0"/>
                <w:highlight w:val="none"/>
              </w:rPr>
            </w:pPr>
            <w:r>
              <w:rPr>
                <w:rFonts w:hint="default" w:ascii="Times New Roman" w:hAnsi="Times New Roman" w:cs="Times New Roman"/>
                <w:color w:val="auto"/>
                <w:spacing w:val="0"/>
                <w:position w:val="0"/>
                <w:sz w:val="24"/>
                <w:szCs w:val="20"/>
                <w:highlight w:val="none"/>
              </w:rPr>
              <w:t>根据项目特点，厂区进行分区并对不同分区采取相应的防渗措施。项目对可能产生地下水、土壤影响的各项途径均进行有效预防，各项防渗措施可以有效地防止对区域地下水、土壤造成污染。综上所述，项目不会对项目区地下水、土壤环境造成污染影响。</w:t>
            </w:r>
          </w:p>
          <w:p w14:paraId="3B8992A5">
            <w:pPr>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0" w:firstLineChars="0"/>
              <w:textAlignment w:val="auto"/>
              <w:rPr>
                <w:rFonts w:hint="default" w:ascii="Times New Roman" w:hAnsi="Times New Roman" w:cs="Times New Roman"/>
                <w:b/>
                <w:bCs/>
                <w:color w:val="auto"/>
                <w:spacing w:val="0"/>
                <w:position w:val="0"/>
                <w:sz w:val="24"/>
                <w:highlight w:val="none"/>
              </w:rPr>
            </w:pPr>
            <w:r>
              <w:rPr>
                <w:rFonts w:hint="default" w:ascii="Times New Roman" w:hAnsi="Times New Roman" w:cs="Times New Roman"/>
                <w:b/>
                <w:bCs/>
                <w:color w:val="auto"/>
                <w:spacing w:val="0"/>
                <w:position w:val="0"/>
                <w:sz w:val="24"/>
                <w:szCs w:val="32"/>
                <w:highlight w:val="none"/>
                <w:lang w:val="en-US" w:eastAsia="zh-CN"/>
              </w:rPr>
              <w:t>6.</w:t>
            </w:r>
            <w:r>
              <w:rPr>
                <w:rFonts w:hint="default" w:ascii="Times New Roman" w:hAnsi="Times New Roman" w:cs="Times New Roman"/>
                <w:b/>
                <w:bCs/>
                <w:color w:val="auto"/>
                <w:spacing w:val="0"/>
                <w:position w:val="0"/>
                <w:sz w:val="24"/>
                <w:highlight w:val="none"/>
              </w:rPr>
              <w:t>6.环境风险分析</w:t>
            </w:r>
          </w:p>
          <w:p w14:paraId="17A39885">
            <w:pPr>
              <w:pageBreakBefore w:val="0"/>
              <w:shd w:val="clear"/>
              <w:kinsoku/>
              <w:wordWrap/>
              <w:overflowPunct/>
              <w:topLinePunct w:val="0"/>
              <w:autoSpaceDE/>
              <w:autoSpaceDN/>
              <w:bidi w:val="0"/>
              <w:adjustRightInd/>
              <w:snapToGrid/>
              <w:spacing w:beforeAutospacing="0" w:afterAutospacing="0" w:line="360" w:lineRule="auto"/>
              <w:ind w:left="0" w:leftChars="0" w:right="0" w:rightChars="0" w:firstLine="0" w:firstLineChars="0"/>
              <w:textAlignment w:val="auto"/>
              <w:rPr>
                <w:rFonts w:hint="default" w:ascii="Times New Roman" w:hAnsi="Times New Roman" w:cs="Times New Roman"/>
                <w:b/>
                <w:bCs/>
                <w:color w:val="auto"/>
                <w:spacing w:val="0"/>
                <w:position w:val="0"/>
                <w:sz w:val="24"/>
                <w:highlight w:val="none"/>
              </w:rPr>
            </w:pPr>
            <w:r>
              <w:rPr>
                <w:rFonts w:hint="default" w:ascii="Times New Roman" w:hAnsi="Times New Roman" w:cs="Times New Roman"/>
                <w:b/>
                <w:bCs/>
                <w:color w:val="auto"/>
                <w:spacing w:val="0"/>
                <w:position w:val="0"/>
                <w:sz w:val="24"/>
                <w:highlight w:val="none"/>
              </w:rPr>
              <w:t>6.1概述</w:t>
            </w:r>
          </w:p>
          <w:p w14:paraId="12525104">
            <w:pPr>
              <w:keepNext w:val="0"/>
              <w:keepLines w:val="0"/>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highlight w:val="none"/>
              </w:rPr>
              <w:t>环境风险分析的目的是分析和预测建设项目潜在环境危险、有害因素，建设项目建设和运行期间可能发生的突发事件或事故，引起有毒有害易燃易爆等物质泄漏，所造成的人身安全与环境影响和损害程度，提出合理可行的防范、应急与减缓措施，以使事故率、损失和环境影响达到可接受水平。</w:t>
            </w:r>
          </w:p>
          <w:p w14:paraId="1EA0B36E">
            <w:pPr>
              <w:pStyle w:val="8"/>
              <w:pageBreakBefore w:val="0"/>
              <w:numPr>
                <w:ilvl w:val="0"/>
                <w:numId w:val="0"/>
              </w:numPr>
              <w:shd w:val="clear"/>
              <w:tabs>
                <w:tab w:val="left" w:pos="1952"/>
              </w:tabs>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b/>
                <w:bCs/>
                <w:color w:val="auto"/>
                <w:spacing w:val="0"/>
                <w:position w:val="0"/>
                <w:sz w:val="24"/>
                <w:szCs w:val="24"/>
                <w:highlight w:val="none"/>
                <w:lang w:val="en-US" w:eastAsia="zh-CN"/>
              </w:rPr>
              <w:t>6.2</w:t>
            </w:r>
            <w:r>
              <w:rPr>
                <w:rFonts w:hint="default" w:ascii="Times New Roman" w:hAnsi="Times New Roman" w:eastAsia="宋体" w:cs="Times New Roman"/>
                <w:b/>
                <w:bCs/>
                <w:color w:val="auto"/>
                <w:spacing w:val="0"/>
                <w:position w:val="0"/>
                <w:sz w:val="24"/>
                <w:szCs w:val="24"/>
                <w:highlight w:val="none"/>
              </w:rPr>
              <w:t>环境风险潜势初判及评价等级确定</w:t>
            </w:r>
          </w:p>
          <w:p w14:paraId="0DE23B11">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lang w:val="en-US" w:eastAsia="zh-CN"/>
              </w:rPr>
              <w:t>（1</w:t>
            </w:r>
            <w:r>
              <w:rPr>
                <w:rFonts w:hint="default" w:ascii="Times New Roman" w:hAnsi="Times New Roman" w:cs="Times New Roman"/>
                <w:bCs/>
                <w:color w:val="auto"/>
                <w:spacing w:val="0"/>
                <w:position w:val="0"/>
                <w:sz w:val="24"/>
                <w:highlight w:val="none"/>
                <w:lang w:eastAsia="zh-CN"/>
              </w:rPr>
              <w:t>）</w:t>
            </w:r>
            <w:r>
              <w:rPr>
                <w:rFonts w:hint="default" w:ascii="Times New Roman" w:hAnsi="Times New Roman" w:cs="Times New Roman"/>
                <w:bCs/>
                <w:color w:val="auto"/>
                <w:spacing w:val="0"/>
                <w:position w:val="0"/>
                <w:sz w:val="24"/>
                <w:highlight w:val="none"/>
              </w:rPr>
              <w:t>风险调查</w:t>
            </w:r>
          </w:p>
          <w:p w14:paraId="1D59B29F">
            <w:pPr>
              <w:pStyle w:val="13"/>
              <w:keepNext w:val="0"/>
              <w:keepLines w:val="0"/>
              <w:pageBreakBefore w:val="0"/>
              <w:widowControl/>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本项目生产过程中所涉及的易燃有害物质根据《建设项目环境风险评价技术导则》（HJ/T169-2018）表B.1突发环境事件风险物质及临界量</w:t>
            </w:r>
            <w:r>
              <w:rPr>
                <w:rFonts w:hint="default" w:ascii="Times New Roman" w:hAnsi="Times New Roman" w:cs="Times New Roman"/>
                <w:color w:val="auto"/>
                <w:spacing w:val="0"/>
                <w:position w:val="0"/>
                <w:sz w:val="24"/>
                <w:szCs w:val="24"/>
                <w:highlight w:val="none"/>
                <w:lang w:eastAsia="zh-CN"/>
              </w:rPr>
              <w:t>确定为：</w:t>
            </w:r>
            <w:r>
              <w:rPr>
                <w:rFonts w:hint="default" w:ascii="Times New Roman" w:hAnsi="Times New Roman" w:cs="Times New Roman"/>
                <w:color w:val="auto"/>
                <w:spacing w:val="0"/>
                <w:position w:val="0"/>
                <w:sz w:val="24"/>
                <w:szCs w:val="24"/>
                <w:highlight w:val="none"/>
                <w:lang w:val="en-US" w:eastAsia="zh-CN"/>
              </w:rPr>
              <w:t>381油类物质</w:t>
            </w:r>
            <w:r>
              <w:rPr>
                <w:rFonts w:hint="default" w:ascii="Times New Roman" w:hAnsi="Times New Roman" w:cs="Times New Roman"/>
                <w:color w:val="auto"/>
                <w:spacing w:val="0"/>
                <w:position w:val="0"/>
                <w:sz w:val="24"/>
                <w:szCs w:val="24"/>
                <w:highlight w:val="none"/>
              </w:rPr>
              <w:t>，其主要风险因素为</w:t>
            </w:r>
            <w:r>
              <w:rPr>
                <w:rFonts w:hint="default" w:ascii="Times New Roman" w:hAnsi="Times New Roman" w:cs="Times New Roman"/>
                <w:color w:val="auto"/>
                <w:spacing w:val="0"/>
                <w:position w:val="0"/>
                <w:sz w:val="24"/>
                <w:szCs w:val="24"/>
                <w:highlight w:val="none"/>
                <w:lang w:eastAsia="zh-CN"/>
              </w:rPr>
              <w:t>暂存</w:t>
            </w:r>
            <w:r>
              <w:rPr>
                <w:rFonts w:hint="default" w:ascii="Times New Roman" w:hAnsi="Times New Roman" w:cs="Times New Roman"/>
                <w:color w:val="auto"/>
                <w:spacing w:val="0"/>
                <w:position w:val="0"/>
                <w:sz w:val="24"/>
                <w:szCs w:val="24"/>
                <w:highlight w:val="none"/>
              </w:rPr>
              <w:t>过程中产生的泄漏、物料散失等，环境风险评价主要针对生产过程中存在的风险因素进行分析。</w:t>
            </w:r>
          </w:p>
          <w:p w14:paraId="5F71C754">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cs="Times New Roman"/>
                <w:bCs/>
                <w:color w:val="auto"/>
                <w:spacing w:val="0"/>
                <w:position w:val="0"/>
                <w:sz w:val="24"/>
                <w:highlight w:val="none"/>
              </w:rPr>
            </w:pPr>
            <w:r>
              <w:rPr>
                <w:rFonts w:hint="default" w:ascii="Times New Roman" w:hAnsi="Times New Roman" w:cs="Times New Roman"/>
                <w:bCs/>
                <w:color w:val="auto"/>
                <w:spacing w:val="0"/>
                <w:position w:val="0"/>
                <w:sz w:val="24"/>
                <w:highlight w:val="none"/>
                <w:lang w:val="en-US" w:eastAsia="zh-CN"/>
              </w:rPr>
              <w:t>（2）</w:t>
            </w:r>
            <w:r>
              <w:rPr>
                <w:rFonts w:hint="default" w:ascii="Times New Roman" w:hAnsi="Times New Roman" w:cs="Times New Roman"/>
                <w:bCs/>
                <w:color w:val="auto"/>
                <w:spacing w:val="0"/>
                <w:position w:val="0"/>
                <w:sz w:val="24"/>
                <w:highlight w:val="none"/>
              </w:rPr>
              <w:t>风险潜势初判</w:t>
            </w:r>
          </w:p>
          <w:p w14:paraId="34CC8A92">
            <w:pPr>
              <w:pStyle w:val="13"/>
              <w:keepNext w:val="0"/>
              <w:keepLines w:val="0"/>
              <w:pageBreakBefore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eastAsia="zh-CN"/>
              </w:rPr>
              <w:t>①</w:t>
            </w:r>
            <w:r>
              <w:rPr>
                <w:rFonts w:hint="default" w:ascii="Times New Roman" w:hAnsi="Times New Roman" w:cs="Times New Roman"/>
                <w:color w:val="auto"/>
                <w:spacing w:val="0"/>
                <w:position w:val="0"/>
                <w:sz w:val="24"/>
                <w:szCs w:val="24"/>
                <w:highlight w:val="none"/>
              </w:rPr>
              <w:t>环境风险潜势划分</w:t>
            </w:r>
          </w:p>
          <w:p w14:paraId="68814D3B">
            <w:pPr>
              <w:pStyle w:val="13"/>
              <w:keepNext w:val="0"/>
              <w:keepLines w:val="0"/>
              <w:pageBreakBefore w:val="0"/>
              <w:widowControl/>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建设项目环境风险潜势划分为Ⅰ、Ⅱ、Ⅲ、IV/IV+级。根据建设项目涉及的物质和工艺系统危险性其所在地环境敏感程度，根据建设项目涉及的物质和工艺系统危险性其所在地环境敏感程度，结合事故情形下影响途径，对建设项目潜在环境危害程度进行</w:t>
            </w:r>
            <w:r>
              <w:rPr>
                <w:rFonts w:hint="default" w:ascii="Times New Roman" w:hAnsi="Times New Roman" w:cs="Times New Roman"/>
                <w:color w:val="auto"/>
                <w:spacing w:val="0"/>
                <w:position w:val="0"/>
                <w:sz w:val="24"/>
                <w:szCs w:val="24"/>
                <w:highlight w:val="none"/>
                <w:lang w:eastAsia="zh-CN"/>
              </w:rPr>
              <w:t>概括</w:t>
            </w:r>
            <w:r>
              <w:rPr>
                <w:rFonts w:hint="default" w:ascii="Times New Roman" w:hAnsi="Times New Roman" w:cs="Times New Roman"/>
                <w:color w:val="auto"/>
                <w:spacing w:val="0"/>
                <w:position w:val="0"/>
                <w:sz w:val="24"/>
                <w:szCs w:val="24"/>
                <w:highlight w:val="none"/>
              </w:rPr>
              <w:t>化分析，按照表</w:t>
            </w:r>
            <w:r>
              <w:rPr>
                <w:rFonts w:hint="default" w:ascii="Times New Roman" w:hAnsi="Times New Roman" w:cs="Times New Roman"/>
                <w:color w:val="auto"/>
                <w:spacing w:val="0"/>
                <w:position w:val="0"/>
                <w:sz w:val="24"/>
                <w:szCs w:val="24"/>
                <w:highlight w:val="none"/>
                <w:lang w:val="en-US" w:eastAsia="zh-CN"/>
              </w:rPr>
              <w:t>4-14</w:t>
            </w:r>
            <w:r>
              <w:rPr>
                <w:rFonts w:hint="default" w:ascii="Times New Roman" w:hAnsi="Times New Roman" w:cs="Times New Roman"/>
                <w:color w:val="auto"/>
                <w:spacing w:val="0"/>
                <w:position w:val="0"/>
                <w:sz w:val="24"/>
                <w:szCs w:val="24"/>
                <w:highlight w:val="none"/>
              </w:rPr>
              <w:t>确定环境风险潜势。</w:t>
            </w:r>
          </w:p>
          <w:p w14:paraId="68E583E9">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cs="Times New Roman"/>
                <w:b/>
                <w:bCs/>
                <w:color w:val="auto"/>
                <w:spacing w:val="0"/>
                <w:position w:val="0"/>
                <w:sz w:val="24"/>
                <w:szCs w:val="24"/>
                <w:highlight w:val="none"/>
                <w:lang w:eastAsia="zh-CN"/>
              </w:rPr>
              <w:t>表</w:t>
            </w:r>
            <w:r>
              <w:rPr>
                <w:rFonts w:hint="default" w:ascii="Times New Roman" w:hAnsi="Times New Roman" w:cs="Times New Roman"/>
                <w:b/>
                <w:bCs/>
                <w:color w:val="auto"/>
                <w:spacing w:val="0"/>
                <w:position w:val="0"/>
                <w:sz w:val="24"/>
                <w:szCs w:val="24"/>
                <w:highlight w:val="none"/>
                <w:lang w:val="en-US" w:eastAsia="zh-CN"/>
              </w:rPr>
              <w:t>4-14    建设项目环境风险潜势划分依据</w:t>
            </w:r>
          </w:p>
          <w:tbl>
            <w:tblPr>
              <w:tblStyle w:val="25"/>
              <w:tblW w:w="4999" w:type="pct"/>
              <w:jc w:val="center"/>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Layout w:type="fixed"/>
              <w:tblCellMar>
                <w:top w:w="0" w:type="dxa"/>
                <w:left w:w="108" w:type="dxa"/>
                <w:bottom w:w="0" w:type="dxa"/>
                <w:right w:w="108" w:type="dxa"/>
              </w:tblCellMar>
            </w:tblPr>
            <w:tblGrid>
              <w:gridCol w:w="1578"/>
              <w:gridCol w:w="1447"/>
              <w:gridCol w:w="1448"/>
              <w:gridCol w:w="1447"/>
              <w:gridCol w:w="1455"/>
            </w:tblGrid>
            <w:tr w14:paraId="2CDDB13B">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0" w:type="pct"/>
                  <w:vMerge w:val="restart"/>
                  <w:tcBorders>
                    <w:top w:val="single" w:color="000000" w:sz="12" w:space="0"/>
                    <w:left w:val="nil"/>
                    <w:bottom w:val="single" w:color="000000" w:sz="4" w:space="0"/>
                    <w:right w:val="single" w:color="000000" w:sz="4" w:space="0"/>
                  </w:tcBorders>
                  <w:noWrap w:val="0"/>
                  <w:vAlign w:val="center"/>
                </w:tcPr>
                <w:p w14:paraId="218E39BF">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kern w:val="0"/>
                      <w:position w:val="0"/>
                      <w:sz w:val="21"/>
                      <w:szCs w:val="21"/>
                      <w:highlight w:val="none"/>
                      <w:lang w:val="en-US" w:eastAsia="zh-CN" w:bidi="ar"/>
                    </w:rPr>
                    <w:t>环境敏感程度（E</w:t>
                  </w:r>
                  <w:r>
                    <w:rPr>
                      <w:rFonts w:hint="default" w:ascii="Times New Roman" w:hAnsi="Times New Roman" w:eastAsia="宋体" w:cs="Times New Roman"/>
                      <w:b/>
                      <w:bCs/>
                      <w:color w:val="auto"/>
                      <w:spacing w:val="0"/>
                      <w:kern w:val="0"/>
                      <w:position w:val="0"/>
                      <w:sz w:val="21"/>
                      <w:szCs w:val="21"/>
                      <w:highlight w:val="none"/>
                      <w:lang w:val="en-US" w:eastAsia="zh-CN" w:bidi="ar"/>
                    </w:rPr>
                    <w:t>）</w:t>
                  </w:r>
                </w:p>
              </w:tc>
              <w:tc>
                <w:tcPr>
                  <w:tcW w:w="3929" w:type="pct"/>
                  <w:gridSpan w:val="4"/>
                  <w:tcBorders>
                    <w:top w:val="single" w:color="000000" w:sz="12" w:space="0"/>
                    <w:left w:val="single" w:color="000000" w:sz="4" w:space="0"/>
                    <w:bottom w:val="single" w:color="000000" w:sz="4" w:space="0"/>
                    <w:right w:val="nil"/>
                  </w:tcBorders>
                  <w:noWrap w:val="0"/>
                  <w:vAlign w:val="center"/>
                </w:tcPr>
                <w:p w14:paraId="767FAC50">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kern w:val="0"/>
                      <w:position w:val="0"/>
                      <w:sz w:val="21"/>
                      <w:szCs w:val="21"/>
                      <w:highlight w:val="none"/>
                      <w:lang w:val="en-US" w:eastAsia="zh-CN" w:bidi="ar"/>
                    </w:rPr>
                    <w:t>危险物质及工艺系统危险性（P</w:t>
                  </w:r>
                  <w:r>
                    <w:rPr>
                      <w:rFonts w:hint="default" w:ascii="Times New Roman" w:hAnsi="Times New Roman" w:eastAsia="宋体" w:cs="Times New Roman"/>
                      <w:b/>
                      <w:bCs/>
                      <w:color w:val="auto"/>
                      <w:spacing w:val="0"/>
                      <w:kern w:val="0"/>
                      <w:position w:val="0"/>
                      <w:sz w:val="21"/>
                      <w:szCs w:val="21"/>
                      <w:highlight w:val="none"/>
                      <w:lang w:val="en-US" w:eastAsia="zh-CN" w:bidi="ar"/>
                    </w:rPr>
                    <w:t>）</w:t>
                  </w:r>
                </w:p>
              </w:tc>
            </w:tr>
            <w:tr w14:paraId="7C5B39D1">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0" w:type="pct"/>
                  <w:vMerge w:val="continue"/>
                  <w:tcBorders>
                    <w:top w:val="single" w:color="000000" w:sz="12" w:space="0"/>
                    <w:left w:val="nil"/>
                    <w:bottom w:val="single" w:color="000000" w:sz="4" w:space="0"/>
                    <w:right w:val="single" w:color="000000" w:sz="4" w:space="0"/>
                  </w:tcBorders>
                  <w:noWrap w:val="0"/>
                  <w:vAlign w:val="center"/>
                </w:tcPr>
                <w:p w14:paraId="150811F0">
                  <w:pPr>
                    <w:keepNext w:val="0"/>
                    <w:keepLines w:val="0"/>
                    <w:pageBreakBefore w:val="0"/>
                    <w:widowControl w:val="0"/>
                    <w:shd w:val="clear"/>
                    <w:kinsoku/>
                    <w:wordWrap/>
                    <w:overflowPunct/>
                    <w:topLinePunct w:val="0"/>
                    <w:bidi w:val="0"/>
                    <w:spacing w:beforeAutospacing="0" w:afterAutospacing="0" w:line="240" w:lineRule="auto"/>
                    <w:ind w:left="0" w:leftChars="0" w:right="0" w:rightChars="0" w:firstLine="0" w:firstLineChars="0"/>
                    <w:textAlignment w:val="auto"/>
                    <w:rPr>
                      <w:rFonts w:hint="default" w:ascii="Times New Roman" w:hAnsi="Times New Roman" w:cs="Times New Roman"/>
                      <w:color w:val="auto"/>
                      <w:spacing w:val="0"/>
                      <w:position w:val="0"/>
                      <w:sz w:val="21"/>
                      <w:szCs w:val="21"/>
                      <w:highlight w:val="none"/>
                    </w:rPr>
                  </w:pP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4E04ED84">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极高危害（P1</w:t>
                  </w:r>
                  <w:r>
                    <w:rPr>
                      <w:rFonts w:hint="default" w:ascii="Times New Roman" w:hAnsi="Times New Roman" w:eastAsia="宋体" w:cs="Times New Roman"/>
                      <w:color w:val="auto"/>
                      <w:spacing w:val="0"/>
                      <w:kern w:val="0"/>
                      <w:position w:val="0"/>
                      <w:sz w:val="21"/>
                      <w:szCs w:val="21"/>
                      <w:highlight w:val="none"/>
                      <w:lang w:val="en-US" w:eastAsia="zh-CN" w:bidi="ar"/>
                    </w:rPr>
                    <w:t>）</w:t>
                  </w:r>
                </w:p>
              </w:tc>
              <w:tc>
                <w:tcPr>
                  <w:tcW w:w="982" w:type="pct"/>
                  <w:tcBorders>
                    <w:top w:val="single" w:color="000000" w:sz="4" w:space="0"/>
                    <w:left w:val="single" w:color="000000" w:sz="4" w:space="0"/>
                    <w:bottom w:val="single" w:color="000000" w:sz="4" w:space="0"/>
                    <w:right w:val="single" w:color="000000" w:sz="4" w:space="0"/>
                  </w:tcBorders>
                  <w:noWrap w:val="0"/>
                  <w:vAlign w:val="center"/>
                </w:tcPr>
                <w:p w14:paraId="4E368E73">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高度危害（P2</w:t>
                  </w:r>
                  <w:r>
                    <w:rPr>
                      <w:rFonts w:hint="default" w:ascii="Times New Roman" w:hAnsi="Times New Roman" w:eastAsia="宋体" w:cs="Times New Roman"/>
                      <w:color w:val="auto"/>
                      <w:spacing w:val="0"/>
                      <w:kern w:val="0"/>
                      <w:position w:val="0"/>
                      <w:sz w:val="21"/>
                      <w:szCs w:val="21"/>
                      <w:highlight w:val="none"/>
                      <w:lang w:val="en-US" w:eastAsia="zh-CN" w:bidi="ar"/>
                    </w:rPr>
                    <w:t>）</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6C6E8308">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中毒危害（P3</w:t>
                  </w:r>
                  <w:r>
                    <w:rPr>
                      <w:rFonts w:hint="default" w:ascii="Times New Roman" w:hAnsi="Times New Roman" w:eastAsia="宋体" w:cs="Times New Roman"/>
                      <w:color w:val="auto"/>
                      <w:spacing w:val="0"/>
                      <w:kern w:val="0"/>
                      <w:position w:val="0"/>
                      <w:sz w:val="21"/>
                      <w:szCs w:val="21"/>
                      <w:highlight w:val="none"/>
                      <w:lang w:val="en-US" w:eastAsia="zh-CN" w:bidi="ar"/>
                    </w:rPr>
                    <w:t>）</w:t>
                  </w:r>
                </w:p>
              </w:tc>
              <w:tc>
                <w:tcPr>
                  <w:tcW w:w="983" w:type="pct"/>
                  <w:tcBorders>
                    <w:top w:val="single" w:color="000000" w:sz="4" w:space="0"/>
                    <w:left w:val="single" w:color="000000" w:sz="4" w:space="0"/>
                    <w:bottom w:val="single" w:color="000000" w:sz="4" w:space="0"/>
                    <w:right w:val="nil"/>
                  </w:tcBorders>
                  <w:noWrap w:val="0"/>
                  <w:vAlign w:val="center"/>
                </w:tcPr>
                <w:p w14:paraId="497A3478">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轻度危害（P4</w:t>
                  </w:r>
                  <w:r>
                    <w:rPr>
                      <w:rFonts w:hint="default" w:ascii="Times New Roman" w:hAnsi="Times New Roman" w:eastAsia="宋体" w:cs="Times New Roman"/>
                      <w:color w:val="auto"/>
                      <w:spacing w:val="0"/>
                      <w:kern w:val="0"/>
                      <w:position w:val="0"/>
                      <w:sz w:val="21"/>
                      <w:szCs w:val="21"/>
                      <w:highlight w:val="none"/>
                      <w:lang w:val="en-US" w:eastAsia="zh-CN" w:bidi="ar"/>
                    </w:rPr>
                    <w:t>）</w:t>
                  </w:r>
                </w:p>
              </w:tc>
            </w:tr>
            <w:tr w14:paraId="0D2B10EA">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0" w:type="pct"/>
                  <w:tcBorders>
                    <w:top w:val="single" w:color="000000" w:sz="4" w:space="0"/>
                    <w:left w:val="nil"/>
                    <w:bottom w:val="single" w:color="000000" w:sz="4" w:space="0"/>
                    <w:right w:val="single" w:color="000000" w:sz="4" w:space="0"/>
                  </w:tcBorders>
                  <w:noWrap w:val="0"/>
                  <w:vAlign w:val="center"/>
                </w:tcPr>
                <w:p w14:paraId="5B31A7F3">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环境高敏感区（E1</w:t>
                  </w:r>
                  <w:r>
                    <w:rPr>
                      <w:rFonts w:hint="default" w:ascii="Times New Roman" w:hAnsi="Times New Roman" w:eastAsia="宋体" w:cs="Times New Roman"/>
                      <w:color w:val="auto"/>
                      <w:spacing w:val="0"/>
                      <w:kern w:val="0"/>
                      <w:position w:val="0"/>
                      <w:sz w:val="21"/>
                      <w:szCs w:val="21"/>
                      <w:highlight w:val="none"/>
                      <w:lang w:val="en-US" w:eastAsia="zh-CN" w:bidi="ar"/>
                    </w:rPr>
                    <w:t>）</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48F5B74B">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Ⅳ</w:t>
                  </w:r>
                  <w:r>
                    <w:rPr>
                      <w:rFonts w:hint="default" w:ascii="Times New Roman" w:hAnsi="Times New Roman" w:cs="Times New Roman"/>
                      <w:color w:val="auto"/>
                      <w:spacing w:val="0"/>
                      <w:kern w:val="0"/>
                      <w:position w:val="0"/>
                      <w:sz w:val="21"/>
                      <w:szCs w:val="21"/>
                      <w:highlight w:val="none"/>
                      <w:vertAlign w:val="superscript"/>
                      <w:lang w:val="en-US" w:eastAsia="zh-CN" w:bidi="ar"/>
                    </w:rPr>
                    <w:t>+</w:t>
                  </w:r>
                </w:p>
              </w:tc>
              <w:tc>
                <w:tcPr>
                  <w:tcW w:w="982" w:type="pct"/>
                  <w:tcBorders>
                    <w:top w:val="single" w:color="000000" w:sz="4" w:space="0"/>
                    <w:left w:val="single" w:color="000000" w:sz="4" w:space="0"/>
                    <w:bottom w:val="single" w:color="000000" w:sz="4" w:space="0"/>
                    <w:right w:val="single" w:color="000000" w:sz="4" w:space="0"/>
                  </w:tcBorders>
                  <w:noWrap w:val="0"/>
                  <w:vAlign w:val="center"/>
                </w:tcPr>
                <w:p w14:paraId="7FFFF14C">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Ⅳ</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653BD706">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Ⅲ</w:t>
                  </w:r>
                </w:p>
              </w:tc>
              <w:tc>
                <w:tcPr>
                  <w:tcW w:w="983" w:type="pct"/>
                  <w:tcBorders>
                    <w:top w:val="single" w:color="000000" w:sz="4" w:space="0"/>
                    <w:left w:val="single" w:color="000000" w:sz="4" w:space="0"/>
                    <w:bottom w:val="single" w:color="000000" w:sz="4" w:space="0"/>
                    <w:right w:val="nil"/>
                  </w:tcBorders>
                  <w:noWrap w:val="0"/>
                  <w:vAlign w:val="center"/>
                </w:tcPr>
                <w:p w14:paraId="64E7555D">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Ⅲ</w:t>
                  </w:r>
                </w:p>
              </w:tc>
            </w:tr>
            <w:tr w14:paraId="5452E79F">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0" w:type="pct"/>
                  <w:tcBorders>
                    <w:top w:val="single" w:color="000000" w:sz="4" w:space="0"/>
                    <w:left w:val="nil"/>
                    <w:bottom w:val="single" w:color="000000" w:sz="4" w:space="0"/>
                    <w:right w:val="single" w:color="000000" w:sz="4" w:space="0"/>
                  </w:tcBorders>
                  <w:noWrap w:val="0"/>
                  <w:vAlign w:val="center"/>
                </w:tcPr>
                <w:p w14:paraId="354B4B91">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环境高敏感区（E2</w:t>
                  </w:r>
                  <w:r>
                    <w:rPr>
                      <w:rFonts w:hint="default" w:ascii="Times New Roman" w:hAnsi="Times New Roman" w:eastAsia="宋体" w:cs="Times New Roman"/>
                      <w:color w:val="auto"/>
                      <w:spacing w:val="0"/>
                      <w:kern w:val="0"/>
                      <w:position w:val="0"/>
                      <w:sz w:val="21"/>
                      <w:szCs w:val="21"/>
                      <w:highlight w:val="none"/>
                      <w:lang w:val="en-US" w:eastAsia="zh-CN" w:bidi="ar"/>
                    </w:rPr>
                    <w:t>）</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187BBD88">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Ⅳ</w:t>
                  </w:r>
                </w:p>
              </w:tc>
              <w:tc>
                <w:tcPr>
                  <w:tcW w:w="982" w:type="pct"/>
                  <w:tcBorders>
                    <w:top w:val="single" w:color="000000" w:sz="4" w:space="0"/>
                    <w:left w:val="single" w:color="000000" w:sz="4" w:space="0"/>
                    <w:bottom w:val="single" w:color="000000" w:sz="4" w:space="0"/>
                    <w:right w:val="single" w:color="000000" w:sz="4" w:space="0"/>
                  </w:tcBorders>
                  <w:noWrap w:val="0"/>
                  <w:vAlign w:val="center"/>
                </w:tcPr>
                <w:p w14:paraId="6216B13A">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Ⅲ</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22BBD47D">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Ⅲ</w:t>
                  </w:r>
                </w:p>
              </w:tc>
              <w:tc>
                <w:tcPr>
                  <w:tcW w:w="983" w:type="pct"/>
                  <w:tcBorders>
                    <w:top w:val="single" w:color="000000" w:sz="4" w:space="0"/>
                    <w:left w:val="single" w:color="000000" w:sz="4" w:space="0"/>
                    <w:bottom w:val="single" w:color="000000" w:sz="4" w:space="0"/>
                    <w:right w:val="nil"/>
                  </w:tcBorders>
                  <w:noWrap w:val="0"/>
                  <w:vAlign w:val="center"/>
                </w:tcPr>
                <w:p w14:paraId="01626CBD">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Ⅱ</w:t>
                  </w:r>
                </w:p>
              </w:tc>
            </w:tr>
            <w:tr w14:paraId="76E2F830">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0" w:type="pct"/>
                  <w:tcBorders>
                    <w:top w:val="single" w:color="000000" w:sz="4" w:space="0"/>
                    <w:left w:val="nil"/>
                    <w:bottom w:val="single" w:color="000000" w:sz="4" w:space="0"/>
                    <w:right w:val="single" w:color="000000" w:sz="4" w:space="0"/>
                  </w:tcBorders>
                  <w:noWrap w:val="0"/>
                  <w:vAlign w:val="center"/>
                </w:tcPr>
                <w:p w14:paraId="096773C1">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环境高敏感区（E3</w:t>
                  </w:r>
                  <w:r>
                    <w:rPr>
                      <w:rFonts w:hint="default" w:ascii="Times New Roman" w:hAnsi="Times New Roman" w:eastAsia="宋体" w:cs="Times New Roman"/>
                      <w:color w:val="auto"/>
                      <w:spacing w:val="0"/>
                      <w:kern w:val="0"/>
                      <w:position w:val="0"/>
                      <w:sz w:val="21"/>
                      <w:szCs w:val="21"/>
                      <w:highlight w:val="none"/>
                      <w:lang w:val="en-US" w:eastAsia="zh-CN" w:bidi="ar"/>
                    </w:rPr>
                    <w:t>）</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57A94F3D">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Ⅲ</w:t>
                  </w:r>
                </w:p>
              </w:tc>
              <w:tc>
                <w:tcPr>
                  <w:tcW w:w="982" w:type="pct"/>
                  <w:tcBorders>
                    <w:top w:val="single" w:color="000000" w:sz="4" w:space="0"/>
                    <w:left w:val="single" w:color="000000" w:sz="4" w:space="0"/>
                    <w:bottom w:val="single" w:color="000000" w:sz="4" w:space="0"/>
                    <w:right w:val="single" w:color="000000" w:sz="4" w:space="0"/>
                  </w:tcBorders>
                  <w:noWrap w:val="0"/>
                  <w:vAlign w:val="center"/>
                </w:tcPr>
                <w:p w14:paraId="752B082F">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Ⅲ</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14:paraId="3ADE35F3">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Ⅱ</w:t>
                  </w:r>
                </w:p>
              </w:tc>
              <w:tc>
                <w:tcPr>
                  <w:tcW w:w="983" w:type="pct"/>
                  <w:tcBorders>
                    <w:top w:val="single" w:color="000000" w:sz="4" w:space="0"/>
                    <w:left w:val="single" w:color="000000" w:sz="4" w:space="0"/>
                    <w:bottom w:val="single" w:color="000000" w:sz="4" w:space="0"/>
                    <w:right w:val="nil"/>
                  </w:tcBorders>
                  <w:noWrap w:val="0"/>
                  <w:vAlign w:val="center"/>
                </w:tcPr>
                <w:p w14:paraId="34F06B34">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Ⅰ</w:t>
                  </w:r>
                </w:p>
              </w:tc>
            </w:tr>
            <w:tr w14:paraId="62DF7BC4">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000" w:type="pct"/>
                  <w:gridSpan w:val="5"/>
                  <w:tcBorders>
                    <w:top w:val="single" w:color="000000" w:sz="4" w:space="0"/>
                    <w:left w:val="nil"/>
                    <w:bottom w:val="single" w:color="000000" w:sz="12" w:space="0"/>
                    <w:right w:val="nil"/>
                  </w:tcBorders>
                  <w:noWrap w:val="0"/>
                  <w:vAlign w:val="center"/>
                </w:tcPr>
                <w:p w14:paraId="75424D11">
                  <w:pPr>
                    <w:pStyle w:val="24"/>
                    <w:keepNext w:val="0"/>
                    <w:keepLines w:val="0"/>
                    <w:pageBreakBefore w:val="0"/>
                    <w:widowControl w:val="0"/>
                    <w:suppressLineNumbers w:val="0"/>
                    <w:shd w:val="clear"/>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val="en-US" w:eastAsia="zh-CN" w:bidi="ar"/>
                    </w:rPr>
                    <w:t>注：Ⅳ</w:t>
                  </w:r>
                  <w:r>
                    <w:rPr>
                      <w:rFonts w:hint="default" w:ascii="Times New Roman" w:hAnsi="Times New Roman" w:cs="Times New Roman"/>
                      <w:color w:val="auto"/>
                      <w:spacing w:val="0"/>
                      <w:kern w:val="0"/>
                      <w:position w:val="0"/>
                      <w:sz w:val="21"/>
                      <w:szCs w:val="21"/>
                      <w:highlight w:val="none"/>
                      <w:vertAlign w:val="superscript"/>
                      <w:lang w:val="en-US" w:eastAsia="zh-CN" w:bidi="ar"/>
                    </w:rPr>
                    <w:t>+</w:t>
                  </w:r>
                  <w:r>
                    <w:rPr>
                      <w:rFonts w:hint="default" w:ascii="Times New Roman" w:hAnsi="Times New Roman" w:cs="Times New Roman"/>
                      <w:color w:val="auto"/>
                      <w:spacing w:val="0"/>
                      <w:kern w:val="0"/>
                      <w:position w:val="0"/>
                      <w:sz w:val="21"/>
                      <w:szCs w:val="21"/>
                      <w:highlight w:val="none"/>
                      <w:lang w:val="en-US" w:eastAsia="zh-CN" w:bidi="ar"/>
                    </w:rPr>
                    <w:t>为极高环境风险</w:t>
                  </w:r>
                </w:p>
              </w:tc>
            </w:tr>
          </w:tbl>
          <w:p w14:paraId="5CE04B02">
            <w:pPr>
              <w:pStyle w:val="13"/>
              <w:keepNext w:val="0"/>
              <w:keepLines w:val="0"/>
              <w:pageBreakBefore w:val="0"/>
              <w:widowControl/>
              <w:shd w:val="clear"/>
              <w:kinsoku/>
              <w:wordWrap/>
              <w:overflowPunct/>
              <w:topLinePunct w:val="0"/>
              <w:autoSpaceDE/>
              <w:autoSpaceDN/>
              <w:bidi w:val="0"/>
              <w:adjustRightInd/>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eastAsia="zh-CN"/>
              </w:rPr>
              <w:t>②</w:t>
            </w:r>
            <w:r>
              <w:rPr>
                <w:rFonts w:hint="default" w:ascii="Times New Roman" w:hAnsi="Times New Roman" w:cs="Times New Roman"/>
                <w:color w:val="auto"/>
                <w:spacing w:val="0"/>
                <w:position w:val="0"/>
                <w:sz w:val="24"/>
                <w:szCs w:val="24"/>
                <w:highlight w:val="none"/>
              </w:rPr>
              <w:t>危险物质及工艺系统危险性（P）的分级确定</w:t>
            </w:r>
          </w:p>
          <w:p w14:paraId="3FF6E289">
            <w:pPr>
              <w:pStyle w:val="13"/>
              <w:keepNext w:val="0"/>
              <w:keepLines w:val="0"/>
              <w:pageBreakBefore w:val="0"/>
              <w:widowControl/>
              <w:shd w:val="clear"/>
              <w:kinsoku/>
              <w:wordWrap/>
              <w:overflowPunct/>
              <w:topLinePunct w:val="0"/>
              <w:autoSpaceDE/>
              <w:autoSpaceDN/>
              <w:bidi w:val="0"/>
              <w:adjustRightInd/>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危险物质数量与临界量比值（Q）：</w:t>
            </w:r>
          </w:p>
          <w:p w14:paraId="185724C1">
            <w:pPr>
              <w:pStyle w:val="13"/>
              <w:keepNext w:val="0"/>
              <w:keepLines w:val="0"/>
              <w:pageBreakBefore w:val="0"/>
              <w:widowControl/>
              <w:shd w:val="clear"/>
              <w:kinsoku/>
              <w:wordWrap/>
              <w:overflowPunct/>
              <w:topLinePunct w:val="0"/>
              <w:autoSpaceDE/>
              <w:autoSpaceDN/>
              <w:bidi w:val="0"/>
              <w:adjustRightInd/>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按照《建设项目环境风险评价技术导则》（HJ169-2018）附录B，结合各种物质的理化性质及毒理毒性，可识别出</w:t>
            </w:r>
            <w:r>
              <w:rPr>
                <w:rFonts w:hint="default" w:ascii="Times New Roman" w:hAnsi="Times New Roman" w:cs="Times New Roman"/>
                <w:color w:val="auto"/>
                <w:spacing w:val="0"/>
                <w:position w:val="0"/>
                <w:sz w:val="24"/>
                <w:szCs w:val="24"/>
                <w:highlight w:val="none"/>
                <w:lang w:eastAsia="zh-CN"/>
              </w:rPr>
              <w:t>本项目</w:t>
            </w:r>
            <w:r>
              <w:rPr>
                <w:rFonts w:hint="default" w:ascii="Times New Roman" w:hAnsi="Times New Roman" w:cs="Times New Roman"/>
                <w:color w:val="auto"/>
                <w:spacing w:val="0"/>
                <w:position w:val="0"/>
                <w:sz w:val="24"/>
                <w:szCs w:val="24"/>
                <w:highlight w:val="none"/>
              </w:rPr>
              <w:t>的危险物质及临界量。根据下式计算危险物质及临界量的比值Q：</w:t>
            </w:r>
          </w:p>
          <w:p w14:paraId="08D90A41">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4"/>
                <w:szCs w:val="24"/>
                <w:highlight w:val="none"/>
                <w:lang w:eastAsia="zh-CN"/>
              </w:rPr>
            </w:pPr>
            <w:r>
              <w:rPr>
                <w:rFonts w:hint="default" w:ascii="Times New Roman" w:hAnsi="Times New Roman" w:eastAsia="宋体" w:cs="Times New Roman"/>
                <w:color w:val="auto"/>
                <w:spacing w:val="0"/>
                <w:position w:val="0"/>
                <w:sz w:val="24"/>
                <w:szCs w:val="24"/>
                <w:highlight w:val="none"/>
                <w:lang w:eastAsia="zh-CN"/>
              </w:rPr>
              <w:drawing>
                <wp:inline distT="0" distB="0" distL="114300" distR="114300">
                  <wp:extent cx="2173605" cy="708025"/>
                  <wp:effectExtent l="0" t="0" r="17145" b="15875"/>
                  <wp:docPr id="10" name="图片 17" descr="b564658b733577140220b8830d21c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descr="b564658b733577140220b8830d21c88"/>
                          <pic:cNvPicPr>
                            <a:picLocks noChangeAspect="1"/>
                          </pic:cNvPicPr>
                        </pic:nvPicPr>
                        <pic:blipFill>
                          <a:blip r:embed="rId15"/>
                          <a:stretch>
                            <a:fillRect/>
                          </a:stretch>
                        </pic:blipFill>
                        <pic:spPr>
                          <a:xfrm>
                            <a:off x="0" y="0"/>
                            <a:ext cx="2173605" cy="708025"/>
                          </a:xfrm>
                          <a:prstGeom prst="rect">
                            <a:avLst/>
                          </a:prstGeom>
                          <a:noFill/>
                          <a:ln>
                            <a:noFill/>
                          </a:ln>
                        </pic:spPr>
                      </pic:pic>
                    </a:graphicData>
                  </a:graphic>
                </wp:inline>
              </w:drawing>
            </w:r>
          </w:p>
          <w:p w14:paraId="0382C82F">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式中：q</w:t>
            </w:r>
            <w:r>
              <w:rPr>
                <w:rFonts w:hint="default" w:ascii="Times New Roman" w:hAnsi="Times New Roman" w:cs="Times New Roman"/>
                <w:color w:val="auto"/>
                <w:spacing w:val="0"/>
                <w:position w:val="0"/>
                <w:sz w:val="24"/>
                <w:szCs w:val="24"/>
                <w:highlight w:val="none"/>
                <w:vertAlign w:val="subscript"/>
              </w:rPr>
              <w:t>1</w:t>
            </w:r>
            <w:r>
              <w:rPr>
                <w:rFonts w:hint="default" w:ascii="Times New Roman" w:hAnsi="Times New Roman" w:cs="Times New Roman"/>
                <w:color w:val="auto"/>
                <w:spacing w:val="0"/>
                <w:position w:val="0"/>
                <w:sz w:val="24"/>
                <w:szCs w:val="24"/>
                <w:highlight w:val="none"/>
              </w:rPr>
              <w:t>，q</w:t>
            </w:r>
            <w:r>
              <w:rPr>
                <w:rFonts w:hint="default" w:ascii="Times New Roman" w:hAnsi="Times New Roman" w:cs="Times New Roman"/>
                <w:color w:val="auto"/>
                <w:spacing w:val="0"/>
                <w:position w:val="0"/>
                <w:sz w:val="24"/>
                <w:szCs w:val="24"/>
                <w:highlight w:val="none"/>
                <w:vertAlign w:val="subscript"/>
              </w:rPr>
              <w:t>2</w:t>
            </w:r>
            <w:r>
              <w:rPr>
                <w:rFonts w:hint="default" w:ascii="Times New Roman" w:hAnsi="Times New Roman" w:cs="Times New Roman"/>
                <w:color w:val="auto"/>
                <w:spacing w:val="0"/>
                <w:position w:val="0"/>
                <w:sz w:val="24"/>
                <w:szCs w:val="24"/>
                <w:highlight w:val="none"/>
              </w:rPr>
              <w:t>，…，q</w:t>
            </w:r>
            <w:r>
              <w:rPr>
                <w:rFonts w:hint="default" w:ascii="Times New Roman" w:hAnsi="Times New Roman" w:cs="Times New Roman"/>
                <w:color w:val="auto"/>
                <w:spacing w:val="0"/>
                <w:position w:val="0"/>
                <w:sz w:val="24"/>
                <w:szCs w:val="24"/>
                <w:highlight w:val="none"/>
                <w:vertAlign w:val="subscript"/>
              </w:rPr>
              <w:t>n</w:t>
            </w:r>
            <w:r>
              <w:rPr>
                <w:rFonts w:hint="default" w:ascii="Times New Roman" w:hAnsi="Times New Roman" w:cs="Times New Roman"/>
                <w:color w:val="auto"/>
                <w:spacing w:val="0"/>
                <w:position w:val="0"/>
                <w:sz w:val="24"/>
                <w:szCs w:val="24"/>
                <w:highlight w:val="none"/>
              </w:rPr>
              <w:t xml:space="preserve">——每种危险物质的最大存在总量，t； </w:t>
            </w:r>
          </w:p>
          <w:p w14:paraId="2A7CF76B">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1200" w:firstLineChars="5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Q</w:t>
            </w:r>
            <w:r>
              <w:rPr>
                <w:rFonts w:hint="default" w:ascii="Times New Roman" w:hAnsi="Times New Roman" w:cs="Times New Roman"/>
                <w:color w:val="auto"/>
                <w:spacing w:val="0"/>
                <w:position w:val="0"/>
                <w:sz w:val="24"/>
                <w:szCs w:val="24"/>
                <w:highlight w:val="none"/>
                <w:vertAlign w:val="subscript"/>
              </w:rPr>
              <w:t>1</w:t>
            </w:r>
            <w:r>
              <w:rPr>
                <w:rFonts w:hint="default" w:ascii="Times New Roman" w:hAnsi="Times New Roman" w:cs="Times New Roman"/>
                <w:color w:val="auto"/>
                <w:spacing w:val="0"/>
                <w:position w:val="0"/>
                <w:sz w:val="24"/>
                <w:szCs w:val="24"/>
                <w:highlight w:val="none"/>
              </w:rPr>
              <w:t>，Q</w:t>
            </w:r>
            <w:r>
              <w:rPr>
                <w:rFonts w:hint="default" w:ascii="Times New Roman" w:hAnsi="Times New Roman" w:cs="Times New Roman"/>
                <w:color w:val="auto"/>
                <w:spacing w:val="0"/>
                <w:position w:val="0"/>
                <w:sz w:val="24"/>
                <w:szCs w:val="24"/>
                <w:highlight w:val="none"/>
                <w:vertAlign w:val="subscript"/>
              </w:rPr>
              <w:t>2</w:t>
            </w:r>
            <w:r>
              <w:rPr>
                <w:rFonts w:hint="default" w:ascii="Times New Roman" w:hAnsi="Times New Roman" w:cs="Times New Roman"/>
                <w:color w:val="auto"/>
                <w:spacing w:val="0"/>
                <w:position w:val="0"/>
                <w:sz w:val="24"/>
                <w:szCs w:val="24"/>
                <w:highlight w:val="none"/>
              </w:rPr>
              <w:t>，…，Q</w:t>
            </w:r>
            <w:r>
              <w:rPr>
                <w:rFonts w:hint="default" w:ascii="Times New Roman" w:hAnsi="Times New Roman" w:cs="Times New Roman"/>
                <w:color w:val="auto"/>
                <w:spacing w:val="0"/>
                <w:position w:val="0"/>
                <w:sz w:val="24"/>
                <w:szCs w:val="24"/>
                <w:highlight w:val="none"/>
                <w:vertAlign w:val="subscript"/>
              </w:rPr>
              <w:t>n</w:t>
            </w:r>
            <w:r>
              <w:rPr>
                <w:rFonts w:hint="default" w:ascii="Times New Roman" w:hAnsi="Times New Roman" w:cs="Times New Roman"/>
                <w:color w:val="auto"/>
                <w:spacing w:val="0"/>
                <w:position w:val="0"/>
                <w:sz w:val="24"/>
                <w:szCs w:val="24"/>
                <w:highlight w:val="none"/>
              </w:rPr>
              <w:t>——每种危险物质的临界量，t。</w:t>
            </w:r>
          </w:p>
          <w:p w14:paraId="1C11FD50">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当 Q＜1 时，该项目环境风险潜势为Ⅰ。</w:t>
            </w:r>
          </w:p>
          <w:p w14:paraId="1B672860">
            <w:pPr>
              <w:pStyle w:val="23"/>
              <w:keepNext w:val="0"/>
              <w:keepLines w:val="0"/>
              <w:pageBreakBefore w:val="0"/>
              <w:widowControl w:val="0"/>
              <w:shd w:val="clear"/>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当Q≥1时，将Q值划分为：（1）1≤Q＜10；（2）10≤Q＜100；（3）Q≥100</w:t>
            </w:r>
          </w:p>
          <w:p w14:paraId="7C5D9943">
            <w:pPr>
              <w:keepNext w:val="0"/>
              <w:keepLines w:val="0"/>
              <w:pageBreakBefore w:val="0"/>
              <w:widowControl w:val="0"/>
              <w:suppressLineNumbers w:val="0"/>
              <w:shd w:val="clear"/>
              <w:kinsoku/>
              <w:topLinePunct w:val="0"/>
              <w:bidi w:val="0"/>
              <w:adjustRightInd w:val="0"/>
              <w:snapToGrid w:val="0"/>
              <w:spacing w:beforeAutospacing="0" w:afterAutospacing="0" w:line="240" w:lineRule="auto"/>
              <w:ind w:left="0" w:leftChars="0" w:right="0" w:rightChars="0" w:firstLine="422" w:firstLineChars="200"/>
              <w:jc w:val="center"/>
              <w:rPr>
                <w:rFonts w:hint="default" w:ascii="Times New Roman" w:hAnsi="Times New Roman" w:cs="Times New Roman"/>
                <w:b/>
                <w:bCs w:val="0"/>
                <w:color w:val="auto"/>
                <w:spacing w:val="0"/>
                <w:kern w:val="2"/>
                <w:position w:val="0"/>
                <w:sz w:val="21"/>
                <w:szCs w:val="21"/>
                <w:highlight w:val="none"/>
              </w:rPr>
            </w:pPr>
            <w:r>
              <w:rPr>
                <w:rFonts w:hint="default" w:ascii="Times New Roman" w:hAnsi="Times New Roman" w:eastAsia="宋体" w:cs="Times New Roman"/>
                <w:b/>
                <w:bCs w:val="0"/>
                <w:color w:val="auto"/>
                <w:spacing w:val="0"/>
                <w:kern w:val="2"/>
                <w:position w:val="0"/>
                <w:sz w:val="21"/>
                <w:szCs w:val="21"/>
                <w:highlight w:val="none"/>
                <w:lang w:val="en-US" w:eastAsia="zh-CN" w:bidi="ar"/>
              </w:rPr>
              <w:t>表</w:t>
            </w:r>
            <w:r>
              <w:rPr>
                <w:rFonts w:hint="default" w:ascii="Times New Roman" w:hAnsi="Times New Roman" w:cs="Times New Roman"/>
                <w:b/>
                <w:bCs w:val="0"/>
                <w:color w:val="auto"/>
                <w:spacing w:val="0"/>
                <w:kern w:val="2"/>
                <w:position w:val="0"/>
                <w:sz w:val="21"/>
                <w:szCs w:val="21"/>
                <w:highlight w:val="none"/>
                <w:lang w:val="en-US" w:eastAsia="zh-CN" w:bidi="ar"/>
              </w:rPr>
              <w:t xml:space="preserve">4-15   </w:t>
            </w:r>
            <w:r>
              <w:rPr>
                <w:rFonts w:hint="default" w:ascii="Times New Roman" w:hAnsi="Times New Roman" w:eastAsia="宋体" w:cs="Times New Roman"/>
                <w:b/>
                <w:bCs w:val="0"/>
                <w:color w:val="auto"/>
                <w:spacing w:val="0"/>
                <w:kern w:val="2"/>
                <w:position w:val="0"/>
                <w:sz w:val="21"/>
                <w:szCs w:val="21"/>
                <w:highlight w:val="none"/>
                <w:lang w:val="en-US" w:eastAsia="zh-CN" w:bidi="ar"/>
              </w:rPr>
              <w:t>危险物质生产单元及贮存单元物质量一览表</w:t>
            </w:r>
          </w:p>
          <w:tbl>
            <w:tblPr>
              <w:tblStyle w:val="25"/>
              <w:tblW w:w="4995" w:type="pct"/>
              <w:jc w:val="center"/>
              <w:tblBorders>
                <w:top w:val="single" w:color="000000" w:sz="12" w:space="0"/>
                <w:left w:val="none" w:color="auto" w:sz="0" w:space="0"/>
                <w:bottom w:val="single" w:color="000000" w:sz="12" w:space="0"/>
                <w:right w:val="none" w:color="auto" w:sz="0" w:space="0"/>
                <w:insideH w:val="single" w:color="000000" w:sz="12" w:space="0"/>
                <w:insideV w:val="single" w:color="000000" w:sz="4" w:space="0"/>
              </w:tblBorders>
              <w:tblLayout w:type="fixed"/>
              <w:tblCellMar>
                <w:top w:w="0" w:type="dxa"/>
                <w:left w:w="0" w:type="dxa"/>
                <w:bottom w:w="0" w:type="dxa"/>
                <w:right w:w="0" w:type="dxa"/>
              </w:tblCellMar>
            </w:tblPr>
            <w:tblGrid>
              <w:gridCol w:w="544"/>
              <w:gridCol w:w="1631"/>
              <w:gridCol w:w="1205"/>
              <w:gridCol w:w="1330"/>
              <w:gridCol w:w="1330"/>
              <w:gridCol w:w="1330"/>
            </w:tblGrid>
            <w:tr w14:paraId="338A6289">
              <w:tblPrEx>
                <w:tblBorders>
                  <w:top w:val="single" w:color="000000" w:sz="12" w:space="0"/>
                  <w:left w:val="none" w:color="auto" w:sz="0" w:space="0"/>
                  <w:bottom w:val="single" w:color="000000" w:sz="12" w:space="0"/>
                  <w:right w:val="none" w:color="auto" w:sz="0" w:space="0"/>
                  <w:insideH w:val="single" w:color="000000" w:sz="12" w:space="0"/>
                  <w:insideV w:val="single" w:color="000000" w:sz="4" w:space="0"/>
                </w:tblBorders>
                <w:tblCellMar>
                  <w:top w:w="0" w:type="dxa"/>
                  <w:left w:w="0" w:type="dxa"/>
                  <w:bottom w:w="0" w:type="dxa"/>
                  <w:right w:w="0" w:type="dxa"/>
                </w:tblCellMar>
              </w:tblPrEx>
              <w:trPr>
                <w:trHeight w:val="340" w:hRule="atLeast"/>
                <w:jc w:val="center"/>
              </w:trPr>
              <w:tc>
                <w:tcPr>
                  <w:tcW w:w="369" w:type="pct"/>
                  <w:tcBorders>
                    <w:tl2br w:val="nil"/>
                    <w:tr2bl w:val="nil"/>
                  </w:tcBorders>
                  <w:noWrap w:val="0"/>
                  <w:vAlign w:val="center"/>
                </w:tcPr>
                <w:p w14:paraId="7252C1BD">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b/>
                      <w:bCs/>
                      <w:color w:val="auto"/>
                      <w:spacing w:val="0"/>
                      <w:kern w:val="2"/>
                      <w:position w:val="0"/>
                      <w:sz w:val="21"/>
                      <w:szCs w:val="21"/>
                      <w:highlight w:val="none"/>
                    </w:rPr>
                  </w:pPr>
                  <w:r>
                    <w:rPr>
                      <w:rFonts w:hint="default" w:ascii="Times New Roman" w:hAnsi="Times New Roman" w:cs="Times New Roman"/>
                      <w:b/>
                      <w:bCs/>
                      <w:color w:val="auto"/>
                      <w:spacing w:val="0"/>
                      <w:kern w:val="2"/>
                      <w:position w:val="0"/>
                      <w:sz w:val="21"/>
                      <w:szCs w:val="21"/>
                      <w:highlight w:val="none"/>
                    </w:rPr>
                    <w:t>序号</w:t>
                  </w:r>
                </w:p>
              </w:tc>
              <w:tc>
                <w:tcPr>
                  <w:tcW w:w="1106" w:type="pct"/>
                  <w:tcBorders>
                    <w:tl2br w:val="nil"/>
                    <w:tr2bl w:val="nil"/>
                  </w:tcBorders>
                  <w:noWrap w:val="0"/>
                  <w:vAlign w:val="center"/>
                </w:tcPr>
                <w:p w14:paraId="2660A27A">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b/>
                      <w:bCs/>
                      <w:color w:val="auto"/>
                      <w:spacing w:val="0"/>
                      <w:kern w:val="2"/>
                      <w:position w:val="0"/>
                      <w:sz w:val="21"/>
                      <w:szCs w:val="21"/>
                      <w:highlight w:val="none"/>
                    </w:rPr>
                  </w:pPr>
                  <w:r>
                    <w:rPr>
                      <w:rFonts w:hint="default" w:ascii="Times New Roman" w:hAnsi="Times New Roman" w:cs="Times New Roman"/>
                      <w:b/>
                      <w:bCs/>
                      <w:color w:val="auto"/>
                      <w:spacing w:val="0"/>
                      <w:kern w:val="2"/>
                      <w:position w:val="0"/>
                      <w:sz w:val="21"/>
                      <w:szCs w:val="21"/>
                      <w:highlight w:val="none"/>
                    </w:rPr>
                    <w:t>物质名称</w:t>
                  </w:r>
                </w:p>
              </w:tc>
              <w:tc>
                <w:tcPr>
                  <w:tcW w:w="817" w:type="pct"/>
                  <w:tcBorders>
                    <w:tl2br w:val="nil"/>
                    <w:tr2bl w:val="nil"/>
                  </w:tcBorders>
                  <w:noWrap w:val="0"/>
                  <w:vAlign w:val="center"/>
                </w:tcPr>
                <w:p w14:paraId="69FCC551">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b/>
                      <w:bCs/>
                      <w:color w:val="auto"/>
                      <w:spacing w:val="0"/>
                      <w:kern w:val="2"/>
                      <w:position w:val="0"/>
                      <w:sz w:val="21"/>
                      <w:szCs w:val="21"/>
                      <w:highlight w:val="none"/>
                    </w:rPr>
                  </w:pPr>
                  <w:r>
                    <w:rPr>
                      <w:rFonts w:hint="default" w:ascii="Times New Roman" w:hAnsi="Times New Roman" w:cs="Times New Roman"/>
                      <w:b/>
                      <w:bCs/>
                      <w:color w:val="auto"/>
                      <w:spacing w:val="0"/>
                      <w:kern w:val="2"/>
                      <w:position w:val="0"/>
                      <w:sz w:val="21"/>
                      <w:szCs w:val="21"/>
                      <w:highlight w:val="none"/>
                    </w:rPr>
                    <w:t>储存量（t</w:t>
                  </w:r>
                  <w:r>
                    <w:rPr>
                      <w:rFonts w:hint="default" w:ascii="Times New Roman" w:hAnsi="Times New Roman" w:eastAsia="宋体" w:cs="Times New Roman"/>
                      <w:b/>
                      <w:bCs/>
                      <w:color w:val="auto"/>
                      <w:spacing w:val="0"/>
                      <w:kern w:val="2"/>
                      <w:position w:val="0"/>
                      <w:sz w:val="21"/>
                      <w:szCs w:val="21"/>
                      <w:highlight w:val="none"/>
                    </w:rPr>
                    <w:t>）</w:t>
                  </w:r>
                </w:p>
              </w:tc>
              <w:tc>
                <w:tcPr>
                  <w:tcW w:w="902" w:type="pct"/>
                  <w:tcBorders>
                    <w:tl2br w:val="nil"/>
                    <w:tr2bl w:val="nil"/>
                  </w:tcBorders>
                  <w:noWrap w:val="0"/>
                  <w:vAlign w:val="center"/>
                </w:tcPr>
                <w:p w14:paraId="02E1B2A6">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b/>
                      <w:bCs/>
                      <w:color w:val="auto"/>
                      <w:spacing w:val="0"/>
                      <w:kern w:val="2"/>
                      <w:position w:val="0"/>
                      <w:sz w:val="21"/>
                      <w:szCs w:val="21"/>
                      <w:highlight w:val="none"/>
                    </w:rPr>
                  </w:pPr>
                  <w:r>
                    <w:rPr>
                      <w:rFonts w:hint="default" w:ascii="Times New Roman" w:hAnsi="Times New Roman" w:cs="Times New Roman"/>
                      <w:b/>
                      <w:bCs/>
                      <w:color w:val="auto"/>
                      <w:spacing w:val="0"/>
                      <w:kern w:val="2"/>
                      <w:position w:val="0"/>
                      <w:sz w:val="21"/>
                      <w:szCs w:val="21"/>
                      <w:highlight w:val="none"/>
                    </w:rPr>
                    <w:t>临界量（t</w:t>
                  </w:r>
                  <w:r>
                    <w:rPr>
                      <w:rFonts w:hint="default" w:ascii="Times New Roman" w:hAnsi="Times New Roman" w:eastAsia="宋体" w:cs="Times New Roman"/>
                      <w:b/>
                      <w:bCs/>
                      <w:color w:val="auto"/>
                      <w:spacing w:val="0"/>
                      <w:kern w:val="2"/>
                      <w:position w:val="0"/>
                      <w:sz w:val="21"/>
                      <w:szCs w:val="21"/>
                      <w:highlight w:val="none"/>
                    </w:rPr>
                    <w:t>）</w:t>
                  </w:r>
                </w:p>
              </w:tc>
              <w:tc>
                <w:tcPr>
                  <w:tcW w:w="902" w:type="pct"/>
                  <w:tcBorders>
                    <w:tl2br w:val="nil"/>
                    <w:tr2bl w:val="nil"/>
                  </w:tcBorders>
                  <w:noWrap w:val="0"/>
                  <w:vAlign w:val="center"/>
                </w:tcPr>
                <w:p w14:paraId="335E57DB">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bCs/>
                      <w:color w:val="auto"/>
                      <w:spacing w:val="0"/>
                      <w:kern w:val="2"/>
                      <w:position w:val="0"/>
                      <w:sz w:val="21"/>
                      <w:szCs w:val="21"/>
                      <w:highlight w:val="none"/>
                      <w:lang w:val="en-US" w:eastAsia="zh-CN"/>
                    </w:rPr>
                  </w:pPr>
                  <w:r>
                    <w:rPr>
                      <w:rFonts w:hint="default" w:ascii="Times New Roman" w:hAnsi="Times New Roman" w:cs="Times New Roman"/>
                      <w:b/>
                      <w:bCs/>
                      <w:color w:val="auto"/>
                      <w:spacing w:val="0"/>
                      <w:kern w:val="2"/>
                      <w:position w:val="0"/>
                      <w:sz w:val="21"/>
                      <w:szCs w:val="21"/>
                      <w:highlight w:val="none"/>
                      <w:lang w:val="en-US" w:eastAsia="zh-CN"/>
                    </w:rPr>
                    <w:t>qn/Qn</w:t>
                  </w:r>
                </w:p>
              </w:tc>
              <w:tc>
                <w:tcPr>
                  <w:tcW w:w="902" w:type="pct"/>
                  <w:tcBorders>
                    <w:tl2br w:val="nil"/>
                    <w:tr2bl w:val="nil"/>
                  </w:tcBorders>
                  <w:noWrap w:val="0"/>
                  <w:vAlign w:val="center"/>
                </w:tcPr>
                <w:p w14:paraId="3F57C977">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b/>
                      <w:bCs/>
                      <w:color w:val="auto"/>
                      <w:spacing w:val="0"/>
                      <w:kern w:val="2"/>
                      <w:position w:val="0"/>
                      <w:sz w:val="21"/>
                      <w:szCs w:val="21"/>
                      <w:highlight w:val="none"/>
                      <w:lang w:val="en-US" w:eastAsia="zh-CN"/>
                    </w:rPr>
                  </w:pPr>
                  <w:r>
                    <w:rPr>
                      <w:rFonts w:hint="default" w:ascii="Times New Roman" w:hAnsi="Times New Roman" w:cs="Times New Roman"/>
                      <w:b/>
                      <w:bCs/>
                      <w:color w:val="auto"/>
                      <w:spacing w:val="0"/>
                      <w:kern w:val="2"/>
                      <w:position w:val="0"/>
                      <w:sz w:val="21"/>
                      <w:szCs w:val="21"/>
                      <w:highlight w:val="none"/>
                      <w:lang w:val="en-US" w:eastAsia="zh-CN"/>
                    </w:rPr>
                    <w:t>Q值</w:t>
                  </w:r>
                </w:p>
              </w:tc>
            </w:tr>
            <w:tr w14:paraId="3A89D911">
              <w:tblPrEx>
                <w:tblBorders>
                  <w:top w:val="single" w:color="000000" w:sz="12" w:space="0"/>
                  <w:left w:val="none" w:color="auto" w:sz="0" w:space="0"/>
                  <w:bottom w:val="single" w:color="000000" w:sz="12" w:space="0"/>
                  <w:right w:val="none" w:color="auto" w:sz="0" w:space="0"/>
                  <w:insideH w:val="single" w:color="000000" w:sz="12" w:space="0"/>
                  <w:insideV w:val="single" w:color="000000" w:sz="4" w:space="0"/>
                </w:tblBorders>
                <w:tblCellMar>
                  <w:top w:w="0" w:type="dxa"/>
                  <w:left w:w="0" w:type="dxa"/>
                  <w:bottom w:w="0" w:type="dxa"/>
                  <w:right w:w="0" w:type="dxa"/>
                </w:tblCellMar>
              </w:tblPrEx>
              <w:trPr>
                <w:trHeight w:val="220" w:hRule="atLeast"/>
                <w:jc w:val="center"/>
              </w:trPr>
              <w:tc>
                <w:tcPr>
                  <w:tcW w:w="369" w:type="pct"/>
                  <w:tcBorders>
                    <w:tl2br w:val="nil"/>
                    <w:tr2bl w:val="nil"/>
                  </w:tcBorders>
                  <w:noWrap w:val="0"/>
                  <w:vAlign w:val="center"/>
                </w:tcPr>
                <w:p w14:paraId="63FBFB8A">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color w:val="auto"/>
                      <w:spacing w:val="0"/>
                      <w:kern w:val="2"/>
                      <w:position w:val="0"/>
                      <w:sz w:val="21"/>
                      <w:szCs w:val="21"/>
                      <w:highlight w:val="none"/>
                    </w:rPr>
                  </w:pPr>
                  <w:r>
                    <w:rPr>
                      <w:rFonts w:hint="default" w:ascii="Times New Roman" w:hAnsi="Times New Roman" w:cs="Times New Roman"/>
                      <w:color w:val="auto"/>
                      <w:spacing w:val="0"/>
                      <w:kern w:val="2"/>
                      <w:position w:val="0"/>
                      <w:sz w:val="21"/>
                      <w:szCs w:val="21"/>
                      <w:highlight w:val="none"/>
                    </w:rPr>
                    <w:t>1</w:t>
                  </w:r>
                </w:p>
              </w:tc>
              <w:tc>
                <w:tcPr>
                  <w:tcW w:w="1106" w:type="pct"/>
                  <w:tcBorders>
                    <w:tl2br w:val="nil"/>
                    <w:tr2bl w:val="nil"/>
                  </w:tcBorders>
                  <w:noWrap w:val="0"/>
                  <w:vAlign w:val="center"/>
                </w:tcPr>
                <w:p w14:paraId="0028CD6F">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
                      <w:position w:val="0"/>
                      <w:sz w:val="21"/>
                      <w:szCs w:val="21"/>
                      <w:highlight w:val="none"/>
                      <w:lang w:eastAsia="zh-CN"/>
                    </w:rPr>
                  </w:pPr>
                  <w:r>
                    <w:rPr>
                      <w:rFonts w:hint="default" w:ascii="Times New Roman" w:hAnsi="Times New Roman" w:cs="Times New Roman"/>
                      <w:color w:val="auto"/>
                      <w:spacing w:val="0"/>
                      <w:kern w:val="2"/>
                      <w:position w:val="0"/>
                      <w:sz w:val="21"/>
                      <w:szCs w:val="21"/>
                      <w:highlight w:val="none"/>
                      <w:lang w:eastAsia="zh-CN"/>
                    </w:rPr>
                    <w:t>废机油</w:t>
                  </w:r>
                </w:p>
              </w:tc>
              <w:tc>
                <w:tcPr>
                  <w:tcW w:w="817" w:type="pct"/>
                  <w:tcBorders>
                    <w:tl2br w:val="nil"/>
                    <w:tr2bl w:val="nil"/>
                  </w:tcBorders>
                  <w:noWrap w:val="0"/>
                  <w:vAlign w:val="center"/>
                </w:tcPr>
                <w:p w14:paraId="2A458292">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pacing w:val="0"/>
                      <w:kern w:val="2"/>
                      <w:position w:val="0"/>
                      <w:sz w:val="21"/>
                      <w:szCs w:val="21"/>
                      <w:highlight w:val="none"/>
                      <w:lang w:val="en-US" w:eastAsia="zh-CN"/>
                    </w:rPr>
                  </w:pPr>
                  <w:r>
                    <w:rPr>
                      <w:rFonts w:hint="default" w:ascii="Times New Roman" w:hAnsi="Times New Roman" w:cs="Times New Roman"/>
                      <w:color w:val="auto"/>
                      <w:spacing w:val="0"/>
                      <w:kern w:val="2"/>
                      <w:position w:val="0"/>
                      <w:sz w:val="21"/>
                      <w:szCs w:val="21"/>
                      <w:highlight w:val="none"/>
                      <w:lang w:val="en-US" w:eastAsia="zh-CN"/>
                    </w:rPr>
                    <w:t>0.1</w:t>
                  </w:r>
                </w:p>
              </w:tc>
              <w:tc>
                <w:tcPr>
                  <w:tcW w:w="902" w:type="pct"/>
                  <w:tcBorders>
                    <w:tl2br w:val="nil"/>
                    <w:tr2bl w:val="nil"/>
                  </w:tcBorders>
                  <w:noWrap w:val="0"/>
                  <w:vAlign w:val="center"/>
                </w:tcPr>
                <w:p w14:paraId="452BE5A6">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pacing w:val="0"/>
                      <w:kern w:val="2"/>
                      <w:position w:val="0"/>
                      <w:sz w:val="21"/>
                      <w:szCs w:val="21"/>
                      <w:highlight w:val="none"/>
                      <w:lang w:val="en-US" w:eastAsia="zh-CN"/>
                    </w:rPr>
                  </w:pPr>
                  <w:r>
                    <w:rPr>
                      <w:rFonts w:hint="default" w:ascii="Times New Roman" w:hAnsi="Times New Roman" w:cs="Times New Roman"/>
                      <w:color w:val="auto"/>
                      <w:spacing w:val="0"/>
                      <w:kern w:val="2"/>
                      <w:position w:val="0"/>
                      <w:sz w:val="21"/>
                      <w:szCs w:val="21"/>
                      <w:highlight w:val="none"/>
                      <w:lang w:val="en-US" w:eastAsia="zh-CN"/>
                    </w:rPr>
                    <w:t>2500</w:t>
                  </w:r>
                </w:p>
              </w:tc>
              <w:tc>
                <w:tcPr>
                  <w:tcW w:w="902" w:type="pct"/>
                  <w:tcBorders>
                    <w:tl2br w:val="nil"/>
                    <w:tr2bl w:val="nil"/>
                  </w:tcBorders>
                  <w:noWrap w:val="0"/>
                  <w:vAlign w:val="center"/>
                </w:tcPr>
                <w:p w14:paraId="5D54BD5D">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color w:val="auto"/>
                      <w:spacing w:val="0"/>
                      <w:kern w:val="2"/>
                      <w:position w:val="0"/>
                      <w:sz w:val="21"/>
                      <w:szCs w:val="21"/>
                      <w:highlight w:val="none"/>
                      <w:lang w:val="en-US" w:eastAsia="zh-CN"/>
                    </w:rPr>
                  </w:pPr>
                  <w:r>
                    <w:rPr>
                      <w:rFonts w:hint="default" w:ascii="Times New Roman" w:hAnsi="Times New Roman" w:cs="Times New Roman"/>
                      <w:color w:val="auto"/>
                      <w:spacing w:val="0"/>
                      <w:kern w:val="2"/>
                      <w:position w:val="0"/>
                      <w:sz w:val="21"/>
                      <w:szCs w:val="21"/>
                      <w:highlight w:val="none"/>
                      <w:lang w:val="en-US" w:eastAsia="zh-CN"/>
                    </w:rPr>
                    <w:t>0.00004</w:t>
                  </w:r>
                </w:p>
              </w:tc>
              <w:tc>
                <w:tcPr>
                  <w:tcW w:w="902" w:type="pct"/>
                  <w:tcBorders>
                    <w:tl2br w:val="nil"/>
                    <w:tr2bl w:val="nil"/>
                  </w:tcBorders>
                  <w:noWrap w:val="0"/>
                  <w:vAlign w:val="center"/>
                </w:tcPr>
                <w:p w14:paraId="3E92F3A5">
                  <w:pPr>
                    <w:pStyle w:val="61"/>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cs="Times New Roman"/>
                      <w:color w:val="auto"/>
                      <w:spacing w:val="0"/>
                      <w:kern w:val="2"/>
                      <w:position w:val="0"/>
                      <w:sz w:val="21"/>
                      <w:szCs w:val="21"/>
                      <w:highlight w:val="none"/>
                      <w:lang w:val="en-US" w:eastAsia="zh-CN"/>
                    </w:rPr>
                  </w:pPr>
                  <w:r>
                    <w:rPr>
                      <w:rFonts w:hint="default" w:ascii="Times New Roman" w:hAnsi="Times New Roman" w:cs="Times New Roman"/>
                      <w:color w:val="auto"/>
                      <w:spacing w:val="0"/>
                      <w:kern w:val="2"/>
                      <w:position w:val="0"/>
                      <w:sz w:val="21"/>
                      <w:szCs w:val="21"/>
                      <w:highlight w:val="none"/>
                      <w:lang w:val="en-US" w:eastAsia="zh-CN"/>
                    </w:rPr>
                    <w:t>0.000205</w:t>
                  </w:r>
                </w:p>
              </w:tc>
            </w:tr>
          </w:tbl>
          <w:p w14:paraId="50693D01">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480" w:lineRule="exact"/>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lang w:val="en-US" w:eastAsia="zh-CN"/>
              </w:rPr>
              <w:t>本项目涉及环境风险的物质为废机油</w:t>
            </w:r>
            <w:r>
              <w:rPr>
                <w:rFonts w:hint="default" w:ascii="Times New Roman" w:hAnsi="Times New Roman" w:cs="Times New Roman"/>
                <w:color w:val="auto"/>
                <w:spacing w:val="0"/>
                <w:position w:val="0"/>
                <w:sz w:val="24"/>
                <w:szCs w:val="24"/>
                <w:highlight w:val="none"/>
              </w:rPr>
              <w:t>，</w:t>
            </w:r>
            <w:r>
              <w:rPr>
                <w:rFonts w:hint="default" w:ascii="Times New Roman" w:hAnsi="Times New Roman" w:eastAsia="宋体" w:cs="Times New Roman"/>
                <w:color w:val="auto"/>
                <w:spacing w:val="0"/>
                <w:w w:val="100"/>
                <w:position w:val="0"/>
                <w:sz w:val="24"/>
                <w:szCs w:val="24"/>
                <w:highlight w:val="none"/>
              </w:rPr>
              <w:t>根据《建设项目环境风险评价技术导则》（HJ169-2018）附录B、附录C确定P等级，</w:t>
            </w:r>
            <w:r>
              <w:rPr>
                <w:rFonts w:hint="default" w:ascii="Times New Roman" w:hAnsi="Times New Roman" w:cs="Times New Roman"/>
                <w:color w:val="auto"/>
                <w:spacing w:val="0"/>
                <w:position w:val="0"/>
                <w:sz w:val="24"/>
                <w:highlight w:val="none"/>
                <w:lang w:bidi="ar"/>
              </w:rPr>
              <w:t>经计算，本项目</w:t>
            </w:r>
            <w:r>
              <w:rPr>
                <w:rFonts w:hint="default" w:ascii="Times New Roman" w:hAnsi="Times New Roman" w:cs="Times New Roman"/>
                <w:color w:val="auto"/>
                <w:spacing w:val="0"/>
                <w:position w:val="0"/>
                <w:sz w:val="24"/>
                <w:highlight w:val="none"/>
                <w:lang w:val="en-US" w:eastAsia="zh-CN" w:bidi="ar"/>
              </w:rPr>
              <w:t>0.000205</w:t>
            </w:r>
            <w:r>
              <w:rPr>
                <w:rFonts w:hint="default" w:ascii="Times New Roman" w:hAnsi="Times New Roman" w:cs="Times New Roman"/>
                <w:color w:val="auto"/>
                <w:spacing w:val="0"/>
                <w:position w:val="0"/>
                <w:sz w:val="24"/>
                <w:highlight w:val="none"/>
                <w:lang w:bidi="ar"/>
              </w:rPr>
              <w:t>&lt;Q&lt;1。当Q&lt;1时，该项目环境风险潜势为I。</w:t>
            </w:r>
            <w:r>
              <w:rPr>
                <w:rFonts w:hint="default" w:ascii="Times New Roman" w:hAnsi="Times New Roman" w:eastAsia="宋体" w:cs="Times New Roman"/>
                <w:color w:val="auto"/>
                <w:spacing w:val="0"/>
                <w:position w:val="0"/>
                <w:sz w:val="24"/>
                <w:szCs w:val="24"/>
                <w:highlight w:val="none"/>
              </w:rPr>
              <w:t>只需要进行简单分析。评价工作评价级别判别见表4-1</w:t>
            </w:r>
            <w:r>
              <w:rPr>
                <w:rFonts w:hint="default" w:ascii="Times New Roman" w:hAnsi="Times New Roman" w:cs="Times New Roman"/>
                <w:color w:val="auto"/>
                <w:spacing w:val="0"/>
                <w:position w:val="0"/>
                <w:sz w:val="24"/>
                <w:szCs w:val="24"/>
                <w:highlight w:val="none"/>
                <w:lang w:val="en-US" w:eastAsia="zh-CN"/>
              </w:rPr>
              <w:t>6</w:t>
            </w:r>
            <w:r>
              <w:rPr>
                <w:rFonts w:hint="default" w:ascii="Times New Roman" w:hAnsi="Times New Roman" w:eastAsia="宋体" w:cs="Times New Roman"/>
                <w:color w:val="auto"/>
                <w:spacing w:val="0"/>
                <w:position w:val="0"/>
                <w:sz w:val="24"/>
                <w:szCs w:val="24"/>
                <w:highlight w:val="none"/>
              </w:rPr>
              <w:t>。</w:t>
            </w:r>
          </w:p>
          <w:p w14:paraId="73FC9092">
            <w:pPr>
              <w:pageBreakBefore w:val="0"/>
              <w:shd w:val="clear"/>
              <w:tabs>
                <w:tab w:val="left" w:pos="4608"/>
              </w:tabs>
              <w:kinsoku/>
              <w:wordWrap/>
              <w:overflowPunct/>
              <w:topLinePunct w:val="0"/>
              <w:autoSpaceDE/>
              <w:autoSpaceDN/>
              <w:bidi w:val="0"/>
              <w:spacing w:beforeAutospacing="0" w:afterAutospacing="0" w:line="240" w:lineRule="auto"/>
              <w:ind w:left="0" w:leftChars="0" w:right="0" w:rightChars="0" w:firstLine="422" w:firstLineChars="20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表4-1</w:t>
            </w:r>
            <w:r>
              <w:rPr>
                <w:rFonts w:hint="default" w:ascii="Times New Roman" w:hAnsi="Times New Roman" w:cs="Times New Roman"/>
                <w:b/>
                <w:bCs/>
                <w:color w:val="auto"/>
                <w:spacing w:val="0"/>
                <w:position w:val="0"/>
                <w:sz w:val="21"/>
                <w:szCs w:val="21"/>
                <w:highlight w:val="none"/>
                <w:lang w:val="en-US" w:eastAsia="zh-CN"/>
              </w:rPr>
              <w:t>6</w:t>
            </w:r>
            <w:r>
              <w:rPr>
                <w:rFonts w:hint="default" w:ascii="Times New Roman" w:hAnsi="Times New Roman" w:eastAsia="宋体" w:cs="Times New Roman"/>
                <w:b/>
                <w:bCs/>
                <w:color w:val="auto"/>
                <w:spacing w:val="0"/>
                <w:position w:val="0"/>
                <w:sz w:val="21"/>
                <w:szCs w:val="21"/>
                <w:highlight w:val="none"/>
              </w:rPr>
              <w:t>风险评价等级判定表</w:t>
            </w:r>
          </w:p>
          <w:tbl>
            <w:tblPr>
              <w:tblStyle w:val="25"/>
              <w:tblW w:w="4997"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828"/>
              <w:gridCol w:w="1320"/>
              <w:gridCol w:w="1447"/>
              <w:gridCol w:w="1296"/>
              <w:gridCol w:w="1482"/>
            </w:tblGrid>
            <w:tr w14:paraId="7CA831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39" w:type="pct"/>
                  <w:tcBorders>
                    <w:bottom w:val="single" w:color="000000" w:sz="12" w:space="0"/>
                  </w:tcBorders>
                  <w:noWrap w:val="0"/>
                  <w:vAlign w:val="center"/>
                </w:tcPr>
                <w:p w14:paraId="0C7A0E61">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环境风险潜势</w:t>
                  </w:r>
                </w:p>
              </w:tc>
              <w:tc>
                <w:tcPr>
                  <w:tcW w:w="895" w:type="pct"/>
                  <w:tcBorders>
                    <w:bottom w:val="single" w:color="000000" w:sz="12" w:space="0"/>
                  </w:tcBorders>
                  <w:noWrap w:val="0"/>
                  <w:vAlign w:val="center"/>
                </w:tcPr>
                <w:p w14:paraId="40AE35C5">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VI、VI+</w:t>
                  </w:r>
                </w:p>
              </w:tc>
              <w:tc>
                <w:tcPr>
                  <w:tcW w:w="981" w:type="pct"/>
                  <w:tcBorders>
                    <w:bottom w:val="single" w:color="000000" w:sz="12" w:space="0"/>
                  </w:tcBorders>
                  <w:noWrap w:val="0"/>
                  <w:vAlign w:val="center"/>
                </w:tcPr>
                <w:p w14:paraId="06B26153">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III</w:t>
                  </w:r>
                </w:p>
              </w:tc>
              <w:tc>
                <w:tcPr>
                  <w:tcW w:w="878" w:type="pct"/>
                  <w:tcBorders>
                    <w:bottom w:val="single" w:color="000000" w:sz="12" w:space="0"/>
                  </w:tcBorders>
                  <w:noWrap w:val="0"/>
                  <w:vAlign w:val="center"/>
                </w:tcPr>
                <w:p w14:paraId="2D0D14A5">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II</w:t>
                  </w:r>
                </w:p>
              </w:tc>
              <w:tc>
                <w:tcPr>
                  <w:tcW w:w="1005" w:type="pct"/>
                  <w:tcBorders>
                    <w:bottom w:val="single" w:color="000000" w:sz="12" w:space="0"/>
                  </w:tcBorders>
                  <w:noWrap w:val="0"/>
                  <w:vAlign w:val="center"/>
                </w:tcPr>
                <w:p w14:paraId="682A20A6">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I</w:t>
                  </w:r>
                </w:p>
              </w:tc>
            </w:tr>
            <w:tr w14:paraId="5686F7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239" w:type="pct"/>
                  <w:tcBorders>
                    <w:top w:val="single" w:color="000000" w:sz="12" w:space="0"/>
                    <w:tl2br w:val="nil"/>
                    <w:tr2bl w:val="nil"/>
                  </w:tcBorders>
                  <w:noWrap w:val="0"/>
                  <w:vAlign w:val="center"/>
                </w:tcPr>
                <w:p w14:paraId="69EC5FF4">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环境风险评价等级</w:t>
                  </w:r>
                </w:p>
              </w:tc>
              <w:tc>
                <w:tcPr>
                  <w:tcW w:w="895" w:type="pct"/>
                  <w:tcBorders>
                    <w:top w:val="single" w:color="000000" w:sz="12" w:space="0"/>
                    <w:tl2br w:val="nil"/>
                    <w:tr2bl w:val="nil"/>
                  </w:tcBorders>
                  <w:noWrap w:val="0"/>
                  <w:vAlign w:val="center"/>
                </w:tcPr>
                <w:p w14:paraId="1C87D7E5">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一</w:t>
                  </w:r>
                </w:p>
              </w:tc>
              <w:tc>
                <w:tcPr>
                  <w:tcW w:w="981" w:type="pct"/>
                  <w:tcBorders>
                    <w:top w:val="single" w:color="000000" w:sz="12" w:space="0"/>
                    <w:tl2br w:val="nil"/>
                    <w:tr2bl w:val="nil"/>
                  </w:tcBorders>
                  <w:noWrap w:val="0"/>
                  <w:vAlign w:val="center"/>
                </w:tcPr>
                <w:p w14:paraId="55FADF0D">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二</w:t>
                  </w:r>
                </w:p>
              </w:tc>
              <w:tc>
                <w:tcPr>
                  <w:tcW w:w="878" w:type="pct"/>
                  <w:tcBorders>
                    <w:top w:val="single" w:color="000000" w:sz="12" w:space="0"/>
                    <w:tl2br w:val="nil"/>
                    <w:tr2bl w:val="nil"/>
                  </w:tcBorders>
                  <w:noWrap w:val="0"/>
                  <w:vAlign w:val="center"/>
                </w:tcPr>
                <w:p w14:paraId="7C3BA7EB">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三</w:t>
                  </w:r>
                </w:p>
              </w:tc>
              <w:tc>
                <w:tcPr>
                  <w:tcW w:w="1005" w:type="pct"/>
                  <w:tcBorders>
                    <w:top w:val="single" w:color="000000" w:sz="12" w:space="0"/>
                    <w:tl2br w:val="nil"/>
                    <w:tr2bl w:val="nil"/>
                  </w:tcBorders>
                  <w:noWrap w:val="0"/>
                  <w:vAlign w:val="center"/>
                </w:tcPr>
                <w:p w14:paraId="2B61505D">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简单分析a</w:t>
                  </w:r>
                </w:p>
              </w:tc>
            </w:tr>
            <w:tr w14:paraId="63FBAD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000" w:type="pct"/>
                  <w:gridSpan w:val="5"/>
                  <w:tcBorders>
                    <w:tl2br w:val="nil"/>
                    <w:tr2bl w:val="nil"/>
                  </w:tcBorders>
                  <w:noWrap w:val="0"/>
                  <w:vAlign w:val="center"/>
                </w:tcPr>
                <w:p w14:paraId="1F83C798">
                  <w:pPr>
                    <w:pStyle w:val="50"/>
                    <w:keepNext w:val="0"/>
                    <w:keepLines w:val="0"/>
                    <w:pageBreakBefore w:val="0"/>
                    <w:widowControl w:val="0"/>
                    <w:shd w:val="clea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default"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pacing w:val="0"/>
                      <w:position w:val="0"/>
                      <w:sz w:val="21"/>
                      <w:szCs w:val="21"/>
                      <w:highlight w:val="none"/>
                    </w:rPr>
                    <w:t>a是相对于详细评价工作内容而言，在描述危险物质、环境影响途径、环境危害后果、风险防范措施等方面给出定性的说明。</w:t>
                  </w:r>
                </w:p>
              </w:tc>
            </w:tr>
          </w:tbl>
          <w:p w14:paraId="43CB6492">
            <w:pPr>
              <w:pStyle w:val="8"/>
              <w:pageBreakBefore w:val="0"/>
              <w:widowControl w:val="0"/>
              <w:numPr>
                <w:ilvl w:val="0"/>
                <w:numId w:val="0"/>
              </w:numPr>
              <w:shd w:val="clear"/>
              <w:tabs>
                <w:tab w:val="left" w:pos="1892"/>
              </w:tabs>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6.3</w:t>
            </w:r>
            <w:r>
              <w:rPr>
                <w:rFonts w:hint="default" w:ascii="Times New Roman" w:hAnsi="Times New Roman" w:eastAsia="宋体" w:cs="Times New Roman"/>
                <w:b/>
                <w:bCs/>
                <w:color w:val="auto"/>
                <w:spacing w:val="0"/>
                <w:position w:val="0"/>
                <w:sz w:val="24"/>
                <w:szCs w:val="24"/>
                <w:highlight w:val="none"/>
              </w:rPr>
              <w:t>环境敏感目标调查</w:t>
            </w:r>
          </w:p>
          <w:p w14:paraId="766DDD2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经现场调查，本项目周边评价范围内无环境敏感目标。</w:t>
            </w:r>
          </w:p>
          <w:p w14:paraId="17E598A3">
            <w:pPr>
              <w:pStyle w:val="8"/>
              <w:pageBreakBefore w:val="0"/>
              <w:widowControl w:val="0"/>
              <w:numPr>
                <w:ilvl w:val="0"/>
                <w:numId w:val="0"/>
              </w:numPr>
              <w:shd w:val="clear"/>
              <w:tabs>
                <w:tab w:val="left" w:pos="1952"/>
              </w:tabs>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6.4</w:t>
            </w:r>
            <w:r>
              <w:rPr>
                <w:rFonts w:hint="default" w:ascii="Times New Roman" w:hAnsi="Times New Roman" w:eastAsia="宋体" w:cs="Times New Roman"/>
                <w:b/>
                <w:bCs/>
                <w:color w:val="auto"/>
                <w:spacing w:val="0"/>
                <w:position w:val="0"/>
                <w:sz w:val="24"/>
                <w:szCs w:val="24"/>
                <w:highlight w:val="none"/>
              </w:rPr>
              <w:t>环境风险识别</w:t>
            </w:r>
          </w:p>
          <w:p w14:paraId="678A6DF7">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eastAsia" w:cs="Times New Roman"/>
                <w:color w:val="auto"/>
                <w:spacing w:val="0"/>
                <w:position w:val="0"/>
                <w:sz w:val="24"/>
                <w:szCs w:val="24"/>
                <w:highlight w:val="none"/>
                <w:lang w:val="en-US" w:eastAsia="zh-CN"/>
              </w:rPr>
              <w:t>（1）</w:t>
            </w:r>
            <w:r>
              <w:rPr>
                <w:rFonts w:hint="default" w:ascii="Times New Roman" w:hAnsi="Times New Roman" w:eastAsia="宋体" w:cs="Times New Roman"/>
                <w:color w:val="auto"/>
                <w:spacing w:val="0"/>
                <w:position w:val="0"/>
                <w:sz w:val="24"/>
                <w:szCs w:val="24"/>
                <w:highlight w:val="none"/>
              </w:rPr>
              <w:t>物质危险性识别</w:t>
            </w:r>
          </w:p>
          <w:p w14:paraId="0963CCD5">
            <w:pPr>
              <w:pStyle w:val="13"/>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本项目</w:t>
            </w:r>
            <w:r>
              <w:rPr>
                <w:rFonts w:hint="eastAsia" w:cs="Times New Roman"/>
                <w:color w:val="auto"/>
                <w:spacing w:val="0"/>
                <w:position w:val="0"/>
                <w:sz w:val="24"/>
                <w:szCs w:val="24"/>
                <w:highlight w:val="none"/>
                <w:lang w:val="en-US" w:eastAsia="zh-CN"/>
              </w:rPr>
              <w:t>风险物质为</w:t>
            </w:r>
            <w:r>
              <w:rPr>
                <w:rFonts w:hint="default" w:ascii="Times New Roman" w:hAnsi="Times New Roman" w:cs="Times New Roman"/>
                <w:color w:val="auto"/>
                <w:spacing w:val="0"/>
                <w:position w:val="0"/>
                <w:sz w:val="24"/>
                <w:szCs w:val="24"/>
                <w:highlight w:val="none"/>
                <w:lang w:val="en-US" w:eastAsia="zh-CN"/>
              </w:rPr>
              <w:t>废机油</w:t>
            </w:r>
            <w:r>
              <w:rPr>
                <w:rFonts w:hint="default" w:ascii="Times New Roman" w:hAnsi="Times New Roman" w:eastAsia="宋体" w:cs="Times New Roman"/>
                <w:color w:val="auto"/>
                <w:spacing w:val="0"/>
                <w:position w:val="0"/>
                <w:sz w:val="24"/>
                <w:szCs w:val="24"/>
                <w:highlight w:val="none"/>
              </w:rPr>
              <w:t>，根据《建设项目环境风险评价技术导则》(HJ169-2018)，均不属于《危险化学品重大危险源辨识》（</w:t>
            </w:r>
            <w:r>
              <w:rPr>
                <w:rFonts w:hint="default" w:ascii="Times New Roman" w:hAnsi="Times New Roman" w:eastAsia="宋体" w:cs="Times New Roman"/>
                <w:color w:val="auto"/>
                <w:spacing w:val="0"/>
                <w:position w:val="0"/>
                <w:sz w:val="24"/>
                <w:szCs w:val="24"/>
                <w:highlight w:val="none"/>
                <w:lang w:eastAsia="zh-CN"/>
              </w:rPr>
              <w:t>GB18218-2018</w:t>
            </w:r>
            <w:r>
              <w:rPr>
                <w:rFonts w:hint="default" w:ascii="Times New Roman" w:hAnsi="Times New Roman" w:eastAsia="宋体" w:cs="Times New Roman"/>
                <w:color w:val="auto"/>
                <w:spacing w:val="0"/>
                <w:position w:val="0"/>
                <w:sz w:val="24"/>
                <w:szCs w:val="24"/>
                <w:highlight w:val="none"/>
              </w:rPr>
              <w:t>）中的风险物质，故本项目不存在重大危险源。</w:t>
            </w:r>
          </w:p>
          <w:p w14:paraId="6001F22A">
            <w:pPr>
              <w:pStyle w:val="13"/>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eastAsia" w:cs="Times New Roman"/>
                <w:color w:val="auto"/>
                <w:spacing w:val="0"/>
                <w:position w:val="0"/>
                <w:sz w:val="24"/>
                <w:szCs w:val="24"/>
                <w:highlight w:val="none"/>
                <w:lang w:val="en-US" w:eastAsia="zh-CN"/>
              </w:rPr>
              <w:t>（2）</w:t>
            </w:r>
            <w:r>
              <w:rPr>
                <w:rFonts w:hint="default" w:ascii="Times New Roman" w:hAnsi="Times New Roman" w:eastAsia="宋体" w:cs="Times New Roman"/>
                <w:color w:val="auto"/>
                <w:spacing w:val="0"/>
                <w:position w:val="0"/>
                <w:sz w:val="24"/>
                <w:szCs w:val="24"/>
                <w:highlight w:val="none"/>
              </w:rPr>
              <w:t>生产单元潜在危险性识别</w:t>
            </w:r>
          </w:p>
          <w:p w14:paraId="48B67466">
            <w:pPr>
              <w:pStyle w:val="59"/>
              <w:keepNext w:val="0"/>
              <w:keepLines w:val="0"/>
              <w:pageBreakBefore w:val="0"/>
              <w:widowControl w:val="0"/>
              <w:numPr>
                <w:ilvl w:val="0"/>
                <w:numId w:val="0"/>
              </w:numPr>
              <w:shd w:val="clear"/>
              <w:tabs>
                <w:tab w:val="left" w:pos="1950"/>
              </w:tabs>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贮运设施粉料存储筒仓不涉及危险物质。</w:t>
            </w:r>
          </w:p>
          <w:p w14:paraId="180BD4D1">
            <w:pPr>
              <w:pStyle w:val="59"/>
              <w:keepNext w:val="0"/>
              <w:keepLines w:val="0"/>
              <w:pageBreakBefore w:val="0"/>
              <w:widowControl w:val="0"/>
              <w:numPr>
                <w:ilvl w:val="0"/>
                <w:numId w:val="0"/>
              </w:numPr>
              <w:shd w:val="clear"/>
              <w:tabs>
                <w:tab w:val="left" w:pos="1950"/>
              </w:tabs>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①</w:t>
            </w:r>
            <w:r>
              <w:rPr>
                <w:rFonts w:hint="default" w:ascii="Times New Roman" w:hAnsi="Times New Roman" w:eastAsia="宋体" w:cs="Times New Roman"/>
                <w:color w:val="auto"/>
                <w:spacing w:val="0"/>
                <w:position w:val="0"/>
                <w:sz w:val="24"/>
                <w:szCs w:val="24"/>
                <w:highlight w:val="none"/>
              </w:rPr>
              <w:t>生产设施</w:t>
            </w:r>
          </w:p>
          <w:p w14:paraId="27F3FF39">
            <w:pPr>
              <w:pStyle w:val="13"/>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主要工序包括原料上料和搅拌等工序，在生产过程中不涉及危险原料使用，不涉及危险性生产装置。</w:t>
            </w:r>
          </w:p>
          <w:p w14:paraId="01659C89">
            <w:pPr>
              <w:pStyle w:val="59"/>
              <w:keepNext w:val="0"/>
              <w:keepLines w:val="0"/>
              <w:pageBreakBefore w:val="0"/>
              <w:widowControl w:val="0"/>
              <w:numPr>
                <w:ilvl w:val="0"/>
                <w:numId w:val="0"/>
              </w:numPr>
              <w:shd w:val="clear"/>
              <w:tabs>
                <w:tab w:val="left" w:pos="1950"/>
              </w:tabs>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②</w:t>
            </w:r>
            <w:r>
              <w:rPr>
                <w:rFonts w:hint="default" w:ascii="Times New Roman" w:hAnsi="Times New Roman" w:eastAsia="宋体" w:cs="Times New Roman"/>
                <w:color w:val="auto"/>
                <w:spacing w:val="0"/>
                <w:position w:val="0"/>
                <w:sz w:val="24"/>
                <w:szCs w:val="24"/>
                <w:highlight w:val="none"/>
              </w:rPr>
              <w:t>环保处置措施失效</w:t>
            </w:r>
          </w:p>
          <w:p w14:paraId="23D43AA1">
            <w:pPr>
              <w:pStyle w:val="13"/>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主要环保设备为除尘器，在生产过程产生粉尘的节点进行收集处理或者封闭。在除尘器破损或失效的情况下，会使粉尘呈现无组织形式排放，对周围环境和敏感目标造成大气污染。</w:t>
            </w:r>
          </w:p>
          <w:p w14:paraId="5C5DAB4C">
            <w:pPr>
              <w:pStyle w:val="8"/>
              <w:pageBreakBefore w:val="0"/>
              <w:widowControl w:val="0"/>
              <w:numPr>
                <w:ilvl w:val="0"/>
                <w:numId w:val="0"/>
              </w:numPr>
              <w:shd w:val="clear"/>
              <w:tabs>
                <w:tab w:val="left" w:pos="1952"/>
              </w:tabs>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6.5</w:t>
            </w:r>
            <w:r>
              <w:rPr>
                <w:rFonts w:hint="default" w:ascii="Times New Roman" w:hAnsi="Times New Roman" w:eastAsia="宋体" w:cs="Times New Roman"/>
                <w:b/>
                <w:bCs/>
                <w:color w:val="auto"/>
                <w:spacing w:val="0"/>
                <w:position w:val="0"/>
                <w:sz w:val="24"/>
                <w:szCs w:val="24"/>
                <w:highlight w:val="none"/>
              </w:rPr>
              <w:t>风险分析</w:t>
            </w:r>
          </w:p>
          <w:p w14:paraId="4744A7B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（1）大气环境</w:t>
            </w:r>
          </w:p>
          <w:p w14:paraId="00A8A678">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本项目在矿物油类在危废</w:t>
            </w:r>
            <w:r>
              <w:rPr>
                <w:rFonts w:hint="eastAsia" w:cs="Times New Roman"/>
                <w:color w:val="auto"/>
                <w:spacing w:val="0"/>
                <w:kern w:val="0"/>
                <w:position w:val="0"/>
                <w:sz w:val="24"/>
                <w:szCs w:val="24"/>
                <w:highlight w:val="none"/>
                <w:lang w:val="en-US" w:eastAsia="zh-CN" w:bidi="ar"/>
              </w:rPr>
              <w:t>贮存点</w:t>
            </w:r>
            <w:r>
              <w:rPr>
                <w:rFonts w:hint="default" w:ascii="Times New Roman" w:hAnsi="Times New Roman" w:eastAsia="宋体" w:cs="Times New Roman"/>
                <w:color w:val="auto"/>
                <w:spacing w:val="0"/>
                <w:kern w:val="0"/>
                <w:position w:val="0"/>
                <w:sz w:val="24"/>
                <w:szCs w:val="24"/>
                <w:highlight w:val="none"/>
                <w:lang w:val="en-US" w:eastAsia="zh-CN" w:bidi="ar"/>
              </w:rPr>
              <w:t>内储存较少，仅对厂区内的工作人员产生影响，对厂界外人员基本没有影响。本项目事故情况下，事故情况最不利气象条件下，矿物油类对周围环境影响在可控范围内。</w:t>
            </w:r>
          </w:p>
          <w:p w14:paraId="520435F2">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（2）水环境</w:t>
            </w:r>
          </w:p>
          <w:p w14:paraId="1715639D">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本项目与地表水体不发生水力联系，事故情况下，泄露的物料均泄露于硬化地面，危废</w:t>
            </w:r>
            <w:r>
              <w:rPr>
                <w:rFonts w:hint="eastAsia" w:cs="Times New Roman"/>
                <w:color w:val="auto"/>
                <w:spacing w:val="0"/>
                <w:kern w:val="0"/>
                <w:position w:val="0"/>
                <w:sz w:val="24"/>
                <w:szCs w:val="24"/>
                <w:highlight w:val="none"/>
                <w:lang w:val="en-US" w:eastAsia="zh-CN" w:bidi="ar"/>
              </w:rPr>
              <w:t>贮存点</w:t>
            </w:r>
            <w:r>
              <w:rPr>
                <w:rFonts w:hint="default" w:ascii="Times New Roman" w:hAnsi="Times New Roman" w:eastAsia="宋体" w:cs="Times New Roman"/>
                <w:color w:val="auto"/>
                <w:spacing w:val="0"/>
                <w:kern w:val="0"/>
                <w:position w:val="0"/>
                <w:sz w:val="24"/>
                <w:szCs w:val="24"/>
                <w:highlight w:val="none"/>
                <w:lang w:val="en-US" w:eastAsia="zh-CN" w:bidi="ar"/>
              </w:rPr>
              <w:t>做防渗处理，防渗系数小于1×10</w:t>
            </w:r>
            <w:r>
              <w:rPr>
                <w:rFonts w:hint="default" w:ascii="Times New Roman" w:hAnsi="Times New Roman" w:eastAsia="宋体" w:cs="Times New Roman"/>
                <w:color w:val="auto"/>
                <w:spacing w:val="0"/>
                <w:kern w:val="0"/>
                <w:position w:val="0"/>
                <w:sz w:val="24"/>
                <w:szCs w:val="24"/>
                <w:highlight w:val="none"/>
                <w:vertAlign w:val="superscript"/>
                <w:lang w:val="en-US" w:eastAsia="zh-CN" w:bidi="ar"/>
              </w:rPr>
              <w:t>-7</w:t>
            </w:r>
            <w:r>
              <w:rPr>
                <w:rFonts w:hint="default" w:ascii="Times New Roman" w:hAnsi="Times New Roman" w:eastAsia="宋体" w:cs="Times New Roman"/>
                <w:color w:val="auto"/>
                <w:spacing w:val="0"/>
                <w:kern w:val="0"/>
                <w:position w:val="0"/>
                <w:sz w:val="24"/>
                <w:szCs w:val="24"/>
                <w:highlight w:val="none"/>
                <w:lang w:val="en-US" w:eastAsia="zh-CN" w:bidi="ar"/>
              </w:rPr>
              <w:t>cm/s。因此，事故情况下，泄露的物料对周边水环境无影响。</w:t>
            </w:r>
          </w:p>
          <w:p w14:paraId="24F1EED7">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（3）土壤环境</w:t>
            </w:r>
          </w:p>
          <w:p w14:paraId="5DDCF515">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kern w:val="0"/>
                <w:position w:val="0"/>
                <w:sz w:val="24"/>
                <w:szCs w:val="24"/>
                <w:highlight w:val="none"/>
                <w:lang w:val="en-US" w:eastAsia="zh-CN" w:bidi="ar"/>
              </w:rPr>
            </w:pPr>
            <w:r>
              <w:rPr>
                <w:rFonts w:hint="default" w:ascii="Times New Roman" w:hAnsi="Times New Roman" w:eastAsia="宋体" w:cs="Times New Roman"/>
                <w:color w:val="auto"/>
                <w:spacing w:val="0"/>
                <w:kern w:val="0"/>
                <w:position w:val="0"/>
                <w:sz w:val="24"/>
                <w:szCs w:val="24"/>
                <w:highlight w:val="none"/>
                <w:lang w:val="en-US" w:eastAsia="zh-CN" w:bidi="ar"/>
              </w:rPr>
              <w:t>营运期内物料若发生泄漏（在不发生爆炸及火灾情况下），泄漏的物料会蔓延至危废</w:t>
            </w:r>
            <w:r>
              <w:rPr>
                <w:rFonts w:hint="eastAsia" w:cs="Times New Roman"/>
                <w:color w:val="auto"/>
                <w:spacing w:val="0"/>
                <w:kern w:val="0"/>
                <w:position w:val="0"/>
                <w:sz w:val="24"/>
                <w:szCs w:val="24"/>
                <w:highlight w:val="none"/>
                <w:lang w:val="en-US" w:eastAsia="zh-CN" w:bidi="ar"/>
              </w:rPr>
              <w:t>贮存点</w:t>
            </w:r>
            <w:r>
              <w:rPr>
                <w:rFonts w:hint="default" w:ascii="Times New Roman" w:hAnsi="Times New Roman" w:eastAsia="宋体" w:cs="Times New Roman"/>
                <w:color w:val="auto"/>
                <w:spacing w:val="0"/>
                <w:kern w:val="0"/>
                <w:position w:val="0"/>
                <w:sz w:val="24"/>
                <w:szCs w:val="24"/>
                <w:highlight w:val="none"/>
                <w:lang w:val="en-US" w:eastAsia="zh-CN" w:bidi="ar"/>
              </w:rPr>
              <w:t>内已经重点防渗的地面上，地面采取渗透系数不小于10</w:t>
            </w:r>
            <w:r>
              <w:rPr>
                <w:rFonts w:hint="default" w:ascii="Times New Roman" w:hAnsi="Times New Roman" w:eastAsia="宋体" w:cs="Times New Roman"/>
                <w:color w:val="auto"/>
                <w:spacing w:val="0"/>
                <w:kern w:val="0"/>
                <w:position w:val="0"/>
                <w:sz w:val="24"/>
                <w:szCs w:val="24"/>
                <w:highlight w:val="none"/>
                <w:vertAlign w:val="superscript"/>
                <w:lang w:val="en-US" w:eastAsia="zh-CN" w:bidi="ar"/>
              </w:rPr>
              <w:t>-7</w:t>
            </w:r>
            <w:r>
              <w:rPr>
                <w:rFonts w:hint="default" w:ascii="Times New Roman" w:hAnsi="Times New Roman" w:eastAsia="宋体" w:cs="Times New Roman"/>
                <w:color w:val="auto"/>
                <w:spacing w:val="0"/>
                <w:kern w:val="0"/>
                <w:position w:val="0"/>
                <w:sz w:val="24"/>
                <w:szCs w:val="24"/>
                <w:highlight w:val="none"/>
                <w:lang w:val="en-US" w:eastAsia="zh-CN" w:bidi="ar"/>
              </w:rPr>
              <w:t>cm/s的防渗措施进行防护，厂区内地面均做硬化处理，因此，泄漏后不会大面积逸散，在发生泄漏后，厂内工作人员将及时清理，因此，若发生泄漏等事故不会对土壤环境造成影响。</w:t>
            </w:r>
          </w:p>
          <w:p w14:paraId="482FC150">
            <w:pPr>
              <w:pStyle w:val="8"/>
              <w:pageBreakBefore w:val="0"/>
              <w:widowControl w:val="0"/>
              <w:numPr>
                <w:ilvl w:val="0"/>
                <w:numId w:val="0"/>
              </w:numPr>
              <w:shd w:val="clear"/>
              <w:tabs>
                <w:tab w:val="left" w:pos="1952"/>
              </w:tabs>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cs="Times New Roman"/>
                <w:b/>
                <w:bCs/>
                <w:color w:val="auto"/>
                <w:spacing w:val="0"/>
                <w:position w:val="0"/>
                <w:sz w:val="24"/>
                <w:szCs w:val="24"/>
                <w:highlight w:val="none"/>
                <w:lang w:val="en-US" w:eastAsia="zh-CN"/>
              </w:rPr>
              <w:t>6.6</w:t>
            </w:r>
            <w:r>
              <w:rPr>
                <w:rFonts w:hint="default" w:ascii="Times New Roman" w:hAnsi="Times New Roman" w:eastAsia="宋体" w:cs="Times New Roman"/>
                <w:b/>
                <w:bCs/>
                <w:color w:val="auto"/>
                <w:spacing w:val="0"/>
                <w:position w:val="0"/>
                <w:sz w:val="24"/>
                <w:szCs w:val="24"/>
                <w:highlight w:val="none"/>
              </w:rPr>
              <w:t>环境风险防范措施</w:t>
            </w:r>
            <w:r>
              <w:rPr>
                <w:rFonts w:hint="default" w:ascii="Times New Roman" w:hAnsi="Times New Roman" w:eastAsia="宋体" w:cs="Times New Roman"/>
                <w:b/>
                <w:bCs/>
                <w:color w:val="auto"/>
                <w:spacing w:val="0"/>
                <w:position w:val="0"/>
                <w:sz w:val="24"/>
                <w:szCs w:val="24"/>
                <w:highlight w:val="none"/>
                <w:lang w:val="en-US" w:eastAsia="zh-CN"/>
              </w:rPr>
              <w:t>及要求</w:t>
            </w:r>
          </w:p>
          <w:p w14:paraId="25BA87E4">
            <w:pPr>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position w:val="0"/>
                <w:sz w:val="24"/>
                <w:szCs w:val="24"/>
                <w:highlight w:val="none"/>
                <w:lang w:eastAsia="zh-CN"/>
              </w:rPr>
            </w:pPr>
            <w:r>
              <w:rPr>
                <w:rFonts w:hint="default" w:ascii="Times New Roman" w:hAnsi="Times New Roman" w:eastAsia="宋体" w:cs="Times New Roman"/>
                <w:color w:val="auto"/>
                <w:spacing w:val="0"/>
                <w:kern w:val="0"/>
                <w:position w:val="0"/>
                <w:sz w:val="24"/>
                <w:szCs w:val="24"/>
                <w:highlight w:val="none"/>
                <w:lang w:val="en-US" w:eastAsia="zh-CN" w:bidi="ar"/>
              </w:rPr>
              <w:t>企业需组建安全环保管理机构，配备管理人员，通过技能培训，承担该公司运行中的环保安全工作。安全环保机构将根据相关的环境管理要求，结合具体情况，制定企业的各项安全生产管理制度、严格的生产操作规则和完善的事故应急计划及相应的应急处理手段和设施，同时加强安全教育，以提高职工的安全意识和安全防范能力。</w:t>
            </w:r>
          </w:p>
          <w:p w14:paraId="2516D484">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本项目在运营期使用的机械设备如果管理不善易发生电线短路、除尘器失效等现象，可引致火灾和环境污染。因此在项目应加强对设备维护管理，避免事故排放。对电线线路及设备线路定期进行检查，加强管理和安全知识教育，增强防范意识，防止火灾发生。要有充分的应急措施，项目应按照相关规定设置逃生系统，并能够有足够并匹配的消防器材及备用应急电源。一旦发生意外，应立即采取应急预案。</w:t>
            </w:r>
          </w:p>
          <w:p w14:paraId="7332A789">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cs="Times New Roman"/>
                <w:color w:val="auto"/>
                <w:spacing w:val="0"/>
                <w:position w:val="0"/>
                <w:sz w:val="24"/>
                <w:szCs w:val="24"/>
                <w:highlight w:val="none"/>
                <w:lang w:val="en-US" w:eastAsia="zh-CN"/>
              </w:rPr>
              <w:t>1</w:t>
            </w: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rPr>
              <w:t>除尘器故障分析与处理方法</w:t>
            </w:r>
          </w:p>
          <w:p w14:paraId="2B322038">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①</w:t>
            </w:r>
            <w:r>
              <w:rPr>
                <w:rFonts w:hint="default" w:ascii="Times New Roman" w:hAnsi="Times New Roman" w:eastAsia="宋体" w:cs="Times New Roman"/>
                <w:color w:val="auto"/>
                <w:spacing w:val="0"/>
                <w:position w:val="0"/>
                <w:sz w:val="24"/>
                <w:szCs w:val="24"/>
                <w:highlight w:val="none"/>
              </w:rPr>
              <w:t>除尘效果不佳，排放粉尘浓度超标可从以下几个方面查找原因：</w:t>
            </w:r>
          </w:p>
          <w:p w14:paraId="55C8D247">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a.</w:t>
            </w:r>
            <w:r>
              <w:rPr>
                <w:rFonts w:hint="default" w:ascii="Times New Roman" w:hAnsi="Times New Roman" w:eastAsia="宋体" w:cs="Times New Roman"/>
                <w:color w:val="auto"/>
                <w:spacing w:val="0"/>
                <w:position w:val="0"/>
                <w:sz w:val="24"/>
                <w:szCs w:val="24"/>
                <w:highlight w:val="none"/>
              </w:rPr>
              <w:t>新装的滤袋孔隙较大，刚开始使用时粉尘通过率较高，尚未达到</w:t>
            </w:r>
          </w:p>
          <w:p w14:paraId="0084597E">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最佳的过滤状态，粉尘排放量较大。因此测定除尘器的除尘效率在连续使用1个月后进行更为准确。</w:t>
            </w:r>
          </w:p>
          <w:p w14:paraId="4475635C">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b.</w:t>
            </w:r>
            <w:r>
              <w:rPr>
                <w:rFonts w:hint="default" w:ascii="Times New Roman" w:hAnsi="Times New Roman" w:eastAsia="宋体" w:cs="Times New Roman"/>
                <w:color w:val="auto"/>
                <w:spacing w:val="0"/>
                <w:position w:val="0"/>
                <w:sz w:val="24"/>
                <w:szCs w:val="24"/>
                <w:highlight w:val="none"/>
              </w:rPr>
              <w:t>检查除尘器的安装是否正确。</w:t>
            </w:r>
          </w:p>
          <w:p w14:paraId="046079C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c.</w:t>
            </w:r>
            <w:r>
              <w:rPr>
                <w:rFonts w:hint="default" w:ascii="Times New Roman" w:hAnsi="Times New Roman" w:eastAsia="宋体" w:cs="Times New Roman"/>
                <w:color w:val="auto"/>
                <w:spacing w:val="0"/>
                <w:position w:val="0"/>
                <w:sz w:val="24"/>
                <w:szCs w:val="24"/>
                <w:highlight w:val="none"/>
              </w:rPr>
              <w:t>对于进风通道与出风通道仅用隔板分开的除尘器，须检查中间隔板是否焊接严密。</w:t>
            </w:r>
          </w:p>
          <w:p w14:paraId="2BBD770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②</w:t>
            </w:r>
            <w:r>
              <w:rPr>
                <w:rFonts w:hint="default" w:ascii="Times New Roman" w:hAnsi="Times New Roman" w:eastAsia="宋体" w:cs="Times New Roman"/>
                <w:color w:val="auto"/>
                <w:spacing w:val="0"/>
                <w:position w:val="0"/>
                <w:sz w:val="24"/>
                <w:szCs w:val="24"/>
                <w:highlight w:val="none"/>
              </w:rPr>
              <w:t>发现除尘器的运行阻力高出控制范围，应从下列方面查找原因：</w:t>
            </w:r>
          </w:p>
          <w:p w14:paraId="5FA291DB">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a.</w:t>
            </w:r>
            <w:r>
              <w:rPr>
                <w:rFonts w:hint="default" w:ascii="Times New Roman" w:hAnsi="Times New Roman" w:eastAsia="宋体" w:cs="Times New Roman"/>
                <w:color w:val="auto"/>
                <w:spacing w:val="0"/>
                <w:position w:val="0"/>
                <w:sz w:val="24"/>
                <w:szCs w:val="24"/>
                <w:highlight w:val="none"/>
              </w:rPr>
              <w:t>清灰时间短、清灰周期太长，滤袋上的粉尘没能清除干净，除尘器就转入过滤状态，会使运行阻力很快升高。</w:t>
            </w:r>
          </w:p>
          <w:p w14:paraId="1DE1D59C">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b.</w:t>
            </w:r>
            <w:r>
              <w:rPr>
                <w:rFonts w:hint="default" w:ascii="Times New Roman" w:hAnsi="Times New Roman" w:eastAsia="宋体" w:cs="Times New Roman"/>
                <w:color w:val="auto"/>
                <w:spacing w:val="0"/>
                <w:position w:val="0"/>
                <w:sz w:val="24"/>
                <w:szCs w:val="24"/>
                <w:highlight w:val="none"/>
              </w:rPr>
              <w:t>除尘器通常在负压状态下工作，如果设备泄漏，会吸入大量外界空气和雨水，使滤袋受潮板结，加大运行阻力。</w:t>
            </w:r>
          </w:p>
          <w:p w14:paraId="33B8AEDD">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cs="Times New Roman"/>
                <w:color w:val="auto"/>
                <w:spacing w:val="0"/>
                <w:position w:val="0"/>
                <w:sz w:val="24"/>
                <w:szCs w:val="24"/>
                <w:highlight w:val="none"/>
                <w:lang w:val="en-US" w:eastAsia="zh-CN"/>
              </w:rPr>
              <w:t>2</w:t>
            </w: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rPr>
              <w:t>车间粉尘爆炸风险及安全措施</w:t>
            </w:r>
          </w:p>
          <w:p w14:paraId="5A2087A3">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粉体的加工使粉尘愈来愈细，粉尘粒径越小，表面积越大，燃烧越完全，升压速度越快，爆炸压力越大，为了实现高效、节能，生产设备朝着大型化发展，大容积设备爆炸发生时会有较多粉尘参与爆炸，爆炸压力增大。生产中可能产生粉尘飞扬的设备和场所必须尽可能密封，在密闭设备里粉尘浓度容易达到爆炸极限，密闭性越好，爆炸产生的压力也越大。安全措施如下：</w:t>
            </w:r>
          </w:p>
          <w:p w14:paraId="505F0CA2">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①</w:t>
            </w:r>
            <w:r>
              <w:rPr>
                <w:rFonts w:hint="default" w:ascii="Times New Roman" w:hAnsi="Times New Roman" w:eastAsia="宋体" w:cs="Times New Roman"/>
                <w:color w:val="auto"/>
                <w:spacing w:val="0"/>
                <w:position w:val="0"/>
                <w:sz w:val="24"/>
                <w:szCs w:val="24"/>
                <w:highlight w:val="none"/>
              </w:rPr>
              <w:t>控制粉尘浓度；</w:t>
            </w:r>
          </w:p>
          <w:p w14:paraId="333349B1">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②</w:t>
            </w:r>
            <w:r>
              <w:rPr>
                <w:rFonts w:hint="default" w:ascii="Times New Roman" w:hAnsi="Times New Roman" w:eastAsia="宋体" w:cs="Times New Roman"/>
                <w:color w:val="auto"/>
                <w:spacing w:val="0"/>
                <w:position w:val="0"/>
                <w:sz w:val="24"/>
                <w:szCs w:val="24"/>
                <w:highlight w:val="none"/>
              </w:rPr>
              <w:t>减少粉尘沉淀；</w:t>
            </w:r>
          </w:p>
          <w:p w14:paraId="3C5ED5B9">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③</w:t>
            </w:r>
            <w:r>
              <w:rPr>
                <w:rFonts w:hint="default" w:ascii="Times New Roman" w:hAnsi="Times New Roman" w:eastAsia="宋体" w:cs="Times New Roman"/>
                <w:color w:val="auto"/>
                <w:spacing w:val="0"/>
                <w:position w:val="0"/>
                <w:sz w:val="24"/>
                <w:szCs w:val="24"/>
                <w:highlight w:val="none"/>
              </w:rPr>
              <w:t>防止摩擦、撞击、生热；</w:t>
            </w:r>
          </w:p>
          <w:p w14:paraId="5F93F45E">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④</w:t>
            </w:r>
            <w:r>
              <w:rPr>
                <w:rFonts w:hint="default" w:ascii="Times New Roman" w:hAnsi="Times New Roman" w:eastAsia="宋体" w:cs="Times New Roman"/>
                <w:color w:val="auto"/>
                <w:spacing w:val="0"/>
                <w:position w:val="0"/>
                <w:sz w:val="24"/>
                <w:szCs w:val="24"/>
                <w:highlight w:val="none"/>
              </w:rPr>
              <w:t>防止电火花和静电放电；</w:t>
            </w:r>
          </w:p>
          <w:p w14:paraId="24979000">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val="en-US" w:eastAsia="zh-CN"/>
              </w:rPr>
              <w:t>⑤</w:t>
            </w:r>
            <w:r>
              <w:rPr>
                <w:rFonts w:hint="default" w:ascii="Times New Roman" w:hAnsi="Times New Roman" w:eastAsia="宋体" w:cs="Times New Roman"/>
                <w:color w:val="auto"/>
                <w:spacing w:val="0"/>
                <w:position w:val="0"/>
                <w:sz w:val="24"/>
                <w:szCs w:val="24"/>
                <w:highlight w:val="none"/>
              </w:rPr>
              <w:t>增加物料湿度、降低风险性。</w:t>
            </w:r>
          </w:p>
          <w:p w14:paraId="7B399E48">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cs="Times New Roman"/>
                <w:color w:val="auto"/>
                <w:spacing w:val="0"/>
                <w:position w:val="0"/>
                <w:sz w:val="24"/>
                <w:szCs w:val="24"/>
                <w:highlight w:val="none"/>
                <w:lang w:val="en-US" w:eastAsia="zh-CN"/>
              </w:rPr>
              <w:t>3</w:t>
            </w: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rPr>
              <w:t>控制与消除火源以及安全措施</w:t>
            </w:r>
          </w:p>
          <w:p w14:paraId="6E8B42B4">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厂区内原料库和生产车间应设置禁火、防爆区域，并制定相应的管理制度。操作和维修等采用不发火工具，并制定方案，报主管领导批准并有监管人员在场方可进行。使用防爆型电器，严禁钢制工具敲打、撞击、抛掷。厂区在禁火、防爆区域安装避雷装置。</w:t>
            </w:r>
          </w:p>
          <w:p w14:paraId="4FFB5FE3">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严格按照防火、防爆设计规范要求进行设计，按照规范设置消防系统，配置相应的灭火装置和设施，并定期维护，保持完好。在禁火、防爆区域安装可燃气体探测仪，并</w:t>
            </w:r>
            <w:r>
              <w:rPr>
                <w:rFonts w:hint="default" w:ascii="Times New Roman" w:hAnsi="Times New Roman" w:cs="Times New Roman"/>
                <w:color w:val="auto"/>
                <w:spacing w:val="0"/>
                <w:position w:val="0"/>
                <w:sz w:val="24"/>
                <w:szCs w:val="24"/>
                <w:highlight w:val="none"/>
                <w:lang w:eastAsia="zh-CN"/>
              </w:rPr>
              <w:t>经常</w:t>
            </w:r>
            <w:r>
              <w:rPr>
                <w:rFonts w:hint="default" w:ascii="Times New Roman" w:hAnsi="Times New Roman" w:eastAsia="宋体" w:cs="Times New Roman"/>
                <w:color w:val="auto"/>
                <w:spacing w:val="0"/>
                <w:position w:val="0"/>
                <w:sz w:val="24"/>
                <w:szCs w:val="24"/>
                <w:highlight w:val="none"/>
              </w:rPr>
              <w:t>检查确保设施正常运转，做到及时发现、及时处理；设置火灾报警系统，该系统由火灾报警控制器、火灾探测器、手动报警按钮等组成，以利于自动预警和及时组织灭火扑救。要正确佩戴相应的劳防用品和正确使用防毒过滤器等防护用具。</w:t>
            </w:r>
          </w:p>
          <w:p w14:paraId="45943DC4">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cs="Times New Roman"/>
                <w:color w:val="auto"/>
                <w:spacing w:val="0"/>
                <w:position w:val="0"/>
                <w:sz w:val="24"/>
                <w:szCs w:val="24"/>
                <w:highlight w:val="none"/>
                <w:lang w:val="en-US" w:eastAsia="zh-CN"/>
              </w:rPr>
              <w:t>4</w:t>
            </w:r>
            <w:r>
              <w:rPr>
                <w:rFonts w:hint="default" w:ascii="Times New Roman" w:hAnsi="Times New Roman"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rPr>
              <w:t>消防及火灾报警系统措施</w:t>
            </w:r>
          </w:p>
          <w:p w14:paraId="3EB04B20">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消防设施应与开发建设同步进行，各项建设必须执行国家有关防火规范，保证消防通道畅通，提高预防和扑救能力。加强区域交通、通信等消防基础设施建设，重特大火灾实施消防力量的区域调动。消防供水主要以城市供水管网为主，建设城市供水管网消火栓系统，在配水管网建设时，应按同一时间发生两次火灾进行管网校核，保证充足消防用水，配水管网按照换装布置。</w:t>
            </w:r>
          </w:p>
          <w:p w14:paraId="23CB791D">
            <w:pPr>
              <w:keepNext w:val="0"/>
              <w:keepLines w:val="0"/>
              <w:pageBreakBefore w:val="0"/>
              <w:widowControl w:val="0"/>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lang w:val="en-US" w:eastAsia="zh-CN"/>
              </w:rPr>
              <w:t>5</w:t>
            </w: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z w:val="24"/>
                <w:szCs w:val="24"/>
              </w:rPr>
              <w:t>环境风险防应急要求</w:t>
            </w:r>
          </w:p>
          <w:p w14:paraId="08ADE269">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1）运输过程的环境风险防范</w:t>
            </w:r>
          </w:p>
          <w:p w14:paraId="76F724B6">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生产原料采用货车运输，运输过程风险事故发生概率较小，要求在输送环节上尽可能的减少人为的不安全行为，遵守交通规则，最大程度减少交通事导致的散落或起火，同时输送车辆要配有专门的灭火设施，以降低火灾风险。合理选择行驶时间、路线、停车地点，同时要避开上、下班等的交通高峰期，降低运输过程中的交通事故发生的可能。装卸作业由专人负责安全监督。</w:t>
            </w:r>
          </w:p>
          <w:p w14:paraId="1F5E61CB">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2）储存过程的环境风险防范</w:t>
            </w:r>
          </w:p>
          <w:p w14:paraId="3CB528C7">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项目在原料储存过程中需采取一系列风险管理措施，具体包括：</w:t>
            </w:r>
          </w:p>
          <w:p w14:paraId="1CBBCE2B">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①存储场设置明显的标志；</w:t>
            </w:r>
          </w:p>
          <w:p w14:paraId="27342BEE">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②分区存放，按生产计划合理进料；</w:t>
            </w:r>
          </w:p>
          <w:p w14:paraId="373E7ABD">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③对各类火种、火源和有散发火花危险的机械设备、作业活动，以及可燃、易燃物品等实行严格管理，禁止人员带火种进入存储场，</w:t>
            </w:r>
            <w:r>
              <w:rPr>
                <w:rFonts w:hint="default" w:ascii="Times New Roman" w:hAnsi="Times New Roman" w:eastAsia="宋体" w:cs="Times New Roman"/>
                <w:color w:val="auto"/>
                <w:sz w:val="24"/>
                <w:szCs w:val="24"/>
                <w:lang w:val="en-US" w:eastAsia="zh-CN"/>
              </w:rPr>
              <w:t>防止粉尘爆炸，</w:t>
            </w:r>
            <w:r>
              <w:rPr>
                <w:rFonts w:hint="default" w:ascii="Times New Roman" w:hAnsi="Times New Roman" w:eastAsia="宋体" w:cs="Times New Roman"/>
                <w:color w:val="auto"/>
                <w:sz w:val="24"/>
                <w:szCs w:val="24"/>
              </w:rPr>
              <w:t>对存储场动火实行全过程安全监督制；</w:t>
            </w:r>
          </w:p>
          <w:p w14:paraId="54400256">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④对各类安全设施、消防器材，进行定期检查，并将发现的问题责任到人落实整改；</w:t>
            </w:r>
          </w:p>
          <w:p w14:paraId="6B122292">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⑤贮存场所，实行安全责任制。</w:t>
            </w:r>
          </w:p>
          <w:p w14:paraId="46237BF8">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3）其他风险防范措施</w:t>
            </w:r>
          </w:p>
          <w:p w14:paraId="61FA41F5">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存储场内不得设置移动照明、配电线路与货垛之间应按规范的要求保持足够的防火间距，不得在堆垛上方架设临时线路，不得设置移动照明和配电板等。对生产区和仓储区及其他需要配置的地方，安装事故应急照明和疏散指示标志。</w:t>
            </w:r>
          </w:p>
          <w:p w14:paraId="648C44F9">
            <w:pPr>
              <w:pStyle w:val="63"/>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②</w:t>
            </w:r>
            <w:r>
              <w:rPr>
                <w:rFonts w:hint="default" w:ascii="Times New Roman" w:hAnsi="Times New Roman" w:eastAsia="宋体" w:cs="Times New Roman"/>
                <w:color w:val="auto"/>
                <w:sz w:val="24"/>
                <w:szCs w:val="24"/>
              </w:rPr>
              <w:t>加强消防设施的维护与保养使其保持在良好的性能状态，减少机械伤害的发生。</w:t>
            </w:r>
          </w:p>
          <w:p w14:paraId="30F8284E">
            <w:pPr>
              <w:pStyle w:val="63"/>
              <w:keepNext w:val="0"/>
              <w:keepLines w:val="0"/>
              <w:pageBreakBefore w:val="0"/>
              <w:widowControl w:val="0"/>
              <w:shd w:val="clear"/>
              <w:kinsoku/>
              <w:wordWrap/>
              <w:overflowPunct/>
              <w:topLinePunct w:val="0"/>
              <w:autoSpaceDE/>
              <w:autoSpaceDN/>
              <w:bidi w:val="0"/>
              <w:adjustRightInd/>
              <w:snapToGrid/>
              <w:spacing w:beforeAutospacing="0" w:afterAutospacing="0"/>
              <w:ind w:left="0" w:leftChars="0" w:right="0" w:righ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③加强安全教育，强化安全意识，具备相应的安全知识，原料区域安全管理人员必须增强安全意识和法制观念，掌握安全卫生基本知识，具有一定的安全管理和决策能力。</w:t>
            </w:r>
          </w:p>
          <w:p w14:paraId="4A513E17">
            <w:pPr>
              <w:pStyle w:val="13"/>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lang w:eastAsia="zh-CN"/>
              </w:rPr>
            </w:pPr>
            <w:r>
              <w:rPr>
                <w:rFonts w:hint="default" w:ascii="Times New Roman" w:hAnsi="Times New Roman" w:eastAsia="宋体" w:cs="Times New Roman"/>
                <w:color w:val="auto"/>
                <w:sz w:val="24"/>
                <w:szCs w:val="24"/>
              </w:rPr>
              <w:t>④要落实消防安全责任制，严格各项规章制度。原料区的各项消防安全规章制度不能光挂在墙上，关键要落到实处，加强违规违章操作人员的管理和查处，要经常进行消防安全教育，实行车辆进出的登记查问制度、火种管理制度、动用明火制度、货物进出仓库的检查制度、货物堆放制度、巡查制度。</w:t>
            </w:r>
          </w:p>
          <w:p w14:paraId="78C789A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lang w:val="en-US" w:eastAsia="zh-CN"/>
              </w:rPr>
              <w:t>6</w:t>
            </w:r>
            <w:r>
              <w:rPr>
                <w:rFonts w:hint="default" w:ascii="Times New Roman" w:hAnsi="Times New Roman" w:eastAsia="宋体" w:cs="Times New Roman"/>
                <w:color w:val="auto"/>
                <w:spacing w:val="0"/>
                <w:position w:val="0"/>
                <w:sz w:val="24"/>
                <w:szCs w:val="24"/>
                <w:highlight w:val="none"/>
                <w:lang w:eastAsia="zh-CN"/>
              </w:rPr>
              <w:t>）</w:t>
            </w:r>
            <w:r>
              <w:rPr>
                <w:rFonts w:hint="default" w:ascii="Times New Roman" w:hAnsi="Times New Roman" w:eastAsia="宋体" w:cs="Times New Roman"/>
                <w:color w:val="auto"/>
                <w:spacing w:val="0"/>
                <w:position w:val="0"/>
                <w:sz w:val="24"/>
                <w:szCs w:val="24"/>
                <w:highlight w:val="none"/>
              </w:rPr>
              <w:t>风险应急措施</w:t>
            </w:r>
          </w:p>
          <w:p w14:paraId="135A6E30">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厂区根据建筑格局、物料性质及贮存方式、建筑耐火等级、建筑体积等，严格按照《建筑设计防火规范》（GB50016-2014）等有关规定，按照同一时间内火灾次数、灭火时间及最大用水量确定消防用水量。</w:t>
            </w:r>
          </w:p>
          <w:p w14:paraId="24A1365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本项目在运营期要有充分的应急措施，项目应按照相关规定设置逃生系统，并能够有足够并匹配的消防器材及备用应急电源。一旦发生意外，应立即采取应急预案。</w:t>
            </w:r>
          </w:p>
          <w:p w14:paraId="1C864581">
            <w:pPr>
              <w:pStyle w:val="8"/>
              <w:pageBreakBefore w:val="0"/>
              <w:widowControl w:val="0"/>
              <w:numPr>
                <w:ilvl w:val="0"/>
                <w:numId w:val="0"/>
              </w:numPr>
              <w:shd w:val="clear"/>
              <w:tabs>
                <w:tab w:val="left" w:pos="1892"/>
              </w:tabs>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6.7</w:t>
            </w:r>
            <w:r>
              <w:rPr>
                <w:rFonts w:hint="default" w:ascii="Times New Roman" w:hAnsi="Times New Roman" w:eastAsia="宋体" w:cs="Times New Roman"/>
                <w:b/>
                <w:bCs/>
                <w:color w:val="auto"/>
                <w:spacing w:val="0"/>
                <w:position w:val="0"/>
                <w:sz w:val="24"/>
                <w:szCs w:val="24"/>
                <w:highlight w:val="none"/>
              </w:rPr>
              <w:t>风险事故应急预案</w:t>
            </w:r>
          </w:p>
          <w:p w14:paraId="32FC3921">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①设以领导为首的安全防火委员会和相应的组织机构，如义务消防组、器材组、救护组、治安组，定期进行防火演练。</w:t>
            </w:r>
          </w:p>
          <w:p w14:paraId="4118CEED">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②设置风险事故应急处置预案。</w:t>
            </w:r>
          </w:p>
          <w:p w14:paraId="277127E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③发生事故及时报警，并当即切断电源，关闭进站阀门，疏散人员。</w:t>
            </w:r>
          </w:p>
          <w:p w14:paraId="1918F904">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④迅速向上级及消防部门报警，并通知单位职工及邻近单位。</w:t>
            </w:r>
          </w:p>
          <w:p w14:paraId="3704CFF6">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⑤切实做好现场警戒。</w:t>
            </w:r>
          </w:p>
          <w:p w14:paraId="51F32D30">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⑥做好事故善后处置工作，查明事故原因、损失危害情况，及事后恢复补救措施。</w:t>
            </w:r>
          </w:p>
          <w:p w14:paraId="693CA0E7">
            <w:pPr>
              <w:pStyle w:val="8"/>
              <w:pageBreakBefore w:val="0"/>
              <w:widowControl w:val="0"/>
              <w:numPr>
                <w:ilvl w:val="0"/>
                <w:numId w:val="0"/>
              </w:numPr>
              <w:shd w:val="clear"/>
              <w:tabs>
                <w:tab w:val="left" w:pos="1892"/>
              </w:tabs>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6.8</w:t>
            </w:r>
            <w:r>
              <w:rPr>
                <w:rFonts w:hint="default" w:ascii="Times New Roman" w:hAnsi="Times New Roman" w:eastAsia="宋体" w:cs="Times New Roman"/>
                <w:b/>
                <w:bCs/>
                <w:color w:val="auto"/>
                <w:spacing w:val="0"/>
                <w:position w:val="0"/>
                <w:sz w:val="24"/>
                <w:szCs w:val="24"/>
                <w:highlight w:val="none"/>
              </w:rPr>
              <w:t>小结</w:t>
            </w:r>
          </w:p>
          <w:p w14:paraId="5033E177">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根据工程分析，本项目不涉及有毒、有害及危险品等，不涉及危险性生产装置。本项目在建设运营过程中，存在的环境风险源小，不存在重大的环境风险，但还是存在一定潜在的环境风险。在建设单位严格落实各项风险防范措施和风险应急预案的前提下，项目环境风险可防可控，建设是可行的。</w:t>
            </w:r>
          </w:p>
          <w:p w14:paraId="5D826831">
            <w:pPr>
              <w:pStyle w:val="8"/>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cs="Times New Roman"/>
                <w:b/>
                <w:bCs/>
                <w:color w:val="auto"/>
                <w:spacing w:val="0"/>
                <w:position w:val="0"/>
                <w:sz w:val="24"/>
                <w:szCs w:val="24"/>
                <w:highlight w:val="none"/>
                <w:lang w:val="en-US" w:eastAsia="zh-CN"/>
              </w:rPr>
              <w:t>8.</w:t>
            </w:r>
            <w:r>
              <w:rPr>
                <w:rFonts w:hint="default" w:ascii="Times New Roman" w:hAnsi="Times New Roman" w:eastAsia="宋体" w:cs="Times New Roman"/>
                <w:b/>
                <w:bCs/>
                <w:color w:val="auto"/>
                <w:spacing w:val="0"/>
                <w:position w:val="0"/>
                <w:sz w:val="24"/>
                <w:szCs w:val="24"/>
                <w:highlight w:val="none"/>
              </w:rPr>
              <w:t>环保投资</w:t>
            </w:r>
          </w:p>
          <w:p w14:paraId="51082D73">
            <w:pPr>
              <w:pStyle w:val="13"/>
              <w:pageBreakBefore w:val="0"/>
              <w:widowControl w:val="0"/>
              <w:shd w:val="clea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建设项目总投资</w:t>
            </w:r>
            <w:r>
              <w:rPr>
                <w:rFonts w:hint="eastAsia" w:cs="Times New Roman"/>
                <w:color w:val="auto"/>
                <w:spacing w:val="0"/>
                <w:position w:val="0"/>
                <w:sz w:val="24"/>
                <w:szCs w:val="24"/>
                <w:highlight w:val="none"/>
                <w:lang w:val="en-US" w:eastAsia="zh-CN"/>
              </w:rPr>
              <w:t>500</w:t>
            </w:r>
            <w:r>
              <w:rPr>
                <w:rFonts w:hint="default" w:ascii="Times New Roman" w:hAnsi="Times New Roman" w:eastAsia="宋体" w:cs="Times New Roman"/>
                <w:color w:val="auto"/>
                <w:spacing w:val="0"/>
                <w:position w:val="0"/>
                <w:sz w:val="24"/>
                <w:szCs w:val="24"/>
                <w:highlight w:val="none"/>
                <w:lang w:val="en-US" w:eastAsia="zh-CN"/>
              </w:rPr>
              <w:t>万元，</w:t>
            </w:r>
            <w:r>
              <w:rPr>
                <w:rFonts w:hint="default" w:ascii="Times New Roman" w:hAnsi="Times New Roman" w:eastAsia="宋体" w:cs="Times New Roman"/>
                <w:color w:val="auto"/>
                <w:spacing w:val="0"/>
                <w:position w:val="0"/>
                <w:sz w:val="24"/>
                <w:szCs w:val="24"/>
                <w:highlight w:val="none"/>
              </w:rPr>
              <w:t>其中环保投资</w:t>
            </w:r>
            <w:r>
              <w:rPr>
                <w:rFonts w:hint="eastAsia" w:cs="Times New Roman"/>
                <w:color w:val="auto"/>
                <w:spacing w:val="0"/>
                <w:position w:val="0"/>
                <w:sz w:val="24"/>
                <w:szCs w:val="24"/>
                <w:highlight w:val="none"/>
                <w:lang w:val="en-US" w:eastAsia="zh-CN"/>
              </w:rPr>
              <w:t>56.5</w:t>
            </w:r>
            <w:r>
              <w:rPr>
                <w:rFonts w:hint="default" w:ascii="Times New Roman" w:hAnsi="Times New Roman" w:eastAsia="宋体" w:cs="Times New Roman"/>
                <w:color w:val="auto"/>
                <w:spacing w:val="0"/>
                <w:position w:val="0"/>
                <w:sz w:val="24"/>
                <w:szCs w:val="24"/>
                <w:highlight w:val="none"/>
              </w:rPr>
              <w:t>万元，环保投资占总投资的</w:t>
            </w:r>
            <w:r>
              <w:rPr>
                <w:rFonts w:hint="eastAsia" w:cs="Times New Roman"/>
                <w:color w:val="auto"/>
                <w:spacing w:val="0"/>
                <w:position w:val="0"/>
                <w:sz w:val="24"/>
                <w:szCs w:val="24"/>
                <w:highlight w:val="none"/>
                <w:lang w:val="en-US" w:eastAsia="zh-CN"/>
              </w:rPr>
              <w:t>11.3</w:t>
            </w:r>
            <w:r>
              <w:rPr>
                <w:rFonts w:hint="default" w:ascii="Times New Roman" w:hAnsi="Times New Roman" w:eastAsia="宋体" w:cs="Times New Roman"/>
                <w:color w:val="auto"/>
                <w:spacing w:val="0"/>
                <w:position w:val="0"/>
                <w:sz w:val="24"/>
                <w:szCs w:val="24"/>
                <w:highlight w:val="none"/>
              </w:rPr>
              <w:t>%，具体环保投资内容见表4-1</w:t>
            </w:r>
            <w:r>
              <w:rPr>
                <w:rFonts w:hint="default" w:ascii="Times New Roman" w:hAnsi="Times New Roman" w:cs="Times New Roman"/>
                <w:color w:val="auto"/>
                <w:spacing w:val="0"/>
                <w:position w:val="0"/>
                <w:sz w:val="24"/>
                <w:szCs w:val="24"/>
                <w:highlight w:val="none"/>
                <w:lang w:val="en-US" w:eastAsia="zh-CN"/>
              </w:rPr>
              <w:t>7</w:t>
            </w:r>
            <w:r>
              <w:rPr>
                <w:rFonts w:hint="default" w:ascii="Times New Roman" w:hAnsi="Times New Roman" w:eastAsia="宋体" w:cs="Times New Roman"/>
                <w:color w:val="auto"/>
                <w:spacing w:val="0"/>
                <w:position w:val="0"/>
                <w:sz w:val="24"/>
                <w:szCs w:val="24"/>
                <w:highlight w:val="none"/>
              </w:rPr>
              <w:t>。</w:t>
            </w:r>
          </w:p>
          <w:p w14:paraId="327727E4">
            <w:pPr>
              <w:pageBreakBefore w:val="0"/>
              <w:shd w:val="clear"/>
              <w:tabs>
                <w:tab w:val="left" w:pos="4563"/>
              </w:tabs>
              <w:kinsoku/>
              <w:wordWrap/>
              <w:overflowPunct/>
              <w:topLinePunct w:val="0"/>
              <w:autoSpaceDE/>
              <w:autoSpaceDN/>
              <w:bidi w:val="0"/>
              <w:spacing w:beforeAutospacing="0" w:afterAutospacing="0" w:line="240" w:lineRule="auto"/>
              <w:ind w:left="0" w:leftChars="0" w:right="0" w:rightChars="0" w:firstLine="422" w:firstLineChars="200"/>
              <w:jc w:val="center"/>
              <w:textAlignment w:val="auto"/>
              <w:rPr>
                <w:rFonts w:hint="default" w:ascii="Times New Roman" w:hAnsi="Times New Roman" w:eastAsia="宋体" w:cs="Times New Roman"/>
                <w:b/>
                <w:bCs/>
                <w:color w:val="auto"/>
                <w:spacing w:val="0"/>
                <w:position w:val="0"/>
                <w:sz w:val="21"/>
                <w:szCs w:val="21"/>
                <w:highlight w:val="none"/>
              </w:rPr>
            </w:pPr>
            <w:r>
              <w:rPr>
                <w:rFonts w:hint="default" w:ascii="Times New Roman" w:hAnsi="Times New Roman" w:eastAsia="宋体" w:cs="Times New Roman"/>
                <w:b/>
                <w:bCs/>
                <w:color w:val="auto"/>
                <w:spacing w:val="0"/>
                <w:position w:val="0"/>
                <w:sz w:val="21"/>
                <w:szCs w:val="21"/>
                <w:highlight w:val="none"/>
              </w:rPr>
              <w:t>表4-1</w:t>
            </w:r>
            <w:r>
              <w:rPr>
                <w:rFonts w:hint="default" w:ascii="Times New Roman" w:hAnsi="Times New Roman" w:cs="Times New Roman"/>
                <w:b/>
                <w:bCs/>
                <w:color w:val="auto"/>
                <w:spacing w:val="0"/>
                <w:position w:val="0"/>
                <w:sz w:val="21"/>
                <w:szCs w:val="21"/>
                <w:highlight w:val="none"/>
                <w:lang w:val="en-US" w:eastAsia="zh-CN"/>
              </w:rPr>
              <w:t xml:space="preserve">7    </w:t>
            </w:r>
            <w:r>
              <w:rPr>
                <w:rFonts w:hint="default" w:ascii="Times New Roman" w:hAnsi="Times New Roman" w:eastAsia="宋体" w:cs="Times New Roman"/>
                <w:b/>
                <w:bCs/>
                <w:color w:val="auto"/>
                <w:spacing w:val="0"/>
                <w:position w:val="0"/>
                <w:sz w:val="21"/>
                <w:szCs w:val="21"/>
                <w:highlight w:val="none"/>
                <w:lang w:val="en-US" w:eastAsia="zh-CN"/>
              </w:rPr>
              <w:t>环保措施</w:t>
            </w:r>
            <w:r>
              <w:rPr>
                <w:rFonts w:hint="default" w:ascii="Times New Roman" w:hAnsi="Times New Roman" w:cs="Times New Roman"/>
                <w:b/>
                <w:bCs/>
                <w:color w:val="auto"/>
                <w:spacing w:val="0"/>
                <w:position w:val="0"/>
                <w:sz w:val="21"/>
                <w:szCs w:val="21"/>
                <w:highlight w:val="none"/>
                <w:lang w:val="en-US" w:eastAsia="zh-CN"/>
              </w:rPr>
              <w:t>及</w:t>
            </w:r>
            <w:r>
              <w:rPr>
                <w:rFonts w:hint="default" w:ascii="Times New Roman" w:hAnsi="Times New Roman" w:eastAsia="宋体" w:cs="Times New Roman"/>
                <w:b/>
                <w:bCs/>
                <w:color w:val="auto"/>
                <w:spacing w:val="0"/>
                <w:position w:val="0"/>
                <w:sz w:val="21"/>
                <w:szCs w:val="21"/>
                <w:highlight w:val="none"/>
              </w:rPr>
              <w:t>环保投资一览表</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712"/>
              <w:gridCol w:w="4711"/>
              <w:gridCol w:w="878"/>
            </w:tblGrid>
            <w:tr w14:paraId="702A88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712" w:type="dxa"/>
                  <w:tcBorders>
                    <w:bottom w:val="single" w:color="auto" w:sz="12" w:space="0"/>
                  </w:tcBorders>
                  <w:shd w:val="clear" w:color="auto" w:fill="auto"/>
                  <w:tcMar>
                    <w:top w:w="0" w:type="dxa"/>
                    <w:left w:w="0" w:type="dxa"/>
                    <w:bottom w:w="0" w:type="dxa"/>
                    <w:right w:w="0" w:type="dxa"/>
                  </w:tcMar>
                  <w:vAlign w:val="center"/>
                </w:tcPr>
                <w:p w14:paraId="20B192B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治理项目</w:t>
                  </w:r>
                </w:p>
              </w:tc>
              <w:tc>
                <w:tcPr>
                  <w:tcW w:w="4711" w:type="dxa"/>
                  <w:tcBorders>
                    <w:bottom w:val="single" w:color="auto" w:sz="12" w:space="0"/>
                  </w:tcBorders>
                  <w:shd w:val="clear" w:color="auto" w:fill="auto"/>
                  <w:tcMar>
                    <w:top w:w="0" w:type="dxa"/>
                    <w:left w:w="0" w:type="dxa"/>
                    <w:bottom w:w="0" w:type="dxa"/>
                    <w:right w:w="0" w:type="dxa"/>
                  </w:tcMar>
                  <w:vAlign w:val="center"/>
                </w:tcPr>
                <w:p w14:paraId="6543754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措施主要内容</w:t>
                  </w:r>
                </w:p>
              </w:tc>
              <w:tc>
                <w:tcPr>
                  <w:tcW w:w="878" w:type="dxa"/>
                  <w:tcBorders>
                    <w:bottom w:val="single" w:color="auto" w:sz="12" w:space="0"/>
                  </w:tcBorders>
                  <w:shd w:val="clear" w:color="auto" w:fill="auto"/>
                  <w:tcMar>
                    <w:top w:w="0" w:type="dxa"/>
                    <w:left w:w="0" w:type="dxa"/>
                    <w:bottom w:w="0" w:type="dxa"/>
                    <w:right w:w="0" w:type="dxa"/>
                  </w:tcMar>
                  <w:vAlign w:val="center"/>
                </w:tcPr>
                <w:p w14:paraId="021F2A0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投资</w:t>
                  </w:r>
                </w:p>
                <w:p w14:paraId="5FE7EF87">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（万元）</w:t>
                  </w:r>
                </w:p>
              </w:tc>
            </w:tr>
            <w:tr w14:paraId="3A564E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12" w:type="dxa"/>
                  <w:tcBorders>
                    <w:top w:val="single" w:color="auto" w:sz="12" w:space="0"/>
                    <w:tl2br w:val="nil"/>
                    <w:tr2bl w:val="nil"/>
                  </w:tcBorders>
                  <w:shd w:val="clear" w:color="auto" w:fill="auto"/>
                  <w:tcMar>
                    <w:top w:w="0" w:type="dxa"/>
                    <w:left w:w="0" w:type="dxa"/>
                    <w:bottom w:w="0" w:type="dxa"/>
                    <w:right w:w="0" w:type="dxa"/>
                  </w:tcMar>
                  <w:vAlign w:val="center"/>
                </w:tcPr>
                <w:p w14:paraId="303BFA0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废气治理</w:t>
                  </w:r>
                </w:p>
              </w:tc>
              <w:tc>
                <w:tcPr>
                  <w:tcW w:w="4711" w:type="dxa"/>
                  <w:tcBorders>
                    <w:top w:val="single" w:color="auto" w:sz="12" w:space="0"/>
                    <w:tl2br w:val="nil"/>
                    <w:tr2bl w:val="nil"/>
                  </w:tcBorders>
                  <w:shd w:val="clear" w:color="auto" w:fill="auto"/>
                  <w:tcMar>
                    <w:top w:w="0" w:type="dxa"/>
                    <w:left w:w="0" w:type="dxa"/>
                    <w:bottom w:w="0" w:type="dxa"/>
                    <w:right w:w="0" w:type="dxa"/>
                  </w:tcMar>
                  <w:vAlign w:val="center"/>
                </w:tcPr>
                <w:p w14:paraId="63546F7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集气罩+活性炭吸附脱附+蓄热催化燃烧一体化装置（RCO）处理后+15m排气筒；车间通风设施</w:t>
                  </w:r>
                  <w:r>
                    <w:rPr>
                      <w:rFonts w:hint="eastAsia" w:cs="Times New Roman"/>
                      <w:i w:val="0"/>
                      <w:iCs w:val="0"/>
                      <w:color w:val="auto"/>
                      <w:kern w:val="0"/>
                      <w:sz w:val="21"/>
                      <w:szCs w:val="21"/>
                      <w:u w:val="none"/>
                      <w:lang w:val="en-US" w:eastAsia="zh-CN" w:bidi="ar"/>
                    </w:rPr>
                    <w:t>。</w:t>
                  </w:r>
                </w:p>
              </w:tc>
              <w:tc>
                <w:tcPr>
                  <w:tcW w:w="878" w:type="dxa"/>
                  <w:tcBorders>
                    <w:top w:val="single" w:color="auto" w:sz="12" w:space="0"/>
                    <w:tl2br w:val="nil"/>
                    <w:tr2bl w:val="nil"/>
                  </w:tcBorders>
                  <w:shd w:val="clear" w:color="auto" w:fill="auto"/>
                  <w:tcMar>
                    <w:top w:w="0" w:type="dxa"/>
                    <w:left w:w="0" w:type="dxa"/>
                    <w:bottom w:w="0" w:type="dxa"/>
                    <w:right w:w="0" w:type="dxa"/>
                  </w:tcMar>
                  <w:vAlign w:val="center"/>
                </w:tcPr>
                <w:p w14:paraId="5E0449A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r>
            <w:tr w14:paraId="25E06E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7D24F86E">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废水治理</w:t>
                  </w:r>
                </w:p>
              </w:tc>
              <w:tc>
                <w:tcPr>
                  <w:tcW w:w="4711" w:type="dxa"/>
                  <w:tcBorders>
                    <w:tl2br w:val="nil"/>
                    <w:tr2bl w:val="nil"/>
                  </w:tcBorders>
                  <w:shd w:val="clear" w:color="auto" w:fill="auto"/>
                  <w:tcMar>
                    <w:top w:w="0" w:type="dxa"/>
                    <w:left w:w="0" w:type="dxa"/>
                    <w:bottom w:w="0" w:type="dxa"/>
                    <w:right w:w="0" w:type="dxa"/>
                  </w:tcMar>
                  <w:vAlign w:val="center"/>
                </w:tcPr>
                <w:p w14:paraId="61F4347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lang w:val="en-US"/>
                    </w:rPr>
                  </w:pPr>
                  <w:r>
                    <w:rPr>
                      <w:rFonts w:hint="eastAsia" w:ascii="Times New Roman" w:hAnsi="Times New Roman" w:eastAsia="宋体" w:cs="Times New Roman"/>
                      <w:i w:val="0"/>
                      <w:iCs w:val="0"/>
                      <w:color w:val="auto"/>
                      <w:kern w:val="0"/>
                      <w:sz w:val="21"/>
                      <w:szCs w:val="21"/>
                      <w:u w:val="none"/>
                      <w:lang w:val="en-US" w:eastAsia="zh-CN" w:bidi="ar"/>
                    </w:rPr>
                    <w:t>园区污水管网</w:t>
                  </w:r>
                </w:p>
              </w:tc>
              <w:tc>
                <w:tcPr>
                  <w:tcW w:w="878" w:type="dxa"/>
                  <w:tcBorders>
                    <w:tl2br w:val="nil"/>
                    <w:tr2bl w:val="nil"/>
                  </w:tcBorders>
                  <w:shd w:val="clear" w:color="auto" w:fill="auto"/>
                  <w:tcMar>
                    <w:top w:w="0" w:type="dxa"/>
                    <w:left w:w="0" w:type="dxa"/>
                    <w:bottom w:w="0" w:type="dxa"/>
                    <w:right w:w="0" w:type="dxa"/>
                  </w:tcMar>
                  <w:vAlign w:val="center"/>
                </w:tcPr>
                <w:p w14:paraId="3CF4BD5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r>
            <w:tr w14:paraId="21628C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76329DB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噪声治理</w:t>
                  </w:r>
                </w:p>
              </w:tc>
              <w:tc>
                <w:tcPr>
                  <w:tcW w:w="4711" w:type="dxa"/>
                  <w:tcBorders>
                    <w:tl2br w:val="nil"/>
                    <w:tr2bl w:val="nil"/>
                  </w:tcBorders>
                  <w:shd w:val="clear" w:color="auto" w:fill="auto"/>
                  <w:tcMar>
                    <w:top w:w="0" w:type="dxa"/>
                    <w:left w:w="0" w:type="dxa"/>
                    <w:bottom w:w="0" w:type="dxa"/>
                    <w:right w:w="0" w:type="dxa"/>
                  </w:tcMar>
                  <w:vAlign w:val="center"/>
                </w:tcPr>
                <w:p w14:paraId="652F1585">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基础减振、消声器、厂房隔声</w:t>
                  </w:r>
                </w:p>
              </w:tc>
              <w:tc>
                <w:tcPr>
                  <w:tcW w:w="878" w:type="dxa"/>
                  <w:tcBorders>
                    <w:tl2br w:val="nil"/>
                    <w:tr2bl w:val="nil"/>
                  </w:tcBorders>
                  <w:shd w:val="clear" w:color="auto" w:fill="auto"/>
                  <w:tcMar>
                    <w:top w:w="0" w:type="dxa"/>
                    <w:left w:w="0" w:type="dxa"/>
                    <w:bottom w:w="0" w:type="dxa"/>
                    <w:right w:w="0" w:type="dxa"/>
                  </w:tcMar>
                  <w:vAlign w:val="center"/>
                </w:tcPr>
                <w:p w14:paraId="5993E98D">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r>
            <w:tr w14:paraId="6B46AE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014B81C5">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固废治理</w:t>
                  </w:r>
                </w:p>
              </w:tc>
              <w:tc>
                <w:tcPr>
                  <w:tcW w:w="4711" w:type="dxa"/>
                  <w:tcBorders>
                    <w:tl2br w:val="nil"/>
                    <w:tr2bl w:val="nil"/>
                  </w:tcBorders>
                  <w:shd w:val="clear" w:color="auto" w:fill="auto"/>
                  <w:tcMar>
                    <w:top w:w="0" w:type="dxa"/>
                    <w:left w:w="0" w:type="dxa"/>
                    <w:bottom w:w="0" w:type="dxa"/>
                    <w:right w:w="0" w:type="dxa"/>
                  </w:tcMar>
                  <w:vAlign w:val="center"/>
                </w:tcPr>
                <w:p w14:paraId="0FC8B34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危废暂存间（20m²）、一般固废暂存区、垃圾桶</w:t>
                  </w:r>
                </w:p>
              </w:tc>
              <w:tc>
                <w:tcPr>
                  <w:tcW w:w="878" w:type="dxa"/>
                  <w:tcBorders>
                    <w:tl2br w:val="nil"/>
                    <w:tr2bl w:val="nil"/>
                  </w:tcBorders>
                  <w:shd w:val="clear" w:color="auto" w:fill="auto"/>
                  <w:tcMar>
                    <w:top w:w="0" w:type="dxa"/>
                    <w:left w:w="0" w:type="dxa"/>
                    <w:bottom w:w="0" w:type="dxa"/>
                    <w:right w:w="0" w:type="dxa"/>
                  </w:tcMar>
                  <w:vAlign w:val="center"/>
                </w:tcPr>
                <w:p w14:paraId="5B45E4C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r>
            <w:tr w14:paraId="32089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1E2B8DC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环境风险</w:t>
                  </w:r>
                </w:p>
              </w:tc>
              <w:tc>
                <w:tcPr>
                  <w:tcW w:w="4711" w:type="dxa"/>
                  <w:tcBorders>
                    <w:tl2br w:val="nil"/>
                    <w:tr2bl w:val="nil"/>
                  </w:tcBorders>
                  <w:shd w:val="clear" w:color="auto" w:fill="auto"/>
                  <w:tcMar>
                    <w:top w:w="0" w:type="dxa"/>
                    <w:left w:w="0" w:type="dxa"/>
                    <w:bottom w:w="0" w:type="dxa"/>
                    <w:right w:w="0" w:type="dxa"/>
                  </w:tcMar>
                  <w:vAlign w:val="center"/>
                </w:tcPr>
                <w:p w14:paraId="51CECB46">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防爆灯、泄漏收集设施、应急物资</w:t>
                  </w:r>
                </w:p>
              </w:tc>
              <w:tc>
                <w:tcPr>
                  <w:tcW w:w="878" w:type="dxa"/>
                  <w:tcBorders>
                    <w:tl2br w:val="nil"/>
                    <w:tr2bl w:val="nil"/>
                  </w:tcBorders>
                  <w:shd w:val="clear" w:color="auto" w:fill="auto"/>
                  <w:tcMar>
                    <w:top w:w="0" w:type="dxa"/>
                    <w:left w:w="0" w:type="dxa"/>
                    <w:bottom w:w="0" w:type="dxa"/>
                    <w:right w:w="0" w:type="dxa"/>
                  </w:tcMar>
                  <w:vAlign w:val="center"/>
                </w:tcPr>
                <w:p w14:paraId="65FB6131">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r>
            <w:tr w14:paraId="3DA3F6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3127E688">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排污口规范化</w:t>
                  </w:r>
                </w:p>
              </w:tc>
              <w:tc>
                <w:tcPr>
                  <w:tcW w:w="4711" w:type="dxa"/>
                  <w:tcBorders>
                    <w:tl2br w:val="nil"/>
                    <w:tr2bl w:val="nil"/>
                  </w:tcBorders>
                  <w:shd w:val="clear" w:color="auto" w:fill="auto"/>
                  <w:tcMar>
                    <w:top w:w="0" w:type="dxa"/>
                    <w:left w:w="0" w:type="dxa"/>
                    <w:bottom w:w="0" w:type="dxa"/>
                    <w:right w:w="0" w:type="dxa"/>
                  </w:tcMar>
                  <w:vAlign w:val="center"/>
                </w:tcPr>
                <w:p w14:paraId="6D206E8B">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标志牌、采样口</w:t>
                  </w:r>
                </w:p>
              </w:tc>
              <w:tc>
                <w:tcPr>
                  <w:tcW w:w="878" w:type="dxa"/>
                  <w:tcBorders>
                    <w:tl2br w:val="nil"/>
                    <w:tr2bl w:val="nil"/>
                  </w:tcBorders>
                  <w:shd w:val="clear" w:color="auto" w:fill="auto"/>
                  <w:tcMar>
                    <w:top w:w="0" w:type="dxa"/>
                    <w:left w:w="0" w:type="dxa"/>
                    <w:bottom w:w="0" w:type="dxa"/>
                    <w:right w:w="0" w:type="dxa"/>
                  </w:tcMar>
                  <w:vAlign w:val="center"/>
                </w:tcPr>
                <w:p w14:paraId="289724C3">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w:t>
                  </w:r>
                </w:p>
              </w:tc>
            </w:tr>
            <w:tr w14:paraId="27357F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00F7821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环保验收及监测</w:t>
                  </w:r>
                </w:p>
              </w:tc>
              <w:tc>
                <w:tcPr>
                  <w:tcW w:w="4711" w:type="dxa"/>
                  <w:tcBorders>
                    <w:tl2br w:val="nil"/>
                    <w:tr2bl w:val="nil"/>
                  </w:tcBorders>
                  <w:shd w:val="clear" w:color="auto" w:fill="auto"/>
                  <w:tcMar>
                    <w:top w:w="0" w:type="dxa"/>
                    <w:left w:w="0" w:type="dxa"/>
                    <w:bottom w:w="0" w:type="dxa"/>
                    <w:right w:w="0" w:type="dxa"/>
                  </w:tcMar>
                  <w:vAlign w:val="center"/>
                </w:tcPr>
                <w:p w14:paraId="501EE320">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竣工环保验收、自行监测</w:t>
                  </w:r>
                </w:p>
              </w:tc>
              <w:tc>
                <w:tcPr>
                  <w:tcW w:w="878" w:type="dxa"/>
                  <w:tcBorders>
                    <w:tl2br w:val="nil"/>
                    <w:tr2bl w:val="nil"/>
                  </w:tcBorders>
                  <w:shd w:val="clear" w:color="auto" w:fill="auto"/>
                  <w:tcMar>
                    <w:top w:w="0" w:type="dxa"/>
                    <w:left w:w="0" w:type="dxa"/>
                    <w:bottom w:w="0" w:type="dxa"/>
                    <w:right w:w="0" w:type="dxa"/>
                  </w:tcMar>
                  <w:vAlign w:val="center"/>
                </w:tcPr>
                <w:p w14:paraId="19C4B1A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r>
            <w:tr w14:paraId="7E8BF2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1712" w:type="dxa"/>
                  <w:tcBorders>
                    <w:tl2br w:val="nil"/>
                    <w:tr2bl w:val="nil"/>
                  </w:tcBorders>
                  <w:shd w:val="clear" w:color="auto" w:fill="auto"/>
                  <w:tcMar>
                    <w:top w:w="0" w:type="dxa"/>
                    <w:left w:w="0" w:type="dxa"/>
                    <w:bottom w:w="0" w:type="dxa"/>
                    <w:right w:w="0" w:type="dxa"/>
                  </w:tcMar>
                  <w:vAlign w:val="center"/>
                </w:tcPr>
                <w:p w14:paraId="10BB3B15">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合计</w:t>
                  </w:r>
                </w:p>
              </w:tc>
              <w:tc>
                <w:tcPr>
                  <w:tcW w:w="4711" w:type="dxa"/>
                  <w:tcBorders>
                    <w:tl2br w:val="nil"/>
                    <w:tr2bl w:val="nil"/>
                  </w:tcBorders>
                  <w:shd w:val="clear" w:color="auto" w:fill="auto"/>
                  <w:tcMar>
                    <w:top w:w="0" w:type="dxa"/>
                    <w:left w:w="0" w:type="dxa"/>
                    <w:bottom w:w="0" w:type="dxa"/>
                    <w:right w:w="0" w:type="dxa"/>
                  </w:tcMar>
                  <w:vAlign w:val="center"/>
                </w:tcPr>
                <w:p w14:paraId="2279F10D">
                  <w:pPr>
                    <w:keepNext w:val="0"/>
                    <w:keepLines w:val="0"/>
                    <w:pageBreakBefore w:val="0"/>
                    <w:widowControl/>
                    <w:shd w:val="clear"/>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rPr>
                  </w:pPr>
                </w:p>
              </w:tc>
              <w:tc>
                <w:tcPr>
                  <w:tcW w:w="878" w:type="dxa"/>
                  <w:tcBorders>
                    <w:tl2br w:val="nil"/>
                    <w:tr2bl w:val="nil"/>
                  </w:tcBorders>
                  <w:shd w:val="clear" w:color="auto" w:fill="auto"/>
                  <w:tcMar>
                    <w:top w:w="0" w:type="dxa"/>
                    <w:left w:w="0" w:type="dxa"/>
                    <w:bottom w:w="0" w:type="dxa"/>
                    <w:right w:w="0" w:type="dxa"/>
                  </w:tcMar>
                  <w:vAlign w:val="center"/>
                </w:tcPr>
                <w:p w14:paraId="57E8FD52">
                  <w:pPr>
                    <w:keepNext w:val="0"/>
                    <w:keepLines w:val="0"/>
                    <w:pageBreakBefore w:val="0"/>
                    <w:widowControl/>
                    <w:suppressLineNumbers w:val="0"/>
                    <w:shd w:val="clear"/>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56.5</w:t>
                  </w:r>
                </w:p>
              </w:tc>
            </w:tr>
          </w:tbl>
          <w:p w14:paraId="352B6C05">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b/>
                <w:bCs/>
                <w:color w:val="auto"/>
                <w:kern w:val="0"/>
                <w:sz w:val="24"/>
                <w:szCs w:val="24"/>
              </w:rPr>
            </w:pPr>
            <w:r>
              <w:rPr>
                <w:rFonts w:hint="default" w:ascii="Times New Roman" w:hAnsi="Times New Roman" w:cs="Times New Roman"/>
                <w:b/>
                <w:bCs/>
                <w:color w:val="auto"/>
                <w:sz w:val="24"/>
                <w:szCs w:val="24"/>
              </w:rPr>
              <w:t>9环境管理</w:t>
            </w:r>
          </w:p>
          <w:p w14:paraId="42A3EB7B">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9.1排污许可制度</w:t>
            </w:r>
          </w:p>
          <w:p w14:paraId="27D43AB0">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对照《固定污染源排污许可分类管理名录》（2019年版）</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本项目</w:t>
            </w:r>
            <w:r>
              <w:rPr>
                <w:rFonts w:hint="default" w:ascii="Times New Roman" w:hAnsi="Times New Roman" w:cs="Times New Roman"/>
                <w:color w:val="auto"/>
                <w:sz w:val="24"/>
                <w:szCs w:val="24"/>
                <w:lang w:eastAsia="zh-CN"/>
              </w:rPr>
              <w:t>贵金属压延加工</w:t>
            </w:r>
            <w:r>
              <w:rPr>
                <w:rFonts w:hint="default" w:ascii="Times New Roman" w:hAnsi="Times New Roman" w:cs="Times New Roman"/>
                <w:color w:val="auto"/>
                <w:sz w:val="24"/>
                <w:szCs w:val="24"/>
              </w:rPr>
              <w:t>属于“</w:t>
            </w:r>
            <w:r>
              <w:rPr>
                <w:rFonts w:hint="default" w:ascii="Times New Roman" w:hAnsi="Times New Roman" w:cs="Times New Roman"/>
                <w:color w:val="auto"/>
                <w:sz w:val="24"/>
                <w:szCs w:val="24"/>
                <w:lang w:eastAsia="zh-CN"/>
              </w:rPr>
              <w:t>二十七</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有色金属冶炼和压延加工业</w:t>
            </w:r>
            <w:r>
              <w:rPr>
                <w:rFonts w:hint="default" w:ascii="Times New Roman" w:hAnsi="Times New Roman" w:cs="Times New Roman"/>
                <w:color w:val="auto"/>
                <w:sz w:val="24"/>
                <w:szCs w:val="24"/>
                <w:lang w:val="en-US" w:eastAsia="zh-CN"/>
              </w:rPr>
              <w:t>-79有色金属压延加工-有轧制或者退火工序的</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类别，不涉及通用工序，</w:t>
            </w:r>
            <w:r>
              <w:rPr>
                <w:rFonts w:hint="default" w:ascii="Times New Roman" w:hAnsi="Times New Roman" w:cs="Times New Roman"/>
                <w:color w:val="auto"/>
                <w:sz w:val="24"/>
                <w:szCs w:val="24"/>
              </w:rPr>
              <w:t>因此属于简化管理</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项目投产前应按要求申领排污许可证。</w:t>
            </w:r>
          </w:p>
          <w:p w14:paraId="78F8B522">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本项目应依据《固定污染源排污登记工作指南（试行）》（环办环评函﹝2020﹞9号）</w:t>
            </w:r>
            <w:r>
              <w:rPr>
                <w:rFonts w:hint="default" w:ascii="Times New Roman" w:hAnsi="Times New Roman" w:eastAsia="宋体" w:cs="Times New Roman"/>
                <w:color w:val="auto"/>
                <w:sz w:val="24"/>
                <w:szCs w:val="24"/>
                <w:lang w:val="en-US" w:eastAsia="zh-CN"/>
              </w:rPr>
              <w:t>企业</w:t>
            </w:r>
            <w:r>
              <w:rPr>
                <w:rFonts w:hint="default" w:ascii="Times New Roman" w:hAnsi="Times New Roman" w:cs="Times New Roman"/>
                <w:color w:val="auto"/>
                <w:sz w:val="24"/>
                <w:szCs w:val="24"/>
              </w:rPr>
              <w:t>自行监测、执行报告及环境保护主管部门监管执法信息应当在全国排污许可证管理信息平台上记载</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并按照</w:t>
            </w:r>
            <w:r>
              <w:rPr>
                <w:rFonts w:hint="default" w:ascii="Times New Roman" w:hAnsi="Times New Roman" w:cs="Times New Roman"/>
                <w:color w:val="auto"/>
                <w:sz w:val="24"/>
                <w:szCs w:val="24"/>
                <w:lang w:eastAsia="zh-CN"/>
              </w:rPr>
              <w:t>排污许可管理办法</w:t>
            </w:r>
            <w:r>
              <w:rPr>
                <w:rFonts w:hint="default" w:ascii="Times New Roman" w:hAnsi="Times New Roman" w:cs="Times New Roman"/>
                <w:color w:val="auto"/>
                <w:sz w:val="24"/>
                <w:szCs w:val="24"/>
              </w:rPr>
              <w:t>在全国排污许可证管理信息平台上公开。</w:t>
            </w:r>
          </w:p>
          <w:p w14:paraId="4AB6C956">
            <w:pPr>
              <w:pageBreakBefore w:val="0"/>
              <w:shd w:val="clear"/>
              <w:kinsoku/>
              <w:topLinePunct w:val="0"/>
              <w:bidi w:val="0"/>
              <w:spacing w:beforeAutospacing="0" w:afterAutospacing="0" w:line="360" w:lineRule="auto"/>
              <w:ind w:left="0" w:leftChars="0" w:right="0" w:rightChars="0" w:firstLine="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9.2运行管理要求</w:t>
            </w:r>
          </w:p>
          <w:p w14:paraId="1F6BBF4A">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（1）废气</w:t>
            </w:r>
          </w:p>
          <w:p w14:paraId="4F059CCB">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排污单位应当按照相关法律法规、标准和技术规范等的要求运行大气污染防治设施</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并进行维护和管理</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保证设施正常运行</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使排放的大气污染物符合相关国家或地方污染物排放标准的规定。</w:t>
            </w:r>
          </w:p>
          <w:p w14:paraId="291E94BB">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a）环保设施应与产生废气的设施同步运行</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并保证在</w:t>
            </w:r>
            <w:r>
              <w:rPr>
                <w:rFonts w:hint="default" w:ascii="Times New Roman" w:hAnsi="Times New Roman" w:cs="Times New Roman"/>
                <w:color w:val="auto"/>
                <w:sz w:val="24"/>
                <w:szCs w:val="24"/>
                <w:lang w:eastAsia="zh-CN"/>
              </w:rPr>
              <w:t>碱洗塔</w:t>
            </w:r>
            <w:r>
              <w:rPr>
                <w:rFonts w:hint="default" w:ascii="Times New Roman" w:hAnsi="Times New Roman" w:cs="Times New Roman"/>
                <w:color w:val="auto"/>
                <w:sz w:val="24"/>
                <w:szCs w:val="24"/>
              </w:rPr>
              <w:t>负荷波动情况下仍能正常运行</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实现达标排放。由于事故或设备维修等原因造成治理设施停止运行时</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应立即报告当地生态环境主管部门；</w:t>
            </w:r>
          </w:p>
          <w:p w14:paraId="60264338">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w:t>
            </w:r>
            <w:r>
              <w:rPr>
                <w:rFonts w:hint="default" w:ascii="Times New Roman" w:hAnsi="Times New Roman" w:cs="Times New Roman"/>
                <w:color w:val="auto"/>
                <w:sz w:val="24"/>
                <w:szCs w:val="24"/>
                <w:lang w:eastAsia="zh-CN"/>
              </w:rPr>
              <w:t>废气</w:t>
            </w:r>
            <w:r>
              <w:rPr>
                <w:rFonts w:hint="default" w:ascii="Times New Roman" w:hAnsi="Times New Roman" w:cs="Times New Roman"/>
                <w:color w:val="auto"/>
                <w:sz w:val="24"/>
                <w:szCs w:val="24"/>
              </w:rPr>
              <w:t>治理设施运行应尽可能在满足设计工况的条件下进行</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并根据工艺要求</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定期对设备、电气、自控仪表及锅炉间进行检查维护</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确保可靠稳定运行。</w:t>
            </w:r>
          </w:p>
          <w:p w14:paraId="72B05799">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lang w:eastAsia="zh-CN"/>
              </w:rPr>
              <w:t>）废水</w:t>
            </w:r>
          </w:p>
          <w:p w14:paraId="6E65620E">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lang w:eastAsia="zh-CN"/>
              </w:rPr>
              <w:t>中和池及其相关设备应有防腐蚀措施，定期检查和维护防腐层的完好情况；‌</w:t>
            </w:r>
          </w:p>
          <w:p w14:paraId="05B61B09">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lang w:eastAsia="zh-CN"/>
              </w:rPr>
              <w:t>应妥善收集酸性废水，及时投入适量片碱，并测试废水</w:t>
            </w:r>
            <w:r>
              <w:rPr>
                <w:rFonts w:hint="default" w:ascii="Times New Roman" w:hAnsi="Times New Roman" w:cs="Times New Roman"/>
                <w:color w:val="auto"/>
                <w:sz w:val="24"/>
                <w:szCs w:val="24"/>
                <w:lang w:val="en-US" w:eastAsia="zh-CN"/>
              </w:rPr>
              <w:t>pH值，满足《污水排入城镇下水道水质标准》（GBT31962-2015）B级标准后排入市政管网。</w:t>
            </w:r>
          </w:p>
          <w:p w14:paraId="6290DE9C">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）固体废物管理要求</w:t>
            </w:r>
          </w:p>
          <w:p w14:paraId="5D24083C">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a）应妥善收集、储存固废</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并按照《国家危险废物名录》或国家规定的危险废物鉴别标准鉴定类别后采取相应的处置方式</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属于一般工业固体废物的</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其储存、处置应符合GB18599的相关要求；属于危险废物的</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其储存应符合GB18597的相关要求</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并委托具有危险废物经营许可证的单位进行处理；</w:t>
            </w:r>
          </w:p>
          <w:p w14:paraId="64C6DB89">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b）应记录固体废物产生量、处置量及去向（综合利用或外运）和贮存量；</w:t>
            </w:r>
          </w:p>
          <w:p w14:paraId="74AB33B0">
            <w:pPr>
              <w:pageBreakBefore w:val="0"/>
              <w:shd w:val="clear"/>
              <w:kinsoku/>
              <w:topLinePunct w:val="0"/>
              <w:bidi w:val="0"/>
              <w:spacing w:beforeAutospacing="0" w:afterAutospacing="0" w:line="360" w:lineRule="auto"/>
              <w:ind w:left="0" w:leftChars="0" w:right="0" w:rightChars="0"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c）危险废物转移过程应执行危险废物管理相关要求。</w:t>
            </w:r>
          </w:p>
          <w:p w14:paraId="48175D2A">
            <w:pPr>
              <w:pStyle w:val="34"/>
              <w:pageBreakBefore w:val="0"/>
              <w:shd w:val="clear"/>
              <w:kinsoku/>
              <w:topLinePunct w:val="0"/>
              <w:bidi w:val="0"/>
              <w:spacing w:beforeAutospacing="0" w:afterAutospacing="0" w:line="360" w:lineRule="auto"/>
              <w:ind w:left="0" w:leftChars="0" w:right="0" w:rightChars="0" w:firstLine="420"/>
              <w:rPr>
                <w:rFonts w:hint="default" w:ascii="Times New Roman" w:hAnsi="Times New Roman" w:cs="Times New Roman"/>
                <w:color w:val="auto"/>
                <w:sz w:val="24"/>
                <w:szCs w:val="24"/>
              </w:rPr>
            </w:pPr>
          </w:p>
          <w:p w14:paraId="1754DEF7">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1C1DCE06">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1303F752">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2E8F23C5">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09650A68">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tc>
      </w:tr>
    </w:tbl>
    <w:p w14:paraId="3A5A2C04">
      <w:pPr>
        <w:pageBreakBefore w:val="0"/>
        <w:widowControl/>
        <w:shd w:val="clear"/>
        <w:kinsoku/>
        <w:topLinePunct w:val="0"/>
        <w:bidi w:val="0"/>
        <w:spacing w:beforeAutospacing="0" w:afterAutospacing="0"/>
        <w:ind w:left="0" w:leftChars="0" w:right="0" w:rightChars="0"/>
        <w:jc w:val="left"/>
        <w:rPr>
          <w:rFonts w:hint="default" w:ascii="Times New Roman" w:hAnsi="Times New Roman" w:cs="Times New Roman"/>
          <w:color w:val="auto"/>
        </w:rPr>
      </w:pPr>
      <w:r>
        <w:rPr>
          <w:rFonts w:hint="default" w:ascii="Times New Roman" w:hAnsi="Times New Roman" w:cs="Times New Roman"/>
          <w:color w:val="auto"/>
        </w:rPr>
        <w:br w:type="page"/>
      </w:r>
    </w:p>
    <w:p w14:paraId="15B0A6DD">
      <w:pPr>
        <w:pStyle w:val="6"/>
        <w:pageBreakBefore w:val="0"/>
        <w:numPr>
          <w:ilvl w:val="0"/>
          <w:numId w:val="0"/>
        </w:numPr>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color w:val="auto"/>
        </w:rPr>
      </w:pPr>
      <w:bookmarkStart w:id="5" w:name="_Toc109993630"/>
      <w:r>
        <w:rPr>
          <w:rFonts w:hint="eastAsia" w:cs="Times New Roman"/>
          <w:bCs/>
          <w:color w:val="auto"/>
          <w:kern w:val="44"/>
          <w:sz w:val="28"/>
          <w:szCs w:val="44"/>
          <w:lang w:val="en-US" w:eastAsia="zh-CN" w:bidi="ar-SA"/>
        </w:rPr>
        <w:t>五</w:t>
      </w:r>
      <w:r>
        <w:rPr>
          <w:rFonts w:hint="eastAsia" w:ascii="Times New Roman" w:hAnsi="Times New Roman" w:eastAsia="黑体" w:cs="Times New Roman"/>
          <w:bCs/>
          <w:color w:val="auto"/>
          <w:kern w:val="44"/>
          <w:sz w:val="28"/>
          <w:szCs w:val="44"/>
          <w:lang w:val="en-US" w:eastAsia="zh-CN" w:bidi="ar-SA"/>
        </w:rPr>
        <w:t>、</w:t>
      </w:r>
      <w:r>
        <w:rPr>
          <w:rFonts w:hint="default" w:ascii="Times New Roman" w:hAnsi="Times New Roman" w:cs="Times New Roman"/>
          <w:color w:val="auto"/>
        </w:rPr>
        <w:t>环境保护措施监督检查清单</w:t>
      </w:r>
      <w:bookmarkEnd w:id="5"/>
    </w:p>
    <w:p w14:paraId="61D1BC05">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tbl>
      <w:tblPr>
        <w:tblStyle w:val="25"/>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640"/>
        <w:gridCol w:w="1278"/>
        <w:gridCol w:w="1947"/>
        <w:gridCol w:w="2703"/>
      </w:tblGrid>
      <w:tr w14:paraId="2E7AED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25" w:hRule="atLeast"/>
          <w:jc w:val="center"/>
        </w:trPr>
        <w:tc>
          <w:tcPr>
            <w:tcW w:w="1232" w:type="dxa"/>
            <w:tcBorders>
              <w:tl2br w:val="single" w:color="auto" w:sz="4" w:space="0"/>
            </w:tcBorders>
            <w:noWrap w:val="0"/>
            <w:vAlign w:val="top"/>
          </w:tcPr>
          <w:p w14:paraId="18A32237">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right="0" w:rightChars="0" w:firstLine="422" w:firstLineChars="200"/>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内容</w:t>
            </w:r>
          </w:p>
          <w:p w14:paraId="40529ECD">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要素</w:t>
            </w:r>
          </w:p>
        </w:tc>
        <w:tc>
          <w:tcPr>
            <w:tcW w:w="1640" w:type="dxa"/>
            <w:noWrap w:val="0"/>
            <w:vAlign w:val="center"/>
          </w:tcPr>
          <w:p w14:paraId="7F3EAD15">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排放口(编号、</w:t>
            </w:r>
          </w:p>
          <w:p w14:paraId="1389A998">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名称)/污染源</w:t>
            </w:r>
          </w:p>
        </w:tc>
        <w:tc>
          <w:tcPr>
            <w:tcW w:w="1278" w:type="dxa"/>
            <w:noWrap w:val="0"/>
            <w:vAlign w:val="center"/>
          </w:tcPr>
          <w:p w14:paraId="54DF5268">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污染物项目</w:t>
            </w:r>
          </w:p>
        </w:tc>
        <w:tc>
          <w:tcPr>
            <w:tcW w:w="1947" w:type="dxa"/>
            <w:noWrap w:val="0"/>
            <w:vAlign w:val="center"/>
          </w:tcPr>
          <w:p w14:paraId="1799FDCE">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环境保护措施</w:t>
            </w:r>
          </w:p>
        </w:tc>
        <w:tc>
          <w:tcPr>
            <w:tcW w:w="2703" w:type="dxa"/>
            <w:noWrap w:val="0"/>
            <w:vAlign w:val="center"/>
          </w:tcPr>
          <w:p w14:paraId="4E709536">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pacing w:val="0"/>
                <w:position w:val="0"/>
                <w:sz w:val="21"/>
                <w:szCs w:val="21"/>
                <w:highlight w:val="none"/>
              </w:rPr>
            </w:pPr>
            <w:r>
              <w:rPr>
                <w:rFonts w:hint="default" w:ascii="Times New Roman" w:hAnsi="Times New Roman" w:cs="Times New Roman"/>
                <w:b/>
                <w:bCs/>
                <w:color w:val="auto"/>
                <w:spacing w:val="0"/>
                <w:position w:val="0"/>
                <w:sz w:val="21"/>
                <w:szCs w:val="21"/>
                <w:highlight w:val="none"/>
              </w:rPr>
              <w:t>执行标准</w:t>
            </w:r>
          </w:p>
        </w:tc>
      </w:tr>
      <w:tr w14:paraId="0CD7B4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2" w:type="dxa"/>
            <w:vMerge w:val="restart"/>
            <w:noWrap w:val="0"/>
            <w:vAlign w:val="center"/>
          </w:tcPr>
          <w:p w14:paraId="114D8E6A">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大气环境</w:t>
            </w:r>
          </w:p>
        </w:tc>
        <w:tc>
          <w:tcPr>
            <w:tcW w:w="1640" w:type="dxa"/>
            <w:noWrap w:val="0"/>
            <w:vAlign w:val="center"/>
          </w:tcPr>
          <w:p w14:paraId="30E57683">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DA001</w:t>
            </w:r>
          </w:p>
        </w:tc>
        <w:tc>
          <w:tcPr>
            <w:tcW w:w="1278" w:type="dxa"/>
            <w:noWrap w:val="0"/>
            <w:vAlign w:val="center"/>
          </w:tcPr>
          <w:p w14:paraId="4F188237">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颗粒物</w:t>
            </w:r>
          </w:p>
        </w:tc>
        <w:tc>
          <w:tcPr>
            <w:tcW w:w="1947" w:type="dxa"/>
            <w:noWrap w:val="0"/>
            <w:vAlign w:val="center"/>
          </w:tcPr>
          <w:p w14:paraId="62331557">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经集气罩收集后（收集效率90%），</w:t>
            </w:r>
            <w:r>
              <w:rPr>
                <w:rFonts w:hint="eastAsia" w:ascii="Times New Roman" w:hAnsi="Times New Roman" w:eastAsia="宋体" w:cs="Times New Roman"/>
                <w:color w:val="auto"/>
                <w:spacing w:val="0"/>
                <w:position w:val="0"/>
                <w:sz w:val="21"/>
                <w:szCs w:val="21"/>
                <w:highlight w:val="none"/>
                <w:lang w:val="en-US" w:eastAsia="zh-CN"/>
              </w:rPr>
              <w:t>通过布袋除尘器进行处理，</w:t>
            </w:r>
            <w:r>
              <w:rPr>
                <w:rFonts w:hint="default" w:ascii="Times New Roman" w:hAnsi="Times New Roman" w:eastAsia="宋体" w:cs="Times New Roman"/>
                <w:color w:val="auto"/>
                <w:spacing w:val="0"/>
                <w:position w:val="0"/>
                <w:sz w:val="21"/>
                <w:szCs w:val="21"/>
                <w:highlight w:val="none"/>
                <w:lang w:val="en-US" w:eastAsia="zh-CN"/>
              </w:rPr>
              <w:t>通过15m高排气筒排放</w:t>
            </w:r>
          </w:p>
        </w:tc>
        <w:tc>
          <w:tcPr>
            <w:tcW w:w="2703" w:type="dxa"/>
            <w:noWrap w:val="0"/>
            <w:vAlign w:val="center"/>
          </w:tcPr>
          <w:p w14:paraId="59CD9E89">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《合成树脂工业污染物排放标准》（GB 31572-2015，含2024年修改单）表5大气污染物特别排放限值（≤</w:t>
            </w:r>
            <w:r>
              <w:rPr>
                <w:rFonts w:hint="eastAsia" w:ascii="Times New Roman" w:hAnsi="Times New Roman" w:eastAsia="宋体" w:cs="Times New Roman"/>
                <w:color w:val="auto"/>
                <w:spacing w:val="0"/>
                <w:position w:val="0"/>
                <w:sz w:val="21"/>
                <w:szCs w:val="21"/>
                <w:highlight w:val="none"/>
                <w:lang w:val="en-US" w:eastAsia="zh-CN"/>
              </w:rPr>
              <w:t>2</w:t>
            </w:r>
            <w:r>
              <w:rPr>
                <w:rFonts w:hint="default" w:ascii="Times New Roman" w:hAnsi="Times New Roman" w:eastAsia="宋体" w:cs="Times New Roman"/>
                <w:color w:val="auto"/>
                <w:spacing w:val="0"/>
                <w:position w:val="0"/>
                <w:sz w:val="21"/>
                <w:szCs w:val="21"/>
                <w:highlight w:val="none"/>
                <w:lang w:val="en-US" w:eastAsia="zh-CN"/>
              </w:rPr>
              <w:t>0 mg/m³）</w:t>
            </w:r>
          </w:p>
        </w:tc>
      </w:tr>
      <w:tr w14:paraId="0FCE6A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1232" w:type="dxa"/>
            <w:vMerge w:val="continue"/>
            <w:noWrap w:val="0"/>
            <w:vAlign w:val="center"/>
          </w:tcPr>
          <w:p w14:paraId="7E89E74F">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p>
        </w:tc>
        <w:tc>
          <w:tcPr>
            <w:tcW w:w="1640" w:type="dxa"/>
            <w:noWrap w:val="0"/>
            <w:vAlign w:val="center"/>
          </w:tcPr>
          <w:p w14:paraId="191C4C99">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DA002</w:t>
            </w:r>
          </w:p>
        </w:tc>
        <w:tc>
          <w:tcPr>
            <w:tcW w:w="1278" w:type="dxa"/>
            <w:noWrap w:val="0"/>
            <w:vAlign w:val="center"/>
          </w:tcPr>
          <w:p w14:paraId="57BBA532">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非甲烷总烃（NMHC）</w:t>
            </w:r>
          </w:p>
        </w:tc>
        <w:tc>
          <w:tcPr>
            <w:tcW w:w="1947" w:type="dxa"/>
            <w:noWrap w:val="0"/>
            <w:vAlign w:val="center"/>
          </w:tcPr>
          <w:p w14:paraId="7B90C4B4">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经集气罩收集后（收集效率90%），引入活性炭吸附脱附+蓄热催化燃烧一体化装置（RCO）处理后处理（处理效率</w:t>
            </w:r>
            <w:r>
              <w:rPr>
                <w:rFonts w:hint="eastAsia" w:cs="Times New Roman"/>
                <w:color w:val="auto"/>
                <w:spacing w:val="0"/>
                <w:position w:val="0"/>
                <w:sz w:val="21"/>
                <w:szCs w:val="21"/>
                <w:highlight w:val="none"/>
                <w:lang w:val="en-US" w:eastAsia="zh-CN"/>
              </w:rPr>
              <w:t>6</w:t>
            </w:r>
            <w:r>
              <w:rPr>
                <w:rFonts w:hint="default" w:ascii="Times New Roman" w:hAnsi="Times New Roman" w:eastAsia="宋体" w:cs="Times New Roman"/>
                <w:color w:val="auto"/>
                <w:spacing w:val="0"/>
                <w:position w:val="0"/>
                <w:sz w:val="21"/>
                <w:szCs w:val="21"/>
                <w:highlight w:val="none"/>
                <w:lang w:val="en-US" w:eastAsia="zh-CN"/>
              </w:rPr>
              <w:t>5%），通过15m高排气筒排放</w:t>
            </w:r>
          </w:p>
        </w:tc>
        <w:tc>
          <w:tcPr>
            <w:tcW w:w="2703" w:type="dxa"/>
            <w:noWrap w:val="0"/>
            <w:vAlign w:val="center"/>
          </w:tcPr>
          <w:p w14:paraId="00C9C37C">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《合成树脂工业污染物排放标准》（GB 31572-2015，含2024年修改单）表5大气污染物特别排放限值（≤60 mg/m³）</w:t>
            </w:r>
          </w:p>
        </w:tc>
      </w:tr>
      <w:tr w14:paraId="6A87E9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1232" w:type="dxa"/>
            <w:vMerge w:val="continue"/>
            <w:noWrap w:val="0"/>
            <w:vAlign w:val="center"/>
          </w:tcPr>
          <w:p w14:paraId="15D99BA6">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p>
        </w:tc>
        <w:tc>
          <w:tcPr>
            <w:tcW w:w="1640" w:type="dxa"/>
            <w:noWrap w:val="0"/>
            <w:vAlign w:val="center"/>
          </w:tcPr>
          <w:p w14:paraId="19861E0B">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ascii="Segoe UI" w:hAnsi="Segoe UI" w:eastAsia="Segoe UI" w:cs="Segoe UI"/>
                <w:i w:val="0"/>
                <w:iCs w:val="0"/>
                <w:caps w:val="0"/>
                <w:color w:val="auto"/>
                <w:spacing w:val="0"/>
                <w:sz w:val="22"/>
                <w:szCs w:val="22"/>
                <w:shd w:val="clear" w:fill="FFFFFF"/>
              </w:rPr>
              <w:t>厂界（无组织）</w:t>
            </w:r>
          </w:p>
        </w:tc>
        <w:tc>
          <w:tcPr>
            <w:tcW w:w="1278" w:type="dxa"/>
            <w:noWrap w:val="0"/>
            <w:vAlign w:val="center"/>
          </w:tcPr>
          <w:p w14:paraId="079B8781">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Segoe UI" w:cs="Times New Roman"/>
                <w:i w:val="0"/>
                <w:iCs w:val="0"/>
                <w:caps w:val="0"/>
                <w:color w:val="auto"/>
                <w:spacing w:val="0"/>
                <w:sz w:val="21"/>
                <w:szCs w:val="21"/>
                <w:shd w:val="clear" w:fill="FFFFFF"/>
              </w:rPr>
              <w:t>颗粒物</w:t>
            </w:r>
            <w:r>
              <w:rPr>
                <w:rFonts w:hint="default" w:ascii="Times New Roman" w:hAnsi="Times New Roman" w:eastAsia="宋体" w:cs="Times New Roman"/>
                <w:i w:val="0"/>
                <w:iCs w:val="0"/>
                <w:caps w:val="0"/>
                <w:color w:val="auto"/>
                <w:spacing w:val="0"/>
                <w:sz w:val="21"/>
                <w:szCs w:val="21"/>
                <w:shd w:val="clear" w:fill="FFFFFF"/>
                <w:lang w:eastAsia="zh-CN"/>
              </w:rPr>
              <w:t>、</w:t>
            </w:r>
            <w:r>
              <w:rPr>
                <w:rFonts w:hint="default" w:ascii="Times New Roman" w:hAnsi="Times New Roman" w:eastAsia="Segoe UI" w:cs="Times New Roman"/>
                <w:i w:val="0"/>
                <w:iCs w:val="0"/>
                <w:caps w:val="0"/>
                <w:color w:val="auto"/>
                <w:spacing w:val="0"/>
                <w:sz w:val="21"/>
                <w:szCs w:val="21"/>
                <w:shd w:val="clear" w:fill="FFFFFF"/>
              </w:rPr>
              <w:t>非甲烷总烃（NMHC）</w:t>
            </w:r>
          </w:p>
        </w:tc>
        <w:tc>
          <w:tcPr>
            <w:tcW w:w="1947" w:type="dxa"/>
            <w:noWrap w:val="0"/>
            <w:vAlign w:val="center"/>
          </w:tcPr>
          <w:p w14:paraId="7A02B3DD">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加强集气罩收集效率，车间密闭，保持微负压</w:t>
            </w:r>
          </w:p>
        </w:tc>
        <w:tc>
          <w:tcPr>
            <w:tcW w:w="2703" w:type="dxa"/>
            <w:noWrap w:val="0"/>
            <w:vAlign w:val="center"/>
          </w:tcPr>
          <w:p w14:paraId="06A13D8C">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《合成树脂工业污染物排放标准》（GB 31572-2015）表9企业边界大气污染物浓度限值（≤4.0 mg/m³）</w:t>
            </w:r>
          </w:p>
          <w:p w14:paraId="631EF8AD">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《挥发性有机物无组织排放控制标准》（GB 37822-2019）表A.1特别排放限值（1h平均≤6 mg/m³，任意一次≤20 mg/m³）</w:t>
            </w:r>
          </w:p>
        </w:tc>
      </w:tr>
      <w:tr w14:paraId="61290B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2" w:type="dxa"/>
            <w:noWrap w:val="0"/>
            <w:vAlign w:val="center"/>
          </w:tcPr>
          <w:p w14:paraId="1FDC9539">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地表水环境</w:t>
            </w:r>
          </w:p>
        </w:tc>
        <w:tc>
          <w:tcPr>
            <w:tcW w:w="1640" w:type="dxa"/>
            <w:noWrap w:val="0"/>
            <w:vAlign w:val="center"/>
          </w:tcPr>
          <w:p w14:paraId="46CE5820">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生活污水</w:t>
            </w:r>
          </w:p>
        </w:tc>
        <w:tc>
          <w:tcPr>
            <w:tcW w:w="1278" w:type="dxa"/>
            <w:noWrap w:val="0"/>
            <w:vAlign w:val="center"/>
          </w:tcPr>
          <w:p w14:paraId="09301AD6">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lang w:val="en-US" w:eastAsia="zh-CN"/>
              </w:rPr>
              <w:t>CODcr、BOD5、氨氮、SS</w:t>
            </w:r>
          </w:p>
        </w:tc>
        <w:tc>
          <w:tcPr>
            <w:tcW w:w="1947" w:type="dxa"/>
            <w:noWrap w:val="0"/>
            <w:vAlign w:val="center"/>
          </w:tcPr>
          <w:p w14:paraId="7E0F40A7">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排入园区污水管网</w:t>
            </w:r>
          </w:p>
        </w:tc>
        <w:tc>
          <w:tcPr>
            <w:tcW w:w="2703" w:type="dxa"/>
            <w:noWrap w:val="0"/>
            <w:vAlign w:val="center"/>
          </w:tcPr>
          <w:p w14:paraId="5BD07282">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《污水综合排放标准》（GB8978-1996）表4中的三级标准。</w:t>
            </w:r>
          </w:p>
        </w:tc>
      </w:tr>
      <w:tr w14:paraId="4E52A8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2" w:type="dxa"/>
            <w:noWrap w:val="0"/>
            <w:vAlign w:val="center"/>
          </w:tcPr>
          <w:p w14:paraId="4DB54DCF">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声环境</w:t>
            </w:r>
          </w:p>
        </w:tc>
        <w:tc>
          <w:tcPr>
            <w:tcW w:w="1640" w:type="dxa"/>
            <w:noWrap w:val="0"/>
            <w:vAlign w:val="center"/>
          </w:tcPr>
          <w:p w14:paraId="6BD52664">
            <w:pPr>
              <w:keepNext w:val="0"/>
              <w:keepLines w:val="0"/>
              <w:pageBreakBefore w:val="0"/>
              <w:widowControl/>
              <w:suppressLineNumbers w:val="0"/>
              <w:shd w:val="clear"/>
              <w:kinsoku/>
              <w:wordWrap/>
              <w:overflowPunct/>
              <w:topLinePunct w:val="0"/>
              <w:autoSpaceDE/>
              <w:autoSpaceDN/>
              <w:bidi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eastAsia="宋体" w:cs="Times New Roman"/>
                <w:color w:val="auto"/>
                <w:spacing w:val="0"/>
                <w:kern w:val="0"/>
                <w:position w:val="0"/>
                <w:sz w:val="21"/>
                <w:szCs w:val="21"/>
                <w:highlight w:val="none"/>
                <w:lang w:val="en-US" w:eastAsia="zh-CN" w:bidi="ar"/>
              </w:rPr>
              <w:t>生产车间</w:t>
            </w:r>
          </w:p>
        </w:tc>
        <w:tc>
          <w:tcPr>
            <w:tcW w:w="1278" w:type="dxa"/>
            <w:noWrap w:val="0"/>
            <w:vAlign w:val="center"/>
          </w:tcPr>
          <w:p w14:paraId="4C65B249">
            <w:pPr>
              <w:keepNext w:val="0"/>
              <w:keepLines w:val="0"/>
              <w:pageBreakBefore w:val="0"/>
              <w:widowControl/>
              <w:suppressLineNumbers w:val="0"/>
              <w:shd w:val="clear"/>
              <w:kinsoku/>
              <w:wordWrap/>
              <w:overflowPunct/>
              <w:topLinePunct w:val="0"/>
              <w:autoSpaceDE/>
              <w:autoSpaceDN/>
              <w:bidi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等效</w:t>
            </w:r>
            <w:r>
              <w:rPr>
                <w:rFonts w:hint="default" w:ascii="Times New Roman" w:hAnsi="Times New Roman" w:eastAsia="宋体" w:cs="Times New Roman"/>
                <w:color w:val="auto"/>
                <w:spacing w:val="0"/>
                <w:kern w:val="0"/>
                <w:position w:val="0"/>
                <w:sz w:val="21"/>
                <w:szCs w:val="21"/>
                <w:highlight w:val="none"/>
                <w:lang w:val="en-US" w:eastAsia="zh-CN" w:bidi="ar"/>
              </w:rPr>
              <w:t>(A)</w:t>
            </w:r>
            <w:r>
              <w:rPr>
                <w:rFonts w:hint="default" w:ascii="Times New Roman" w:hAnsi="Times New Roman" w:cs="Times New Roman"/>
                <w:color w:val="auto"/>
                <w:spacing w:val="0"/>
                <w:position w:val="0"/>
                <w:sz w:val="21"/>
                <w:szCs w:val="21"/>
                <w:highlight w:val="none"/>
                <w:lang w:val="en-US" w:eastAsia="zh-CN"/>
              </w:rPr>
              <w:t>声级</w:t>
            </w:r>
          </w:p>
        </w:tc>
        <w:tc>
          <w:tcPr>
            <w:tcW w:w="1947" w:type="dxa"/>
            <w:noWrap w:val="0"/>
            <w:vAlign w:val="center"/>
          </w:tcPr>
          <w:p w14:paraId="62A15800">
            <w:pPr>
              <w:keepNext w:val="0"/>
              <w:keepLines w:val="0"/>
              <w:pageBreakBefore w:val="0"/>
              <w:widowControl/>
              <w:suppressLineNumbers w:val="0"/>
              <w:shd w:val="clear"/>
              <w:kinsoku/>
              <w:wordWrap/>
              <w:overflowPunct/>
              <w:topLinePunct w:val="0"/>
              <w:autoSpaceDE/>
              <w:autoSpaceDN/>
              <w:bidi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eastAsia="宋体" w:cs="Times New Roman"/>
                <w:color w:val="auto"/>
                <w:spacing w:val="0"/>
                <w:kern w:val="0"/>
                <w:position w:val="0"/>
                <w:sz w:val="21"/>
                <w:szCs w:val="21"/>
                <w:highlight w:val="none"/>
                <w:lang w:val="en-US" w:eastAsia="zh-CN" w:bidi="ar"/>
              </w:rPr>
              <w:t>设备隔声、消声、减振等措施</w:t>
            </w:r>
          </w:p>
        </w:tc>
        <w:tc>
          <w:tcPr>
            <w:tcW w:w="2703" w:type="dxa"/>
            <w:noWrap w:val="0"/>
            <w:vAlign w:val="center"/>
          </w:tcPr>
          <w:p w14:paraId="70D2480D">
            <w:pPr>
              <w:keepNext w:val="0"/>
              <w:keepLines w:val="0"/>
              <w:pageBreakBefore w:val="0"/>
              <w:widowControl/>
              <w:suppressLineNumbers w:val="0"/>
              <w:shd w:val="clear"/>
              <w:kinsoku/>
              <w:wordWrap/>
              <w:overflowPunct/>
              <w:topLinePunct w:val="0"/>
              <w:autoSpaceDE/>
              <w:autoSpaceDN/>
              <w:bidi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eastAsia="宋体" w:cs="Times New Roman"/>
                <w:color w:val="auto"/>
                <w:spacing w:val="0"/>
                <w:kern w:val="0"/>
                <w:position w:val="0"/>
                <w:sz w:val="21"/>
                <w:szCs w:val="21"/>
                <w:highlight w:val="none"/>
                <w:lang w:val="en-US" w:eastAsia="zh-CN" w:bidi="ar"/>
              </w:rPr>
              <w:t>《工业企业厂界环境噪声排放标准》（GB12348-2008）中的3类标准）</w:t>
            </w:r>
          </w:p>
        </w:tc>
      </w:tr>
      <w:tr w14:paraId="0546D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2" w:type="dxa"/>
            <w:noWrap w:val="0"/>
            <w:vAlign w:val="center"/>
          </w:tcPr>
          <w:p w14:paraId="232C4A08">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电磁辐射</w:t>
            </w:r>
          </w:p>
        </w:tc>
        <w:tc>
          <w:tcPr>
            <w:tcW w:w="1640" w:type="dxa"/>
            <w:noWrap w:val="0"/>
            <w:vAlign w:val="center"/>
          </w:tcPr>
          <w:p w14:paraId="41C22C9E">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w:t>
            </w:r>
          </w:p>
        </w:tc>
        <w:tc>
          <w:tcPr>
            <w:tcW w:w="1278" w:type="dxa"/>
            <w:noWrap w:val="0"/>
            <w:vAlign w:val="center"/>
          </w:tcPr>
          <w:p w14:paraId="5C28D77C">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w:t>
            </w:r>
          </w:p>
        </w:tc>
        <w:tc>
          <w:tcPr>
            <w:tcW w:w="1947" w:type="dxa"/>
            <w:noWrap w:val="0"/>
            <w:vAlign w:val="center"/>
          </w:tcPr>
          <w:p w14:paraId="128CDA6B">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w:t>
            </w:r>
          </w:p>
        </w:tc>
        <w:tc>
          <w:tcPr>
            <w:tcW w:w="2703" w:type="dxa"/>
            <w:noWrap w:val="0"/>
            <w:vAlign w:val="center"/>
          </w:tcPr>
          <w:p w14:paraId="387DD837">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w:t>
            </w:r>
          </w:p>
        </w:tc>
      </w:tr>
      <w:tr w14:paraId="2029E4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232" w:type="dxa"/>
            <w:vMerge w:val="restart"/>
            <w:noWrap w:val="0"/>
            <w:vAlign w:val="center"/>
          </w:tcPr>
          <w:p w14:paraId="71C73349">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固体废物</w:t>
            </w:r>
          </w:p>
        </w:tc>
        <w:tc>
          <w:tcPr>
            <w:tcW w:w="1640" w:type="dxa"/>
            <w:noWrap w:val="0"/>
            <w:vAlign w:val="center"/>
          </w:tcPr>
          <w:p w14:paraId="68A27CB0">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一般工业固体废物</w:t>
            </w:r>
          </w:p>
        </w:tc>
        <w:tc>
          <w:tcPr>
            <w:tcW w:w="1278" w:type="dxa"/>
            <w:noWrap w:val="0"/>
            <w:vAlign w:val="center"/>
          </w:tcPr>
          <w:p w14:paraId="527539BF">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cs="Times New Roman"/>
                <w:color w:val="auto"/>
                <w:spacing w:val="0"/>
                <w:position w:val="0"/>
                <w:sz w:val="21"/>
                <w:szCs w:val="21"/>
                <w:highlight w:val="none"/>
                <w:lang w:val="en-US" w:eastAsia="zh-CN"/>
              </w:rPr>
              <w:t>废布袋、除尘灰</w:t>
            </w:r>
          </w:p>
        </w:tc>
        <w:tc>
          <w:tcPr>
            <w:tcW w:w="1947" w:type="dxa"/>
            <w:noWrap w:val="0"/>
            <w:vAlign w:val="center"/>
          </w:tcPr>
          <w:p w14:paraId="1D167A44">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统一收集后外售至物资回收单位</w:t>
            </w:r>
          </w:p>
        </w:tc>
        <w:tc>
          <w:tcPr>
            <w:tcW w:w="2703" w:type="dxa"/>
            <w:noWrap w:val="0"/>
            <w:vAlign w:val="center"/>
          </w:tcPr>
          <w:p w14:paraId="1AAA7B5E">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1"/>
                <w:szCs w:val="21"/>
                <w:highlight w:val="none"/>
                <w:lang w:bidi="ar"/>
              </w:rPr>
              <w:t>《一般工业固体废物贮存和填埋污染控制标准》(GB18599-2020)</w:t>
            </w:r>
          </w:p>
        </w:tc>
      </w:tr>
      <w:tr w14:paraId="349739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232" w:type="dxa"/>
            <w:vMerge w:val="continue"/>
            <w:noWrap w:val="0"/>
            <w:vAlign w:val="center"/>
          </w:tcPr>
          <w:p w14:paraId="47916F74">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p>
        </w:tc>
        <w:tc>
          <w:tcPr>
            <w:tcW w:w="1640" w:type="dxa"/>
            <w:noWrap w:val="0"/>
            <w:vAlign w:val="center"/>
          </w:tcPr>
          <w:p w14:paraId="2A5779B5">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危险废物</w:t>
            </w:r>
          </w:p>
        </w:tc>
        <w:tc>
          <w:tcPr>
            <w:tcW w:w="1278" w:type="dxa"/>
            <w:noWrap w:val="0"/>
            <w:vAlign w:val="center"/>
          </w:tcPr>
          <w:p w14:paraId="45D04354">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废机油</w:t>
            </w:r>
          </w:p>
        </w:tc>
        <w:tc>
          <w:tcPr>
            <w:tcW w:w="1947" w:type="dxa"/>
            <w:noWrap w:val="0"/>
            <w:vAlign w:val="center"/>
          </w:tcPr>
          <w:p w14:paraId="06FFC63E">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暂存危险废物</w:t>
            </w:r>
            <w:r>
              <w:rPr>
                <w:rFonts w:hint="eastAsia" w:cs="Times New Roman"/>
                <w:color w:val="auto"/>
                <w:spacing w:val="0"/>
                <w:position w:val="0"/>
                <w:sz w:val="21"/>
                <w:szCs w:val="21"/>
                <w:highlight w:val="none"/>
                <w:lang w:eastAsia="zh-CN"/>
              </w:rPr>
              <w:t>贮存点</w:t>
            </w:r>
            <w:r>
              <w:rPr>
                <w:rFonts w:hint="default" w:ascii="Times New Roman" w:hAnsi="Times New Roman" w:cs="Times New Roman"/>
                <w:color w:val="auto"/>
                <w:spacing w:val="0"/>
                <w:position w:val="0"/>
                <w:sz w:val="21"/>
                <w:szCs w:val="21"/>
                <w:highlight w:val="none"/>
              </w:rPr>
              <w:t>，委托有资质单位定期处置</w:t>
            </w:r>
          </w:p>
        </w:tc>
        <w:tc>
          <w:tcPr>
            <w:tcW w:w="2703" w:type="dxa"/>
            <w:noWrap w:val="0"/>
            <w:vAlign w:val="center"/>
          </w:tcPr>
          <w:p w14:paraId="45120C13">
            <w:pPr>
              <w:keepNext w:val="0"/>
              <w:keepLines w:val="0"/>
              <w:pageBreakBefore w:val="0"/>
              <w:widowControl w:val="0"/>
              <w:shd w:val="clear"/>
              <w:kinsoku/>
              <w:wordWrap/>
              <w:overflowPunct w:val="0"/>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《危险废物贮存污染控制标准》（GB18597-2023）</w:t>
            </w:r>
          </w:p>
        </w:tc>
      </w:tr>
      <w:tr w14:paraId="1B753D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232" w:type="dxa"/>
            <w:noWrap w:val="0"/>
            <w:vAlign w:val="center"/>
          </w:tcPr>
          <w:p w14:paraId="014F9A55">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土壤及地下水</w:t>
            </w:r>
          </w:p>
          <w:p w14:paraId="475E2933">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污染防治措施</w:t>
            </w:r>
          </w:p>
        </w:tc>
        <w:tc>
          <w:tcPr>
            <w:tcW w:w="7568" w:type="dxa"/>
            <w:gridSpan w:val="4"/>
            <w:noWrap w:val="0"/>
            <w:vAlign w:val="center"/>
          </w:tcPr>
          <w:p w14:paraId="184DD7F3">
            <w:pPr>
              <w:keepNext w:val="0"/>
              <w:keepLines w:val="0"/>
              <w:pageBreakBefore w:val="0"/>
              <w:widowControl/>
              <w:numPr>
                <w:ilvl w:val="0"/>
                <w:numId w:val="0"/>
              </w:numPr>
              <w:shd w:val="clear"/>
              <w:kinsoku/>
              <w:wordWrap/>
              <w:overflowPunct/>
              <w:topLinePunct w:val="0"/>
              <w:autoSpaceDE/>
              <w:autoSpaceDN/>
              <w:bidi w:val="0"/>
              <w:spacing w:beforeAutospacing="0" w:afterAutospacing="0" w:line="360" w:lineRule="auto"/>
              <w:ind w:left="0" w:leftChars="0" w:right="0" w:rightChars="0"/>
              <w:jc w:val="left"/>
              <w:textAlignment w:val="auto"/>
              <w:rPr>
                <w:rFonts w:hint="default" w:ascii="Times New Roman" w:hAnsi="Times New Roman" w:cs="Times New Roman"/>
                <w:b/>
                <w:bCs/>
                <w:color w:val="auto"/>
                <w:spacing w:val="0"/>
                <w:kern w:val="0"/>
                <w:position w:val="0"/>
                <w:sz w:val="24"/>
                <w:szCs w:val="24"/>
                <w:highlight w:val="none"/>
                <w:lang w:bidi="ar"/>
              </w:rPr>
            </w:pPr>
            <w:r>
              <w:rPr>
                <w:rFonts w:hint="default" w:ascii="Times New Roman" w:hAnsi="Times New Roman" w:cs="Times New Roman"/>
                <w:b/>
                <w:bCs/>
                <w:color w:val="auto"/>
                <w:spacing w:val="0"/>
                <w:kern w:val="0"/>
                <w:position w:val="0"/>
                <w:sz w:val="24"/>
                <w:szCs w:val="24"/>
                <w:highlight w:val="none"/>
                <w:lang w:val="en-US" w:eastAsia="zh-CN" w:bidi="ar"/>
              </w:rPr>
              <w:t>1.</w:t>
            </w:r>
            <w:r>
              <w:rPr>
                <w:rFonts w:hint="default" w:ascii="Times New Roman" w:hAnsi="Times New Roman" w:cs="Times New Roman"/>
                <w:b/>
                <w:bCs/>
                <w:color w:val="auto"/>
                <w:spacing w:val="0"/>
                <w:kern w:val="0"/>
                <w:position w:val="0"/>
                <w:sz w:val="24"/>
                <w:szCs w:val="24"/>
                <w:highlight w:val="none"/>
                <w:lang w:bidi="ar"/>
              </w:rPr>
              <w:t>源头控制措施</w:t>
            </w:r>
          </w:p>
          <w:p w14:paraId="5B2C306D">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kern w:val="0"/>
                <w:position w:val="0"/>
                <w:sz w:val="24"/>
                <w:szCs w:val="24"/>
                <w:highlight w:val="none"/>
                <w:lang w:bidi="ar"/>
              </w:rPr>
            </w:pPr>
            <w:r>
              <w:rPr>
                <w:rFonts w:hint="default" w:ascii="Times New Roman" w:hAnsi="Times New Roman" w:cs="Times New Roman"/>
                <w:color w:val="auto"/>
                <w:spacing w:val="0"/>
                <w:kern w:val="0"/>
                <w:position w:val="0"/>
                <w:sz w:val="24"/>
                <w:szCs w:val="24"/>
                <w:highlight w:val="none"/>
                <w:lang w:bidi="ar"/>
              </w:rPr>
              <w:t>①项目应根据国家现行相关规范加强环境管理，采取防止和降低污染物跑、冒、滴、漏的措施。正常生产过程中应加强巡检及时处理污染物跑、冒、滴、漏，同时应加强对防渗工程的检查，若发现防渗密封材料老化或损坏，应及时维修更换；</w:t>
            </w:r>
          </w:p>
          <w:p w14:paraId="32EF507E">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kern w:val="0"/>
                <w:position w:val="0"/>
                <w:sz w:val="24"/>
                <w:szCs w:val="24"/>
                <w:highlight w:val="none"/>
                <w:lang w:bidi="ar"/>
              </w:rPr>
            </w:pPr>
            <w:r>
              <w:rPr>
                <w:rFonts w:hint="default" w:ascii="Times New Roman" w:hAnsi="Times New Roman" w:cs="Times New Roman"/>
                <w:color w:val="auto"/>
                <w:spacing w:val="0"/>
                <w:kern w:val="0"/>
                <w:position w:val="0"/>
                <w:sz w:val="24"/>
                <w:szCs w:val="24"/>
                <w:highlight w:val="none"/>
                <w:lang w:bidi="ar"/>
              </w:rPr>
              <w:t>②对工艺、设备、废水处理设施等构筑物采取控制措施，防止污染物的跑、冒、滴、漏，将污染物泄漏的环境风险事故降到最低限度。</w:t>
            </w:r>
          </w:p>
          <w:p w14:paraId="0F026BEB">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kern w:val="0"/>
                <w:position w:val="0"/>
                <w:sz w:val="24"/>
                <w:szCs w:val="24"/>
                <w:highlight w:val="none"/>
                <w:lang w:bidi="ar"/>
              </w:rPr>
            </w:pPr>
            <w:r>
              <w:rPr>
                <w:rFonts w:hint="default" w:ascii="Times New Roman" w:hAnsi="Times New Roman" w:cs="Times New Roman"/>
                <w:color w:val="auto"/>
                <w:spacing w:val="0"/>
                <w:kern w:val="0"/>
                <w:position w:val="0"/>
                <w:sz w:val="24"/>
                <w:szCs w:val="24"/>
                <w:highlight w:val="none"/>
                <w:lang w:bidi="ar"/>
              </w:rPr>
              <w:t>③加强管理，设备维修保养时应注意防止废润滑油滴漏。</w:t>
            </w:r>
          </w:p>
          <w:p w14:paraId="41382599">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0" w:firstLineChars="0"/>
              <w:jc w:val="left"/>
              <w:textAlignment w:val="auto"/>
              <w:rPr>
                <w:rFonts w:hint="default" w:ascii="Times New Roman" w:hAnsi="Times New Roman" w:cs="Times New Roman"/>
                <w:b/>
                <w:bCs/>
                <w:color w:val="auto"/>
                <w:spacing w:val="0"/>
                <w:kern w:val="0"/>
                <w:position w:val="0"/>
                <w:sz w:val="24"/>
                <w:szCs w:val="24"/>
                <w:highlight w:val="none"/>
                <w:lang w:bidi="ar"/>
              </w:rPr>
            </w:pPr>
            <w:r>
              <w:rPr>
                <w:rFonts w:hint="default" w:ascii="Times New Roman" w:hAnsi="Times New Roman" w:cs="Times New Roman"/>
                <w:b/>
                <w:bCs/>
                <w:color w:val="auto"/>
                <w:spacing w:val="0"/>
                <w:kern w:val="0"/>
                <w:position w:val="0"/>
                <w:sz w:val="24"/>
                <w:szCs w:val="24"/>
                <w:highlight w:val="none"/>
                <w:lang w:val="en-US" w:eastAsia="zh-CN" w:bidi="ar"/>
              </w:rPr>
              <w:t>2.</w:t>
            </w:r>
            <w:r>
              <w:rPr>
                <w:rFonts w:hint="default" w:ascii="Times New Roman" w:hAnsi="Times New Roman" w:cs="Times New Roman"/>
                <w:b/>
                <w:bCs/>
                <w:color w:val="auto"/>
                <w:spacing w:val="0"/>
                <w:kern w:val="0"/>
                <w:position w:val="0"/>
                <w:sz w:val="24"/>
                <w:szCs w:val="24"/>
                <w:highlight w:val="none"/>
                <w:lang w:bidi="ar"/>
              </w:rPr>
              <w:t>分区防渗控制措施</w:t>
            </w:r>
          </w:p>
          <w:p w14:paraId="60F27C2B">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kern w:val="0"/>
                <w:position w:val="0"/>
                <w:sz w:val="24"/>
                <w:szCs w:val="24"/>
                <w:highlight w:val="none"/>
                <w:lang w:bidi="ar"/>
              </w:rPr>
            </w:pPr>
            <w:r>
              <w:rPr>
                <w:rFonts w:hint="default" w:ascii="Times New Roman" w:hAnsi="Times New Roman" w:cs="Times New Roman"/>
                <w:color w:val="auto"/>
                <w:spacing w:val="0"/>
                <w:kern w:val="0"/>
                <w:position w:val="0"/>
                <w:sz w:val="24"/>
                <w:szCs w:val="24"/>
                <w:highlight w:val="none"/>
                <w:lang w:bidi="ar"/>
              </w:rPr>
              <w:t>厂区可能泄漏污染物的污染区地面进行防渗处理，并及时地将泄漏/渗漏的污染物收集起来进行处理，有效防治洒落地面的污染物渗入地下。根据本工程的特点，将厂区不同的区域划分为重点污染防治区和一般污染防治区。</w:t>
            </w:r>
          </w:p>
          <w:p w14:paraId="28565DED">
            <w:pPr>
              <w:keepNext w:val="0"/>
              <w:keepLines w:val="0"/>
              <w:pageBreakBefore w:val="0"/>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重点防渗区：本项目危废</w:t>
            </w:r>
            <w:r>
              <w:rPr>
                <w:rFonts w:hint="eastAsia" w:cs="Times New Roman"/>
                <w:color w:val="auto"/>
                <w:spacing w:val="0"/>
                <w:position w:val="0"/>
                <w:sz w:val="24"/>
                <w:szCs w:val="24"/>
                <w:highlight w:val="none"/>
                <w:lang w:eastAsia="zh-CN"/>
              </w:rPr>
              <w:t>贮存点</w:t>
            </w:r>
            <w:r>
              <w:rPr>
                <w:rFonts w:hint="default" w:ascii="Times New Roman" w:hAnsi="Times New Roman" w:cs="Times New Roman"/>
                <w:color w:val="auto"/>
                <w:spacing w:val="0"/>
                <w:position w:val="0"/>
                <w:sz w:val="24"/>
                <w:szCs w:val="24"/>
                <w:highlight w:val="none"/>
              </w:rPr>
              <w:t>，防渗方案黏土夯实+2mm厚高密度聚乙烯膜（HDPE）+水泥地面，防渗技术为：等效黏土防渗层Mb≥6.0m，K≤1×10</w:t>
            </w:r>
            <w:r>
              <w:rPr>
                <w:rFonts w:hint="default" w:ascii="Times New Roman" w:hAnsi="Times New Roman" w:cs="Times New Roman"/>
                <w:color w:val="auto"/>
                <w:spacing w:val="0"/>
                <w:position w:val="0"/>
                <w:sz w:val="24"/>
                <w:szCs w:val="24"/>
                <w:highlight w:val="none"/>
                <w:vertAlign w:val="superscript"/>
              </w:rPr>
              <w:t>-10</w:t>
            </w:r>
            <w:r>
              <w:rPr>
                <w:rFonts w:hint="default" w:ascii="Times New Roman" w:hAnsi="Times New Roman" w:cs="Times New Roman"/>
                <w:color w:val="auto"/>
                <w:spacing w:val="0"/>
                <w:position w:val="0"/>
                <w:sz w:val="24"/>
                <w:szCs w:val="24"/>
                <w:highlight w:val="none"/>
              </w:rPr>
              <w:t>cm/s。</w:t>
            </w:r>
          </w:p>
          <w:p w14:paraId="5D8982DC">
            <w:pPr>
              <w:keepNext w:val="0"/>
              <w:keepLines w:val="0"/>
              <w:pageBreakBefore w:val="0"/>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一般防渗区：采用厚度Mb=1.5m，渗透系数K≤10</w:t>
            </w:r>
            <w:r>
              <w:rPr>
                <w:rFonts w:hint="default" w:ascii="Times New Roman" w:hAnsi="Times New Roman" w:cs="Times New Roman"/>
                <w:color w:val="auto"/>
                <w:spacing w:val="0"/>
                <w:position w:val="0"/>
                <w:sz w:val="24"/>
                <w:szCs w:val="24"/>
                <w:highlight w:val="none"/>
                <w:vertAlign w:val="superscript"/>
              </w:rPr>
              <w:t>-7</w:t>
            </w:r>
            <w:r>
              <w:rPr>
                <w:rFonts w:hint="default" w:ascii="Times New Roman" w:hAnsi="Times New Roman" w:cs="Times New Roman"/>
                <w:color w:val="auto"/>
                <w:spacing w:val="0"/>
                <w:position w:val="0"/>
                <w:sz w:val="24"/>
                <w:szCs w:val="24"/>
                <w:highlight w:val="none"/>
              </w:rPr>
              <w:t>cm/s防渗等效的20cm厚P4等级水泥制品进行防渗。要求防渗技术要求为：等效黏土防渗层Mb≥1.5m，K≤1×10</w:t>
            </w:r>
            <w:r>
              <w:rPr>
                <w:rFonts w:hint="default" w:ascii="Times New Roman" w:hAnsi="Times New Roman" w:cs="Times New Roman"/>
                <w:color w:val="auto"/>
                <w:spacing w:val="0"/>
                <w:position w:val="0"/>
                <w:sz w:val="24"/>
                <w:szCs w:val="24"/>
                <w:highlight w:val="none"/>
                <w:vertAlign w:val="superscript"/>
              </w:rPr>
              <w:t>-7</w:t>
            </w:r>
            <w:r>
              <w:rPr>
                <w:rFonts w:hint="default" w:ascii="Times New Roman" w:hAnsi="Times New Roman" w:cs="Times New Roman"/>
                <w:color w:val="auto"/>
                <w:spacing w:val="0"/>
                <w:position w:val="0"/>
                <w:sz w:val="24"/>
                <w:szCs w:val="24"/>
                <w:highlight w:val="none"/>
              </w:rPr>
              <w:t>cm/s；或参照GB16889执行。</w:t>
            </w:r>
          </w:p>
          <w:p w14:paraId="24A2F242">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position w:val="0"/>
                <w:sz w:val="24"/>
                <w:szCs w:val="24"/>
                <w:highlight w:val="none"/>
              </w:rPr>
              <w:t>简单污染防治区：硬化地面即可，生活区以及进出场道路已依托现有厂区。</w:t>
            </w:r>
          </w:p>
          <w:p w14:paraId="147137E9">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kern w:val="0"/>
                <w:position w:val="0"/>
                <w:sz w:val="24"/>
                <w:szCs w:val="24"/>
                <w:highlight w:val="none"/>
                <w:lang w:bidi="ar"/>
              </w:rPr>
            </w:pPr>
            <w:r>
              <w:rPr>
                <w:rFonts w:hint="default" w:ascii="Times New Roman" w:hAnsi="Times New Roman" w:cs="Times New Roman"/>
                <w:color w:val="auto"/>
                <w:spacing w:val="0"/>
                <w:kern w:val="0"/>
                <w:position w:val="0"/>
                <w:sz w:val="24"/>
                <w:szCs w:val="24"/>
                <w:highlight w:val="none"/>
                <w:lang w:bidi="ar"/>
              </w:rPr>
              <w:t>同时，项目建设符合《工业建筑防腐蚀设计规范》（GB50046-2008）等有关要求，其它采取的防渗漏措施主要有：</w:t>
            </w:r>
          </w:p>
          <w:p w14:paraId="48F2F5DA">
            <w:pPr>
              <w:keepNext w:val="0"/>
              <w:keepLines w:val="0"/>
              <w:pageBreakBefore w:val="0"/>
              <w:widowControl/>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kern w:val="0"/>
                <w:position w:val="0"/>
                <w:sz w:val="24"/>
                <w:szCs w:val="24"/>
                <w:highlight w:val="none"/>
                <w:lang w:bidi="ar"/>
              </w:rPr>
            </w:pPr>
            <w:r>
              <w:rPr>
                <w:rFonts w:hint="default" w:ascii="Times New Roman" w:hAnsi="Times New Roman" w:cs="Times New Roman"/>
                <w:color w:val="auto"/>
                <w:spacing w:val="0"/>
                <w:kern w:val="0"/>
                <w:position w:val="0"/>
                <w:sz w:val="24"/>
                <w:szCs w:val="24"/>
                <w:highlight w:val="none"/>
                <w:lang w:bidi="ar"/>
              </w:rPr>
              <w:t>（1）选用优质设备和管件，并加强日常管理和维修维护工作，防止和减少跑、冒、滴、漏现象的发生。</w:t>
            </w:r>
          </w:p>
          <w:p w14:paraId="39CBBABA">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kern w:val="0"/>
                <w:position w:val="0"/>
                <w:sz w:val="24"/>
                <w:szCs w:val="24"/>
                <w:highlight w:val="none"/>
                <w:lang w:bidi="ar"/>
              </w:rPr>
              <w:t>（2）在厂区设置雨水、排水系统并做好相应的防渗措施。同时在厂区内严格管理，禁止进行分散的地面漫流冲洗。采取上述措施后，可有效避免对土壤、地下水造成污染。</w:t>
            </w:r>
          </w:p>
        </w:tc>
      </w:tr>
      <w:tr w14:paraId="3B2E9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32" w:type="dxa"/>
            <w:noWrap w:val="0"/>
            <w:vAlign w:val="center"/>
          </w:tcPr>
          <w:p w14:paraId="2FF33EB2">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生态保护措施</w:t>
            </w:r>
          </w:p>
        </w:tc>
        <w:tc>
          <w:tcPr>
            <w:tcW w:w="7568" w:type="dxa"/>
            <w:gridSpan w:val="4"/>
            <w:noWrap w:val="0"/>
            <w:vAlign w:val="center"/>
          </w:tcPr>
          <w:p w14:paraId="0CFC415E">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Cs w:val="21"/>
                <w:highlight w:val="none"/>
              </w:rPr>
              <w:t>/</w:t>
            </w:r>
          </w:p>
        </w:tc>
      </w:tr>
      <w:tr w14:paraId="3D9AE2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232" w:type="dxa"/>
            <w:noWrap w:val="0"/>
            <w:vAlign w:val="center"/>
          </w:tcPr>
          <w:p w14:paraId="77F224B6">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环境风险</w:t>
            </w:r>
          </w:p>
          <w:p w14:paraId="03756855">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防范措施</w:t>
            </w:r>
          </w:p>
        </w:tc>
        <w:tc>
          <w:tcPr>
            <w:tcW w:w="7568" w:type="dxa"/>
            <w:gridSpan w:val="4"/>
            <w:noWrap w:val="0"/>
            <w:vAlign w:val="center"/>
          </w:tcPr>
          <w:p w14:paraId="4A5DB037">
            <w:pPr>
              <w:keepNext w:val="0"/>
              <w:keepLines w:val="0"/>
              <w:pageBreakBefore w:val="0"/>
              <w:widowControl w:val="0"/>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1.建立定时巡检制度，发现问题及时处理。</w:t>
            </w:r>
          </w:p>
          <w:p w14:paraId="55E0EF2B">
            <w:pPr>
              <w:keepNext w:val="0"/>
              <w:keepLines w:val="0"/>
              <w:pageBreakBefore w:val="0"/>
              <w:widowControl w:val="0"/>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2.设定专门的</w:t>
            </w:r>
            <w:r>
              <w:rPr>
                <w:rFonts w:hint="default" w:ascii="Times New Roman" w:hAnsi="Times New Roman" w:cs="Times New Roman"/>
                <w:color w:val="auto"/>
                <w:spacing w:val="0"/>
                <w:w w:val="100"/>
                <w:position w:val="0"/>
                <w:sz w:val="24"/>
                <w:szCs w:val="24"/>
                <w:highlight w:val="none"/>
                <w:lang w:eastAsia="zh-CN"/>
              </w:rPr>
              <w:t>危废</w:t>
            </w:r>
            <w:r>
              <w:rPr>
                <w:rFonts w:hint="eastAsia" w:cs="Times New Roman"/>
                <w:color w:val="auto"/>
                <w:spacing w:val="0"/>
                <w:w w:val="100"/>
                <w:position w:val="0"/>
                <w:sz w:val="24"/>
                <w:szCs w:val="24"/>
                <w:highlight w:val="none"/>
                <w:lang w:eastAsia="zh-CN"/>
              </w:rPr>
              <w:t>贮存点</w:t>
            </w:r>
            <w:r>
              <w:rPr>
                <w:rFonts w:hint="default" w:ascii="Times New Roman" w:hAnsi="Times New Roman" w:cs="Times New Roman"/>
                <w:color w:val="auto"/>
                <w:spacing w:val="0"/>
                <w:w w:val="100"/>
                <w:position w:val="0"/>
                <w:sz w:val="24"/>
                <w:szCs w:val="24"/>
                <w:highlight w:val="none"/>
              </w:rPr>
              <w:t>，不同危险废物要分区存放，废矿物油桶放置于托盘内。</w:t>
            </w:r>
          </w:p>
          <w:p w14:paraId="119BADF8">
            <w:pPr>
              <w:keepNext w:val="0"/>
              <w:keepLines w:val="0"/>
              <w:pageBreakBefore w:val="0"/>
              <w:widowControl w:val="0"/>
              <w:shd w:val="clear"/>
              <w:kinsoku/>
              <w:wordWrap/>
              <w:overflowPunct/>
              <w:topLinePunct w:val="0"/>
              <w:autoSpaceDE/>
              <w:autoSpaceDN/>
              <w:bidi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3.</w:t>
            </w:r>
            <w:r>
              <w:rPr>
                <w:rFonts w:hint="default" w:ascii="Times New Roman" w:hAnsi="Times New Roman" w:cs="Times New Roman"/>
                <w:color w:val="auto"/>
                <w:spacing w:val="0"/>
                <w:w w:val="100"/>
                <w:position w:val="0"/>
                <w:sz w:val="24"/>
                <w:szCs w:val="24"/>
                <w:highlight w:val="none"/>
                <w:lang w:eastAsia="zh-CN"/>
              </w:rPr>
              <w:t>危废</w:t>
            </w:r>
            <w:r>
              <w:rPr>
                <w:rFonts w:hint="eastAsia" w:cs="Times New Roman"/>
                <w:color w:val="auto"/>
                <w:spacing w:val="0"/>
                <w:w w:val="100"/>
                <w:position w:val="0"/>
                <w:sz w:val="24"/>
                <w:szCs w:val="24"/>
                <w:highlight w:val="none"/>
                <w:lang w:eastAsia="zh-CN"/>
              </w:rPr>
              <w:t>贮存点</w:t>
            </w:r>
            <w:r>
              <w:rPr>
                <w:rFonts w:hint="default" w:ascii="Times New Roman" w:hAnsi="Times New Roman" w:cs="Times New Roman"/>
                <w:color w:val="auto"/>
                <w:spacing w:val="0"/>
                <w:w w:val="100"/>
                <w:position w:val="0"/>
                <w:sz w:val="24"/>
                <w:szCs w:val="24"/>
                <w:highlight w:val="none"/>
              </w:rPr>
              <w:t>地面进行硬化、防渗处理，并配备通风系统。</w:t>
            </w:r>
          </w:p>
          <w:p w14:paraId="2A72BDAD">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jc w:val="left"/>
              <w:textAlignment w:val="auto"/>
              <w:rPr>
                <w:rFonts w:hint="default" w:ascii="Times New Roman" w:hAnsi="Times New Roman" w:cs="Times New Roman"/>
                <w:color w:val="auto"/>
                <w:spacing w:val="0"/>
                <w:position w:val="0"/>
                <w:sz w:val="24"/>
                <w:szCs w:val="24"/>
                <w:highlight w:val="none"/>
              </w:rPr>
            </w:pPr>
            <w:r>
              <w:rPr>
                <w:rFonts w:hint="default" w:ascii="Times New Roman" w:hAnsi="Times New Roman" w:cs="Times New Roman"/>
                <w:color w:val="auto"/>
                <w:spacing w:val="0"/>
                <w:w w:val="100"/>
                <w:position w:val="0"/>
                <w:sz w:val="24"/>
                <w:szCs w:val="24"/>
                <w:highlight w:val="none"/>
              </w:rPr>
              <w:t>4.制定突发环境事件应急预案，并加强演练。</w:t>
            </w:r>
          </w:p>
        </w:tc>
      </w:tr>
      <w:tr w14:paraId="4A610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232" w:type="dxa"/>
            <w:noWrap w:val="0"/>
            <w:vAlign w:val="center"/>
          </w:tcPr>
          <w:p w14:paraId="03F6F8E0">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其他环境</w:t>
            </w:r>
          </w:p>
          <w:p w14:paraId="5FC3FCF2">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pacing w:val="0"/>
                <w:position w:val="0"/>
                <w:sz w:val="21"/>
                <w:szCs w:val="21"/>
                <w:highlight w:val="none"/>
              </w:rPr>
            </w:pPr>
            <w:r>
              <w:rPr>
                <w:rFonts w:hint="default" w:ascii="Times New Roman" w:hAnsi="Times New Roman" w:cs="Times New Roman"/>
                <w:color w:val="auto"/>
                <w:spacing w:val="0"/>
                <w:position w:val="0"/>
                <w:sz w:val="21"/>
                <w:szCs w:val="21"/>
                <w:highlight w:val="none"/>
              </w:rPr>
              <w:t>管理要求</w:t>
            </w:r>
          </w:p>
        </w:tc>
        <w:tc>
          <w:tcPr>
            <w:tcW w:w="7568" w:type="dxa"/>
            <w:gridSpan w:val="4"/>
            <w:noWrap w:val="0"/>
            <w:vAlign w:val="center"/>
          </w:tcPr>
          <w:p w14:paraId="67A231AC">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textAlignment w:val="auto"/>
              <w:rPr>
                <w:rFonts w:hint="default" w:ascii="Times New Roman" w:hAnsi="Times New Roman" w:cs="Times New Roman"/>
                <w:b/>
                <w:bCs/>
                <w:color w:val="auto"/>
                <w:spacing w:val="0"/>
                <w:w w:val="100"/>
                <w:position w:val="0"/>
                <w:sz w:val="24"/>
                <w:szCs w:val="24"/>
                <w:highlight w:val="none"/>
              </w:rPr>
            </w:pPr>
            <w:r>
              <w:rPr>
                <w:rFonts w:hint="default" w:ascii="Times New Roman" w:hAnsi="Times New Roman" w:cs="Times New Roman"/>
                <w:b/>
                <w:bCs/>
                <w:color w:val="auto"/>
                <w:spacing w:val="0"/>
                <w:w w:val="100"/>
                <w:position w:val="0"/>
                <w:sz w:val="24"/>
                <w:szCs w:val="24"/>
                <w:highlight w:val="none"/>
              </w:rPr>
              <w:t>1.排污许可管理</w:t>
            </w:r>
          </w:p>
          <w:p w14:paraId="20D81799">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（1）明本项目为</w:t>
            </w:r>
            <w:r>
              <w:rPr>
                <w:rFonts w:hint="eastAsia" w:ascii="Times New Roman" w:hAnsi="Times New Roman" w:eastAsia="宋体" w:cs="Times New Roman"/>
                <w:color w:val="auto"/>
                <w:spacing w:val="0"/>
                <w:w w:val="100"/>
                <w:position w:val="0"/>
                <w:sz w:val="24"/>
                <w:szCs w:val="24"/>
                <w:highlight w:val="none"/>
                <w:lang w:val="en-US" w:eastAsia="zh-CN"/>
              </w:rPr>
              <w:t>新建</w:t>
            </w:r>
            <w:r>
              <w:rPr>
                <w:rFonts w:hint="default" w:ascii="Times New Roman" w:hAnsi="Times New Roman" w:eastAsia="宋体" w:cs="Times New Roman"/>
                <w:color w:val="auto"/>
                <w:spacing w:val="0"/>
                <w:w w:val="100"/>
                <w:position w:val="0"/>
                <w:sz w:val="24"/>
                <w:szCs w:val="24"/>
                <w:highlight w:val="none"/>
              </w:rPr>
              <w:t>，建成后需申请排污许可证及时根据行业排污许可证申请与核发技术规范要求，修订相关排污许可内容。</w:t>
            </w:r>
          </w:p>
          <w:p w14:paraId="40F21832">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2）根据《固定污染源排污许可分类管理名录（2019年版）》，本项目属于“二十四、橡胶和塑料制品业29—塑料制品业292—塑料零件及其他塑料制品制造2929”，为简化管理。项目建成后，应及时在全国排污许可证管理信息平台申领排污许可证。</w:t>
            </w:r>
          </w:p>
          <w:p w14:paraId="5F5A7B40">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w:t>
            </w:r>
            <w:r>
              <w:rPr>
                <w:rFonts w:hint="default" w:ascii="Times New Roman" w:hAnsi="Times New Roman" w:eastAsia="宋体" w:cs="Times New Roman"/>
                <w:color w:val="auto"/>
                <w:spacing w:val="0"/>
                <w:w w:val="100"/>
                <w:position w:val="0"/>
                <w:sz w:val="24"/>
                <w:szCs w:val="24"/>
                <w:highlight w:val="none"/>
                <w:lang w:val="en-US" w:eastAsia="zh-CN"/>
              </w:rPr>
              <w:t>3</w:t>
            </w:r>
            <w:r>
              <w:rPr>
                <w:rFonts w:hint="default" w:ascii="Times New Roman" w:hAnsi="Times New Roman" w:eastAsia="宋体" w:cs="Times New Roman"/>
                <w:color w:val="auto"/>
                <w:spacing w:val="0"/>
                <w:w w:val="100"/>
                <w:position w:val="0"/>
                <w:sz w:val="24"/>
                <w:szCs w:val="24"/>
                <w:highlight w:val="none"/>
              </w:rPr>
              <w:t>）将本项目新</w:t>
            </w:r>
            <w:r>
              <w:rPr>
                <w:rFonts w:hint="default" w:ascii="Times New Roman" w:hAnsi="Times New Roman" w:cs="Times New Roman"/>
                <w:color w:val="auto"/>
                <w:spacing w:val="0"/>
                <w:w w:val="100"/>
                <w:position w:val="0"/>
                <w:sz w:val="24"/>
                <w:szCs w:val="24"/>
                <w:highlight w:val="none"/>
              </w:rPr>
              <w:t>增监测计划纳入企业自行监测计划，并及时修订企业自行监测方案，委托第三方环境监测机构定期开展自行监测，并保存原始监测记录。</w:t>
            </w:r>
          </w:p>
          <w:p w14:paraId="5CB4E339">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firstLine="480" w:firstLineChars="200"/>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w:t>
            </w:r>
            <w:r>
              <w:rPr>
                <w:rFonts w:hint="default" w:ascii="Times New Roman" w:hAnsi="Times New Roman" w:eastAsia="宋体" w:cs="Times New Roman"/>
                <w:color w:val="auto"/>
                <w:spacing w:val="0"/>
                <w:w w:val="100"/>
                <w:position w:val="0"/>
                <w:sz w:val="24"/>
                <w:szCs w:val="24"/>
                <w:highlight w:val="none"/>
                <w:lang w:val="en-US" w:eastAsia="zh-CN"/>
              </w:rPr>
              <w:t>4</w:t>
            </w:r>
            <w:r>
              <w:rPr>
                <w:rFonts w:hint="default" w:ascii="Times New Roman" w:hAnsi="Times New Roman" w:eastAsia="宋体" w:cs="Times New Roman"/>
                <w:color w:val="auto"/>
                <w:spacing w:val="0"/>
                <w:w w:val="100"/>
                <w:position w:val="0"/>
                <w:sz w:val="24"/>
                <w:szCs w:val="24"/>
                <w:highlight w:val="none"/>
              </w:rPr>
              <w:t>）根据排污许可证申请与核发技术规范要求完善记录</w:t>
            </w:r>
            <w:r>
              <w:rPr>
                <w:rFonts w:hint="default" w:ascii="Times New Roman" w:hAnsi="Times New Roman" w:eastAsia="宋体" w:cs="Times New Roman"/>
                <w:color w:val="auto"/>
                <w:spacing w:val="0"/>
                <w:w w:val="100"/>
                <w:position w:val="0"/>
                <w:sz w:val="24"/>
                <w:szCs w:val="24"/>
                <w:highlight w:val="none"/>
                <w:lang w:eastAsia="zh-CN"/>
              </w:rPr>
              <w:t>和台账</w:t>
            </w:r>
            <w:r>
              <w:rPr>
                <w:rFonts w:hint="default" w:ascii="Times New Roman" w:hAnsi="Times New Roman" w:eastAsia="宋体" w:cs="Times New Roman"/>
                <w:color w:val="auto"/>
                <w:spacing w:val="0"/>
                <w:w w:val="100"/>
                <w:position w:val="0"/>
                <w:sz w:val="24"/>
                <w:szCs w:val="24"/>
                <w:highlight w:val="none"/>
              </w:rPr>
              <w:t>，包括设施运行和维护记录、危险废物进出</w:t>
            </w:r>
            <w:r>
              <w:rPr>
                <w:rFonts w:hint="default" w:ascii="Times New Roman" w:hAnsi="Times New Roman" w:eastAsia="宋体" w:cs="Times New Roman"/>
                <w:color w:val="auto"/>
                <w:spacing w:val="0"/>
                <w:w w:val="100"/>
                <w:position w:val="0"/>
                <w:sz w:val="24"/>
                <w:szCs w:val="24"/>
                <w:highlight w:val="none"/>
                <w:lang w:eastAsia="zh-CN"/>
              </w:rPr>
              <w:t>台账</w:t>
            </w:r>
            <w:r>
              <w:rPr>
                <w:rFonts w:hint="default" w:ascii="Times New Roman" w:hAnsi="Times New Roman" w:eastAsia="宋体" w:cs="Times New Roman"/>
                <w:color w:val="auto"/>
                <w:spacing w:val="0"/>
                <w:w w:val="100"/>
                <w:position w:val="0"/>
                <w:sz w:val="24"/>
                <w:szCs w:val="24"/>
                <w:highlight w:val="none"/>
              </w:rPr>
              <w:t>、自行监测</w:t>
            </w:r>
            <w:r>
              <w:rPr>
                <w:rFonts w:hint="default" w:ascii="Times New Roman" w:hAnsi="Times New Roman" w:eastAsia="宋体" w:cs="Times New Roman"/>
                <w:color w:val="auto"/>
                <w:spacing w:val="0"/>
                <w:w w:val="100"/>
                <w:position w:val="0"/>
                <w:sz w:val="24"/>
                <w:szCs w:val="24"/>
                <w:highlight w:val="none"/>
                <w:lang w:eastAsia="zh-CN"/>
              </w:rPr>
              <w:t>台账</w:t>
            </w:r>
            <w:r>
              <w:rPr>
                <w:rFonts w:hint="default" w:ascii="Times New Roman" w:hAnsi="Times New Roman" w:eastAsia="宋体" w:cs="Times New Roman"/>
                <w:color w:val="auto"/>
                <w:spacing w:val="0"/>
                <w:w w:val="100"/>
                <w:position w:val="0"/>
                <w:sz w:val="24"/>
                <w:szCs w:val="24"/>
                <w:highlight w:val="none"/>
              </w:rPr>
              <w:t>、突发性事件的处理、调查记录等，并妥善保存所有档案资料。</w:t>
            </w:r>
          </w:p>
          <w:p w14:paraId="16024AEA">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textAlignment w:val="auto"/>
              <w:rPr>
                <w:rFonts w:hint="default" w:ascii="Times New Roman" w:hAnsi="Times New Roman" w:cs="Times New Roman"/>
                <w:b/>
                <w:bCs/>
                <w:color w:val="auto"/>
                <w:spacing w:val="0"/>
                <w:w w:val="100"/>
                <w:position w:val="0"/>
                <w:sz w:val="24"/>
                <w:szCs w:val="24"/>
                <w:highlight w:val="none"/>
              </w:rPr>
            </w:pPr>
            <w:r>
              <w:rPr>
                <w:rFonts w:hint="default" w:ascii="Times New Roman" w:hAnsi="Times New Roman" w:cs="Times New Roman"/>
                <w:b/>
                <w:bCs/>
                <w:color w:val="auto"/>
                <w:spacing w:val="0"/>
                <w:w w:val="100"/>
                <w:position w:val="0"/>
                <w:sz w:val="24"/>
                <w:szCs w:val="24"/>
                <w:highlight w:val="none"/>
              </w:rPr>
              <w:t>2.竣工环境保护验收管理</w:t>
            </w:r>
          </w:p>
          <w:p w14:paraId="6D58ACFE">
            <w:pPr>
              <w:keepNext w:val="0"/>
              <w:keepLines w:val="0"/>
              <w:pageBreakBefore w:val="0"/>
              <w:widowControl w:val="0"/>
              <w:shd w:val="clear"/>
              <w:kinsoku/>
              <w:wordWrap/>
              <w:overflowPunct/>
              <w:topLinePunct w:val="0"/>
              <w:autoSpaceDE/>
              <w:autoSpaceDN/>
              <w:bidi w:val="0"/>
              <w:adjustRightInd/>
              <w:spacing w:beforeAutospacing="0" w:afterAutospacing="0" w:line="360" w:lineRule="auto"/>
              <w:ind w:left="0" w:leftChars="0" w:right="0" w:rightChars="0" w:firstLine="480" w:firstLineChars="200"/>
              <w:textAlignment w:val="auto"/>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尽快按照《建设项目竣工环境保护验收技术指南 污染影响类》（生态环境部公告2018年第9号）要求，对</w:t>
            </w:r>
            <w:r>
              <w:rPr>
                <w:rFonts w:hint="default" w:ascii="Times New Roman" w:hAnsi="Times New Roman" w:cs="Times New Roman"/>
                <w:color w:val="auto"/>
                <w:spacing w:val="0"/>
                <w:w w:val="100"/>
                <w:position w:val="0"/>
                <w:sz w:val="24"/>
                <w:szCs w:val="24"/>
                <w:highlight w:val="none"/>
                <w:lang w:val="en-US" w:eastAsia="zh-CN"/>
              </w:rPr>
              <w:t>本次扩建项目</w:t>
            </w:r>
            <w:r>
              <w:rPr>
                <w:rFonts w:hint="default" w:ascii="Times New Roman" w:hAnsi="Times New Roman" w:cs="Times New Roman"/>
                <w:color w:val="auto"/>
                <w:spacing w:val="0"/>
                <w:w w:val="100"/>
                <w:position w:val="0"/>
                <w:sz w:val="24"/>
                <w:szCs w:val="24"/>
                <w:highlight w:val="none"/>
              </w:rPr>
              <w:t>开展竣工环境保护验收工作。</w:t>
            </w:r>
          </w:p>
          <w:p w14:paraId="3A5ABE04">
            <w:pPr>
              <w:pStyle w:val="52"/>
              <w:keepNext w:val="0"/>
              <w:keepLines w:val="0"/>
              <w:pageBreakBefore w:val="0"/>
              <w:widowControl w:val="0"/>
              <w:shd w:val="clear"/>
              <w:kinsoku/>
              <w:wordWrap/>
              <w:overflowPunct/>
              <w:topLinePunct w:val="0"/>
              <w:autoSpaceDE/>
              <w:autoSpaceDN/>
              <w:bidi w:val="0"/>
              <w:adjustRightInd/>
              <w:snapToGrid w:val="0"/>
              <w:spacing w:beforeAutospacing="0" w:afterAutospacing="0" w:line="360" w:lineRule="auto"/>
              <w:ind w:left="0" w:leftChars="0" w:right="0" w:rightChars="0" w:firstLine="0"/>
              <w:textAlignment w:val="auto"/>
              <w:rPr>
                <w:rFonts w:hint="default" w:ascii="Times New Roman" w:hAnsi="Times New Roman" w:cs="Times New Roman"/>
                <w:b/>
                <w:color w:val="auto"/>
                <w:spacing w:val="0"/>
                <w:w w:val="100"/>
                <w:position w:val="0"/>
                <w:sz w:val="24"/>
                <w:szCs w:val="24"/>
                <w:highlight w:val="none"/>
              </w:rPr>
            </w:pPr>
            <w:r>
              <w:rPr>
                <w:rFonts w:hint="default" w:ascii="Times New Roman" w:hAnsi="Times New Roman" w:cs="Times New Roman"/>
                <w:b/>
                <w:color w:val="auto"/>
                <w:spacing w:val="0"/>
                <w:w w:val="100"/>
                <w:position w:val="0"/>
                <w:sz w:val="24"/>
                <w:szCs w:val="24"/>
                <w:highlight w:val="none"/>
              </w:rPr>
              <w:t>3.排污口规范化管理</w:t>
            </w:r>
          </w:p>
          <w:p w14:paraId="412A9C90">
            <w:pPr>
              <w:pStyle w:val="52"/>
              <w:keepNext w:val="0"/>
              <w:keepLines w:val="0"/>
              <w:pageBreakBefore w:val="0"/>
              <w:widowControl w:val="0"/>
              <w:shd w:val="clear"/>
              <w:kinsoku/>
              <w:wordWrap/>
              <w:overflowPunct/>
              <w:topLinePunct w:val="0"/>
              <w:autoSpaceDE/>
              <w:autoSpaceDN/>
              <w:bidi w:val="0"/>
              <w:adjustRightInd/>
              <w:snapToGrid w:val="0"/>
              <w:spacing w:beforeAutospacing="0" w:afterAutospacing="0" w:line="360" w:lineRule="auto"/>
              <w:ind w:left="0" w:leftChars="0" w:right="0" w:rightChars="0" w:firstLine="480" w:firstLineChars="200"/>
              <w:textAlignment w:val="auto"/>
              <w:rPr>
                <w:rFonts w:hint="default" w:ascii="Times New Roman" w:hAnsi="Times New Roman" w:cs="Times New Roman"/>
                <w:bCs/>
                <w:color w:val="auto"/>
                <w:spacing w:val="0"/>
                <w:w w:val="100"/>
                <w:position w:val="0"/>
                <w:sz w:val="24"/>
                <w:szCs w:val="24"/>
                <w:highlight w:val="none"/>
              </w:rPr>
            </w:pPr>
            <w:r>
              <w:rPr>
                <w:rFonts w:hint="default" w:ascii="Times New Roman" w:hAnsi="Times New Roman" w:cs="Times New Roman"/>
                <w:bCs/>
                <w:color w:val="auto"/>
                <w:spacing w:val="0"/>
                <w:w w:val="100"/>
                <w:position w:val="0"/>
                <w:sz w:val="24"/>
                <w:szCs w:val="24"/>
                <w:highlight w:val="none"/>
              </w:rPr>
              <w:t>（1）排气筒设置取样口，并具备采样</w:t>
            </w:r>
            <w:r>
              <w:rPr>
                <w:rFonts w:hint="default" w:ascii="Times New Roman" w:hAnsi="Times New Roman" w:cs="Times New Roman"/>
                <w:bCs/>
                <w:color w:val="auto"/>
                <w:spacing w:val="0"/>
                <w:w w:val="100"/>
                <w:position w:val="0"/>
                <w:sz w:val="24"/>
                <w:szCs w:val="24"/>
                <w:highlight w:val="none"/>
                <w:lang w:eastAsia="zh-CN"/>
              </w:rPr>
              <w:t>检测</w:t>
            </w:r>
            <w:r>
              <w:rPr>
                <w:rFonts w:hint="default" w:ascii="Times New Roman" w:hAnsi="Times New Roman" w:cs="Times New Roman"/>
                <w:bCs/>
                <w:color w:val="auto"/>
                <w:spacing w:val="0"/>
                <w:w w:val="100"/>
                <w:position w:val="0"/>
                <w:sz w:val="24"/>
                <w:szCs w:val="24"/>
                <w:highlight w:val="none"/>
              </w:rPr>
              <w:t>条件，排放口附近树立图形标志牌。</w:t>
            </w:r>
          </w:p>
          <w:p w14:paraId="3E8B3658">
            <w:pPr>
              <w:pStyle w:val="52"/>
              <w:keepNext w:val="0"/>
              <w:keepLines w:val="0"/>
              <w:pageBreakBefore w:val="0"/>
              <w:widowControl w:val="0"/>
              <w:shd w:val="clear"/>
              <w:kinsoku/>
              <w:wordWrap/>
              <w:overflowPunct/>
              <w:topLinePunct w:val="0"/>
              <w:autoSpaceDE/>
              <w:autoSpaceDN/>
              <w:bidi w:val="0"/>
              <w:adjustRightInd/>
              <w:snapToGrid w:val="0"/>
              <w:spacing w:beforeAutospacing="0" w:afterAutospacing="0" w:line="360" w:lineRule="auto"/>
              <w:ind w:left="0" w:leftChars="0" w:right="0" w:rightChars="0" w:firstLine="480" w:firstLineChars="200"/>
              <w:textAlignment w:val="auto"/>
              <w:rPr>
                <w:rFonts w:hint="default" w:ascii="Times New Roman" w:hAnsi="Times New Roman" w:cs="Times New Roman"/>
                <w:bCs/>
                <w:color w:val="auto"/>
                <w:spacing w:val="0"/>
                <w:w w:val="100"/>
                <w:position w:val="0"/>
                <w:sz w:val="24"/>
                <w:szCs w:val="24"/>
                <w:highlight w:val="none"/>
              </w:rPr>
            </w:pPr>
            <w:r>
              <w:rPr>
                <w:rFonts w:hint="default" w:ascii="Times New Roman" w:hAnsi="Times New Roman" w:cs="Times New Roman"/>
                <w:bCs/>
                <w:color w:val="auto"/>
                <w:spacing w:val="0"/>
                <w:w w:val="100"/>
                <w:position w:val="0"/>
                <w:sz w:val="24"/>
                <w:szCs w:val="24"/>
                <w:highlight w:val="none"/>
              </w:rPr>
              <w:t>（2）排污口管理。建设单位应在各个排污口处树立标志牌，并如实填写《中华人民共和国规范化排污口标记登记证》，由环保部门签发。环保主管部门和建设单位可分别按以下内容建立排污口管理的专门档案：排污口性质和编号；位置；排放主要污染物种类、数量、浓度；排放去向；达标情况；治理设施运行情况。</w:t>
            </w:r>
          </w:p>
          <w:p w14:paraId="7314FD5F">
            <w:pPr>
              <w:pStyle w:val="52"/>
              <w:keepNext w:val="0"/>
              <w:keepLines w:val="0"/>
              <w:pageBreakBefore w:val="0"/>
              <w:widowControl w:val="0"/>
              <w:shd w:val="clear"/>
              <w:kinsoku/>
              <w:wordWrap/>
              <w:overflowPunct/>
              <w:topLinePunct w:val="0"/>
              <w:autoSpaceDE/>
              <w:autoSpaceDN/>
              <w:bidi w:val="0"/>
              <w:adjustRightInd/>
              <w:snapToGrid w:val="0"/>
              <w:spacing w:beforeAutospacing="0" w:afterAutospacing="0" w:line="360" w:lineRule="auto"/>
              <w:ind w:left="0" w:leftChars="0" w:right="0" w:rightChars="0" w:firstLine="480" w:firstLineChars="200"/>
              <w:textAlignment w:val="auto"/>
              <w:rPr>
                <w:rFonts w:hint="default" w:ascii="Times New Roman" w:hAnsi="Times New Roman" w:cs="Times New Roman"/>
                <w:bCs/>
                <w:color w:val="auto"/>
                <w:spacing w:val="0"/>
                <w:w w:val="100"/>
                <w:position w:val="0"/>
                <w:sz w:val="24"/>
                <w:szCs w:val="24"/>
                <w:highlight w:val="none"/>
              </w:rPr>
            </w:pPr>
            <w:r>
              <w:rPr>
                <w:rFonts w:hint="default" w:ascii="Times New Roman" w:hAnsi="Times New Roman" w:cs="Times New Roman"/>
                <w:bCs/>
                <w:color w:val="auto"/>
                <w:spacing w:val="0"/>
                <w:w w:val="100"/>
                <w:position w:val="0"/>
                <w:sz w:val="24"/>
                <w:szCs w:val="24"/>
                <w:highlight w:val="none"/>
              </w:rPr>
              <w:t>（3）环境保护图形标志。在厂区的废水排放口、废气排放源、固体废物贮存处置场应设置环境保护图形标志，图形符号分为提示图形和警告图形符号两种。</w:t>
            </w:r>
          </w:p>
          <w:p w14:paraId="3BDF8674">
            <w:pPr>
              <w:pStyle w:val="52"/>
              <w:keepNext w:val="0"/>
              <w:keepLines w:val="0"/>
              <w:pageBreakBefore w:val="0"/>
              <w:widowControl w:val="0"/>
              <w:shd w:val="clear"/>
              <w:kinsoku/>
              <w:wordWrap/>
              <w:overflowPunct/>
              <w:topLinePunct w:val="0"/>
              <w:autoSpaceDE/>
              <w:autoSpaceDN/>
              <w:bidi w:val="0"/>
              <w:adjustRightInd/>
              <w:snapToGrid w:val="0"/>
              <w:spacing w:beforeAutospacing="0" w:afterAutospacing="0" w:line="360" w:lineRule="auto"/>
              <w:ind w:left="0" w:leftChars="0" w:right="0" w:rightChars="0" w:firstLine="420"/>
              <w:textAlignment w:val="auto"/>
              <w:rPr>
                <w:rFonts w:hint="default" w:ascii="Times New Roman" w:hAnsi="Times New Roman" w:cs="Times New Roman"/>
                <w:bCs/>
                <w:color w:val="auto"/>
                <w:spacing w:val="0"/>
                <w:w w:val="100"/>
                <w:position w:val="0"/>
                <w:sz w:val="24"/>
                <w:szCs w:val="24"/>
                <w:highlight w:val="none"/>
              </w:rPr>
            </w:pPr>
            <w:r>
              <w:rPr>
                <w:rFonts w:hint="default" w:ascii="Times New Roman" w:hAnsi="Times New Roman" w:cs="Times New Roman"/>
                <w:bCs/>
                <w:color w:val="auto"/>
                <w:spacing w:val="0"/>
                <w:w w:val="100"/>
                <w:position w:val="0"/>
                <w:sz w:val="24"/>
                <w:szCs w:val="24"/>
                <w:highlight w:val="none"/>
              </w:rPr>
              <w:t>环境保护图形符号见表</w:t>
            </w:r>
            <w:r>
              <w:rPr>
                <w:rFonts w:hint="eastAsia" w:ascii="Times New Roman" w:hAnsi="Times New Roman" w:cs="Times New Roman"/>
                <w:bCs/>
                <w:color w:val="auto"/>
                <w:spacing w:val="0"/>
                <w:w w:val="100"/>
                <w:position w:val="0"/>
                <w:sz w:val="24"/>
                <w:szCs w:val="24"/>
                <w:highlight w:val="none"/>
                <w:lang w:val="en-US" w:eastAsia="zh-CN"/>
              </w:rPr>
              <w:t>6</w:t>
            </w:r>
            <w:r>
              <w:rPr>
                <w:rFonts w:hint="default" w:ascii="Times New Roman" w:hAnsi="Times New Roman" w:cs="Times New Roman"/>
                <w:bCs/>
                <w:color w:val="auto"/>
                <w:spacing w:val="0"/>
                <w:w w:val="100"/>
                <w:position w:val="0"/>
                <w:sz w:val="24"/>
                <w:szCs w:val="24"/>
                <w:highlight w:val="none"/>
              </w:rPr>
              <w:t>-1。</w:t>
            </w:r>
          </w:p>
          <w:p w14:paraId="278057CE">
            <w:pPr>
              <w:pageBreakBefore w:val="0"/>
              <w:shd w:val="clear"/>
              <w:kinsoku/>
              <w:topLinePunct w:val="0"/>
              <w:bidi w:val="0"/>
              <w:snapToGrid w:val="0"/>
              <w:spacing w:beforeAutospacing="0" w:afterAutospacing="0" w:line="240" w:lineRule="auto"/>
              <w:ind w:left="0" w:leftChars="0" w:right="0" w:rightChars="0" w:firstLine="446"/>
              <w:jc w:val="center"/>
              <w:rPr>
                <w:rFonts w:hint="default" w:ascii="Times New Roman" w:hAnsi="Times New Roman" w:cs="Times New Roman"/>
                <w:b/>
                <w:color w:val="auto"/>
                <w:spacing w:val="0"/>
                <w:w w:val="100"/>
                <w:position w:val="0"/>
                <w:szCs w:val="21"/>
                <w:highlight w:val="none"/>
              </w:rPr>
            </w:pPr>
            <w:r>
              <w:rPr>
                <w:rFonts w:hint="default" w:ascii="Times New Roman" w:hAnsi="Times New Roman" w:cs="Times New Roman"/>
                <w:b/>
                <w:color w:val="auto"/>
                <w:spacing w:val="0"/>
                <w:w w:val="100"/>
                <w:position w:val="0"/>
                <w:szCs w:val="21"/>
                <w:highlight w:val="none"/>
              </w:rPr>
              <w:t>表</w:t>
            </w:r>
            <w:r>
              <w:rPr>
                <w:rFonts w:hint="eastAsia" w:ascii="Times New Roman" w:hAnsi="Times New Roman" w:cs="Times New Roman"/>
                <w:b/>
                <w:color w:val="auto"/>
                <w:spacing w:val="0"/>
                <w:w w:val="100"/>
                <w:position w:val="0"/>
                <w:szCs w:val="21"/>
                <w:highlight w:val="none"/>
                <w:lang w:val="en-US" w:eastAsia="zh-CN"/>
              </w:rPr>
              <w:t>6</w:t>
            </w:r>
            <w:r>
              <w:rPr>
                <w:rFonts w:hint="default" w:ascii="Times New Roman" w:hAnsi="Times New Roman" w:cs="Times New Roman"/>
                <w:b/>
                <w:color w:val="auto"/>
                <w:spacing w:val="0"/>
                <w:w w:val="100"/>
                <w:position w:val="0"/>
                <w:szCs w:val="21"/>
                <w:highlight w:val="none"/>
              </w:rPr>
              <w:t>-1</w:t>
            </w:r>
            <w:r>
              <w:rPr>
                <w:rFonts w:hint="eastAsia" w:ascii="Times New Roman" w:hAnsi="Times New Roman" w:cs="Times New Roman"/>
                <w:b/>
                <w:color w:val="auto"/>
                <w:spacing w:val="0"/>
                <w:w w:val="100"/>
                <w:position w:val="0"/>
                <w:szCs w:val="21"/>
                <w:highlight w:val="none"/>
                <w:lang w:val="en-US" w:eastAsia="zh-CN"/>
              </w:rPr>
              <w:t xml:space="preserve">   </w:t>
            </w:r>
            <w:r>
              <w:rPr>
                <w:rFonts w:hint="default" w:ascii="Times New Roman" w:hAnsi="Times New Roman" w:cs="Times New Roman"/>
                <w:b/>
                <w:color w:val="auto"/>
                <w:spacing w:val="0"/>
                <w:w w:val="100"/>
                <w:position w:val="0"/>
                <w:szCs w:val="21"/>
                <w:highlight w:val="none"/>
              </w:rPr>
              <w:t>建设项目环境保护图形符号表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24"/>
              <w:gridCol w:w="1620"/>
              <w:gridCol w:w="1815"/>
              <w:gridCol w:w="1301"/>
              <w:gridCol w:w="1892"/>
            </w:tblGrid>
            <w:tr w14:paraId="38820C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2" w:type="pct"/>
                  <w:tcBorders>
                    <w:top w:val="single" w:color="auto" w:sz="12" w:space="0"/>
                    <w:left w:val="nil"/>
                    <w:bottom w:val="single" w:color="auto" w:sz="12" w:space="0"/>
                    <w:right w:val="single" w:color="auto" w:sz="6" w:space="0"/>
                  </w:tcBorders>
                  <w:noWrap w:val="0"/>
                  <w:vAlign w:val="center"/>
                </w:tcPr>
                <w:p w14:paraId="429672BC">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color w:val="auto"/>
                      <w:spacing w:val="0"/>
                      <w:w w:val="100"/>
                      <w:position w:val="0"/>
                      <w:szCs w:val="21"/>
                      <w:highlight w:val="none"/>
                    </w:rPr>
                  </w:pPr>
                  <w:r>
                    <w:rPr>
                      <w:rFonts w:hint="default" w:ascii="Times New Roman" w:hAnsi="Times New Roman" w:cs="Times New Roman"/>
                      <w:b/>
                      <w:color w:val="auto"/>
                      <w:spacing w:val="0"/>
                      <w:w w:val="100"/>
                      <w:position w:val="0"/>
                      <w:szCs w:val="21"/>
                      <w:highlight w:val="none"/>
                    </w:rPr>
                    <w:t>序号</w:t>
                  </w:r>
                </w:p>
              </w:tc>
              <w:tc>
                <w:tcPr>
                  <w:tcW w:w="1101" w:type="pct"/>
                  <w:tcBorders>
                    <w:top w:val="single" w:color="auto" w:sz="12" w:space="0"/>
                    <w:left w:val="single" w:color="auto" w:sz="6" w:space="0"/>
                    <w:bottom w:val="single" w:color="auto" w:sz="12" w:space="0"/>
                    <w:right w:val="single" w:color="auto" w:sz="6" w:space="0"/>
                  </w:tcBorders>
                  <w:noWrap w:val="0"/>
                  <w:vAlign w:val="center"/>
                </w:tcPr>
                <w:p w14:paraId="7E240A8D">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color w:val="auto"/>
                      <w:spacing w:val="0"/>
                      <w:w w:val="100"/>
                      <w:position w:val="0"/>
                      <w:szCs w:val="21"/>
                      <w:highlight w:val="none"/>
                    </w:rPr>
                  </w:pPr>
                  <w:r>
                    <w:rPr>
                      <w:rFonts w:hint="default" w:ascii="Times New Roman" w:hAnsi="Times New Roman" w:cs="Times New Roman"/>
                      <w:b/>
                      <w:color w:val="auto"/>
                      <w:spacing w:val="0"/>
                      <w:w w:val="100"/>
                      <w:position w:val="0"/>
                      <w:szCs w:val="21"/>
                      <w:highlight w:val="none"/>
                    </w:rPr>
                    <w:t>提示图形符号</w:t>
                  </w:r>
                </w:p>
              </w:tc>
              <w:tc>
                <w:tcPr>
                  <w:tcW w:w="1234" w:type="pct"/>
                  <w:tcBorders>
                    <w:top w:val="single" w:color="auto" w:sz="12" w:space="0"/>
                    <w:left w:val="single" w:color="auto" w:sz="6" w:space="0"/>
                    <w:bottom w:val="single" w:color="auto" w:sz="12" w:space="0"/>
                    <w:right w:val="single" w:color="auto" w:sz="6" w:space="0"/>
                  </w:tcBorders>
                  <w:noWrap w:val="0"/>
                  <w:vAlign w:val="center"/>
                </w:tcPr>
                <w:p w14:paraId="13C823DD">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color w:val="auto"/>
                      <w:spacing w:val="0"/>
                      <w:w w:val="100"/>
                      <w:position w:val="0"/>
                      <w:szCs w:val="21"/>
                      <w:highlight w:val="none"/>
                    </w:rPr>
                  </w:pPr>
                  <w:r>
                    <w:rPr>
                      <w:rFonts w:hint="default" w:ascii="Times New Roman" w:hAnsi="Times New Roman" w:cs="Times New Roman"/>
                      <w:b/>
                      <w:color w:val="auto"/>
                      <w:spacing w:val="0"/>
                      <w:w w:val="100"/>
                      <w:position w:val="0"/>
                      <w:szCs w:val="21"/>
                      <w:highlight w:val="none"/>
                    </w:rPr>
                    <w:t>警告图形符号</w:t>
                  </w:r>
                </w:p>
              </w:tc>
              <w:tc>
                <w:tcPr>
                  <w:tcW w:w="884" w:type="pct"/>
                  <w:tcBorders>
                    <w:top w:val="single" w:color="auto" w:sz="12" w:space="0"/>
                    <w:left w:val="single" w:color="auto" w:sz="6" w:space="0"/>
                    <w:bottom w:val="single" w:color="auto" w:sz="12" w:space="0"/>
                    <w:right w:val="single" w:color="auto" w:sz="6" w:space="0"/>
                  </w:tcBorders>
                  <w:noWrap w:val="0"/>
                  <w:vAlign w:val="center"/>
                </w:tcPr>
                <w:p w14:paraId="7574FE1E">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color w:val="auto"/>
                      <w:spacing w:val="0"/>
                      <w:w w:val="100"/>
                      <w:position w:val="0"/>
                      <w:szCs w:val="21"/>
                      <w:highlight w:val="none"/>
                    </w:rPr>
                  </w:pPr>
                  <w:r>
                    <w:rPr>
                      <w:rFonts w:hint="default" w:ascii="Times New Roman" w:hAnsi="Times New Roman" w:cs="Times New Roman"/>
                      <w:b/>
                      <w:color w:val="auto"/>
                      <w:spacing w:val="0"/>
                      <w:w w:val="100"/>
                      <w:position w:val="0"/>
                      <w:szCs w:val="21"/>
                      <w:highlight w:val="none"/>
                    </w:rPr>
                    <w:t>名称</w:t>
                  </w:r>
                </w:p>
              </w:tc>
              <w:tc>
                <w:tcPr>
                  <w:tcW w:w="1286" w:type="pct"/>
                  <w:tcBorders>
                    <w:top w:val="single" w:color="auto" w:sz="12" w:space="0"/>
                    <w:left w:val="single" w:color="auto" w:sz="6" w:space="0"/>
                    <w:bottom w:val="single" w:color="auto" w:sz="12" w:space="0"/>
                    <w:right w:val="nil"/>
                  </w:tcBorders>
                  <w:noWrap w:val="0"/>
                  <w:vAlign w:val="center"/>
                </w:tcPr>
                <w:p w14:paraId="69AEE9E8">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b/>
                      <w:color w:val="auto"/>
                      <w:spacing w:val="0"/>
                      <w:w w:val="100"/>
                      <w:position w:val="0"/>
                      <w:szCs w:val="21"/>
                      <w:highlight w:val="none"/>
                    </w:rPr>
                  </w:pPr>
                  <w:r>
                    <w:rPr>
                      <w:rFonts w:hint="default" w:ascii="Times New Roman" w:hAnsi="Times New Roman" w:cs="Times New Roman"/>
                      <w:b/>
                      <w:color w:val="auto"/>
                      <w:spacing w:val="0"/>
                      <w:w w:val="100"/>
                      <w:position w:val="0"/>
                      <w:szCs w:val="21"/>
                      <w:highlight w:val="none"/>
                    </w:rPr>
                    <w:t>功能</w:t>
                  </w:r>
                </w:p>
              </w:tc>
            </w:tr>
            <w:tr w14:paraId="51B58E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2" w:type="pct"/>
                  <w:tcBorders>
                    <w:top w:val="single" w:color="auto" w:sz="12" w:space="0"/>
                    <w:left w:val="nil"/>
                    <w:bottom w:val="single" w:color="auto" w:sz="6" w:space="0"/>
                    <w:right w:val="single" w:color="auto" w:sz="6" w:space="0"/>
                  </w:tcBorders>
                  <w:noWrap w:val="0"/>
                  <w:vAlign w:val="center"/>
                </w:tcPr>
                <w:p w14:paraId="1BF05131">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1</w:t>
                  </w:r>
                </w:p>
              </w:tc>
              <w:tc>
                <w:tcPr>
                  <w:tcW w:w="1101" w:type="pct"/>
                  <w:tcBorders>
                    <w:top w:val="single" w:color="auto" w:sz="12" w:space="0"/>
                    <w:left w:val="single" w:color="auto" w:sz="6" w:space="0"/>
                    <w:bottom w:val="single" w:color="auto" w:sz="6" w:space="0"/>
                    <w:right w:val="single" w:color="auto" w:sz="6" w:space="0"/>
                  </w:tcBorders>
                  <w:noWrap w:val="0"/>
                  <w:vAlign w:val="center"/>
                </w:tcPr>
                <w:p w14:paraId="58E702EB">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638175" cy="569595"/>
                        <wp:effectExtent l="0" t="0" r="9525" b="1905"/>
                        <wp:docPr id="23" name="图片 12" descr="1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descr="13003"/>
                                <pic:cNvPicPr>
                                  <a:picLocks noChangeAspect="1"/>
                                </pic:cNvPicPr>
                              </pic:nvPicPr>
                              <pic:blipFill>
                                <a:blip r:embed="rId16"/>
                                <a:stretch>
                                  <a:fillRect/>
                                </a:stretch>
                              </pic:blipFill>
                              <pic:spPr>
                                <a:xfrm>
                                  <a:off x="0" y="0"/>
                                  <a:ext cx="638175" cy="569595"/>
                                </a:xfrm>
                                <a:prstGeom prst="rect">
                                  <a:avLst/>
                                </a:prstGeom>
                                <a:noFill/>
                                <a:ln>
                                  <a:noFill/>
                                </a:ln>
                              </pic:spPr>
                            </pic:pic>
                          </a:graphicData>
                        </a:graphic>
                      </wp:inline>
                    </w:drawing>
                  </w:r>
                </w:p>
              </w:tc>
              <w:tc>
                <w:tcPr>
                  <w:tcW w:w="1234" w:type="pct"/>
                  <w:tcBorders>
                    <w:top w:val="single" w:color="auto" w:sz="12" w:space="0"/>
                    <w:left w:val="single" w:color="auto" w:sz="6" w:space="0"/>
                    <w:bottom w:val="single" w:color="auto" w:sz="6" w:space="0"/>
                    <w:right w:val="single" w:color="auto" w:sz="6" w:space="0"/>
                  </w:tcBorders>
                  <w:noWrap w:val="0"/>
                  <w:vAlign w:val="center"/>
                </w:tcPr>
                <w:p w14:paraId="67462B88">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681355" cy="561975"/>
                        <wp:effectExtent l="0" t="0" r="4445" b="9525"/>
                        <wp:docPr id="24" name="图片 1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descr="4"/>
                                <pic:cNvPicPr>
                                  <a:picLocks noChangeAspect="1"/>
                                </pic:cNvPicPr>
                              </pic:nvPicPr>
                              <pic:blipFill>
                                <a:blip r:embed="rId17"/>
                                <a:stretch>
                                  <a:fillRect/>
                                </a:stretch>
                              </pic:blipFill>
                              <pic:spPr>
                                <a:xfrm>
                                  <a:off x="0" y="0"/>
                                  <a:ext cx="681355" cy="561975"/>
                                </a:xfrm>
                                <a:prstGeom prst="rect">
                                  <a:avLst/>
                                </a:prstGeom>
                                <a:noFill/>
                                <a:ln>
                                  <a:noFill/>
                                </a:ln>
                              </pic:spPr>
                            </pic:pic>
                          </a:graphicData>
                        </a:graphic>
                      </wp:inline>
                    </w:drawing>
                  </w:r>
                </w:p>
              </w:tc>
              <w:tc>
                <w:tcPr>
                  <w:tcW w:w="884" w:type="pct"/>
                  <w:tcBorders>
                    <w:top w:val="single" w:color="auto" w:sz="12" w:space="0"/>
                    <w:left w:val="single" w:color="auto" w:sz="6" w:space="0"/>
                    <w:bottom w:val="single" w:color="auto" w:sz="6" w:space="0"/>
                    <w:right w:val="single" w:color="auto" w:sz="6" w:space="0"/>
                  </w:tcBorders>
                  <w:noWrap w:val="0"/>
                  <w:vAlign w:val="center"/>
                </w:tcPr>
                <w:p w14:paraId="4ADE4727">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废气排放口</w:t>
                  </w:r>
                </w:p>
              </w:tc>
              <w:tc>
                <w:tcPr>
                  <w:tcW w:w="1286" w:type="pct"/>
                  <w:tcBorders>
                    <w:top w:val="single" w:color="auto" w:sz="12" w:space="0"/>
                    <w:left w:val="single" w:color="auto" w:sz="6" w:space="0"/>
                    <w:bottom w:val="single" w:color="auto" w:sz="6" w:space="0"/>
                    <w:right w:val="nil"/>
                  </w:tcBorders>
                  <w:noWrap w:val="0"/>
                  <w:vAlign w:val="center"/>
                </w:tcPr>
                <w:p w14:paraId="0331B060">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表示废气向大气环境排放</w:t>
                  </w:r>
                </w:p>
              </w:tc>
            </w:tr>
            <w:tr w14:paraId="077AB3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2" w:type="pct"/>
                  <w:tcBorders>
                    <w:top w:val="single" w:color="auto" w:sz="6" w:space="0"/>
                    <w:left w:val="nil"/>
                    <w:bottom w:val="single" w:color="auto" w:sz="6" w:space="0"/>
                    <w:right w:val="single" w:color="auto" w:sz="6" w:space="0"/>
                  </w:tcBorders>
                  <w:noWrap w:val="0"/>
                  <w:vAlign w:val="center"/>
                </w:tcPr>
                <w:p w14:paraId="180CB21C">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2</w:t>
                  </w:r>
                </w:p>
              </w:tc>
              <w:tc>
                <w:tcPr>
                  <w:tcW w:w="1101" w:type="pct"/>
                  <w:tcBorders>
                    <w:top w:val="single" w:color="auto" w:sz="6" w:space="0"/>
                    <w:left w:val="single" w:color="auto" w:sz="6" w:space="0"/>
                    <w:bottom w:val="single" w:color="auto" w:sz="6" w:space="0"/>
                    <w:right w:val="single" w:color="auto" w:sz="6" w:space="0"/>
                  </w:tcBorders>
                  <w:noWrap w:val="0"/>
                  <w:vAlign w:val="center"/>
                </w:tcPr>
                <w:p w14:paraId="03B1549E">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621030" cy="629920"/>
                        <wp:effectExtent l="0" t="0" r="7620" b="17780"/>
                        <wp:docPr id="25" name="图片 14" descr="1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4" descr="14001"/>
                                <pic:cNvPicPr>
                                  <a:picLocks noChangeAspect="1"/>
                                </pic:cNvPicPr>
                              </pic:nvPicPr>
                              <pic:blipFill>
                                <a:blip r:embed="rId18"/>
                                <a:stretch>
                                  <a:fillRect/>
                                </a:stretch>
                              </pic:blipFill>
                              <pic:spPr>
                                <a:xfrm>
                                  <a:off x="0" y="0"/>
                                  <a:ext cx="621030" cy="629920"/>
                                </a:xfrm>
                                <a:prstGeom prst="rect">
                                  <a:avLst/>
                                </a:prstGeom>
                                <a:noFill/>
                                <a:ln>
                                  <a:noFill/>
                                </a:ln>
                              </pic:spPr>
                            </pic:pic>
                          </a:graphicData>
                        </a:graphic>
                      </wp:inline>
                    </w:drawing>
                  </w:r>
                </w:p>
              </w:tc>
              <w:tc>
                <w:tcPr>
                  <w:tcW w:w="1234" w:type="pct"/>
                  <w:tcBorders>
                    <w:top w:val="single" w:color="auto" w:sz="6" w:space="0"/>
                    <w:left w:val="single" w:color="auto" w:sz="6" w:space="0"/>
                    <w:bottom w:val="single" w:color="auto" w:sz="6" w:space="0"/>
                    <w:right w:val="single" w:color="auto" w:sz="6" w:space="0"/>
                  </w:tcBorders>
                  <w:noWrap w:val="0"/>
                  <w:vAlign w:val="center"/>
                </w:tcPr>
                <w:p w14:paraId="57647171">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691515" cy="655955"/>
                        <wp:effectExtent l="0" t="0" r="13335" b="10795"/>
                        <wp:docPr id="26" name="图片 15" descr="1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descr="14002"/>
                                <pic:cNvPicPr>
                                  <a:picLocks noChangeAspect="1"/>
                                </pic:cNvPicPr>
                              </pic:nvPicPr>
                              <pic:blipFill>
                                <a:blip r:embed="rId19"/>
                                <a:stretch>
                                  <a:fillRect/>
                                </a:stretch>
                              </pic:blipFill>
                              <pic:spPr>
                                <a:xfrm>
                                  <a:off x="0" y="0"/>
                                  <a:ext cx="691515" cy="655955"/>
                                </a:xfrm>
                                <a:prstGeom prst="rect">
                                  <a:avLst/>
                                </a:prstGeom>
                                <a:noFill/>
                                <a:ln>
                                  <a:noFill/>
                                </a:ln>
                              </pic:spPr>
                            </pic:pic>
                          </a:graphicData>
                        </a:graphic>
                      </wp:inline>
                    </w:drawing>
                  </w:r>
                </w:p>
              </w:tc>
              <w:tc>
                <w:tcPr>
                  <w:tcW w:w="884" w:type="pct"/>
                  <w:tcBorders>
                    <w:top w:val="single" w:color="auto" w:sz="6" w:space="0"/>
                    <w:left w:val="single" w:color="auto" w:sz="6" w:space="0"/>
                    <w:bottom w:val="single" w:color="auto" w:sz="6" w:space="0"/>
                    <w:right w:val="single" w:color="auto" w:sz="6" w:space="0"/>
                  </w:tcBorders>
                  <w:noWrap w:val="0"/>
                  <w:vAlign w:val="center"/>
                </w:tcPr>
                <w:p w14:paraId="0003E34B">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一般固体废物</w:t>
                  </w:r>
                </w:p>
              </w:tc>
              <w:tc>
                <w:tcPr>
                  <w:tcW w:w="1286" w:type="pct"/>
                  <w:tcBorders>
                    <w:top w:val="single" w:color="auto" w:sz="6" w:space="0"/>
                    <w:left w:val="single" w:color="auto" w:sz="6" w:space="0"/>
                    <w:bottom w:val="single" w:color="auto" w:sz="6" w:space="0"/>
                    <w:right w:val="nil"/>
                  </w:tcBorders>
                  <w:noWrap w:val="0"/>
                  <w:vAlign w:val="center"/>
                </w:tcPr>
                <w:p w14:paraId="131AF0DD">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表示一般固体废物贮存、处置场</w:t>
                  </w:r>
                </w:p>
              </w:tc>
            </w:tr>
            <w:tr w14:paraId="1DD619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2" w:type="pct"/>
                  <w:tcBorders>
                    <w:top w:val="single" w:color="auto" w:sz="6" w:space="0"/>
                    <w:left w:val="nil"/>
                    <w:bottom w:val="single" w:color="auto" w:sz="6" w:space="0"/>
                    <w:right w:val="single" w:color="auto" w:sz="6" w:space="0"/>
                  </w:tcBorders>
                  <w:noWrap w:val="0"/>
                  <w:vAlign w:val="center"/>
                </w:tcPr>
                <w:p w14:paraId="4356597A">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3</w:t>
                  </w:r>
                </w:p>
              </w:tc>
              <w:tc>
                <w:tcPr>
                  <w:tcW w:w="1101" w:type="pct"/>
                  <w:tcBorders>
                    <w:top w:val="single" w:color="auto" w:sz="6" w:space="0"/>
                    <w:left w:val="single" w:color="auto" w:sz="6" w:space="0"/>
                    <w:bottom w:val="single" w:color="auto" w:sz="6" w:space="0"/>
                    <w:right w:val="single" w:color="auto" w:sz="6" w:space="0"/>
                  </w:tcBorders>
                  <w:noWrap w:val="0"/>
                  <w:vAlign w:val="center"/>
                </w:tcPr>
                <w:p w14:paraId="2E158536">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621030" cy="603885"/>
                        <wp:effectExtent l="0" t="0" r="7620" b="5715"/>
                        <wp:docPr id="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pic:cNvPicPr>
                                  <a:picLocks noChangeAspect="1"/>
                                </pic:cNvPicPr>
                              </pic:nvPicPr>
                              <pic:blipFill>
                                <a:blip r:embed="rId20"/>
                                <a:stretch>
                                  <a:fillRect/>
                                </a:stretch>
                              </pic:blipFill>
                              <pic:spPr>
                                <a:xfrm>
                                  <a:off x="0" y="0"/>
                                  <a:ext cx="621030" cy="603885"/>
                                </a:xfrm>
                                <a:prstGeom prst="rect">
                                  <a:avLst/>
                                </a:prstGeom>
                                <a:noFill/>
                                <a:ln>
                                  <a:noFill/>
                                </a:ln>
                              </pic:spPr>
                            </pic:pic>
                          </a:graphicData>
                        </a:graphic>
                      </wp:inline>
                    </w:drawing>
                  </w:r>
                </w:p>
              </w:tc>
              <w:tc>
                <w:tcPr>
                  <w:tcW w:w="1234" w:type="pct"/>
                  <w:tcBorders>
                    <w:top w:val="single" w:color="auto" w:sz="6" w:space="0"/>
                    <w:left w:val="single" w:color="auto" w:sz="6" w:space="0"/>
                    <w:bottom w:val="single" w:color="auto" w:sz="6" w:space="0"/>
                    <w:right w:val="single" w:color="auto" w:sz="6" w:space="0"/>
                  </w:tcBorders>
                  <w:noWrap w:val="0"/>
                  <w:vAlign w:val="center"/>
                </w:tcPr>
                <w:p w14:paraId="433831F9">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784860" cy="681355"/>
                        <wp:effectExtent l="0" t="0" r="15240" b="4445"/>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pic:cNvPicPr>
                                  <a:picLocks noChangeAspect="1"/>
                                </pic:cNvPicPr>
                              </pic:nvPicPr>
                              <pic:blipFill>
                                <a:blip r:embed="rId21"/>
                                <a:stretch>
                                  <a:fillRect/>
                                </a:stretch>
                              </pic:blipFill>
                              <pic:spPr>
                                <a:xfrm>
                                  <a:off x="0" y="0"/>
                                  <a:ext cx="784860" cy="681355"/>
                                </a:xfrm>
                                <a:prstGeom prst="rect">
                                  <a:avLst/>
                                </a:prstGeom>
                                <a:noFill/>
                                <a:ln>
                                  <a:noFill/>
                                </a:ln>
                              </pic:spPr>
                            </pic:pic>
                          </a:graphicData>
                        </a:graphic>
                      </wp:inline>
                    </w:drawing>
                  </w:r>
                </w:p>
              </w:tc>
              <w:tc>
                <w:tcPr>
                  <w:tcW w:w="884" w:type="pct"/>
                  <w:tcBorders>
                    <w:top w:val="single" w:color="auto" w:sz="6" w:space="0"/>
                    <w:left w:val="single" w:color="auto" w:sz="6" w:space="0"/>
                    <w:bottom w:val="single" w:color="auto" w:sz="6" w:space="0"/>
                    <w:right w:val="single" w:color="auto" w:sz="6" w:space="0"/>
                  </w:tcBorders>
                  <w:noWrap w:val="0"/>
                  <w:vAlign w:val="center"/>
                </w:tcPr>
                <w:p w14:paraId="2BC9B12C">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噪声排放源</w:t>
                  </w:r>
                </w:p>
              </w:tc>
              <w:tc>
                <w:tcPr>
                  <w:tcW w:w="1286" w:type="pct"/>
                  <w:tcBorders>
                    <w:top w:val="single" w:color="auto" w:sz="6" w:space="0"/>
                    <w:left w:val="single" w:color="auto" w:sz="6" w:space="0"/>
                    <w:bottom w:val="single" w:color="auto" w:sz="6" w:space="0"/>
                    <w:right w:val="nil"/>
                  </w:tcBorders>
                  <w:noWrap w:val="0"/>
                  <w:vAlign w:val="center"/>
                </w:tcPr>
                <w:p w14:paraId="3D3CED63">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表示噪声向外环境排放</w:t>
                  </w:r>
                </w:p>
              </w:tc>
            </w:tr>
            <w:tr w14:paraId="1D4145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2" w:type="pct"/>
                  <w:tcBorders>
                    <w:top w:val="single" w:color="auto" w:sz="6" w:space="0"/>
                    <w:left w:val="nil"/>
                    <w:bottom w:val="single" w:color="auto" w:sz="6" w:space="0"/>
                    <w:right w:val="single" w:color="auto" w:sz="6" w:space="0"/>
                  </w:tcBorders>
                  <w:noWrap w:val="0"/>
                  <w:vAlign w:val="center"/>
                </w:tcPr>
                <w:p w14:paraId="21EC6A25">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4</w:t>
                  </w:r>
                </w:p>
              </w:tc>
              <w:tc>
                <w:tcPr>
                  <w:tcW w:w="1101" w:type="pct"/>
                  <w:tcBorders>
                    <w:top w:val="single" w:color="auto" w:sz="6" w:space="0"/>
                    <w:left w:val="single" w:color="auto" w:sz="6" w:space="0"/>
                    <w:bottom w:val="single" w:color="auto" w:sz="6" w:space="0"/>
                    <w:right w:val="single" w:color="auto" w:sz="6" w:space="0"/>
                  </w:tcBorders>
                  <w:noWrap w:val="0"/>
                  <w:vAlign w:val="center"/>
                </w:tcPr>
                <w:p w14:paraId="23090F26">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w:t>
                  </w:r>
                </w:p>
              </w:tc>
              <w:tc>
                <w:tcPr>
                  <w:tcW w:w="1234" w:type="pct"/>
                  <w:tcBorders>
                    <w:top w:val="single" w:color="auto" w:sz="6" w:space="0"/>
                    <w:left w:val="single" w:color="auto" w:sz="6" w:space="0"/>
                    <w:bottom w:val="single" w:color="auto" w:sz="6" w:space="0"/>
                    <w:right w:val="single" w:color="auto" w:sz="6" w:space="0"/>
                  </w:tcBorders>
                  <w:noWrap w:val="0"/>
                  <w:vAlign w:val="center"/>
                </w:tcPr>
                <w:p w14:paraId="677AFF4F">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766445" cy="751205"/>
                        <wp:effectExtent l="0" t="0" r="14605" b="10795"/>
                        <wp:docPr id="2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8"/>
                                <pic:cNvPicPr>
                                  <a:picLocks noChangeAspect="1"/>
                                </pic:cNvPicPr>
                              </pic:nvPicPr>
                              <pic:blipFill>
                                <a:blip r:embed="rId22"/>
                                <a:stretch>
                                  <a:fillRect/>
                                </a:stretch>
                              </pic:blipFill>
                              <pic:spPr>
                                <a:xfrm>
                                  <a:off x="0" y="0"/>
                                  <a:ext cx="766445" cy="751205"/>
                                </a:xfrm>
                                <a:prstGeom prst="rect">
                                  <a:avLst/>
                                </a:prstGeom>
                                <a:noFill/>
                                <a:ln>
                                  <a:noFill/>
                                </a:ln>
                              </pic:spPr>
                            </pic:pic>
                          </a:graphicData>
                        </a:graphic>
                      </wp:inline>
                    </w:drawing>
                  </w:r>
                </w:p>
              </w:tc>
              <w:tc>
                <w:tcPr>
                  <w:tcW w:w="884" w:type="pct"/>
                  <w:tcBorders>
                    <w:top w:val="single" w:color="auto" w:sz="6" w:space="0"/>
                    <w:left w:val="single" w:color="auto" w:sz="6" w:space="0"/>
                    <w:bottom w:val="single" w:color="auto" w:sz="6" w:space="0"/>
                    <w:right w:val="single" w:color="auto" w:sz="6" w:space="0"/>
                  </w:tcBorders>
                  <w:noWrap w:val="0"/>
                  <w:vAlign w:val="center"/>
                </w:tcPr>
                <w:p w14:paraId="26ACA08B">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危险废物</w:t>
                  </w:r>
                </w:p>
              </w:tc>
              <w:tc>
                <w:tcPr>
                  <w:tcW w:w="1286" w:type="pct"/>
                  <w:tcBorders>
                    <w:top w:val="single" w:color="auto" w:sz="6" w:space="0"/>
                    <w:left w:val="single" w:color="auto" w:sz="6" w:space="0"/>
                    <w:bottom w:val="single" w:color="auto" w:sz="6" w:space="0"/>
                    <w:right w:val="nil"/>
                  </w:tcBorders>
                  <w:noWrap w:val="0"/>
                  <w:vAlign w:val="center"/>
                </w:tcPr>
                <w:p w14:paraId="0551A511">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表示危险废物贮存、处置场</w:t>
                  </w:r>
                </w:p>
              </w:tc>
            </w:tr>
            <w:tr w14:paraId="6E9BDF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2" w:type="pct"/>
                  <w:tcBorders>
                    <w:top w:val="single" w:color="auto" w:sz="6" w:space="0"/>
                    <w:left w:val="nil"/>
                    <w:bottom w:val="single" w:color="auto" w:sz="12" w:space="0"/>
                    <w:right w:val="single" w:color="auto" w:sz="6" w:space="0"/>
                  </w:tcBorders>
                  <w:noWrap w:val="0"/>
                  <w:vAlign w:val="center"/>
                </w:tcPr>
                <w:p w14:paraId="7EC5D1E8">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5</w:t>
                  </w:r>
                </w:p>
              </w:tc>
              <w:tc>
                <w:tcPr>
                  <w:tcW w:w="1101" w:type="pct"/>
                  <w:tcBorders>
                    <w:top w:val="single" w:color="auto" w:sz="6" w:space="0"/>
                    <w:left w:val="single" w:color="auto" w:sz="6" w:space="0"/>
                    <w:bottom w:val="single" w:color="auto" w:sz="12" w:space="0"/>
                    <w:right w:val="single" w:color="auto" w:sz="6" w:space="0"/>
                  </w:tcBorders>
                  <w:noWrap w:val="0"/>
                  <w:vAlign w:val="center"/>
                </w:tcPr>
                <w:p w14:paraId="63442162">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750570" cy="802005"/>
                        <wp:effectExtent l="0" t="0" r="11430" b="17145"/>
                        <wp:docPr id="30" name="图片 19" descr="废水排放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9" descr="废水排放口"/>
                                <pic:cNvPicPr>
                                  <a:picLocks noChangeAspect="1"/>
                                </pic:cNvPicPr>
                              </pic:nvPicPr>
                              <pic:blipFill>
                                <a:blip r:embed="rId23"/>
                                <a:stretch>
                                  <a:fillRect/>
                                </a:stretch>
                              </pic:blipFill>
                              <pic:spPr>
                                <a:xfrm>
                                  <a:off x="0" y="0"/>
                                  <a:ext cx="750570" cy="802005"/>
                                </a:xfrm>
                                <a:prstGeom prst="rect">
                                  <a:avLst/>
                                </a:prstGeom>
                                <a:noFill/>
                                <a:ln>
                                  <a:noFill/>
                                </a:ln>
                              </pic:spPr>
                            </pic:pic>
                          </a:graphicData>
                        </a:graphic>
                      </wp:inline>
                    </w:drawing>
                  </w:r>
                </w:p>
              </w:tc>
              <w:tc>
                <w:tcPr>
                  <w:tcW w:w="1234" w:type="pct"/>
                  <w:tcBorders>
                    <w:top w:val="single" w:color="auto" w:sz="6" w:space="0"/>
                    <w:left w:val="single" w:color="auto" w:sz="6" w:space="0"/>
                    <w:bottom w:val="single" w:color="auto" w:sz="12" w:space="0"/>
                    <w:right w:val="single" w:color="auto" w:sz="6" w:space="0"/>
                  </w:tcBorders>
                  <w:noWrap w:val="0"/>
                  <w:vAlign w:val="center"/>
                </w:tcPr>
                <w:p w14:paraId="3685E411">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drawing>
                      <wp:inline distT="0" distB="0" distL="114300" distR="114300">
                        <wp:extent cx="941070" cy="784225"/>
                        <wp:effectExtent l="0" t="0" r="11430" b="15875"/>
                        <wp:docPr id="31" name="图片 20" descr="污水排放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0" descr="污水排放口"/>
                                <pic:cNvPicPr>
                                  <a:picLocks noChangeAspect="1"/>
                                </pic:cNvPicPr>
                              </pic:nvPicPr>
                              <pic:blipFill>
                                <a:blip r:embed="rId24"/>
                                <a:srcRect b="27061"/>
                                <a:stretch>
                                  <a:fillRect/>
                                </a:stretch>
                              </pic:blipFill>
                              <pic:spPr>
                                <a:xfrm>
                                  <a:off x="0" y="0"/>
                                  <a:ext cx="941070" cy="784225"/>
                                </a:xfrm>
                                <a:prstGeom prst="rect">
                                  <a:avLst/>
                                </a:prstGeom>
                                <a:noFill/>
                                <a:ln>
                                  <a:noFill/>
                                </a:ln>
                              </pic:spPr>
                            </pic:pic>
                          </a:graphicData>
                        </a:graphic>
                      </wp:inline>
                    </w:drawing>
                  </w:r>
                </w:p>
              </w:tc>
              <w:tc>
                <w:tcPr>
                  <w:tcW w:w="884" w:type="pct"/>
                  <w:tcBorders>
                    <w:top w:val="single" w:color="auto" w:sz="6" w:space="0"/>
                    <w:left w:val="single" w:color="auto" w:sz="6" w:space="0"/>
                    <w:bottom w:val="single" w:color="auto" w:sz="12" w:space="0"/>
                    <w:right w:val="single" w:color="auto" w:sz="6" w:space="0"/>
                  </w:tcBorders>
                  <w:noWrap w:val="0"/>
                  <w:vAlign w:val="center"/>
                </w:tcPr>
                <w:p w14:paraId="4107BE8A">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废水排放口</w:t>
                  </w:r>
                </w:p>
              </w:tc>
              <w:tc>
                <w:tcPr>
                  <w:tcW w:w="1286" w:type="pct"/>
                  <w:tcBorders>
                    <w:top w:val="single" w:color="auto" w:sz="6" w:space="0"/>
                    <w:left w:val="single" w:color="auto" w:sz="6" w:space="0"/>
                    <w:bottom w:val="single" w:color="auto" w:sz="12" w:space="0"/>
                    <w:right w:val="nil"/>
                  </w:tcBorders>
                  <w:noWrap w:val="0"/>
                  <w:vAlign w:val="center"/>
                </w:tcPr>
                <w:p w14:paraId="6AE55D4F">
                  <w:pPr>
                    <w:pStyle w:val="53"/>
                    <w:pageBreakBefore w:val="0"/>
                    <w:shd w:val="clear"/>
                    <w:kinsoku/>
                    <w:topLinePunct w:val="0"/>
                    <w:bidi w:val="0"/>
                    <w:spacing w:beforeAutospacing="0" w:afterAutospacing="0" w:line="240" w:lineRule="auto"/>
                    <w:ind w:left="0" w:leftChars="0" w:right="0" w:rightChars="0"/>
                    <w:rPr>
                      <w:rFonts w:hint="default" w:ascii="Times New Roman" w:hAnsi="Times New Roman" w:cs="Times New Roman"/>
                      <w:color w:val="auto"/>
                      <w:spacing w:val="0"/>
                      <w:w w:val="100"/>
                      <w:position w:val="0"/>
                      <w:szCs w:val="21"/>
                      <w:highlight w:val="none"/>
                    </w:rPr>
                  </w:pPr>
                  <w:r>
                    <w:rPr>
                      <w:rFonts w:hint="default" w:ascii="Times New Roman" w:hAnsi="Times New Roman" w:cs="Times New Roman"/>
                      <w:color w:val="auto"/>
                      <w:spacing w:val="0"/>
                      <w:w w:val="100"/>
                      <w:position w:val="0"/>
                      <w:szCs w:val="21"/>
                      <w:highlight w:val="none"/>
                    </w:rPr>
                    <w:t>表示废水向水环境排放</w:t>
                  </w:r>
                </w:p>
              </w:tc>
            </w:tr>
          </w:tbl>
          <w:p w14:paraId="43ADA165">
            <w:pPr>
              <w:pStyle w:val="23"/>
              <w:pageBreakBefore w:val="0"/>
              <w:shd w:val="clear"/>
              <w:kinsoku/>
              <w:topLinePunct w:val="0"/>
              <w:bidi w:val="0"/>
              <w:spacing w:beforeAutospacing="0" w:after="0" w:afterAutospacing="0" w:line="360" w:lineRule="auto"/>
              <w:ind w:left="0" w:leftChars="0" w:right="0" w:rightChars="0"/>
              <w:rPr>
                <w:rFonts w:hint="default" w:ascii="Times New Roman" w:hAnsi="Times New Roman" w:cs="Times New Roman"/>
                <w:color w:val="auto"/>
                <w:spacing w:val="0"/>
                <w:position w:val="0"/>
                <w:sz w:val="24"/>
                <w:szCs w:val="24"/>
                <w:highlight w:val="none"/>
              </w:rPr>
            </w:pPr>
          </w:p>
        </w:tc>
      </w:tr>
    </w:tbl>
    <w:p w14:paraId="1776C0EC">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30026A38">
      <w:pPr>
        <w:pageBreakBefore w:val="0"/>
        <w:widowControl/>
        <w:shd w:val="clear"/>
        <w:kinsoku/>
        <w:topLinePunct w:val="0"/>
        <w:bidi w:val="0"/>
        <w:spacing w:beforeAutospacing="0" w:afterAutospacing="0"/>
        <w:ind w:left="0" w:leftChars="0" w:right="0" w:rightChars="0"/>
        <w:jc w:val="left"/>
        <w:rPr>
          <w:rFonts w:hint="default" w:ascii="Times New Roman" w:hAnsi="Times New Roman" w:cs="Times New Roman"/>
          <w:color w:val="auto"/>
        </w:rPr>
      </w:pPr>
      <w:r>
        <w:rPr>
          <w:rFonts w:hint="default" w:ascii="Times New Roman" w:hAnsi="Times New Roman" w:cs="Times New Roman"/>
          <w:color w:val="auto"/>
        </w:rPr>
        <w:br w:type="page"/>
      </w:r>
    </w:p>
    <w:p w14:paraId="23BCD27B">
      <w:pPr>
        <w:pStyle w:val="6"/>
        <w:pageBreakBefore w:val="0"/>
        <w:numPr>
          <w:ilvl w:val="0"/>
          <w:numId w:val="0"/>
        </w:numPr>
        <w:shd w:val="clear"/>
        <w:kinsoku/>
        <w:topLinePunct w:val="0"/>
        <w:bidi w:val="0"/>
        <w:spacing w:before="0" w:beforeAutospacing="0" w:after="0" w:afterAutospacing="0"/>
        <w:ind w:left="0" w:leftChars="0" w:right="0" w:rightChars="0" w:firstLine="0" w:firstLineChars="0"/>
        <w:rPr>
          <w:rFonts w:hint="default" w:ascii="Times New Roman" w:hAnsi="Times New Roman" w:cs="Times New Roman"/>
          <w:color w:val="auto"/>
        </w:rPr>
      </w:pPr>
      <w:bookmarkStart w:id="6" w:name="_Toc109993631"/>
      <w:r>
        <w:rPr>
          <w:rFonts w:hint="eastAsia" w:cs="Times New Roman"/>
          <w:bCs/>
          <w:color w:val="auto"/>
          <w:kern w:val="44"/>
          <w:sz w:val="28"/>
          <w:szCs w:val="44"/>
          <w:lang w:val="en-US" w:eastAsia="zh-CN" w:bidi="ar-SA"/>
        </w:rPr>
        <w:t>六</w:t>
      </w:r>
      <w:r>
        <w:rPr>
          <w:rFonts w:hint="eastAsia" w:ascii="Times New Roman" w:hAnsi="Times New Roman" w:eastAsia="黑体" w:cs="Times New Roman"/>
          <w:bCs/>
          <w:color w:val="auto"/>
          <w:kern w:val="44"/>
          <w:sz w:val="28"/>
          <w:szCs w:val="44"/>
          <w:lang w:val="en-US" w:eastAsia="zh-CN" w:bidi="ar-SA"/>
        </w:rPr>
        <w:t>、</w:t>
      </w:r>
      <w:r>
        <w:rPr>
          <w:rFonts w:hint="default" w:ascii="Times New Roman" w:hAnsi="Times New Roman" w:cs="Times New Roman"/>
          <w:color w:val="auto"/>
        </w:rPr>
        <w:t>结论</w:t>
      </w:r>
      <w:bookmarkEnd w:id="6"/>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76"/>
      </w:tblGrid>
      <w:tr w14:paraId="1AE9A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96" w:type="dxa"/>
            <w:tcBorders>
              <w:tl2br w:val="nil"/>
              <w:tr2bl w:val="nil"/>
            </w:tcBorders>
          </w:tcPr>
          <w:p w14:paraId="183284A6">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spacing w:val="0"/>
                <w:w w:val="100"/>
                <w:position w:val="0"/>
                <w:sz w:val="24"/>
                <w:szCs w:val="24"/>
                <w:highlight w:val="none"/>
              </w:rPr>
            </w:pPr>
          </w:p>
          <w:p w14:paraId="522D8681">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本项目符合当前国家产业政策的要求，项目在采取环保治理措施及污染控制措施后，可实现各类污染物的稳定达标排放，不会对周围环境产生明显影响。因此，本评价从环保角度认为，本项目的建设是可行的。</w:t>
            </w:r>
          </w:p>
          <w:p w14:paraId="08CB12FD">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spacing w:val="0"/>
                <w:w w:val="100"/>
                <w:position w:val="0"/>
                <w:sz w:val="24"/>
                <w:szCs w:val="24"/>
                <w:highlight w:val="none"/>
              </w:rPr>
            </w:pPr>
          </w:p>
          <w:p w14:paraId="5BEFACB2">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52F1E47B">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41A10B07">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589E71AA">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66879E86">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7A6A0AEA">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57B1109D">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73075AFD">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166634D1">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6EB78FC9">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081ACCC1">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0F18A3F8">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417EC6D4">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67F74D1E">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0F7A23E0">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2F31FA05">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4E4C66E7">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66001193">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p w14:paraId="15A505C8">
            <w:pPr>
              <w:pStyle w:val="34"/>
              <w:pageBreakBefore w:val="0"/>
              <w:shd w:val="clear"/>
              <w:kinsoku/>
              <w:topLinePunct w:val="0"/>
              <w:bidi w:val="0"/>
              <w:spacing w:beforeAutospacing="0" w:afterAutospacing="0"/>
              <w:ind w:left="0" w:leftChars="0" w:right="0" w:rightChars="0" w:firstLine="420"/>
              <w:rPr>
                <w:rFonts w:hint="default" w:ascii="Times New Roman" w:hAnsi="Times New Roman" w:cs="Times New Roman"/>
                <w:color w:val="auto"/>
              </w:rPr>
            </w:pPr>
          </w:p>
        </w:tc>
      </w:tr>
    </w:tbl>
    <w:p w14:paraId="50E281C8">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pPr>
    </w:p>
    <w:p w14:paraId="1F51F16B">
      <w:pPr>
        <w:pageBreakBefore w:val="0"/>
        <w:shd w:val="clear"/>
        <w:kinsoku/>
        <w:topLinePunct w:val="0"/>
        <w:bidi w:val="0"/>
        <w:spacing w:beforeAutospacing="0" w:afterAutospacing="0"/>
        <w:ind w:left="0" w:leftChars="0" w:right="0" w:rightChars="0"/>
        <w:rPr>
          <w:rFonts w:hint="default" w:ascii="Times New Roman" w:hAnsi="Times New Roman" w:cs="Times New Roman"/>
          <w:color w:val="auto"/>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6714B48">
      <w:pPr>
        <w:pStyle w:val="34"/>
        <w:pageBreakBefore w:val="0"/>
        <w:shd w:val="clear"/>
        <w:kinsoku/>
        <w:topLinePunct w:val="0"/>
        <w:bidi w:val="0"/>
        <w:spacing w:beforeAutospacing="0" w:afterAutospacing="0"/>
        <w:ind w:left="0" w:leftChars="0" w:right="0" w:rightChars="0" w:firstLine="0" w:firstLineChars="0"/>
        <w:jc w:val="center"/>
        <w:rPr>
          <w:rFonts w:hint="default"/>
          <w:color w:val="auto"/>
          <w:highlight w:val="none"/>
          <w:lang w:val="en-US" w:eastAsia="zh-CN"/>
        </w:rPr>
      </w:pPr>
    </w:p>
    <w:sectPr>
      <w:pgSz w:w="16838" w:h="11906" w:orient="landscape"/>
      <w:pgMar w:top="1797" w:right="1440" w:bottom="1797" w:left="1440"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77DE5">
    <w:pPr>
      <w:pStyle w:val="18"/>
      <w:jc w:val="center"/>
    </w:pPr>
  </w:p>
  <w:p w14:paraId="2DDA590E">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731395"/>
      <w:docPartObj>
        <w:docPartGallery w:val="autotext"/>
      </w:docPartObj>
    </w:sdtPr>
    <w:sdtContent>
      <w:p w14:paraId="7B4108AE">
        <w:pPr>
          <w:pStyle w:val="18"/>
          <w:jc w:val="center"/>
        </w:pPr>
        <w:r>
          <w:fldChar w:fldCharType="begin"/>
        </w:r>
        <w:r>
          <w:instrText xml:space="preserve">PAGE   \* MERGEFORMAT</w:instrText>
        </w:r>
        <w:r>
          <w:fldChar w:fldCharType="separate"/>
        </w:r>
        <w:r>
          <w:rPr>
            <w:lang w:val="zh-CN"/>
          </w:rPr>
          <w:t>16</w:t>
        </w:r>
        <w:r>
          <w:fldChar w:fldCharType="end"/>
        </w:r>
      </w:p>
    </w:sdtContent>
  </w:sdt>
  <w:p w14:paraId="2902E032">
    <w:pPr>
      <w:pStyle w:val="1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AE5A63"/>
    <w:multiLevelType w:val="singleLevel"/>
    <w:tmpl w:val="09AE5A63"/>
    <w:lvl w:ilvl="0" w:tentative="0">
      <w:start w:val="1"/>
      <w:numFmt w:val="bullet"/>
      <w:pStyle w:val="16"/>
      <w:lvlText w:val=""/>
      <w:lvlJc w:val="left"/>
      <w:pPr>
        <w:tabs>
          <w:tab w:val="left" w:pos="2040"/>
        </w:tabs>
        <w:ind w:left="2040" w:hanging="360"/>
      </w:pPr>
      <w:rPr>
        <w:rFonts w:hint="default" w:ascii="Wingdings" w:hAnsi="Wingdings"/>
      </w:rPr>
    </w:lvl>
  </w:abstractNum>
  <w:abstractNum w:abstractNumId="1">
    <w:nsid w:val="76DE6A6B"/>
    <w:multiLevelType w:val="multilevel"/>
    <w:tmpl w:val="76DE6A6B"/>
    <w:lvl w:ilvl="0" w:tentative="0">
      <w:start w:val="1"/>
      <w:numFmt w:val="chineseCountingThousand"/>
      <w:pStyle w:val="6"/>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attachedTemplate r:id="rId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EA5E79"/>
    <w:rsid w:val="000E1C27"/>
    <w:rsid w:val="00133F62"/>
    <w:rsid w:val="001B0D40"/>
    <w:rsid w:val="002454E5"/>
    <w:rsid w:val="0028012B"/>
    <w:rsid w:val="00296837"/>
    <w:rsid w:val="002A0219"/>
    <w:rsid w:val="002A41CB"/>
    <w:rsid w:val="002D4EB8"/>
    <w:rsid w:val="003159EE"/>
    <w:rsid w:val="003B0456"/>
    <w:rsid w:val="00431B4E"/>
    <w:rsid w:val="004E5C75"/>
    <w:rsid w:val="00620F0D"/>
    <w:rsid w:val="007D7561"/>
    <w:rsid w:val="00881DB4"/>
    <w:rsid w:val="00961213"/>
    <w:rsid w:val="00986201"/>
    <w:rsid w:val="009C1579"/>
    <w:rsid w:val="009C4767"/>
    <w:rsid w:val="009D7FB0"/>
    <w:rsid w:val="00AB08DB"/>
    <w:rsid w:val="00AB60E3"/>
    <w:rsid w:val="00AB7818"/>
    <w:rsid w:val="00B36E75"/>
    <w:rsid w:val="00B92D53"/>
    <w:rsid w:val="00BD4EC6"/>
    <w:rsid w:val="00BE7EAE"/>
    <w:rsid w:val="00C43716"/>
    <w:rsid w:val="00C56030"/>
    <w:rsid w:val="00CE206B"/>
    <w:rsid w:val="00D42CB3"/>
    <w:rsid w:val="00DE26D1"/>
    <w:rsid w:val="00E14A21"/>
    <w:rsid w:val="00E65F8E"/>
    <w:rsid w:val="00E669D1"/>
    <w:rsid w:val="00EE025F"/>
    <w:rsid w:val="00F3090C"/>
    <w:rsid w:val="00FC3BA9"/>
    <w:rsid w:val="01606F43"/>
    <w:rsid w:val="0225748F"/>
    <w:rsid w:val="06B72BC7"/>
    <w:rsid w:val="0BB15B32"/>
    <w:rsid w:val="0E9E39C3"/>
    <w:rsid w:val="1071552D"/>
    <w:rsid w:val="133952F6"/>
    <w:rsid w:val="133E63BF"/>
    <w:rsid w:val="178F7C50"/>
    <w:rsid w:val="1AFC0627"/>
    <w:rsid w:val="1EC427DB"/>
    <w:rsid w:val="1F2D73FA"/>
    <w:rsid w:val="232F1FB0"/>
    <w:rsid w:val="27872A32"/>
    <w:rsid w:val="28B3027D"/>
    <w:rsid w:val="2CD255BD"/>
    <w:rsid w:val="2E3733B4"/>
    <w:rsid w:val="315C7552"/>
    <w:rsid w:val="333D49C5"/>
    <w:rsid w:val="34580FE5"/>
    <w:rsid w:val="354632DC"/>
    <w:rsid w:val="35DF3671"/>
    <w:rsid w:val="37621AAC"/>
    <w:rsid w:val="38491728"/>
    <w:rsid w:val="3B57412E"/>
    <w:rsid w:val="3CCD6C16"/>
    <w:rsid w:val="4051301F"/>
    <w:rsid w:val="42384D0D"/>
    <w:rsid w:val="47B440D5"/>
    <w:rsid w:val="48362D3C"/>
    <w:rsid w:val="4B032553"/>
    <w:rsid w:val="520C5608"/>
    <w:rsid w:val="53A45630"/>
    <w:rsid w:val="54A9350B"/>
    <w:rsid w:val="559D28C5"/>
    <w:rsid w:val="55FB4FCC"/>
    <w:rsid w:val="571B53DB"/>
    <w:rsid w:val="57302EE7"/>
    <w:rsid w:val="5D466DC8"/>
    <w:rsid w:val="6044257D"/>
    <w:rsid w:val="60AE7429"/>
    <w:rsid w:val="60C35741"/>
    <w:rsid w:val="61CE4AC1"/>
    <w:rsid w:val="63C20AD4"/>
    <w:rsid w:val="64AB77CC"/>
    <w:rsid w:val="65EA5E79"/>
    <w:rsid w:val="679B04F7"/>
    <w:rsid w:val="6B272C8C"/>
    <w:rsid w:val="6D8D2B4F"/>
    <w:rsid w:val="6DE94229"/>
    <w:rsid w:val="6F1572A0"/>
    <w:rsid w:val="6F6063F1"/>
    <w:rsid w:val="71185603"/>
    <w:rsid w:val="72E33ED8"/>
    <w:rsid w:val="76BD32FC"/>
    <w:rsid w:val="7CE246F2"/>
    <w:rsid w:val="7E3314F0"/>
    <w:rsid w:val="7F8A2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qFormat="1" w:unhideWhenUsed="0" w:uiPriority="0" w:semiHidden="0"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heme="minorBidi"/>
      <w:sz w:val="21"/>
      <w:szCs w:val="21"/>
      <w:lang w:val="en-US" w:eastAsia="zh-CN" w:bidi="ar-SA"/>
    </w:rPr>
  </w:style>
  <w:style w:type="paragraph" w:styleId="6">
    <w:name w:val="heading 1"/>
    <w:basedOn w:val="1"/>
    <w:next w:val="1"/>
    <w:link w:val="33"/>
    <w:qFormat/>
    <w:uiPriority w:val="9"/>
    <w:pPr>
      <w:keepNext/>
      <w:keepLines/>
      <w:numPr>
        <w:ilvl w:val="0"/>
        <w:numId w:val="1"/>
      </w:numPr>
      <w:spacing w:before="300" w:after="180"/>
      <w:jc w:val="center"/>
      <w:outlineLvl w:val="0"/>
    </w:pPr>
    <w:rPr>
      <w:rFonts w:eastAsia="黑体"/>
      <w:bCs/>
      <w:kern w:val="44"/>
      <w:sz w:val="28"/>
      <w:szCs w:val="44"/>
    </w:rPr>
  </w:style>
  <w:style w:type="paragraph" w:styleId="7">
    <w:name w:val="heading 2"/>
    <w:basedOn w:val="1"/>
    <w:next w:val="1"/>
    <w:unhideWhenUsed/>
    <w:qFormat/>
    <w:uiPriority w:val="0"/>
    <w:pPr>
      <w:keepNext/>
      <w:keepLines/>
      <w:spacing w:beforeLines="0" w:beforeAutospacing="0" w:afterLines="0" w:afterAutospacing="0" w:line="240" w:lineRule="auto"/>
      <w:jc w:val="left"/>
      <w:outlineLvl w:val="1"/>
    </w:pPr>
    <w:rPr>
      <w:rFonts w:ascii="Times New Roman" w:hAnsi="Times New Roman" w:eastAsia="宋体"/>
      <w:sz w:val="28"/>
    </w:rPr>
  </w:style>
  <w:style w:type="paragraph" w:styleId="8">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9">
    <w:name w:val="heading 4"/>
    <w:basedOn w:val="1"/>
    <w:next w:val="1"/>
    <w:qFormat/>
    <w:uiPriority w:val="0"/>
    <w:pPr>
      <w:keepNext/>
      <w:keepLines/>
      <w:spacing w:before="280" w:beforeLines="0" w:after="290" w:afterLines="0" w:line="376" w:lineRule="auto"/>
      <w:outlineLvl w:val="3"/>
    </w:pPr>
    <w:rPr>
      <w:rFonts w:ascii="Arial" w:hAnsi="Arial" w:eastAsia="黑体"/>
      <w:b/>
      <w:bCs/>
      <w:sz w:val="28"/>
      <w:szCs w:val="28"/>
    </w:rPr>
  </w:style>
  <w:style w:type="paragraph" w:styleId="10">
    <w:name w:val="heading 5"/>
    <w:basedOn w:val="1"/>
    <w:next w:val="1"/>
    <w:semiHidden/>
    <w:unhideWhenUsed/>
    <w:qFormat/>
    <w:uiPriority w:val="9"/>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样式 正文缩进正文缩进2正文缩进 Char Char正文缩进 Char Char Char Char正文缩进 Char ..."/>
    <w:basedOn w:val="3"/>
    <w:autoRedefine/>
    <w:qFormat/>
    <w:uiPriority w:val="99"/>
    <w:pPr>
      <w:ind w:firstLine="200"/>
    </w:pPr>
    <w:rPr>
      <w:rFonts w:cs="宋体"/>
    </w:rPr>
  </w:style>
  <w:style w:type="paragraph" w:styleId="3">
    <w:name w:val="Normal Indent"/>
    <w:basedOn w:val="1"/>
    <w:next w:val="4"/>
    <w:qFormat/>
    <w:uiPriority w:val="0"/>
    <w:pPr>
      <w:spacing w:line="600" w:lineRule="exact"/>
      <w:ind w:firstLine="420"/>
    </w:pPr>
    <w:rPr>
      <w:rFonts w:ascii="宋体"/>
      <w:sz w:val="32"/>
    </w:rPr>
  </w:style>
  <w:style w:type="paragraph" w:styleId="4">
    <w:name w:val="Body Text First Indent 2"/>
    <w:basedOn w:val="5"/>
    <w:next w:val="1"/>
    <w:qFormat/>
    <w:uiPriority w:val="0"/>
    <w:pPr>
      <w:widowControl w:val="0"/>
      <w:autoSpaceDE/>
      <w:autoSpaceDN/>
      <w:adjustRightInd/>
      <w:spacing w:after="120" w:line="240" w:lineRule="auto"/>
      <w:ind w:left="420" w:leftChars="200" w:firstLine="420" w:firstLineChars="200"/>
      <w:jc w:val="both"/>
      <w:textAlignment w:val="auto"/>
    </w:pPr>
    <w:rPr>
      <w:kern w:val="2"/>
      <w:sz w:val="21"/>
      <w:szCs w:val="24"/>
      <w:lang w:eastAsia="zh-CN" w:bidi="ar-SA"/>
    </w:rPr>
  </w:style>
  <w:style w:type="paragraph" w:styleId="5">
    <w:name w:val="Body Text Indent"/>
    <w:basedOn w:val="1"/>
    <w:next w:val="1"/>
    <w:qFormat/>
    <w:uiPriority w:val="0"/>
    <w:pPr>
      <w:spacing w:after="120"/>
      <w:ind w:left="420" w:leftChars="200"/>
    </w:pPr>
    <w:rPr>
      <w:kern w:val="0"/>
      <w:sz w:val="24"/>
      <w:szCs w:val="20"/>
    </w:rPr>
  </w:style>
  <w:style w:type="paragraph" w:styleId="11">
    <w:name w:val="caption"/>
    <w:basedOn w:val="1"/>
    <w:next w:val="12"/>
    <w:unhideWhenUsed/>
    <w:qFormat/>
    <w:uiPriority w:val="35"/>
    <w:rPr>
      <w:rFonts w:eastAsia="黑体" w:asciiTheme="majorHAnsi" w:hAnsiTheme="majorHAnsi" w:cstheme="majorBidi"/>
      <w:sz w:val="20"/>
      <w:szCs w:val="20"/>
    </w:rPr>
  </w:style>
  <w:style w:type="paragraph" w:styleId="12">
    <w:name w:val="Body Text First Indent"/>
    <w:basedOn w:val="13"/>
    <w:next w:val="1"/>
    <w:qFormat/>
    <w:uiPriority w:val="0"/>
    <w:pPr>
      <w:spacing w:after="120"/>
      <w:ind w:firstLine="420" w:firstLineChars="100"/>
    </w:pPr>
    <w:rPr>
      <w:rFonts w:ascii="Times New Roman" w:hAnsi="Times New Roman" w:eastAsia="宋体" w:cs="Times New Roman"/>
      <w:sz w:val="21"/>
    </w:rPr>
  </w:style>
  <w:style w:type="paragraph" w:styleId="13">
    <w:name w:val="Body Text"/>
    <w:basedOn w:val="1"/>
    <w:next w:val="14"/>
    <w:qFormat/>
    <w:uiPriority w:val="0"/>
    <w:pPr>
      <w:widowControl/>
      <w:snapToGrid w:val="0"/>
      <w:spacing w:before="60" w:after="160" w:line="259" w:lineRule="auto"/>
      <w:ind w:right="113"/>
    </w:pPr>
    <w:rPr>
      <w:kern w:val="0"/>
      <w:sz w:val="18"/>
      <w:szCs w:val="20"/>
    </w:rPr>
  </w:style>
  <w:style w:type="paragraph" w:customStyle="1" w:styleId="14">
    <w:name w:val="xl2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eastAsia="Times New Roman"/>
      <w:spacing w:val="0"/>
      <w:sz w:val="22"/>
      <w:szCs w:val="22"/>
    </w:rPr>
  </w:style>
  <w:style w:type="paragraph" w:styleId="15">
    <w:name w:val="annotation text"/>
    <w:basedOn w:val="1"/>
    <w:semiHidden/>
    <w:qFormat/>
    <w:uiPriority w:val="0"/>
    <w:pPr>
      <w:jc w:val="left"/>
    </w:pPr>
    <w:rPr>
      <w:kern w:val="0"/>
      <w:sz w:val="24"/>
      <w:szCs w:val="20"/>
    </w:rPr>
  </w:style>
  <w:style w:type="paragraph" w:styleId="16">
    <w:name w:val="List Bullet 5"/>
    <w:basedOn w:val="1"/>
    <w:semiHidden/>
    <w:unhideWhenUsed/>
    <w:qFormat/>
    <w:uiPriority w:val="99"/>
    <w:pPr>
      <w:numPr>
        <w:ilvl w:val="0"/>
        <w:numId w:val="2"/>
      </w:numPr>
    </w:pPr>
  </w:style>
  <w:style w:type="paragraph" w:styleId="17">
    <w:name w:val="Balloon Text"/>
    <w:basedOn w:val="1"/>
    <w:semiHidden/>
    <w:qFormat/>
    <w:uiPriority w:val="0"/>
    <w:rPr>
      <w:kern w:val="0"/>
      <w:sz w:val="18"/>
      <w:szCs w:val="20"/>
    </w:rPr>
  </w:style>
  <w:style w:type="paragraph" w:styleId="18">
    <w:name w:val="footer"/>
    <w:basedOn w:val="1"/>
    <w:link w:val="38"/>
    <w:unhideWhenUsed/>
    <w:qFormat/>
    <w:uiPriority w:val="99"/>
    <w:pPr>
      <w:tabs>
        <w:tab w:val="center" w:pos="4153"/>
        <w:tab w:val="right" w:pos="8306"/>
      </w:tabs>
      <w:snapToGrid w:val="0"/>
      <w:jc w:val="left"/>
    </w:pPr>
    <w:rPr>
      <w:sz w:val="18"/>
      <w:szCs w:val="18"/>
    </w:rPr>
  </w:style>
  <w:style w:type="paragraph" w:styleId="19">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rPr>
      <w:sz w:val="28"/>
    </w:rPr>
  </w:style>
  <w:style w:type="paragraph" w:styleId="21">
    <w:name w:val="List Continue 4"/>
    <w:basedOn w:val="1"/>
    <w:next w:val="1"/>
    <w:qFormat/>
    <w:uiPriority w:val="0"/>
    <w:pPr>
      <w:widowControl w:val="0"/>
      <w:autoSpaceDE/>
      <w:autoSpaceDN/>
      <w:spacing w:before="0" w:after="120" w:line="360" w:lineRule="auto"/>
      <w:ind w:left="1680" w:firstLine="480"/>
      <w:jc w:val="both"/>
    </w:pPr>
    <w:rPr>
      <w:rFonts w:ascii="宋体" w:eastAsia="宋体"/>
      <w:sz w:val="24"/>
    </w:rPr>
  </w:style>
  <w:style w:type="paragraph" w:styleId="22">
    <w:name w:val="List"/>
    <w:basedOn w:val="1"/>
    <w:next w:val="1"/>
    <w:qFormat/>
    <w:uiPriority w:val="0"/>
    <w:pPr>
      <w:ind w:left="200" w:hanging="200" w:hangingChars="200"/>
    </w:pPr>
  </w:style>
  <w:style w:type="paragraph" w:styleId="23">
    <w:name w:val="Body Text 2"/>
    <w:basedOn w:val="1"/>
    <w:unhideWhenUsed/>
    <w:qFormat/>
    <w:uiPriority w:val="99"/>
    <w:pPr>
      <w:spacing w:after="120" w:line="480" w:lineRule="auto"/>
    </w:pPr>
  </w:style>
  <w:style w:type="paragraph" w:styleId="24">
    <w:name w:val="Normal (Web)"/>
    <w:basedOn w:val="1"/>
    <w:semiHidden/>
    <w:unhideWhenUsed/>
    <w:qFormat/>
    <w:uiPriority w:val="99"/>
    <w:rPr>
      <w:sz w:val="24"/>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qFormat/>
    <w:uiPriority w:val="0"/>
  </w:style>
  <w:style w:type="character" w:styleId="29">
    <w:name w:val="Hyperlink"/>
    <w:basedOn w:val="27"/>
    <w:unhideWhenUsed/>
    <w:qFormat/>
    <w:uiPriority w:val="99"/>
    <w:rPr>
      <w:color w:val="0563C1" w:themeColor="hyperlink"/>
      <w:u w:val="single"/>
      <w14:textFill>
        <w14:solidFill>
          <w14:schemeClr w14:val="hlink"/>
        </w14:solidFill>
      </w14:textFill>
    </w:rPr>
  </w:style>
  <w:style w:type="paragraph" w:customStyle="1" w:styleId="30">
    <w:name w:val="PlainText"/>
    <w:basedOn w:val="1"/>
    <w:autoRedefine/>
    <w:qFormat/>
    <w:uiPriority w:val="0"/>
    <w:rPr>
      <w:rFonts w:ascii="宋体" w:hAnsi="Courier New"/>
    </w:rPr>
  </w:style>
  <w:style w:type="paragraph" w:customStyle="1" w:styleId="31">
    <w:name w:val="表格内"/>
    <w:basedOn w:val="1"/>
    <w:qFormat/>
    <w:uiPriority w:val="0"/>
    <w:pPr>
      <w:adjustRightInd w:val="0"/>
      <w:snapToGrid w:val="0"/>
      <w:spacing w:line="360" w:lineRule="exact"/>
      <w:jc w:val="center"/>
    </w:pPr>
    <w:rPr>
      <w:rFonts w:ascii="Times New Roman" w:hAnsi="Times New Roman" w:cs="Times New Roman"/>
      <w:snapToGrid w:val="0"/>
      <w:kern w:val="0"/>
      <w:szCs w:val="21"/>
    </w:rPr>
  </w:style>
  <w:style w:type="character" w:customStyle="1" w:styleId="32">
    <w:name w:val="表格文字"/>
    <w:basedOn w:val="27"/>
    <w:qFormat/>
    <w:uiPriority w:val="1"/>
    <w:rPr>
      <w:rFonts w:ascii="Times New Roman" w:hAnsi="Times New Roman" w:eastAsia="宋体"/>
      <w:snapToGrid w:val="0"/>
      <w:color w:val="auto"/>
      <w:spacing w:val="0"/>
      <w:w w:val="100"/>
      <w:kern w:val="0"/>
      <w:position w:val="0"/>
      <w:sz w:val="21"/>
      <w:vertAlign w:val="baseline"/>
    </w:rPr>
  </w:style>
  <w:style w:type="character" w:customStyle="1" w:styleId="33">
    <w:name w:val="标题 1 字符"/>
    <w:basedOn w:val="27"/>
    <w:link w:val="6"/>
    <w:qFormat/>
    <w:uiPriority w:val="9"/>
    <w:rPr>
      <w:rFonts w:ascii="Times New Roman" w:hAnsi="Times New Roman" w:eastAsia="黑体"/>
      <w:bCs/>
      <w:kern w:val="44"/>
      <w:sz w:val="28"/>
      <w:szCs w:val="44"/>
    </w:rPr>
  </w:style>
  <w:style w:type="paragraph" w:customStyle="1" w:styleId="34">
    <w:name w:val="报告正文"/>
    <w:basedOn w:val="1"/>
    <w:qFormat/>
    <w:uiPriority w:val="0"/>
    <w:pPr>
      <w:widowControl/>
      <w:spacing w:line="360" w:lineRule="auto"/>
      <w:ind w:firstLine="200" w:firstLineChars="200"/>
    </w:pPr>
  </w:style>
  <w:style w:type="paragraph" w:customStyle="1" w:styleId="35">
    <w:name w:val="表格格式"/>
    <w:basedOn w:val="1"/>
    <w:next w:val="1"/>
    <w:qFormat/>
    <w:uiPriority w:val="0"/>
    <w:pPr>
      <w:jc w:val="center"/>
    </w:pPr>
  </w:style>
  <w:style w:type="paragraph" w:customStyle="1" w:styleId="36">
    <w:name w:val="表标题"/>
    <w:basedOn w:val="1"/>
    <w:next w:val="34"/>
    <w:qFormat/>
    <w:uiPriority w:val="0"/>
    <w:pPr>
      <w:widowControl/>
      <w:spacing w:line="360" w:lineRule="auto"/>
      <w:jc w:val="center"/>
    </w:pPr>
    <w:rPr>
      <w:b/>
    </w:rPr>
  </w:style>
  <w:style w:type="character" w:customStyle="1" w:styleId="37">
    <w:name w:val="页眉 字符"/>
    <w:basedOn w:val="27"/>
    <w:link w:val="19"/>
    <w:qFormat/>
    <w:uiPriority w:val="99"/>
    <w:rPr>
      <w:sz w:val="18"/>
      <w:szCs w:val="18"/>
    </w:rPr>
  </w:style>
  <w:style w:type="character" w:customStyle="1" w:styleId="38">
    <w:name w:val="页脚 字符"/>
    <w:basedOn w:val="27"/>
    <w:link w:val="18"/>
    <w:qFormat/>
    <w:uiPriority w:val="99"/>
    <w:rPr>
      <w:sz w:val="18"/>
      <w:szCs w:val="18"/>
    </w:rPr>
  </w:style>
  <w:style w:type="paragraph" w:customStyle="1" w:styleId="39">
    <w:name w:val="Default"/>
    <w:basedOn w:val="40"/>
    <w:next w:val="1"/>
    <w:qFormat/>
    <w:uiPriority w:val="0"/>
    <w:pPr>
      <w:widowControl w:val="0"/>
      <w:autoSpaceDE w:val="0"/>
      <w:autoSpaceDN w:val="0"/>
      <w:adjustRightInd w:val="0"/>
    </w:pPr>
    <w:rPr>
      <w:rFonts w:ascii="仿宋_GB2312" w:eastAsia="仿宋_GB2312" w:cs="仿宋_GB2312"/>
      <w:color w:val="000000"/>
      <w:sz w:val="24"/>
      <w:szCs w:val="24"/>
      <w:lang w:val="en-US" w:eastAsia="zh-CN" w:bidi="ar-SA"/>
    </w:rPr>
  </w:style>
  <w:style w:type="paragraph" w:customStyle="1" w:styleId="40">
    <w:name w:val="纯文本1"/>
    <w:basedOn w:val="1"/>
    <w:qFormat/>
    <w:uiPriority w:val="0"/>
    <w:pPr>
      <w:adjustRightInd w:val="0"/>
      <w:textAlignment w:val="baseline"/>
    </w:pPr>
    <w:rPr>
      <w:rFonts w:ascii="宋体" w:hAnsi="Courier New"/>
      <w:szCs w:val="20"/>
    </w:rPr>
  </w:style>
  <w:style w:type="paragraph" w:customStyle="1" w:styleId="41">
    <w:name w:val="表内文字"/>
    <w:basedOn w:val="1"/>
    <w:qFormat/>
    <w:uiPriority w:val="0"/>
    <w:pPr>
      <w:widowControl/>
      <w:spacing w:line="240" w:lineRule="auto"/>
      <w:ind w:firstLine="0" w:firstLineChars="0"/>
      <w:jc w:val="center"/>
    </w:pPr>
    <w:rPr>
      <w:kern w:val="0"/>
      <w:sz w:val="21"/>
      <w:szCs w:val="21"/>
    </w:rPr>
  </w:style>
  <w:style w:type="paragraph" w:customStyle="1" w:styleId="42">
    <w:name w:val="表头、图号"/>
    <w:basedOn w:val="1"/>
    <w:unhideWhenUsed/>
    <w:qFormat/>
    <w:uiPriority w:val="0"/>
    <w:pPr>
      <w:widowControl/>
      <w:spacing w:line="240" w:lineRule="auto"/>
    </w:pPr>
    <w:rPr>
      <w:rFonts w:eastAsia="黑体" w:cs="Times New Roman"/>
      <w:kern w:val="0"/>
    </w:rPr>
  </w:style>
  <w:style w:type="table" w:customStyle="1" w:styleId="43">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44">
    <w:name w:val="表头"/>
    <w:basedOn w:val="3"/>
    <w:next w:val="1"/>
    <w:qFormat/>
    <w:uiPriority w:val="0"/>
    <w:pPr>
      <w:tabs>
        <w:tab w:val="left" w:pos="6840"/>
      </w:tabs>
      <w:ind w:firstLine="720" w:firstLineChars="200"/>
      <w:jc w:val="both"/>
    </w:pPr>
    <w:rPr>
      <w:rFonts w:ascii="Times New Roman" w:hAnsi="Times New Roman" w:eastAsia="黑体" w:cs="Times New Roman"/>
      <w:color w:val="auto"/>
      <w:sz w:val="24"/>
      <w:szCs w:val="24"/>
    </w:rPr>
  </w:style>
  <w:style w:type="paragraph" w:customStyle="1" w:styleId="45">
    <w:name w:val="报告表格"/>
    <w:qFormat/>
    <w:uiPriority w:val="0"/>
    <w:pPr>
      <w:widowControl w:val="0"/>
      <w:autoSpaceDE w:val="0"/>
      <w:autoSpaceDN w:val="0"/>
      <w:adjustRightInd w:val="0"/>
      <w:spacing w:before="40" w:after="40"/>
      <w:jc w:val="center"/>
      <w:textAlignment w:val="baseline"/>
    </w:pPr>
    <w:rPr>
      <w:rFonts w:ascii="Times New Roman" w:hAnsi="Times New Roman" w:eastAsia="宋体" w:cs="Times New Roman"/>
      <w:sz w:val="28"/>
      <w:lang w:val="en-US" w:eastAsia="zh-CN" w:bidi="ar-SA"/>
    </w:rPr>
  </w:style>
  <w:style w:type="paragraph" w:customStyle="1" w:styleId="46">
    <w:name w:val="表格内文字"/>
    <w:qFormat/>
    <w:uiPriority w:val="0"/>
    <w:pPr>
      <w:spacing w:line="320" w:lineRule="exact"/>
      <w:jc w:val="center"/>
    </w:pPr>
    <w:rPr>
      <w:rFonts w:ascii="Times New Roman" w:hAnsi="Times New Roman" w:eastAsia="宋体" w:cs="Times New Roman"/>
      <w:kern w:val="2"/>
      <w:sz w:val="21"/>
      <w:lang w:val="en-US" w:eastAsia="zh-CN" w:bidi="ar-SA"/>
    </w:rPr>
  </w:style>
  <w:style w:type="paragraph" w:customStyle="1" w:styleId="47">
    <w:name w:val="无间隔1"/>
    <w:qFormat/>
    <w:uiPriority w:val="0"/>
    <w:pPr>
      <w:widowControl w:val="0"/>
      <w:jc w:val="center"/>
    </w:pPr>
    <w:rPr>
      <w:rFonts w:ascii="宋体" w:hAnsi="Times New Roman" w:eastAsia="宋体" w:cs="Times New Roman"/>
      <w:kern w:val="2"/>
      <w:sz w:val="24"/>
      <w:lang w:val="en-US" w:eastAsia="zh-CN" w:bidi="ar-SA"/>
    </w:rPr>
  </w:style>
  <w:style w:type="paragraph" w:customStyle="1" w:styleId="48">
    <w:name w:val="正文 小四 行距: 1.5 倍行距"/>
    <w:basedOn w:val="1"/>
    <w:qFormat/>
    <w:uiPriority w:val="0"/>
    <w:pPr>
      <w:spacing w:line="360" w:lineRule="auto"/>
      <w:ind w:firstLine="480" w:firstLineChars="200"/>
    </w:pPr>
    <w:rPr>
      <w:rFonts w:cs="宋体"/>
      <w:sz w:val="24"/>
      <w:szCs w:val="20"/>
    </w:rPr>
  </w:style>
  <w:style w:type="paragraph" w:customStyle="1" w:styleId="49">
    <w:name w:val="Table Text"/>
    <w:basedOn w:val="1"/>
    <w:semiHidden/>
    <w:qFormat/>
    <w:uiPriority w:val="0"/>
    <w:rPr>
      <w:rFonts w:ascii="宋体" w:hAnsi="宋体" w:eastAsia="宋体" w:cs="宋体"/>
      <w:sz w:val="24"/>
      <w:szCs w:val="24"/>
      <w:lang w:val="en-US" w:eastAsia="en-US" w:bidi="ar-SA"/>
    </w:rPr>
  </w:style>
  <w:style w:type="paragraph" w:customStyle="1" w:styleId="50">
    <w:name w:val="Table Paragraph"/>
    <w:basedOn w:val="1"/>
    <w:qFormat/>
    <w:uiPriority w:val="0"/>
    <w:rPr>
      <w:rFonts w:ascii="仿宋" w:hAnsi="仿宋" w:eastAsia="仿宋" w:cs="宋体"/>
      <w:szCs w:val="21"/>
    </w:rPr>
  </w:style>
  <w:style w:type="paragraph" w:customStyle="1" w:styleId="51">
    <w:name w:val="Char Char Char Char Char Char Char Char Char1 Char Char Char Char"/>
    <w:basedOn w:val="1"/>
    <w:semiHidden/>
    <w:qFormat/>
    <w:uiPriority w:val="0"/>
    <w:pPr>
      <w:ind w:firstLine="200" w:firstLineChars="200"/>
    </w:pPr>
    <w:rPr>
      <w:rFonts w:ascii="宋体" w:hAnsi="宋体" w:cs="宋体"/>
      <w:sz w:val="24"/>
      <w:szCs w:val="26"/>
    </w:rPr>
  </w:style>
  <w:style w:type="paragraph" w:customStyle="1" w:styleId="52">
    <w:name w:val="B正文"/>
    <w:basedOn w:val="1"/>
    <w:qFormat/>
    <w:uiPriority w:val="0"/>
    <w:pPr>
      <w:widowControl w:val="0"/>
      <w:ind w:firstLine="200"/>
      <w:jc w:val="both"/>
    </w:pPr>
    <w:rPr>
      <w:lang w:eastAsia="zh-CN"/>
    </w:rPr>
  </w:style>
  <w:style w:type="paragraph" w:customStyle="1" w:styleId="53">
    <w:name w:val="B表内"/>
    <w:basedOn w:val="1"/>
    <w:qFormat/>
    <w:uiPriority w:val="0"/>
    <w:pPr>
      <w:widowControl w:val="0"/>
      <w:spacing w:line="0" w:lineRule="atLeast"/>
      <w:ind w:firstLine="0" w:firstLineChars="0"/>
      <w:jc w:val="center"/>
    </w:pPr>
    <w:rPr>
      <w:rFonts w:ascii="宋体" w:hAnsi="宋体"/>
      <w:kern w:val="2"/>
      <w:sz w:val="21"/>
      <w:szCs w:val="20"/>
    </w:rPr>
  </w:style>
  <w:style w:type="paragraph" w:customStyle="1" w:styleId="54">
    <w:name w:val="表头A"/>
    <w:basedOn w:val="44"/>
    <w:qFormat/>
    <w:uiPriority w:val="0"/>
    <w:pPr>
      <w:spacing w:line="400" w:lineRule="exact"/>
      <w:ind w:firstLine="0" w:firstLineChars="0"/>
    </w:pPr>
    <w:rPr>
      <w:rFonts w:ascii="Times New Roman" w:hAnsi="Times New Roman"/>
    </w:rPr>
  </w:style>
  <w:style w:type="paragraph" w:customStyle="1" w:styleId="55">
    <w:name w:val="表中文字"/>
    <w:basedOn w:val="1"/>
    <w:next w:val="1"/>
    <w:qFormat/>
    <w:uiPriority w:val="0"/>
    <w:pPr>
      <w:spacing w:line="300" w:lineRule="exact"/>
      <w:ind w:firstLine="0" w:firstLineChars="0"/>
      <w:jc w:val="center"/>
    </w:pPr>
    <w:rPr>
      <w:sz w:val="21"/>
    </w:rPr>
  </w:style>
  <w:style w:type="paragraph" w:customStyle="1" w:styleId="56">
    <w:name w:val="表格内容"/>
    <w:basedOn w:val="3"/>
    <w:next w:val="57"/>
    <w:qFormat/>
    <w:uiPriority w:val="0"/>
    <w:pPr>
      <w:spacing w:line="240" w:lineRule="auto"/>
      <w:jc w:val="center"/>
    </w:pPr>
    <w:rPr>
      <w:rFonts w:ascii="Times New Roman" w:hAnsi="Times New Roman" w:eastAsia="宋体" w:cs="Times New Roman"/>
      <w:kern w:val="2"/>
      <w:sz w:val="21"/>
      <w:szCs w:val="24"/>
      <w:lang w:val="zh-TW" w:eastAsia="zh-TW" w:bidi="ar-SA"/>
    </w:rPr>
  </w:style>
  <w:style w:type="paragraph" w:customStyle="1" w:styleId="57">
    <w:name w:val="文本正文"/>
    <w:basedOn w:val="1"/>
    <w:qFormat/>
    <w:uiPriority w:val="0"/>
    <w:pPr>
      <w:ind w:firstLine="480"/>
    </w:pPr>
  </w:style>
  <w:style w:type="paragraph" w:customStyle="1" w:styleId="58">
    <w:name w:val="表头字体"/>
    <w:basedOn w:val="1"/>
    <w:qFormat/>
    <w:uiPriority w:val="0"/>
    <w:pPr>
      <w:spacing w:line="360" w:lineRule="auto"/>
      <w:jc w:val="center"/>
    </w:pPr>
  </w:style>
  <w:style w:type="paragraph" w:styleId="59">
    <w:name w:val="List Paragraph"/>
    <w:basedOn w:val="1"/>
    <w:qFormat/>
    <w:uiPriority w:val="1"/>
    <w:pPr>
      <w:ind w:left="1892" w:hanging="360"/>
    </w:pPr>
    <w:rPr>
      <w:rFonts w:ascii="宋体" w:hAnsi="宋体" w:eastAsia="宋体" w:cs="宋体"/>
      <w:lang w:val="zh-CN" w:eastAsia="zh-CN" w:bidi="zh-CN"/>
    </w:rPr>
  </w:style>
  <w:style w:type="character" w:customStyle="1" w:styleId="60">
    <w:name w:val="textbig1"/>
    <w:basedOn w:val="27"/>
    <w:qFormat/>
    <w:uiPriority w:val="0"/>
    <w:rPr>
      <w:sz w:val="18"/>
      <w:szCs w:val="18"/>
    </w:rPr>
  </w:style>
  <w:style w:type="paragraph" w:customStyle="1" w:styleId="61">
    <w:name w:val="表格文字邓"/>
    <w:basedOn w:val="1"/>
    <w:qFormat/>
    <w:uiPriority w:val="0"/>
    <w:pPr>
      <w:keepNext w:val="0"/>
      <w:keepLines w:val="0"/>
      <w:widowControl/>
      <w:suppressLineNumbers w:val="0"/>
      <w:snapToGrid w:val="0"/>
      <w:spacing w:before="0" w:beforeAutospacing="0" w:after="0" w:afterAutospacing="0" w:line="240" w:lineRule="exact"/>
      <w:ind w:left="0" w:right="0"/>
      <w:jc w:val="center"/>
    </w:pPr>
    <w:rPr>
      <w:rFonts w:hint="eastAsia" w:ascii="宋体" w:hAnsi="宋体" w:eastAsia="宋体" w:cs="Times New Roman"/>
      <w:color w:val="000000"/>
      <w:kern w:val="2"/>
      <w:sz w:val="18"/>
      <w:szCs w:val="18"/>
      <w:lang w:val="en-US" w:eastAsia="zh-CN" w:bidi="ar"/>
    </w:rPr>
  </w:style>
  <w:style w:type="paragraph" w:customStyle="1" w:styleId="62">
    <w:name w:val="表格"/>
    <w:basedOn w:val="3"/>
    <w:next w:val="1"/>
    <w:qFormat/>
    <w:uiPriority w:val="0"/>
    <w:pPr>
      <w:adjustRightInd w:val="0"/>
      <w:snapToGrid w:val="0"/>
      <w:spacing w:beforeLines="10" w:afterLines="10" w:line="259" w:lineRule="auto"/>
      <w:jc w:val="center"/>
    </w:pPr>
    <w:rPr>
      <w:rFonts w:ascii="宋体"/>
      <w:kern w:val="0"/>
      <w:szCs w:val="20"/>
    </w:rPr>
  </w:style>
  <w:style w:type="paragraph" w:customStyle="1" w:styleId="63">
    <w:name w:val="文本"/>
    <w:basedOn w:val="1"/>
    <w:qFormat/>
    <w:uiPriority w:val="0"/>
    <w:pPr>
      <w:adjustRightInd w:val="0"/>
      <w:snapToGrid w:val="0"/>
      <w:spacing w:line="360" w:lineRule="auto"/>
      <w:ind w:firstLine="480" w:firstLineChars="200"/>
      <w:jc w:val="left"/>
    </w:pPr>
    <w:rPr>
      <w:rFonts w:ascii="Calibri" w:hAnsi="Calibri"/>
      <w:sz w:val="24"/>
    </w:rPr>
  </w:style>
  <w:style w:type="character" w:customStyle="1" w:styleId="64">
    <w:name w:val="font31"/>
    <w:basedOn w:val="27"/>
    <w:qFormat/>
    <w:uiPriority w:val="0"/>
    <w:rPr>
      <w:rFonts w:hint="default" w:ascii="Times New Roman" w:hAnsi="Times New Roman" w:cs="Times New Roman"/>
      <w:color w:val="000000"/>
      <w:sz w:val="21"/>
      <w:szCs w:val="21"/>
      <w:u w:val="none"/>
    </w:rPr>
  </w:style>
  <w:style w:type="character" w:customStyle="1" w:styleId="65">
    <w:name w:val="font11"/>
    <w:basedOn w:val="27"/>
    <w:qFormat/>
    <w:uiPriority w:val="0"/>
    <w:rPr>
      <w:rFonts w:hint="eastAsia" w:ascii="宋体" w:hAnsi="宋体" w:eastAsia="宋体" w:cs="宋体"/>
      <w:color w:val="000000"/>
      <w:sz w:val="21"/>
      <w:szCs w:val="21"/>
      <w:u w:val="none"/>
    </w:rPr>
  </w:style>
  <w:style w:type="paragraph" w:customStyle="1" w:styleId="66">
    <w:name w:val="@正文缩进"/>
    <w:basedOn w:val="1"/>
    <w:qFormat/>
    <w:uiPriority w:val="0"/>
    <w:pPr>
      <w:pBdr>
        <w:top w:val="none" w:color="auto" w:sz="0" w:space="3"/>
        <w:left w:val="none" w:color="auto" w:sz="0" w:space="4"/>
        <w:bottom w:val="none" w:color="auto" w:sz="0" w:space="1"/>
        <w:right w:val="none" w:color="auto" w:sz="0" w:space="4"/>
      </w:pBdr>
      <w:spacing w:line="360" w:lineRule="auto"/>
      <w:ind w:firstLine="420" w:firstLineChars="200"/>
      <w:textAlignment w:val="baseline"/>
    </w:pPr>
    <w:rPr>
      <w:sz w:val="24"/>
    </w:rPr>
  </w:style>
  <w:style w:type="character" w:customStyle="1" w:styleId="67">
    <w:name w:val="font21"/>
    <w:basedOn w:val="27"/>
    <w:qFormat/>
    <w:uiPriority w:val="0"/>
    <w:rPr>
      <w:rFonts w:hint="default" w:ascii="Times New Roman" w:hAnsi="Times New Roman" w:cs="Times New Roman"/>
      <w:color w:val="000000"/>
      <w:sz w:val="21"/>
      <w:szCs w:val="21"/>
      <w:u w:val="none"/>
    </w:rPr>
  </w:style>
  <w:style w:type="paragraph" w:customStyle="1" w:styleId="68">
    <w:name w:val="环评正文"/>
    <w:autoRedefine/>
    <w:qFormat/>
    <w:uiPriority w:val="0"/>
    <w:rPr>
      <w:rFonts w:ascii="Times New Roman" w:hAnsi="Times New Roman" w:eastAsia="宋体" w:cs="Times New Roman"/>
      <w:sz w:val="24"/>
      <w:lang w:val="en-US" w:eastAsia="zh-CN" w:bidi="ar-SA"/>
    </w:rPr>
  </w:style>
  <w:style w:type="paragraph" w:customStyle="1" w:styleId="69">
    <w:name w:val="环评标题"/>
    <w:basedOn w:val="68"/>
    <w:autoRedefine/>
    <w:qFormat/>
    <w:uiPriority w:val="0"/>
    <w:pPr>
      <w:widowControl w:val="0"/>
      <w:autoSpaceDE w:val="0"/>
      <w:autoSpaceDN w:val="0"/>
      <w:adjustRightInd w:val="0"/>
      <w:snapToGrid w:val="0"/>
      <w:spacing w:line="360" w:lineRule="auto"/>
    </w:pPr>
    <w:rPr>
      <w:rFonts w:cs="宋体"/>
      <w:b/>
      <w:sz w:val="28"/>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1.bin"/><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pn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wmf"/><Relationship Id="rId13" Type="http://schemas.openxmlformats.org/officeDocument/2006/relationships/image" Target="media/image6.wmf"/><Relationship Id="rId12" Type="http://schemas.openxmlformats.org/officeDocument/2006/relationships/image" Target="media/image5.wmf"/><Relationship Id="rId11" Type="http://schemas.openxmlformats.org/officeDocument/2006/relationships/image" Target="media/image4.wmf"/><Relationship Id="rId10" Type="http://schemas.openxmlformats.org/officeDocument/2006/relationships/oleObject" Target="embeddings/oleObject2.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4494;&#20449;&#32842;&#22825;\WeChat%20Files\shitou0071993\FileStorage\File\2024-04\&#12304;0017&#12305;&#27745;&#26579;&#24433;&#21709;&#31867;&#25253;&#21578;&#34920;&#27169;&#26495;.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NME9UZ2xNa01sTWpKemFHOTNSM0pwWkNVeU1pVXpRWFJ5ZFdVbE1rTWxNakp5YVdOb1ZHVjRkQ1V5TWlVelFYUnlkV1VsTWtNbE1qSm9aV2xuYUhRbE1qSWxNMEV4T1RFd0pUZEVKVEpESlRJeVpXeGxiV1Z1ZEhNbE1qSWxNMEVsTjBJbE1qSlNVM0pMVjFabFVGaFVNRGsxT1RJMUpUSXlKVE5CSlRkQ0pUSXlhV1FsTWpJbE0wRWxNakpTVTNKTFYxWmxVRmhVTURrMU9USTF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SnBaSFJLYUZOUVQzUTNORFl5TlRJbE1qSWxOMFFsTWtNbE4wSWxNakp1WVcxbEpUSXlKVE5CSlRJeUpVVTFKVGt3SlRoRUpVVTNKVUUzSlVJd0pUSXlKVEpESlRJeWRIbHdaU1V5TWlVelFTVXlNbk4wY21sdVp5VXlNaVV5UXlVeU1uWmhiSFZsSlRJeUpUTkJKVEl5SlRJeUpUSkRKVEl5WTJGMFpXZHZjbmtsTWpJbE0wRWxNakprWldaaGRXeDBKVEl5SlRKREpUSXlhV1FsTWpJbE0wRWxNakpSYTIxYVVsVkpWMWRXTXprMU1EVTN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WSFlWQkNlVk5EWkVjME5URXlPVFVsTWpJbE0wRWxOMElsTWpKcFpDVXlNaVV6UVNVeU1sVkhZVkJDZVZORFpFYzBOVEV5T1RV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WmtOb2JIVnpUbGRWUXpBME9EVXpNU1V5TWlVM1JDVXlReVUzUWlVeU1tNWhiV1VsTWpJbE0wRWxNaklsUlRVbE9UQWxPRVFsUlRjbFFUY2xRakFsTWpJbE1rTWxNakowZVhCbEpUSXlKVE5CSlRJeWMzUnlhVzVuSlRJeUpUSkRKVEl5ZG1Gc2RXVWxNaklsTTBFbE1qSWxNaklsTWtNbE1qSmpZWFJsWjI5eWVTVXlNaVV6UVNVeU1tUmxabUYxYkhRbE1qSWxNa01sTWpKcFpDVXlNaVV6UVNVeU1rOU9lR2R0YldGUFVtVXdORGd4T0RF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ZbE9EZ2xPVEFsUlRVbE9UTWxPREVsUlRVbFFUQWxPRFlsUlRZbE9UUWxRa1VsUlRVbE9FTWxRa0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kdWSEptWW14MWNVZHhOVE01TmpVMUpUSXlKVE5CSlRkQ0pUSXlhV1FsTWpJbE0wRWxNakpHVkhKbVlteDFjVWR4TlRNNU5qVTF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WlVURVZLUTI1MVoyazBNakUzTWpVbE1qSWxOMFFsTWtNbE4wSWxNakp1WVcxbEpUSXlKVE5CSlRJeUpVVTFKVGt3SlRoRUpVVTNKVUUzSlVJd0pUSXlKVEpESlRJeWRIbHdaU1V5TWlVelFTVXlNbk4wY21sdVp5VXlNaVV5UXlVeU1uWmhiSFZsSlRJeUpUTkJKVEl5SlRJeUpUSkRKVEl5WTJGMFpXZHZjbmtsTWpJbE0wRWxNakprWldaaGRXeDBKVEl5SlRKREpUSXlhV1FsTWpJbE0wRWxNakpuVkVKWVoxbEJRMnBETWprM016azJ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FKVGhGSlRsR0pVVTJKVGsySlRrNUpVVTFKVUV3SlRnMkpVVTJKVGswSlVKRkpVVTFKVGhESlVKQ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V2tObGFGQjJjWGhVV1RZMk1UTTVOaVV5TWlVelFTVTNRaVV5TW1sa0pUSXlKVE5CSlRJeVdrTmxhRkIyY1hoVVdUWTJNVE01Tm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UWVhWWldtbG5WVmhxTWpNeE5qUTVKVEl5SlRkRUpUSkRKVGRDSlRJeWJtRnRaU1V5TWlVelFTVXlNaVZGTlNVNU1DVTRSQ1ZGTnlWQk55VkNNQ1V5TWlVeVF5VXlNblI1Y0dVbE1qSWxNMEVsTWpKemRISnBibWNsTWpJbE1rTWxNakoyWVd4MVpTVXlNaVV6UVNVeU1pVXlNaVV5UXlVeU1tTmhkR1ZuYjNKNUpUSXlKVE5CSlRJeVpHVm1ZWFZzZENVeU1pVXlReVV5TW1sa0pUSXlKVE5CSlRJeVZIWjBiVzlFUkhKRFlUZzROakV6TU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mlWQ01pVkNPU1ZGTlNWQk1pVkJPQ1ZGTlNVNFJDVkNNQ1ZGTlNVNE9DVkNOeVZGTnlVNU5DVTVSaVZGTkNWQ1FTVkJOeVZGTnlWQ1FTVkNSa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uSkhWV0pNWkhKUGExZzNORGN6TXpNbE1qSWxNMEVsTjBJbE1qSnBaQ1V5TWlVelFTVXlNbkpIVldKTVpISlBhMWczTkRjek16T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kwcDJkWFZRY0V4RFVUazVNVEUyTXlVeU1pVTNSQ1V5UXlVM1FpVXlNbTVoYldVbE1qSWxNMEVsTWpJbFJUVWxPVEFsT0VRbFJUY2xRVGNsUWpBbE1qSWxNa01sTWpKMGVYQmxKVEl5SlROQkpUSXljM1J5YVc1bkpUSXlKVEpESlRJeWRtRnNkV1VsTWpJbE0wRWxNaklsTWpJbE1rTWxNakpqWVhSbFoyOXllU1V5TWlVelFTVXlNbVJsWm1GMWJIUWxNaklsTWtNbE1qSnBaQ1V5TWlVelFTVXlNa2hFWjNwa1ZGcExSRlEwTWpVME1EW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VWxPRUVsUVRBbFJUY2xPRE1sUVVRbFJUWWxPRU1sUVRRbFJUVWxPRGNsUWtFbFJUVWxRamNsUVRVbFJUWWxRVVVsUWpV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oyUkhOb1VYcElWRmhvTnpjek1EWTVKVEl5SlROQkpUZENKVEl5YVdRbE1qSWxNMEVsTWpKMlJITm9VWHBJVkZob056Y3pNRFk1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lIzU1c5WVptZHhaRUkxTURNMk5qZ2xNaklsTjBRbE1rTWxOMElsTWpKdVlXMWxKVEl5SlROQkpUSXlKVVUxSlRrd0pUaEVKVVUzSlVFM0pVSXdKVEl5SlRKREpUSXlkSGx3WlNVeU1pVXpRU1V5TW5OMGNtbHVaeVV5TWlVeVF5VXlNblpoYkhWbEpUSXlKVE5CSlRJeUpUSXlKVEpESlRJeVkyRjBaV2R2Y25rbE1qSWxNMEVsTWpKa1pXWmhkV3gwSlRJeUpUSkRKVEl5YVdRbE1qSWxNMEVsTWpKc2NXZEJla0p5WjNGcU9UQTNPVEUw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1SlRnd0pVRXdKVVUzSlVJeUpUa3lKVVU0SlVKRUpVRTJKVVU1SlRrM0pVSTBKVVZHSlVKREpUZzRKVVUxSlVGR0pUZzJKVVU1SlRrM0pVRkVKVVZHSlVKREpUZzV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GRFSlRKREpUSXlZMjl0YldWdWRITWxNaklsTTBFbE5VSWxOVVFsTWtNbE1qSndiSFZuYVc1ekpUSXlKVE5CSlRkQ0pUZEVKVEpESlRJeVlXbERiMjUwWVdsdVpYSnpKVEl5SlROQkpUZENKVGRFSlRKREpUSXlhVzV6WlhKMFVHRm5aVTl3ZEhNbE1qSWxNMEVsTjBJbE4wUWxNa01sTWpKd2IzTjBVR0Y1YldWdWRDVXlNaVV6UVNVM1FpVTNSQ1V5UXlVeU1uUm9aVzFsSlRJeUpUTkJKVGRDSlRJeWNHRm5aU1V5TWlVelFTVTNRaVV5TW1KaFkydG5jbTkxYm1SRGIyeHZjaVV5TWlVelFTVXlNblJ5WVc1emNHRnlaVzUwSlRJeUpUZEVKVGRFSlRkRSIsCgkiRmlsZUlkIiA6ICI3ZTk1ZGIwYS00OTM1LTQ2YzUtOTYxMS04N2IyOGRhYzZhNDIiCn0K"/>
    </extobj>
    <extobj name="E657119C-6982-421D-8BA7-E74DEB70A7D9-2">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NME9UZ2xNa01sTWpKemFHOTNSM0pwWkNVeU1pVXpRWFJ5ZFdVbE1rTWxNakp5YVdOb1ZHVjRkQ1V5TWlVelFYUnlkV1VsTWtNbE1qSm9aV2xuYUhRbE1qSWxNMEV4T1RFd0pUZEVKVEpESlRJeVpXeGxiV1Z1ZEhNbE1qSWxNMEVsTjBJbE1qSllVWGx2Y201QlVXaEVOakl5TVRnMUpUSXlKVE5CSlRkQ0pUSXlhV1FsTWpJbE0wRWxNakpZVVhsdmNtNUJVV2hFTmpJeU1UZzF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uVjRVa3hwZGxkNFEwazVNVEl6TkRjbE1qSWxOMFFsTWtNbE4wSWxNakp1WVcxbEpUSXlKVE5CSlRJeUpVVTFKVGt3SlRoRUpVVTNKVUUzSlVJd0pUSXlKVEpESlRJeWRIbHdaU1V5TWlVelFTVXlNbk4wY21sdVp5VXlNaVV5UXlVeU1uWmhiSFZsSlRJeUpUTkJKVEl5SlRJeUpUSkRKVEl5WTJGMFpXZHZjbmtsTWpJbE0wRWxNakprWldaaGRXeDBKVEl5SlRKREpUSXlhV1FsTWpJbE0wRWxNakpYV0ZGVGMxQjNRMjFQTXpVNU1UTXd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VWxPRVVsT1VZbFJUWWxPVFlsT1R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UYlUxcGFGRlNaMko0T0RBM05URXdKVEl5SlROQkpUZENKVEl5YVdRbE1qSWxNMEVsTWpKVGJVMXBhRkZTWjJKNE9EQTNOVEV3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2xWZGtOb1RuTjZiM0l3TmpZM09UTWxNaklsTjBRbE1rTWxOMElsTWpKdVlXMWxKVEl5SlROQkpUSXlKVVUxSlRrd0pUaEVKVVUzSlVFM0pVSXdKVEl5SlRKREpUSXlkSGx3WlNVeU1pVXpRU1V5TW5OMGNtbHVaeVV5TWlVeVF5VXlNblpoYkhWbEpUSXlKVE5CSlRJeUpUSXlKVEpESlRJeVkyRjBaV2R2Y25rbE1qSWxNMEVsTWpKa1pXWmhkV3gwSlRJeUpUSkRKVEl5YVdRbE1qSWxNMEVsTWpKR1RFRm5kVXhVYkhOUU1qZ3pNREV5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FlsT0VFbE9UVWxSVFlsT1RZbE9Ua2xSVE1sT0RBbE9ERWxSVFlsUWpjbFFqY2xSVFVsT1RBbE9EZ2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SlFrUmhTa3haYlU1dE5UTXhPVGN6SlRJeUpUTkJKVGRDSlRJeWFXUWxNaklsTTBFbE1qSkpRa1JoU2t4WmJVNXROVE14T1Rjek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05bmVHWjZhWHBzUldFd01UYzJNallsTWpJbE4wUWxNa01sTjBJbE1qSnVZVzFsSlRJeUpUTkJKVEl5SlVVMUpUa3dKVGhFSlVVM0pVRTNKVUl3SlRJeUpUSkRKVEl5ZEhsd1pTVXlNaVV6UVNVeU1uTjBjbWx1WnlVeU1pVXlReVV5TW5aaGJIVmxKVEl5SlROQkpUSXlKVEl5SlRKREpUSXlZMkYwWldkdmNua2xNaklsTTBFbE1qSmtaV1poZFd4MEpUSXlKVEpESlRJeWFXUWxNaklsTTBFbE1qSkRjbXBWVjFaNFdrNU9NemN5TXpRd0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ZbE9FRWxPVFVsUlRZbE9UWWxPVGtsUlRNbE9EQWxPREVsUlRZbFFqY2xRamNsUlRVbE9UQWxPRGd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JZW5STFNVSjRiRVJHTWpnek9UQTJKVEl5SlRkRUpUSkRKVGRDSlRJeWJtRnRaU1V5TWlVelFTVXlNaVZGTlNVNU1DVTRSQ1ZGTnlWQk55VkNNQ1V5TWlVeVF5VXlNblI1Y0dVbE1qSWxNMEVsTWpKemRISnBibWNsTWpJbE1rTWxNakoyWVd4MVpTVXlNaVV6UVNVeU1pVXlNaVV5UXlVeU1tTmhkR1ZuYjNKNUpUSXlKVE5CSlRJeVpHVm1ZWFZzZENVeU1pVXlReVV5TW1sa0pUSXlKVE5CSlRJeVNYaFZaazF3ZEhKdmR6QXpNell4Tl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ySlRoREpVRTBKVVUxSlRnM0pVSkJKVVV6SlRnd0pUZ3hKVVUySlRnNEpUa3dKVVUxSlRsRkpUaEN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bFFUMEZIWm5STWRGWTNNemd3TXpZbE1qSWxOMFFsTWtNbE4wSWxNakp1WVcxbEpUSXlKVE5CSlRJeUpVVTFKVGt3SlRoRUpVVTNKVUUzSlVJd0pUSXlKVEpESlRJeWRIbHdaU1V5TWlVelFTVXlNbk4wY21sdVp5VXlNaVV5UXlVeU1uWmhiSFZsSlRJeUpUTkJKVEl5SlRJeUpUSkRKVEl5WTJGMFpXZHZjbmtsTWpJbE0wRWxNakprWldaaGRXeDBKVEl5SlRKREpUSXlhV1FsTWpJbE0wRWxNakpTYlhCa1pIQk5RVUZKTURneE56TTR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VWxPRFlsUWpjbFJUVWxPRVFsUWp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k1VMFJ5WkV4VlMwWmtNRGszTnpjM0pUSXlKVGRFSlRKREpUZENKVEl5Ym1GdFpTVXlNaVV6UVNVeU1pVkZOU1U1TUNVNFJDVkZOeVZCTnlWQ01DVXlNaVV5UXlVeU1uUjVjR1VsTWpJbE0wRWxNakp6ZEhKcGJtY2xNaklsTWtNbE1qSjJZV3gxWlNVeU1pVXpRU1V5TWlVeU1pVXlReVV5TW1OaGRHVm5iM0o1SlRJeUpUTkJKVEl5WkdWbVlYVnNkQ1V5TWlVeVF5VXlNbWxrSlRJeUpUTkJKVEl5U0hGaVprOUlSMFZUYnpVeU5UWTJOe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Q1ZDT0NVNFFTVkZPQ1U0TXlWQ05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ZFVjFUMWg1WkVWbVR6STVNak0xT1NVeU1pVTNSQ1V5UXlVM1FpVXlNbTVoYldVbE1qSWxNMEVsTWpJbFJUVWxPVEFsT0VRbFJUY2xRVGNsUWpBbE1qSWxNa01sTWpKMGVYQmxKVEl5SlROQkpUSXljM1J5YVc1bkpUSXlKVEpESlRJeWRtRnNkV1VsTWpJbE0wRWxNaklsTWpJbE1rTWxNakpqWVhSbFoyOXllU1V5TWlVelFTVXlNbVJsWm1GMWJIUWxNaklsTWtNbE1qSnBaQ1V5TWlVelFTVXlNbGROZFhabFNIQlNTMG8zTWpreU9UY2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VWxPRVFsUWpBbFJUVWxPRGdsUWpj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xWMWRWRmxVbFJwWW5ZeE9EYzRNVEVsTWpJbE4wUWxNa01sTjBJbE1qSnVZVzFsSlRJeUpUTkJKVEl5SlVVMUpUa3dKVGhFSlVVM0pVRTNKVUl3SlRJeUpUSkRKVEl5ZEhsd1pTVXlNaVV6UVNVeU1uTjBjbWx1WnlVeU1pVXlReVV5TW5aaGJIVmxKVEl5SlROQkpUSXlKVEl5SlRKREpUSXlZMkYwWldkdmNua2xNaklsTTBFbE1qSmtaV1poZFd4MEpUSXlKVEpESlRJeWFXUWxNaklsTTBFbE1qSlpZbVZ3U1dwR1lXUnBOVGt3T0RJeE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kpUazBKVUkySlVVMUpUaEVKVUkzSlVVekpUZ3dKVGd4SlVVMkpVRXpKVGd3SlVVNUpVRkJKVGhE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pUWxWYWFVbEhWM1ZITkRNNE1ESTFKVEl5SlRkRUpUSkRKVGRDSlRJeWJtRnRaU1V5TWlVelFTVXlNaVZGTlNVNU1DVTRSQ1ZGTnlWQk55VkNNQ1V5TWlVeVF5VXlNblI1Y0dVbE1qSWxNMEVsTWpKemRISnBibWNsTWpJbE1rTWxNakoyWVd4MVpTVXlNaVV6UVNVeU1pVXlNaVV5UXlVeU1tTmhkR1ZuYjNKNUpUSXlKVE5CSlRJeVpHVm1ZWFZzZENVeU1pVXlReVV5TW1sa0pUSXlKVE5CSlRJeVdVNUJlRlI0WmtsaVN6RTVOVEF5TWl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VbE9FTWxPRFVsUlRnbFFUTWxPRFVsUlRNbE9EQWxPREVsUlRVbE9EVWxRVFVsUlRVbFFrRWxPVE1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RmFWbE5SbXRYVDFOdE9ERXhOVEE1SlRJeUpUZEVKVEpESlRkQ0pUSXlibUZ0WlNVeU1pVXpRU1V5TWlWRk5TVTVNQ1U0UkNWRk55VkJOeVZDTUNVeU1pVXlReVV5TW5SNWNHVWxNaklsTTBFbE1qSnpkSEpwYm1jbE1qSWxNa01sTWpKMllXeDFaU1V5TWlVelFTVXlNaVV5TWlVeVF5VXlNbU5oZEdWbmIzSjVKVEl5SlROQkpUSXlaR1ZtWVhWc2RDVXlNaVV5UXlVeU1tbGtKVEl5SlROQkpUSXlaVTFVYTNWb2EwcHNhVE0zTmpRNE5D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tjeEpVVXpKVGd3SlRneFR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qYW1ScmQyUmxWMmhCT1RnM016ZzFKVEl5SlRkRUpUSkRKVGRDSlRJeWJtRnRaU1V5TWlVelFTVXlNaVZGTlNVNU1DVTRSQ1ZGTnlWQk55VkNNQ1V5TWlVeVF5VXlNblI1Y0dVbE1qSWxNMEVsTWpKemRISnBibWNsTWpJbE1rTWxNakoyWVd4MVpTVXlNaVV6UVNVeU1pVXlNaVV5UXlVeU1tTmhkR1ZuYjNKNUpUSXlKVE5CSlRJeVpHVm1ZWFZzZENVeU1pVXlReVV5TW1sa0pUSXlKVE5CSlRJeWJHMUlSbWxWVVZsM1ZUUXdNelkwTV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2N5SlVVekpUZ3dKVGd4VG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zVIY25sbFZsSnlVa3N3TURrd01ERWxNaklsTjBRbE1rTWxOMElsTWpKdVlXMWxKVEl5SlROQkpUSXlKVVUxSlRrd0pUaEVKVVUzSlVFM0pVSXdKVEl5SlRKREpUSXlkSGx3WlNVeU1pVXpRU1V5TW5OMGNtbHVaeVV5TWlVeVF5VXlNblpoYkhWbEpUSXlKVE5CSlRJeUpUSXlKVEpESlRJeVkyRjBaV2R2Y25rbE1qSWxNMEVsTWpKa1pXWmhkV3gwSlRJeUpUSkRKVEl5YVdRbE1qSWxNMEVsTWpKTFRVUkVSSHBLUW01Sk56RTRPVGcx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Sek1sUlRNbE9EQWxPREZP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SjFUVWxSWkdGeGRtODJNelkwT0RJbE1qSWxOMFFsTWtNbE4wSWxNakp1WVcxbEpUSXlKVE5CSlRJeUpVVTFKVGt3SlRoRUpVVTNKVUUzSlVJd0pUSXlKVEpESlRJeWRIbHdaU1V5TWlVelFTVXlNbk4wY21sdVp5VXlNaVV5UXlVeU1uWmhiSFZsSlRJeUpUTkJKVEl5SlRJeUpUSkRKVEl5WTJGMFpXZHZjbmtsTWpJbE0wRWxNakprWldaaGRXeDBKVEl5SlRKREpUSXlhV1FsTWpJbE0wRWxNakpCZVdkR1ZsVkpja3RoTmpFeE56VXd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VJ6UWxSVE1sT0RBbE9ERlRNa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uZEtUVXBDUW5aR1owMDFORGd6TXpnbE1qSWxOMFFsTWtNbE4wSWxNakp1WVcxbEpUSXlKVE5CSlRJeUpVVTFKVGt3SlRoRUpVVTNKVUUzSlVJd0pUSXlKVEpESlRJeWRIbHdaU1V5TWlVelFTVXlNbk4wY21sdVp5VXlNaVV5UXlVeU1uWmhiSFZsSlRJeUpUTkJKVEl5SlRJeUpUSkRKVEl5WTJGMFpXZHZjbmtsTWpJbE0wRWxNakprWldaaGRXeDBKVEl5SlRKREpUSXlhV1FsTWpJbE0wRWxNakpwVUVoR2NFVndUa2hrTkRZM05EQTR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VJ6VWxSVE1sT0RBbE9ERlRN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YW1GVmFuWkVjMXBrWXpFM056WTVNeVV5TWlVM1JDVXlReVUzUWlVeU1tNWhiV1VsTWpJbE0wRWxNaklsUlRVbE9UQWxPRVFsUlRjbFFUY2xRakFsTWpJbE1rTWxNakowZVhCbEpUSXlKVE5CSlRJeWMzUnlhVzVuSlRJeUpUSkRKVEl5ZG1Gc2RXVWxNaklsTTBFbE1qSWxNaklsTWtNbE1qSmpZWFJsWjI5eWVTVXlNaVV6UVNVeU1tUmxabUYxYkhRbE1qSWxNa01sTWpKcFpDVXlNaVV6UVNVeU1scElWME40UVdSS1UxQTVOak14TXpF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pU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kZ2WkV0cFdYSmxVV1l3TWpVeU9ETWxNaklsTjBRbE1rTWxOMElsTWpKdVlXMWxKVEl5SlROQkpUSXlKVVUxSlRrd0pUaEVKVVUzSlVFM0pVSXdKVEl5SlRKREpUSXlkSGx3WlNVeU1pVXpRU1V5TW5OMGNtbHVaeVV5TWlVeVF5VXlNblpoYkhWbEpUSXlKVE5CSlRJeUpUSXlKVEpESlRJeVkyRjBaV2R2Y25rbE1qSWxNMEVsTWpKa1pXWmhkV3gwSlRJeUpUSkRKVEl5YVdRbE1qSWxNMEVsTWpKeGEzaHdRMHRoVGt4ck5UZzVNelU1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VbE9VSWxRa1VsUlRRbFFrVWxPRUlsTTBOa2FYWWxNMFVsTTBOaWNpVXpSU1V6UXlVeVJtUnBkaVV6UlNVelEyUnBkaVV6UlVjbFJVWWxRa01sT1VFbFJUVWxRa0VsT1VZbFJUWWxRakFsT1RRbE0wTWxNa1prYVhZbE0wVWxNME5rYVhZbE0wVlhKVVZHSlVKREpUbEJKVVUxSlVKQkpUbEdKVVUySlVJd0pVSTBKVE5ESlRKR1pHbDJKVE5GSlRORFpHbDJKVE5GVGlWRlJpVkNReVU1UVNWRk5TVTVPU1ZCUVNWRk5TVkJNeVZDTUNVelF5VXlSbVJwZGlVelJTVXpRMlJwZGlVelJWTWxSVVlsUWtNbE9VRWxSVFVsT1VJbFFrRWxSVFVsUWtFbE9VWWxNME1sTWtaa2FYWWxNMF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jBRbE1rTWxNakpqYjIxdFpXNTBjeVV5TWlVelFTVTFRaVUxUkNVeVF5VXlNbkJzZFdkcGJuTWxNaklsTTBFbE4wSWxOMFFsTWtNbE1qSmhhVU52Ym5SaGFXNWxjbk1sTWpJbE0wRWxOMElsTjBRbE1rTWxNakpwYm5ObGNuUlFZV2RsVDNCMGN5VXlNaVV6UVNVM1FpVTNSQ1V5UXlVeU1uQnZjM1JRWVhsdFpXNTBKVEl5SlROQkpUZENKVGRFSlRKREpUSXlkR2hsYldVbE1qSWxNMEVsTjBJbE1qSndZV2RsSlRJeUpUTkJKVGRDSlRJeVltRmphMmR5YjNWdVpFTnZiRzl5SlRJeUpUTkJKVEl5ZEhKaGJuTndZWEpsYm5RbE1qSWxOMFFsTjBRbE4wUT0iLAoJIkZpbGVJZCIgOiAiZGY4M2I1MWYtZTRiYi00M2U0LThkNDQtOTc3NTRhMGY4ZTU4Igp9Cg=="/>
    </extobj>
  </extobj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78D5EC-C635-4C2C-BAD3-291DE7511D2C}">
  <ds:schemaRefs/>
</ds:datastoreItem>
</file>

<file path=docProps/app.xml><?xml version="1.0" encoding="utf-8"?>
<Properties xmlns="http://schemas.openxmlformats.org/officeDocument/2006/extended-properties" xmlns:vt="http://schemas.openxmlformats.org/officeDocument/2006/docPropsVTypes">
  <Template>【0017】污染影响类报告表模板.dotm</Template>
  <Pages>85</Pages>
  <Words>246</Words>
  <Characters>256</Characters>
  <Lines>39</Lines>
  <Paragraphs>11</Paragraphs>
  <TotalTime>0</TotalTime>
  <ScaleCrop>false</ScaleCrop>
  <LinksUpToDate>false</LinksUpToDate>
  <CharactersWithSpaces>318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2024-05-18T04:49:00Z</dcterms:created>
  <dc:creator>磊少</dc:creator>
  <cp:lastModifiedBy>磊少</cp:lastModifiedBy>
  <dcterms:modified xsi:type="dcterms:W3CDTF">2026-08-07T11:06:04Z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5FAAA4E5FD4F475F8D96992E34513EE1_11</vt:lpwstr>
  </property>
  <property fmtid="{D5CDD505-2E9C-101B-9397-08002B2CF9AE}" pid="3" name="KSOProductBuildVer">
    <vt:lpwstr>2052-12.1.0.28043</vt:lpwstr>
  </property>
  <property fmtid="{D5CDD505-2E9C-101B-9397-08002B2CF9AE}" pid="4" name="KSOTemplateDocerSaveRecord">
    <vt:lpwstr>eyJoZGlkIjoiMDljYzUzMWQ4OWI0YzBkYjYzMDRhZTY5ZjZkYmFmYTgiLCJ1c2VySWQiOiIyNzg2Mzc1NTQifQ==</vt:lpwstr>
  </property>
</Properties>
</file>