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wordWrap/>
        <w:overflowPunct/>
        <w:topLinePunct w:val="0"/>
        <w:autoSpaceDE/>
        <w:autoSpaceDN/>
        <w:bidi w:val="0"/>
        <w:adjustRightInd/>
        <w:snapToGrid/>
        <w:spacing w:line="540" w:lineRule="exact"/>
        <w:jc w:val="both"/>
        <w:rPr>
          <w:rFonts w:ascii="方正小标宋_GBK" w:hAnsi="方正小标宋_GBK" w:eastAsia="方正小标宋_GBK" w:cs="方正小标宋_GBK"/>
          <w:sz w:val="44"/>
          <w:szCs w:val="44"/>
          <w:highlight w:val="none"/>
        </w:rPr>
      </w:pPr>
    </w:p>
    <w:p>
      <w:pPr>
        <w:keepNext w:val="0"/>
        <w:keepLines w:val="0"/>
        <w:pageBreakBefore w:val="0"/>
        <w:kinsoku/>
        <w:wordWrap/>
        <w:overflowPunct/>
        <w:topLinePunct w:val="0"/>
        <w:autoSpaceDE/>
        <w:autoSpaceDN/>
        <w:bidi w:val="0"/>
        <w:adjustRightInd/>
        <w:snapToGrid/>
        <w:spacing w:line="540" w:lineRule="exact"/>
        <w:jc w:val="center"/>
        <w:textAlignment w:val="baseline"/>
        <w:rPr>
          <w:rFonts w:ascii="方正小标宋_GBK" w:hAnsi="方正小标宋_GBK" w:eastAsia="方正小标宋_GBK" w:cs="方正小标宋_GBK"/>
          <w:sz w:val="44"/>
          <w:szCs w:val="44"/>
          <w:highlight w:val="none"/>
        </w:rPr>
      </w:pPr>
      <w:r>
        <w:rPr>
          <w:rFonts w:hint="eastAsia" w:ascii="方正小标宋_GBK" w:hAnsi="方正小标宋_GBK" w:eastAsia="方正小标宋_GBK" w:cs="方正小标宋_GBK"/>
          <w:sz w:val="44"/>
          <w:szCs w:val="44"/>
          <w:highlight w:val="none"/>
        </w:rPr>
        <w:t>昌吉回族自治州住房和城乡建设局</w:t>
      </w:r>
    </w:p>
    <w:p>
      <w:pPr>
        <w:keepNext w:val="0"/>
        <w:keepLines w:val="0"/>
        <w:pageBreakBefore w:val="0"/>
        <w:kinsoku/>
        <w:wordWrap/>
        <w:overflowPunct/>
        <w:topLinePunct w:val="0"/>
        <w:autoSpaceDE/>
        <w:autoSpaceDN/>
        <w:bidi w:val="0"/>
        <w:adjustRightInd/>
        <w:snapToGrid/>
        <w:spacing w:line="540" w:lineRule="exact"/>
        <w:jc w:val="center"/>
        <w:textAlignment w:val="baseline"/>
        <w:rPr>
          <w:rFonts w:ascii="方正小标宋_GBK" w:hAnsi="方正小标宋_GBK" w:eastAsia="方正小标宋_GBK" w:cs="方正小标宋_GBK"/>
          <w:sz w:val="44"/>
          <w:szCs w:val="44"/>
          <w:highlight w:val="none"/>
        </w:rPr>
      </w:pPr>
      <w:bookmarkStart w:id="0" w:name="OLE_LINK3"/>
      <w:bookmarkStart w:id="1" w:name="OLE_LINK2"/>
      <w:r>
        <w:rPr>
          <w:rFonts w:hint="eastAsia" w:ascii="方正小标宋_GBK" w:hAnsi="方正小标宋_GBK" w:eastAsia="方正小标宋_GBK" w:cs="方正小标宋_GBK"/>
          <w:sz w:val="44"/>
          <w:szCs w:val="44"/>
          <w:highlight w:val="none"/>
        </w:rPr>
        <w:t>关于进一步规范建筑市场主体行为优化</w:t>
      </w:r>
      <w:r>
        <w:rPr>
          <w:rFonts w:hint="eastAsia" w:ascii="方正小标宋_GBK" w:hAnsi="方正小标宋_GBK" w:eastAsia="方正小标宋_GBK" w:cs="方正小标宋_GBK"/>
          <w:sz w:val="44"/>
          <w:szCs w:val="44"/>
          <w:highlight w:val="none"/>
          <w:lang w:eastAsia="zh-CN"/>
        </w:rPr>
        <w:t>房屋建筑和市政基础设施</w:t>
      </w:r>
      <w:r>
        <w:rPr>
          <w:rFonts w:hint="eastAsia" w:ascii="方正小标宋_GBK" w:hAnsi="方正小标宋_GBK" w:eastAsia="方正小标宋_GBK" w:cs="方正小标宋_GBK"/>
          <w:sz w:val="44"/>
          <w:szCs w:val="44"/>
          <w:highlight w:val="none"/>
        </w:rPr>
        <w:t>建设领域招标投标营商环境有关工作的通知</w:t>
      </w:r>
      <w:bookmarkEnd w:id="0"/>
      <w:bookmarkEnd w:id="1"/>
    </w:p>
    <w:p>
      <w:pPr>
        <w:keepNext w:val="0"/>
        <w:keepLines w:val="0"/>
        <w:pageBreakBefore w:val="0"/>
        <w:kinsoku/>
        <w:wordWrap/>
        <w:overflowPunct/>
        <w:topLinePunct w:val="0"/>
        <w:autoSpaceDE/>
        <w:autoSpaceDN/>
        <w:bidi w:val="0"/>
        <w:adjustRightInd/>
        <w:snapToGrid/>
        <w:spacing w:line="540" w:lineRule="exact"/>
        <w:jc w:val="center"/>
        <w:textAlignment w:val="baseline"/>
        <w:rPr>
          <w:rFonts w:hint="eastAsia" w:eastAsiaTheme="minorEastAsia"/>
          <w:sz w:val="44"/>
          <w:szCs w:val="44"/>
          <w:highlight w:val="none"/>
          <w:lang w:eastAsia="zh-CN"/>
        </w:rPr>
      </w:pPr>
      <w:r>
        <w:rPr>
          <w:rFonts w:hint="eastAsia" w:ascii="仿宋_GB2312" w:hAnsi="仿宋_GB2312" w:eastAsia="仿宋_GB2312" w:cs="仿宋_GB2312"/>
          <w:sz w:val="32"/>
          <w:szCs w:val="32"/>
          <w:highlight w:val="none"/>
          <w:lang w:eastAsia="zh-CN"/>
        </w:rPr>
        <w:t>（征求意见稿）</w:t>
      </w:r>
    </w:p>
    <w:p>
      <w:pPr>
        <w:keepNext w:val="0"/>
        <w:keepLines w:val="0"/>
        <w:pageBreakBefore w:val="0"/>
        <w:kinsoku/>
        <w:wordWrap/>
        <w:overflowPunct/>
        <w:topLinePunct w:val="0"/>
        <w:autoSpaceDE/>
        <w:autoSpaceDN/>
        <w:bidi w:val="0"/>
        <w:adjustRightInd/>
        <w:snapToGrid/>
        <w:spacing w:line="540" w:lineRule="exact"/>
        <w:textAlignment w:val="baseline"/>
        <w:rPr>
          <w:rFonts w:hint="eastAsia" w:ascii="仿宋_GB2312" w:hAnsi="仿宋_GB2312" w:eastAsia="仿宋_GB2312" w:cs="仿宋_GB2312"/>
          <w:sz w:val="32"/>
          <w:szCs w:val="32"/>
          <w:highlight w:val="none"/>
        </w:rPr>
      </w:pPr>
    </w:p>
    <w:p>
      <w:pPr>
        <w:keepNext w:val="0"/>
        <w:keepLines w:val="0"/>
        <w:pageBreakBefore w:val="0"/>
        <w:kinsoku/>
        <w:wordWrap/>
        <w:overflowPunct/>
        <w:topLinePunct w:val="0"/>
        <w:autoSpaceDE/>
        <w:autoSpaceDN/>
        <w:bidi w:val="0"/>
        <w:adjustRightInd/>
        <w:snapToGrid/>
        <w:spacing w:line="540" w:lineRule="exact"/>
        <w:textAlignment w:val="baseline"/>
        <w:rPr>
          <w:rFonts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各县（市）住房和城乡建设局、昌吉国家农业科技园区建设管理局、昌吉国家高新技术产业开发区建设局、新疆准东经济技术开发区规划建设局、昌吉市城市管理局、阜康市城市管理局：</w:t>
      </w:r>
    </w:p>
    <w:p>
      <w:pPr>
        <w:keepNext w:val="0"/>
        <w:keepLines w:val="0"/>
        <w:pageBreakBefore w:val="0"/>
        <w:kinsoku/>
        <w:wordWrap/>
        <w:overflowPunct/>
        <w:topLinePunct w:val="0"/>
        <w:autoSpaceDE/>
        <w:autoSpaceDN/>
        <w:bidi w:val="0"/>
        <w:adjustRightInd/>
        <w:snapToGrid/>
        <w:spacing w:line="540" w:lineRule="exact"/>
        <w:ind w:firstLine="640" w:firstLineChars="200"/>
        <w:rPr>
          <w:rFonts w:ascii="仿宋_GB2312" w:hAnsi="楷体" w:eastAsia="仿宋_GB2312" w:cs="仿宋_GB2312"/>
          <w:sz w:val="32"/>
          <w:highlight w:val="none"/>
        </w:rPr>
      </w:pPr>
      <w:r>
        <w:rPr>
          <w:rFonts w:hint="eastAsia" w:ascii="仿宋_GB2312" w:hAnsi="楷体" w:eastAsia="仿宋_GB2312" w:cs="仿宋_GB2312"/>
          <w:sz w:val="32"/>
          <w:highlight w:val="none"/>
        </w:rPr>
        <w:t>为贯彻《中华人民共和国招标投标法》及其实施条例，落实《国务院办公厅关于创新完善体制机制推动招标投标市场规范健康发展的意见》（国办发〔2024〕21号）、《关于印发&lt;创新完善</w:t>
      </w:r>
      <w:r>
        <w:rPr>
          <w:rFonts w:hint="eastAsia" w:ascii="仿宋_GB2312" w:hAnsi="楷体" w:eastAsia="仿宋_GB2312" w:cs="仿宋_GB2312"/>
          <w:sz w:val="32"/>
          <w:highlight w:val="none"/>
          <w:lang w:eastAsia="zh-CN"/>
        </w:rPr>
        <w:t>体</w:t>
      </w:r>
      <w:r>
        <w:rPr>
          <w:rFonts w:hint="eastAsia" w:ascii="仿宋_GB2312" w:hAnsi="楷体" w:eastAsia="仿宋_GB2312" w:cs="仿宋_GB2312"/>
          <w:sz w:val="32"/>
          <w:highlight w:val="none"/>
        </w:rPr>
        <w:t>制</w:t>
      </w:r>
      <w:r>
        <w:rPr>
          <w:rFonts w:hint="eastAsia" w:ascii="仿宋_GB2312" w:hAnsi="楷体" w:eastAsia="仿宋_GB2312" w:cs="仿宋_GB2312"/>
          <w:sz w:val="32"/>
          <w:highlight w:val="none"/>
          <w:lang w:eastAsia="zh-CN"/>
        </w:rPr>
        <w:t>机</w:t>
      </w:r>
      <w:r>
        <w:rPr>
          <w:rFonts w:hint="eastAsia" w:ascii="仿宋_GB2312" w:hAnsi="楷体" w:eastAsia="仿宋_GB2312" w:cs="仿宋_GB2312"/>
          <w:sz w:val="32"/>
          <w:highlight w:val="none"/>
        </w:rPr>
        <w:t>制推动自治区房屋建筑和市政基础设施工程招标投标市场规范健康发展的措施&gt;的通知》（新建规〔2025〕4号）等文件精神，进一步规范全州招标投标工作，优化提升招标投标领域营商环境，着力为招标投标市场主体减负担、解难题、破堵点、堵漏洞，发挥好市场和政府作用，加快构建规范有序的招标投标市场，结合我州实际情况，现将有关事项通知如下：</w:t>
      </w:r>
    </w:p>
    <w:p>
      <w:pPr>
        <w:keepNext w:val="0"/>
        <w:keepLines w:val="0"/>
        <w:pageBreakBefore w:val="0"/>
        <w:kinsoku/>
        <w:wordWrap/>
        <w:overflowPunct/>
        <w:topLinePunct w:val="0"/>
        <w:autoSpaceDE/>
        <w:autoSpaceDN/>
        <w:bidi w:val="0"/>
        <w:adjustRightInd/>
        <w:snapToGrid/>
        <w:spacing w:line="540" w:lineRule="exact"/>
        <w:ind w:firstLine="640" w:firstLineChars="200"/>
        <w:rPr>
          <w:rFonts w:ascii="黑体" w:hAnsi="黑体" w:eastAsia="黑体" w:cs="仿宋_GB2312"/>
          <w:sz w:val="32"/>
          <w:szCs w:val="32"/>
          <w:highlight w:val="none"/>
        </w:rPr>
      </w:pPr>
      <w:r>
        <w:rPr>
          <w:rFonts w:hint="eastAsia" w:ascii="黑体" w:hAnsi="黑体" w:eastAsia="黑体" w:cs="仿宋_GB2312"/>
          <w:sz w:val="32"/>
          <w:highlight w:val="none"/>
        </w:rPr>
        <w:t>一、优化招标投标制度机制，</w:t>
      </w:r>
      <w:r>
        <w:rPr>
          <w:rFonts w:hint="eastAsia" w:ascii="黑体" w:hAnsi="黑体" w:eastAsia="黑体"/>
          <w:sz w:val="32"/>
          <w:szCs w:val="32"/>
          <w:highlight w:val="none"/>
        </w:rPr>
        <w:t>着力减轻企业负担。</w:t>
      </w:r>
    </w:p>
    <w:p>
      <w:pPr>
        <w:keepNext w:val="0"/>
        <w:keepLines w:val="0"/>
        <w:pageBreakBefore w:val="0"/>
        <w:kinsoku/>
        <w:wordWrap/>
        <w:overflowPunct/>
        <w:topLinePunct w:val="0"/>
        <w:autoSpaceDE/>
        <w:autoSpaceDN/>
        <w:bidi w:val="0"/>
        <w:adjustRightInd/>
        <w:snapToGrid/>
        <w:spacing w:line="540" w:lineRule="exact"/>
        <w:ind w:firstLine="643" w:firstLineChars="200"/>
        <w:rPr>
          <w:rFonts w:ascii="仿宋_GB2312" w:hAnsi="楷体" w:eastAsia="仿宋_GB2312" w:cs="仿宋_GB2312"/>
          <w:sz w:val="32"/>
          <w:highlight w:val="none"/>
        </w:rPr>
      </w:pPr>
      <w:r>
        <w:rPr>
          <w:rFonts w:hint="eastAsia" w:ascii="楷体" w:hAnsi="楷体" w:eastAsia="楷体" w:cs="仿宋_GB2312"/>
          <w:b/>
          <w:sz w:val="32"/>
          <w:szCs w:val="32"/>
          <w:highlight w:val="none"/>
        </w:rPr>
        <w:t>（一）规范招标工程量清单发布格式。</w:t>
      </w:r>
      <w:r>
        <w:rPr>
          <w:rFonts w:hint="eastAsia" w:ascii="仿宋_GB2312" w:hAnsi="楷体" w:eastAsia="仿宋_GB2312" w:cs="仿宋_GB2312"/>
          <w:sz w:val="32"/>
          <w:highlight w:val="none"/>
        </w:rPr>
        <w:t>为加强招标控制价计价活动管理，进一步规范工程计价和招标文件发布行为，减轻投标企业负担，根据《关于开展国有投资工程招标控制价（最高投标限价）数据文件上传和备查工作的通知》（新建标函〔2023〕13号）的相关要求，招标人或招标代理机构需上传“招标控制价及其成果文件（XML格式数据文件）”，该信息内容由招标投标监督管理平台核准后推送至各级公共资源交易平台，发布招标工程量清单应以XML格式数据文件、EXCEL格式数据文件进行发布，</w:t>
      </w:r>
      <w:bookmarkStart w:id="2" w:name="OLE_LINK32"/>
      <w:bookmarkStart w:id="3" w:name="OLE_LINK29"/>
      <w:bookmarkStart w:id="4" w:name="OLE_LINK28"/>
      <w:r>
        <w:rPr>
          <w:rFonts w:hint="eastAsia" w:ascii="仿宋_GB2312" w:hAnsi="楷体" w:eastAsia="仿宋_GB2312" w:cs="仿宋_GB2312"/>
          <w:sz w:val="32"/>
          <w:highlight w:val="none"/>
        </w:rPr>
        <w:t>各县市（园区）住房和城乡建设行政主管部门</w:t>
      </w:r>
      <w:bookmarkEnd w:id="2"/>
      <w:bookmarkEnd w:id="3"/>
      <w:bookmarkEnd w:id="4"/>
      <w:r>
        <w:rPr>
          <w:rFonts w:hint="eastAsia" w:ascii="仿宋_GB2312" w:hAnsi="楷体" w:eastAsia="仿宋_GB2312" w:cs="仿宋_GB2312"/>
          <w:sz w:val="32"/>
          <w:highlight w:val="none"/>
        </w:rPr>
        <w:t>按照职责做好招标工程量清单、招标控制价及其成果文件质量监督。</w:t>
      </w:r>
    </w:p>
    <w:p>
      <w:pPr>
        <w:keepNext w:val="0"/>
        <w:keepLines w:val="0"/>
        <w:pageBreakBefore w:val="0"/>
        <w:kinsoku/>
        <w:wordWrap/>
        <w:overflowPunct/>
        <w:topLinePunct w:val="0"/>
        <w:autoSpaceDE/>
        <w:autoSpaceDN/>
        <w:bidi w:val="0"/>
        <w:adjustRightInd/>
        <w:snapToGrid/>
        <w:spacing w:line="540" w:lineRule="exact"/>
        <w:ind w:firstLine="643" w:firstLineChars="200"/>
        <w:rPr>
          <w:rFonts w:ascii="仿宋_GB2312" w:hAnsi="楷体" w:eastAsia="仿宋_GB2312" w:cs="仿宋_GB2312"/>
          <w:sz w:val="32"/>
          <w:highlight w:val="none"/>
        </w:rPr>
      </w:pPr>
      <w:r>
        <w:rPr>
          <w:rFonts w:hint="eastAsia" w:ascii="楷体" w:hAnsi="楷体" w:eastAsia="楷体" w:cs="仿宋_GB2312"/>
          <w:b/>
          <w:sz w:val="32"/>
          <w:szCs w:val="32"/>
          <w:highlight w:val="none"/>
        </w:rPr>
        <w:t>（二）调整</w:t>
      </w:r>
      <w:bookmarkStart w:id="5" w:name="OLE_LINK22"/>
      <w:bookmarkStart w:id="6" w:name="OLE_LINK21"/>
      <w:r>
        <w:rPr>
          <w:rFonts w:hint="eastAsia" w:ascii="楷体" w:hAnsi="楷体" w:eastAsia="楷体" w:cs="仿宋_GB2312"/>
          <w:b/>
          <w:sz w:val="32"/>
          <w:szCs w:val="32"/>
          <w:highlight w:val="none"/>
        </w:rPr>
        <w:t>监理</w:t>
      </w:r>
      <w:bookmarkEnd w:id="5"/>
      <w:bookmarkEnd w:id="6"/>
      <w:r>
        <w:rPr>
          <w:rFonts w:hint="eastAsia" w:ascii="楷体" w:hAnsi="楷体" w:eastAsia="楷体" w:cs="仿宋_GB2312"/>
          <w:b/>
          <w:sz w:val="32"/>
          <w:szCs w:val="32"/>
          <w:highlight w:val="none"/>
        </w:rPr>
        <w:t>招标评标标准（2022年修订版）。</w:t>
      </w:r>
      <w:r>
        <w:rPr>
          <w:rFonts w:hint="eastAsia" w:ascii="仿宋_GB2312" w:hAnsi="楷体" w:eastAsia="仿宋_GB2312" w:cs="仿宋_GB2312"/>
          <w:sz w:val="32"/>
          <w:highlight w:val="none"/>
        </w:rPr>
        <w:t>为解决监理企业困难诉求,为投标企业减负，杜绝恶意竞争，将《房屋建筑和市政基础设施工程监理招标文件示范文本（2022版）》部分条款，附表2-2建设工程监理评标标准-综合评估法-企业综合实力及投标报价（明评）序号3项目监理机构人员第一项（3分）“符合项目需求的监理机构人员（专业监理工程师及监理员）配备数量进行横向比较，排名第一的得3分，其余依次递减1分，最低得0分。”调整为“符合项目监理机构及监理人员要求配置的，得3分，”或“符合项目监理机构人员（专业监理工程师、监理员、其他支持人员）配置的，得3分，每缺少1人扣1分，扣完为止”，由招标人在招标文件中明确。</w:t>
      </w:r>
    </w:p>
    <w:p>
      <w:pPr>
        <w:keepNext w:val="0"/>
        <w:keepLines w:val="0"/>
        <w:pageBreakBefore w:val="0"/>
        <w:kinsoku/>
        <w:wordWrap/>
        <w:overflowPunct/>
        <w:topLinePunct w:val="0"/>
        <w:autoSpaceDE/>
        <w:autoSpaceDN/>
        <w:bidi w:val="0"/>
        <w:adjustRightInd/>
        <w:snapToGrid/>
        <w:spacing w:line="540" w:lineRule="exact"/>
        <w:ind w:firstLine="640" w:firstLineChars="200"/>
        <w:rPr>
          <w:rFonts w:ascii="仿宋_GB2312" w:hAnsi="楷体" w:eastAsia="仿宋_GB2312" w:cs="仿宋_GB2312"/>
          <w:color w:val="auto"/>
          <w:sz w:val="32"/>
          <w:highlight w:val="none"/>
        </w:rPr>
      </w:pPr>
      <w:r>
        <w:rPr>
          <w:rFonts w:hint="eastAsia" w:ascii="仿宋_GB2312" w:hAnsi="楷体" w:eastAsia="仿宋_GB2312" w:cs="仿宋_GB2312"/>
          <w:color w:val="auto"/>
          <w:sz w:val="32"/>
          <w:highlight w:val="none"/>
        </w:rPr>
        <w:t>启用总监答辩功能，将《关于修订&lt;自治区房屋建筑和市政基础设施工程监理招标投标若干规定&gt;部分内容的通知》（新建建函〔2022〕8号）中附表2-2：建设工程监理评标标准—综合评估法—企业综合实力及报价，评分内容7答辩部分，各投标人的答辩得分按评标委员会评审各投标人总监答辩的实际得分计算，其余内容不变。</w:t>
      </w:r>
    </w:p>
    <w:p>
      <w:pPr>
        <w:keepNext w:val="0"/>
        <w:keepLines w:val="0"/>
        <w:pageBreakBefore w:val="0"/>
        <w:kinsoku/>
        <w:wordWrap/>
        <w:overflowPunct/>
        <w:topLinePunct w:val="0"/>
        <w:autoSpaceDE/>
        <w:autoSpaceDN/>
        <w:bidi w:val="0"/>
        <w:adjustRightInd/>
        <w:snapToGrid/>
        <w:spacing w:line="540" w:lineRule="exact"/>
        <w:ind w:firstLine="640" w:firstLineChars="200"/>
        <w:rPr>
          <w:rFonts w:ascii="黑体" w:hAnsi="黑体" w:eastAsia="黑体" w:cs="仿宋_GB2312"/>
          <w:sz w:val="32"/>
          <w:highlight w:val="none"/>
        </w:rPr>
      </w:pPr>
      <w:r>
        <w:rPr>
          <w:rFonts w:ascii="黑体" w:hAnsi="黑体" w:eastAsia="黑体" w:cs="仿宋_GB2312"/>
          <w:sz w:val="32"/>
          <w:highlight w:val="none"/>
        </w:rPr>
        <w:t>二、</w:t>
      </w:r>
      <w:r>
        <w:rPr>
          <w:rFonts w:hint="eastAsia" w:ascii="黑体" w:hAnsi="黑体" w:eastAsia="黑体" w:cs="仿宋_GB2312"/>
          <w:sz w:val="32"/>
          <w:highlight w:val="none"/>
        </w:rPr>
        <w:t>进一步明确本行业行政监督</w:t>
      </w:r>
      <w:bookmarkStart w:id="7" w:name="OLE_LINK26"/>
      <w:bookmarkStart w:id="8" w:name="OLE_LINK27"/>
      <w:r>
        <w:rPr>
          <w:rFonts w:hint="eastAsia" w:ascii="黑体" w:hAnsi="黑体" w:eastAsia="黑体" w:cs="仿宋_GB2312"/>
          <w:sz w:val="32"/>
          <w:highlight w:val="none"/>
        </w:rPr>
        <w:t>职责，增强招投标监管质效。</w:t>
      </w:r>
      <w:bookmarkEnd w:id="7"/>
      <w:bookmarkEnd w:id="8"/>
    </w:p>
    <w:p>
      <w:pPr>
        <w:keepNext w:val="0"/>
        <w:keepLines w:val="0"/>
        <w:pageBreakBefore w:val="0"/>
        <w:kinsoku/>
        <w:wordWrap/>
        <w:overflowPunct/>
        <w:topLinePunct w:val="0"/>
        <w:autoSpaceDE/>
        <w:autoSpaceDN/>
        <w:bidi w:val="0"/>
        <w:adjustRightInd/>
        <w:snapToGrid/>
        <w:spacing w:line="540" w:lineRule="exact"/>
        <w:ind w:firstLine="640" w:firstLineChars="200"/>
        <w:rPr>
          <w:rFonts w:ascii="仿宋_GB2312" w:hAnsi="楷体" w:eastAsia="仿宋_GB2312" w:cs="仿宋_GB2312"/>
          <w:sz w:val="32"/>
          <w:highlight w:val="none"/>
        </w:rPr>
      </w:pPr>
      <w:r>
        <w:rPr>
          <w:rFonts w:hint="eastAsia" w:ascii="仿宋_GB2312" w:hAnsi="楷体" w:eastAsia="仿宋_GB2312" w:cs="仿宋_GB2312"/>
          <w:sz w:val="32"/>
          <w:highlight w:val="none"/>
        </w:rPr>
        <w:t>根据《自治区发展改革委关于进一步完善体制机制加强招标投标管理工作的通知》（新发改项目〔2024〕724 号）和</w:t>
      </w:r>
      <w:bookmarkStart w:id="9" w:name="OLE_LINK5"/>
      <w:bookmarkStart w:id="10" w:name="OLE_LINK4"/>
      <w:r>
        <w:rPr>
          <w:rFonts w:hint="eastAsia" w:ascii="仿宋_GB2312" w:hAnsi="楷体" w:eastAsia="仿宋_GB2312" w:cs="仿宋_GB2312"/>
          <w:sz w:val="32"/>
          <w:highlight w:val="none"/>
        </w:rPr>
        <w:t>《关于转发自治区发改委&lt;2025年工程建设领域招标投标工作要点&gt;的通知》（昌州发改项目函〔2025〕7号）的相关要求</w:t>
      </w:r>
      <w:bookmarkEnd w:id="9"/>
      <w:bookmarkEnd w:id="10"/>
      <w:r>
        <w:rPr>
          <w:rFonts w:hint="eastAsia" w:ascii="仿宋_GB2312" w:hAnsi="楷体" w:eastAsia="仿宋_GB2312" w:cs="仿宋_GB2312"/>
          <w:sz w:val="32"/>
          <w:highlight w:val="none"/>
        </w:rPr>
        <w:t>，住房和城乡建设行政主管部门负责本行业（领域）招标投标工作监督管理，制定</w:t>
      </w:r>
      <w:bookmarkStart w:id="11" w:name="OLE_LINK25"/>
      <w:r>
        <w:rPr>
          <w:rFonts w:hint="eastAsia" w:ascii="仿宋_GB2312" w:hAnsi="楷体" w:eastAsia="仿宋_GB2312" w:cs="仿宋_GB2312"/>
          <w:sz w:val="32"/>
          <w:highlight w:val="none"/>
        </w:rPr>
        <w:t>本行业</w:t>
      </w:r>
      <w:bookmarkEnd w:id="11"/>
      <w:r>
        <w:rPr>
          <w:rFonts w:hint="eastAsia" w:ascii="仿宋_GB2312" w:hAnsi="楷体" w:eastAsia="仿宋_GB2312" w:cs="仿宋_GB2312"/>
          <w:sz w:val="32"/>
          <w:highlight w:val="none"/>
        </w:rPr>
        <w:t>行政监督责任清单，依据国家、自治区相关规定，住房和城乡建设行政主管部门主要职责包括以下内容：</w:t>
      </w:r>
    </w:p>
    <w:p>
      <w:pPr>
        <w:keepNext w:val="0"/>
        <w:keepLines w:val="0"/>
        <w:pageBreakBefore w:val="0"/>
        <w:kinsoku/>
        <w:wordWrap/>
        <w:overflowPunct/>
        <w:topLinePunct w:val="0"/>
        <w:autoSpaceDE/>
        <w:autoSpaceDN/>
        <w:bidi w:val="0"/>
        <w:adjustRightInd/>
        <w:snapToGrid/>
        <w:spacing w:line="540" w:lineRule="exact"/>
        <w:ind w:firstLine="643" w:firstLineChars="200"/>
        <w:rPr>
          <w:rFonts w:ascii="仿宋_GB2312" w:hAnsi="仿宋_GB2312" w:eastAsia="仿宋_GB2312" w:cs="仿宋_GB2312"/>
          <w:sz w:val="32"/>
          <w:szCs w:val="32"/>
          <w:highlight w:val="none"/>
        </w:rPr>
      </w:pPr>
      <w:r>
        <w:rPr>
          <w:rFonts w:hint="eastAsia" w:ascii="楷体" w:hAnsi="楷体" w:eastAsia="楷体" w:cs="仿宋_GB2312"/>
          <w:b/>
          <w:sz w:val="32"/>
          <w:szCs w:val="32"/>
          <w:highlight w:val="none"/>
        </w:rPr>
        <w:t>（一）贯彻法律法规和政策文件。</w:t>
      </w:r>
      <w:bookmarkStart w:id="12" w:name="OLE_LINK42"/>
      <w:bookmarkStart w:id="13" w:name="OLE_LINK43"/>
      <w:r>
        <w:rPr>
          <w:rFonts w:hint="eastAsia" w:ascii="仿宋_GB2312" w:hAnsi="楷体" w:eastAsia="仿宋_GB2312" w:cs="仿宋_GB2312"/>
          <w:sz w:val="32"/>
          <w:highlight w:val="none"/>
        </w:rPr>
        <w:t>各县市（园区）</w:t>
      </w:r>
      <w:bookmarkStart w:id="14" w:name="OLE_LINK53"/>
      <w:bookmarkStart w:id="15" w:name="OLE_LINK52"/>
      <w:r>
        <w:rPr>
          <w:rFonts w:hint="eastAsia" w:ascii="仿宋_GB2312" w:hAnsi="楷体" w:eastAsia="仿宋_GB2312" w:cs="仿宋_GB2312"/>
          <w:sz w:val="32"/>
          <w:highlight w:val="none"/>
        </w:rPr>
        <w:t>住房和城乡建设行政主管部门</w:t>
      </w:r>
      <w:bookmarkEnd w:id="12"/>
      <w:bookmarkEnd w:id="13"/>
      <w:bookmarkEnd w:id="14"/>
      <w:bookmarkEnd w:id="15"/>
      <w:r>
        <w:rPr>
          <w:rFonts w:hint="eastAsia" w:ascii="仿宋_GB2312" w:hAnsi="楷体" w:eastAsia="仿宋_GB2312" w:cs="仿宋_GB2312"/>
          <w:sz w:val="32"/>
          <w:highlight w:val="none"/>
        </w:rPr>
        <w:t>应严格贯彻执行国家和自治区有关房屋建筑和市政基础设施工程建设项目招标投标的法律、法规、规章和政策文件。</w:t>
      </w:r>
    </w:p>
    <w:p>
      <w:pPr>
        <w:keepNext w:val="0"/>
        <w:keepLines w:val="0"/>
        <w:pageBreakBefore w:val="0"/>
        <w:kinsoku/>
        <w:wordWrap/>
        <w:overflowPunct/>
        <w:topLinePunct w:val="0"/>
        <w:autoSpaceDE/>
        <w:autoSpaceDN/>
        <w:bidi w:val="0"/>
        <w:adjustRightInd/>
        <w:snapToGrid/>
        <w:spacing w:line="540" w:lineRule="exact"/>
        <w:ind w:firstLine="643" w:firstLineChars="200"/>
        <w:rPr>
          <w:rFonts w:ascii="仿宋_GB2312" w:hAnsi="仿宋_GB2312" w:eastAsia="仿宋_GB2312" w:cs="仿宋_GB2312"/>
          <w:sz w:val="32"/>
          <w:szCs w:val="32"/>
          <w:highlight w:val="none"/>
        </w:rPr>
      </w:pPr>
      <w:r>
        <w:rPr>
          <w:rFonts w:hint="eastAsia" w:ascii="楷体" w:hAnsi="楷体" w:eastAsia="楷体" w:cs="仿宋_GB2312"/>
          <w:b/>
          <w:sz w:val="32"/>
          <w:szCs w:val="32"/>
          <w:highlight w:val="none"/>
        </w:rPr>
        <w:t>（二）依法实施行政监督职责。</w:t>
      </w:r>
      <w:bookmarkStart w:id="16" w:name="OLE_LINK41"/>
      <w:bookmarkStart w:id="17" w:name="OLE_LINK40"/>
      <w:bookmarkStart w:id="18" w:name="OLE_LINK31"/>
      <w:bookmarkStart w:id="19" w:name="OLE_LINK30"/>
      <w:r>
        <w:rPr>
          <w:rFonts w:hint="eastAsia" w:ascii="仿宋_GB2312" w:hAnsi="楷体" w:eastAsia="仿宋_GB2312" w:cs="仿宋_GB2312"/>
          <w:sz w:val="32"/>
          <w:highlight w:val="none"/>
        </w:rPr>
        <w:t>各县市（园区）住房和城乡建设行政主管部门</w:t>
      </w:r>
      <w:bookmarkEnd w:id="16"/>
      <w:bookmarkEnd w:id="17"/>
      <w:r>
        <w:rPr>
          <w:rFonts w:hint="eastAsia" w:ascii="仿宋_GB2312" w:hAnsi="楷体" w:eastAsia="仿宋_GB2312" w:cs="仿宋_GB2312"/>
          <w:sz w:val="32"/>
          <w:highlight w:val="none"/>
        </w:rPr>
        <w:t>负责本行政区域内</w:t>
      </w:r>
      <w:bookmarkEnd w:id="18"/>
      <w:bookmarkEnd w:id="19"/>
      <w:bookmarkStart w:id="20" w:name="OLE_LINK35"/>
      <w:bookmarkStart w:id="21" w:name="OLE_LINK51"/>
      <w:bookmarkStart w:id="22" w:name="OLE_LINK50"/>
      <w:r>
        <w:rPr>
          <w:rFonts w:hint="eastAsia" w:ascii="仿宋_GB2312" w:hAnsi="楷体" w:eastAsia="仿宋_GB2312" w:cs="仿宋_GB2312"/>
          <w:sz w:val="32"/>
          <w:highlight w:val="none"/>
        </w:rPr>
        <w:t>依法招标的</w:t>
      </w:r>
      <w:bookmarkEnd w:id="20"/>
      <w:r>
        <w:rPr>
          <w:rFonts w:hint="eastAsia" w:ascii="仿宋_GB2312" w:hAnsi="楷体" w:eastAsia="仿宋_GB2312" w:cs="仿宋_GB2312"/>
          <w:sz w:val="32"/>
          <w:highlight w:val="none"/>
        </w:rPr>
        <w:t>房屋建筑和市政基础设施项目</w:t>
      </w:r>
      <w:bookmarkEnd w:id="21"/>
      <w:bookmarkEnd w:id="22"/>
      <w:r>
        <w:rPr>
          <w:rFonts w:hint="eastAsia" w:ascii="仿宋_GB2312" w:hAnsi="楷体" w:eastAsia="仿宋_GB2312" w:cs="仿宋_GB2312"/>
          <w:sz w:val="32"/>
          <w:highlight w:val="none"/>
        </w:rPr>
        <w:t>招标投标活动（包括招标、投投、开标、评标、中标）的行政监督，对开、评标活动进行现场监督。对依法招标的房屋建筑和市政基础设施项目的招标人、投标人、招标代理机构、评标委员会等参与招标投标活动的主体进行监督管理，规范其行为。</w:t>
      </w:r>
    </w:p>
    <w:p>
      <w:pPr>
        <w:keepNext w:val="0"/>
        <w:keepLines w:val="0"/>
        <w:pageBreakBefore w:val="0"/>
        <w:kinsoku/>
        <w:wordWrap/>
        <w:overflowPunct/>
        <w:topLinePunct w:val="0"/>
        <w:autoSpaceDE/>
        <w:autoSpaceDN/>
        <w:bidi w:val="0"/>
        <w:adjustRightInd/>
        <w:snapToGrid/>
        <w:spacing w:line="540" w:lineRule="exact"/>
        <w:ind w:firstLine="643" w:firstLineChars="200"/>
        <w:rPr>
          <w:rFonts w:ascii="仿宋_GB2312" w:hAnsi="仿宋_GB2312" w:eastAsia="仿宋_GB2312" w:cs="仿宋_GB2312"/>
          <w:sz w:val="32"/>
          <w:szCs w:val="32"/>
          <w:highlight w:val="none"/>
        </w:rPr>
      </w:pPr>
      <w:r>
        <w:rPr>
          <w:rFonts w:hint="eastAsia" w:ascii="楷体" w:hAnsi="楷体" w:eastAsia="楷体" w:cs="仿宋_GB2312"/>
          <w:b/>
          <w:sz w:val="32"/>
          <w:szCs w:val="32"/>
          <w:highlight w:val="none"/>
        </w:rPr>
        <w:t>（三）依法处理投诉举报。</w:t>
      </w:r>
      <w:bookmarkStart w:id="23" w:name="OLE_LINK39"/>
      <w:bookmarkStart w:id="24" w:name="OLE_LINK38"/>
      <w:r>
        <w:rPr>
          <w:rFonts w:hint="eastAsia" w:ascii="仿宋_GB2312" w:hAnsi="楷体" w:eastAsia="仿宋_GB2312" w:cs="仿宋_GB2312"/>
          <w:sz w:val="32"/>
          <w:highlight w:val="none"/>
        </w:rPr>
        <w:t>各县市（园区）住房和城乡建设行政主管部门依法受理行政区域内</w:t>
      </w:r>
      <w:bookmarkStart w:id="25" w:name="OLE_LINK37"/>
      <w:bookmarkStart w:id="26" w:name="OLE_LINK36"/>
      <w:bookmarkStart w:id="27" w:name="OLE_LINK11"/>
      <w:bookmarkStart w:id="28" w:name="OLE_LINK10"/>
      <w:r>
        <w:rPr>
          <w:rFonts w:hint="eastAsia" w:ascii="仿宋_GB2312" w:hAnsi="楷体" w:eastAsia="仿宋_GB2312" w:cs="仿宋_GB2312"/>
          <w:sz w:val="32"/>
          <w:highlight w:val="none"/>
        </w:rPr>
        <w:t>房屋建筑和市政基础设施项目</w:t>
      </w:r>
      <w:bookmarkEnd w:id="23"/>
      <w:bookmarkEnd w:id="24"/>
      <w:bookmarkEnd w:id="25"/>
      <w:bookmarkEnd w:id="26"/>
      <w:r>
        <w:rPr>
          <w:rFonts w:hint="eastAsia" w:ascii="仿宋_GB2312" w:hAnsi="楷体" w:eastAsia="仿宋_GB2312" w:cs="仿宋_GB2312"/>
          <w:sz w:val="32"/>
          <w:highlight w:val="none"/>
        </w:rPr>
        <w:t>招标投标的</w:t>
      </w:r>
      <w:bookmarkEnd w:id="27"/>
      <w:bookmarkEnd w:id="28"/>
      <w:r>
        <w:rPr>
          <w:rFonts w:hint="eastAsia" w:ascii="仿宋_GB2312" w:hAnsi="楷体" w:eastAsia="仿宋_GB2312" w:cs="仿宋_GB2312"/>
          <w:sz w:val="32"/>
          <w:highlight w:val="none"/>
        </w:rPr>
        <w:t>投诉，对投诉、举报等进行调查处理。</w:t>
      </w:r>
    </w:p>
    <w:p>
      <w:pPr>
        <w:keepNext w:val="0"/>
        <w:keepLines w:val="0"/>
        <w:pageBreakBefore w:val="0"/>
        <w:kinsoku/>
        <w:wordWrap/>
        <w:overflowPunct/>
        <w:topLinePunct w:val="0"/>
        <w:autoSpaceDE/>
        <w:autoSpaceDN/>
        <w:bidi w:val="0"/>
        <w:adjustRightInd/>
        <w:snapToGrid/>
        <w:spacing w:line="540" w:lineRule="exact"/>
        <w:ind w:firstLine="643" w:firstLineChars="200"/>
        <w:rPr>
          <w:rFonts w:ascii="仿宋_GB2312" w:hAnsi="仿宋_GB2312" w:eastAsia="仿宋_GB2312" w:cs="仿宋_GB2312"/>
          <w:sz w:val="32"/>
          <w:szCs w:val="32"/>
          <w:highlight w:val="none"/>
        </w:rPr>
      </w:pPr>
      <w:r>
        <w:rPr>
          <w:rFonts w:hint="eastAsia" w:ascii="楷体" w:hAnsi="楷体" w:eastAsia="楷体" w:cs="仿宋_GB2312"/>
          <w:b/>
          <w:sz w:val="32"/>
          <w:szCs w:val="32"/>
          <w:highlight w:val="none"/>
        </w:rPr>
        <w:t>（四）依法查处违法违规行为。</w:t>
      </w:r>
      <w:bookmarkStart w:id="29" w:name="OLE_LINK44"/>
      <w:r>
        <w:rPr>
          <w:rFonts w:hint="eastAsia" w:ascii="仿宋_GB2312" w:hAnsi="楷体" w:eastAsia="仿宋_GB2312" w:cs="仿宋_GB2312"/>
          <w:sz w:val="32"/>
          <w:highlight w:val="none"/>
        </w:rPr>
        <w:t>各县市（园区）住房和城乡建设行政主管部门应</w:t>
      </w:r>
      <w:bookmarkEnd w:id="29"/>
      <w:r>
        <w:rPr>
          <w:rFonts w:hint="eastAsia" w:ascii="仿宋_GB2312" w:hAnsi="楷体" w:eastAsia="仿宋_GB2312" w:cs="仿宋_GB2312"/>
          <w:sz w:val="32"/>
          <w:highlight w:val="none"/>
        </w:rPr>
        <w:t>依法查处房屋建筑和市政基础设施项目招标投标活动中的违法违规行为，对违法违规行为作出行政处罚，采集、上报、记录相关不良行为。</w:t>
      </w:r>
    </w:p>
    <w:p>
      <w:pPr>
        <w:keepNext w:val="0"/>
        <w:keepLines w:val="0"/>
        <w:pageBreakBefore w:val="0"/>
        <w:kinsoku/>
        <w:wordWrap/>
        <w:overflowPunct/>
        <w:topLinePunct w:val="0"/>
        <w:autoSpaceDE/>
        <w:autoSpaceDN/>
        <w:bidi w:val="0"/>
        <w:adjustRightInd/>
        <w:snapToGrid/>
        <w:spacing w:line="540" w:lineRule="exact"/>
        <w:ind w:firstLine="643" w:firstLineChars="200"/>
        <w:rPr>
          <w:rFonts w:ascii="仿宋_GB2312" w:hAnsi="仿宋_GB2312" w:eastAsia="仿宋_GB2312" w:cs="仿宋_GB2312"/>
          <w:sz w:val="32"/>
          <w:szCs w:val="32"/>
          <w:highlight w:val="none"/>
        </w:rPr>
      </w:pPr>
      <w:r>
        <w:rPr>
          <w:rFonts w:hint="eastAsia" w:ascii="楷体" w:hAnsi="楷体" w:eastAsia="楷体" w:cs="仿宋_GB2312"/>
          <w:b/>
          <w:sz w:val="32"/>
          <w:szCs w:val="32"/>
          <w:highlight w:val="none"/>
        </w:rPr>
        <w:t>（五）推进诚信体系建设。</w:t>
      </w:r>
      <w:r>
        <w:rPr>
          <w:rFonts w:hint="eastAsia" w:ascii="仿宋_GB2312" w:hAnsi="楷体" w:eastAsia="仿宋_GB2312" w:cs="仿宋_GB2312"/>
          <w:sz w:val="32"/>
          <w:highlight w:val="none"/>
        </w:rPr>
        <w:t>各县市（园区）住房和城乡建设行政主管部门应对招投标活动违法行为及处理结果进行公告，推动建立健全招标投标领域诚信体系。</w:t>
      </w:r>
    </w:p>
    <w:p>
      <w:pPr>
        <w:keepNext w:val="0"/>
        <w:keepLines w:val="0"/>
        <w:pageBreakBefore w:val="0"/>
        <w:kinsoku/>
        <w:wordWrap/>
        <w:overflowPunct/>
        <w:topLinePunct w:val="0"/>
        <w:autoSpaceDE/>
        <w:autoSpaceDN/>
        <w:bidi w:val="0"/>
        <w:adjustRightInd/>
        <w:snapToGrid/>
        <w:spacing w:line="540" w:lineRule="exact"/>
        <w:ind w:firstLine="643" w:firstLineChars="200"/>
        <w:rPr>
          <w:rFonts w:ascii="仿宋_GB2312" w:hAnsi="仿宋_GB2312" w:eastAsia="仿宋_GB2312" w:cs="仿宋_GB2312"/>
          <w:sz w:val="32"/>
          <w:szCs w:val="32"/>
          <w:highlight w:val="none"/>
        </w:rPr>
      </w:pPr>
      <w:r>
        <w:rPr>
          <w:rFonts w:hint="eastAsia" w:ascii="楷体" w:hAnsi="楷体" w:eastAsia="楷体" w:cs="仿宋_GB2312"/>
          <w:b/>
          <w:sz w:val="32"/>
          <w:szCs w:val="32"/>
          <w:highlight w:val="none"/>
        </w:rPr>
        <w:t>（六）依法监督和管理招标代理活动。</w:t>
      </w:r>
      <w:r>
        <w:rPr>
          <w:rFonts w:hint="eastAsia" w:ascii="仿宋_GB2312" w:hAnsi="楷体" w:eastAsia="仿宋_GB2312" w:cs="仿宋_GB2312"/>
          <w:sz w:val="32"/>
          <w:highlight w:val="none"/>
        </w:rPr>
        <w:t>各县市（园区）</w:t>
      </w:r>
      <w:bookmarkStart w:id="30" w:name="OLE_LINK45"/>
      <w:r>
        <w:rPr>
          <w:rFonts w:hint="eastAsia" w:ascii="仿宋_GB2312" w:hAnsi="楷体" w:eastAsia="仿宋_GB2312" w:cs="仿宋_GB2312"/>
          <w:sz w:val="32"/>
          <w:highlight w:val="none"/>
        </w:rPr>
        <w:t>住房和城乡建设行政主管部门</w:t>
      </w:r>
      <w:bookmarkEnd w:id="30"/>
      <w:r>
        <w:rPr>
          <w:rFonts w:hint="eastAsia" w:ascii="仿宋_GB2312" w:hAnsi="楷体" w:eastAsia="仿宋_GB2312" w:cs="仿宋_GB2312"/>
          <w:sz w:val="32"/>
          <w:highlight w:val="none"/>
        </w:rPr>
        <w:t>负责本行政区域内依法招标的房屋建筑和市政基础设施项目招标代理活动进行依法监督，确保代理机构依法依规开展业务；州住房和城乡建设行政主管部门</w:t>
      </w:r>
      <w:bookmarkStart w:id="31" w:name="OLE_LINK47"/>
      <w:bookmarkStart w:id="32" w:name="OLE_LINK46"/>
      <w:r>
        <w:rPr>
          <w:rFonts w:hint="eastAsia" w:ascii="仿宋_GB2312" w:hAnsi="楷体" w:eastAsia="仿宋_GB2312" w:cs="仿宋_GB2312"/>
          <w:sz w:val="32"/>
          <w:highlight w:val="none"/>
        </w:rPr>
        <w:t>通过“双随机、一公开”方式，开展对全州依法招标的房屋建筑和市政基础设施项目的</w:t>
      </w:r>
      <w:bookmarkEnd w:id="31"/>
      <w:bookmarkEnd w:id="32"/>
      <w:r>
        <w:rPr>
          <w:rFonts w:hint="eastAsia" w:ascii="仿宋_GB2312" w:hAnsi="楷体" w:eastAsia="仿宋_GB2312" w:cs="仿宋_GB2312"/>
          <w:sz w:val="32"/>
          <w:highlight w:val="none"/>
        </w:rPr>
        <w:t>招标代理活动进行依法监督和管理。</w:t>
      </w:r>
    </w:p>
    <w:p>
      <w:pPr>
        <w:keepNext w:val="0"/>
        <w:keepLines w:val="0"/>
        <w:pageBreakBefore w:val="0"/>
        <w:kinsoku/>
        <w:wordWrap/>
        <w:overflowPunct/>
        <w:topLinePunct w:val="0"/>
        <w:autoSpaceDE/>
        <w:autoSpaceDN/>
        <w:bidi w:val="0"/>
        <w:adjustRightInd/>
        <w:snapToGrid/>
        <w:spacing w:line="540" w:lineRule="exact"/>
        <w:ind w:firstLine="643" w:firstLineChars="200"/>
        <w:rPr>
          <w:rFonts w:ascii="仿宋_GB2312" w:hAnsi="仿宋_GB2312" w:eastAsia="仿宋_GB2312" w:cs="仿宋_GB2312"/>
          <w:sz w:val="32"/>
          <w:szCs w:val="32"/>
          <w:highlight w:val="none"/>
        </w:rPr>
      </w:pPr>
      <w:r>
        <w:rPr>
          <w:rFonts w:hint="eastAsia" w:ascii="楷体" w:hAnsi="楷体" w:eastAsia="楷体" w:cs="仿宋_GB2312"/>
          <w:b/>
          <w:sz w:val="32"/>
          <w:szCs w:val="32"/>
          <w:highlight w:val="none"/>
        </w:rPr>
        <w:t>（七）依法监督</w:t>
      </w:r>
      <w:bookmarkStart w:id="33" w:name="OLE_LINK34"/>
      <w:bookmarkStart w:id="34" w:name="OLE_LINK33"/>
      <w:r>
        <w:rPr>
          <w:rFonts w:hint="eastAsia" w:ascii="楷体" w:hAnsi="楷体" w:eastAsia="楷体" w:cs="仿宋_GB2312"/>
          <w:b/>
          <w:sz w:val="32"/>
          <w:szCs w:val="32"/>
          <w:highlight w:val="none"/>
        </w:rPr>
        <w:t>和管理</w:t>
      </w:r>
      <w:bookmarkEnd w:id="33"/>
      <w:bookmarkEnd w:id="34"/>
      <w:r>
        <w:rPr>
          <w:rFonts w:hint="eastAsia" w:ascii="楷体" w:hAnsi="楷体" w:eastAsia="楷体" w:cs="仿宋_GB2312"/>
          <w:b/>
          <w:sz w:val="32"/>
          <w:szCs w:val="32"/>
          <w:highlight w:val="none"/>
        </w:rPr>
        <w:t>评标专家。</w:t>
      </w:r>
      <w:r>
        <w:rPr>
          <w:rFonts w:hint="eastAsia" w:ascii="仿宋_GB2312" w:hAnsi="楷体" w:eastAsia="仿宋_GB2312" w:cs="仿宋_GB2312"/>
          <w:sz w:val="32"/>
          <w:highlight w:val="none"/>
        </w:rPr>
        <w:t>各县市（园区）住房和城乡建设行政主管部门负责本行政区域内依法招标的房屋建筑和市政基础设施项目</w:t>
      </w:r>
      <w:bookmarkStart w:id="35" w:name="OLE_LINK49"/>
      <w:bookmarkStart w:id="36" w:name="OLE_LINK48"/>
      <w:r>
        <w:rPr>
          <w:rFonts w:hint="eastAsia" w:ascii="仿宋_GB2312" w:hAnsi="楷体" w:eastAsia="仿宋_GB2312" w:cs="仿宋_GB2312"/>
          <w:sz w:val="32"/>
          <w:highlight w:val="none"/>
        </w:rPr>
        <w:t>评标专家履职情况进行监督与管理</w:t>
      </w:r>
      <w:bookmarkEnd w:id="35"/>
      <w:bookmarkEnd w:id="36"/>
      <w:r>
        <w:rPr>
          <w:rFonts w:hint="eastAsia" w:ascii="仿宋_GB2312" w:hAnsi="楷体" w:eastAsia="仿宋_GB2312" w:cs="仿宋_GB2312"/>
          <w:sz w:val="32"/>
          <w:highlight w:val="none"/>
        </w:rPr>
        <w:t>，保证评标专家公正、专业履职；州住房和城乡建设行政主管部门负责全州房屋建筑和市政基础设施项目评标专家的入库资格管理，通过“双随机、一公开”方式，开展对全州依法招标的房屋建筑和市政基础设施项目评标专家履职情况进行监督与管理。</w:t>
      </w:r>
    </w:p>
    <w:p>
      <w:pPr>
        <w:keepNext w:val="0"/>
        <w:keepLines w:val="0"/>
        <w:pageBreakBefore w:val="0"/>
        <w:kinsoku/>
        <w:wordWrap/>
        <w:overflowPunct/>
        <w:topLinePunct w:val="0"/>
        <w:autoSpaceDE/>
        <w:autoSpaceDN/>
        <w:bidi w:val="0"/>
        <w:adjustRightInd/>
        <w:snapToGrid/>
        <w:spacing w:line="540" w:lineRule="exact"/>
        <w:ind w:firstLine="640" w:firstLineChars="200"/>
        <w:rPr>
          <w:rFonts w:ascii="黑体" w:hAnsi="黑体" w:eastAsia="黑体" w:cs="仿宋_GB2312"/>
          <w:sz w:val="32"/>
          <w:szCs w:val="32"/>
          <w:highlight w:val="none"/>
        </w:rPr>
      </w:pPr>
      <w:r>
        <w:rPr>
          <w:rFonts w:hint="eastAsia" w:ascii="黑体" w:hAnsi="黑体" w:eastAsia="黑体" w:cs="仿宋_GB2312"/>
          <w:sz w:val="32"/>
          <w:highlight w:val="none"/>
        </w:rPr>
        <w:t>三、进一步完善评标专家智慧监管功能，提升招投标监管水平</w:t>
      </w:r>
      <w:r>
        <w:rPr>
          <w:rFonts w:hint="eastAsia" w:ascii="黑体" w:hAnsi="黑体" w:eastAsia="黑体" w:cs="仿宋_GB2312"/>
          <w:sz w:val="32"/>
          <w:szCs w:val="32"/>
          <w:highlight w:val="none"/>
        </w:rPr>
        <w:t>。</w:t>
      </w:r>
    </w:p>
    <w:p>
      <w:pPr>
        <w:keepNext w:val="0"/>
        <w:keepLines w:val="0"/>
        <w:pageBreakBefore w:val="0"/>
        <w:kinsoku/>
        <w:wordWrap/>
        <w:overflowPunct/>
        <w:topLinePunct w:val="0"/>
        <w:autoSpaceDE/>
        <w:autoSpaceDN/>
        <w:bidi w:val="0"/>
        <w:adjustRightInd/>
        <w:snapToGrid/>
        <w:spacing w:line="540" w:lineRule="exact"/>
        <w:ind w:firstLine="569" w:firstLineChars="177"/>
        <w:rPr>
          <w:rFonts w:ascii="仿宋_GB2312" w:hAnsi="仿宋_GB2312" w:eastAsia="仿宋_GB2312" w:cs="仿宋_GB2312"/>
          <w:sz w:val="32"/>
          <w:szCs w:val="32"/>
          <w:highlight w:val="none"/>
        </w:rPr>
      </w:pPr>
      <w:r>
        <w:rPr>
          <w:rFonts w:hint="eastAsia" w:ascii="楷体" w:hAnsi="楷体" w:eastAsia="楷体" w:cs="仿宋_GB2312"/>
          <w:b/>
          <w:sz w:val="32"/>
          <w:highlight w:val="none"/>
        </w:rPr>
        <w:t>（一）优化评标现场监控功能。</w:t>
      </w:r>
      <w:r>
        <w:rPr>
          <w:rFonts w:hint="eastAsia" w:ascii="仿宋_GB2312" w:hAnsi="楷体" w:eastAsia="仿宋_GB2312" w:cs="仿宋_GB2312"/>
          <w:sz w:val="32"/>
          <w:highlight w:val="none"/>
        </w:rPr>
        <w:t>在评标专家通道安装周界监控系统，在专家进入周界区域内，监控摄像机实时监控外来人员活动，防范“围猎”专家风险。运用数字见证系统，对评标专家实时轨迹见证、历史轨迹查看、轨迹异常预警等，全程记录相关主体活动。通过音视频对讲系统，监督人员可实时了解评标区情况，与评标室内专家在线沟通，防止不规范行为发生。</w:t>
      </w:r>
    </w:p>
    <w:p>
      <w:pPr>
        <w:keepNext w:val="0"/>
        <w:keepLines w:val="0"/>
        <w:pageBreakBefore w:val="0"/>
        <w:kinsoku/>
        <w:wordWrap/>
        <w:overflowPunct/>
        <w:topLinePunct w:val="0"/>
        <w:autoSpaceDE/>
        <w:autoSpaceDN/>
        <w:bidi w:val="0"/>
        <w:adjustRightInd/>
        <w:snapToGrid/>
        <w:spacing w:line="540" w:lineRule="exact"/>
        <w:ind w:firstLine="569" w:firstLineChars="177"/>
        <w:rPr>
          <w:rFonts w:ascii="仿宋_GB2312" w:hAnsi="仿宋_GB2312" w:eastAsia="仿宋_GB2312" w:cs="仿宋_GB2312"/>
          <w:sz w:val="32"/>
          <w:highlight w:val="none"/>
        </w:rPr>
      </w:pPr>
      <w:r>
        <w:rPr>
          <w:rFonts w:hint="eastAsia" w:ascii="楷体" w:hAnsi="楷体" w:eastAsia="楷体" w:cs="仿宋_GB2312"/>
          <w:b/>
          <w:sz w:val="32"/>
          <w:highlight w:val="none"/>
        </w:rPr>
        <w:t>（二）强化专家身份核验与门禁管理。</w:t>
      </w:r>
      <w:r>
        <w:rPr>
          <w:rFonts w:hint="eastAsia" w:ascii="仿宋_GB2312" w:hAnsi="楷体" w:eastAsia="仿宋_GB2312" w:cs="仿宋_GB2312"/>
          <w:sz w:val="32"/>
          <w:highlight w:val="none"/>
        </w:rPr>
        <w:t>在评标室入口设置智能门禁管理系统，集成通讯探测设备、人脸及身份证识别功能，实现对评标人员的智能管理，确保只有授权人员才能进入评标场地，同时要求评标专家将影响评标的无关物品不得带入评标室，并统一存放，减少外部干扰。</w:t>
      </w:r>
    </w:p>
    <w:p>
      <w:pPr>
        <w:keepNext w:val="0"/>
        <w:keepLines w:val="0"/>
        <w:pageBreakBefore w:val="0"/>
        <w:kinsoku/>
        <w:wordWrap/>
        <w:overflowPunct/>
        <w:topLinePunct w:val="0"/>
        <w:autoSpaceDE/>
        <w:autoSpaceDN/>
        <w:bidi w:val="0"/>
        <w:adjustRightInd/>
        <w:snapToGrid/>
        <w:spacing w:line="540" w:lineRule="exact"/>
        <w:ind w:firstLine="569" w:firstLineChars="177"/>
        <w:rPr>
          <w:rFonts w:ascii="仿宋_GB2312" w:hAnsi="仿宋_GB2312" w:eastAsia="仿宋_GB2312" w:cs="仿宋_GB2312"/>
          <w:sz w:val="32"/>
          <w:szCs w:val="32"/>
          <w:highlight w:val="none"/>
        </w:rPr>
      </w:pPr>
      <w:r>
        <w:rPr>
          <w:rFonts w:hint="eastAsia" w:ascii="楷体" w:hAnsi="楷体" w:eastAsia="楷体" w:cs="仿宋_GB2312"/>
          <w:b/>
          <w:sz w:val="32"/>
          <w:highlight w:val="none"/>
        </w:rPr>
        <w:t>（三）加强评标专家定位可追溯功能。</w:t>
      </w:r>
      <w:r>
        <w:rPr>
          <w:rFonts w:hint="eastAsia" w:ascii="仿宋_GB2312" w:hAnsi="楷体" w:eastAsia="仿宋_GB2312" w:cs="仿宋_GB2312"/>
          <w:sz w:val="32"/>
          <w:highlight w:val="none"/>
        </w:rPr>
        <w:t>评标委员会成员进入评标区时需配戴蓝牙定位信标，并刷脸刷卡进入评标区，定位系统会实时记录评标专家的位置信息，包括进入评标区域的时间、在各个功能区（如等候区、评标区等）停留的时长、移动轨迹等。监管人员通过监控平台实时查看专家的位置状态，确保专家在规定的区域内活动，防止专家与外界人员进行不当接触或出现擅自离岗等情况，确保评标专家人证合一、权限精准、行为可控。</w:t>
      </w:r>
    </w:p>
    <w:p>
      <w:pPr>
        <w:keepNext w:val="0"/>
        <w:keepLines w:val="0"/>
        <w:pageBreakBefore w:val="0"/>
        <w:kinsoku/>
        <w:wordWrap/>
        <w:overflowPunct/>
        <w:topLinePunct w:val="0"/>
        <w:autoSpaceDE/>
        <w:autoSpaceDN/>
        <w:bidi w:val="0"/>
        <w:adjustRightInd/>
        <w:snapToGrid/>
        <w:spacing w:line="540" w:lineRule="exact"/>
        <w:ind w:firstLine="640" w:firstLineChars="200"/>
        <w:rPr>
          <w:rFonts w:ascii="仿宋" w:hAnsi="仿宋" w:eastAsia="仿宋" w:cs="仿宋_GB2312"/>
          <w:sz w:val="32"/>
          <w:highlight w:val="none"/>
        </w:rPr>
      </w:pPr>
      <w:r>
        <w:rPr>
          <w:rFonts w:hint="eastAsia" w:ascii="黑体" w:hAnsi="黑体" w:eastAsia="黑体" w:cs="仿宋_GB2312"/>
          <w:sz w:val="32"/>
          <w:highlight w:val="none"/>
        </w:rPr>
        <w:t>四、积极推行“双盲”和远程异地评标，有效整治串通投标乱象。</w:t>
      </w:r>
    </w:p>
    <w:p>
      <w:pPr>
        <w:keepNext w:val="0"/>
        <w:keepLines w:val="0"/>
        <w:pageBreakBefore w:val="0"/>
        <w:kinsoku/>
        <w:wordWrap/>
        <w:overflowPunct/>
        <w:topLinePunct w:val="0"/>
        <w:autoSpaceDE/>
        <w:autoSpaceDN/>
        <w:bidi w:val="0"/>
        <w:adjustRightInd/>
        <w:snapToGrid/>
        <w:spacing w:line="540" w:lineRule="exact"/>
        <w:ind w:firstLine="640" w:firstLineChars="200"/>
        <w:rPr>
          <w:rFonts w:ascii="仿宋_GB2312" w:hAnsi="楷体" w:eastAsia="仿宋_GB2312" w:cs="仿宋_GB2312"/>
          <w:sz w:val="32"/>
          <w:highlight w:val="none"/>
        </w:rPr>
      </w:pPr>
      <w:r>
        <w:rPr>
          <w:rFonts w:hint="eastAsia" w:ascii="仿宋_GB2312" w:hAnsi="楷体" w:eastAsia="仿宋_GB2312" w:cs="仿宋_GB2312"/>
          <w:sz w:val="32"/>
          <w:highlight w:val="none"/>
        </w:rPr>
        <w:t>根据《关于转发自治区发改委&lt;2025年工程建设领域招标投标工作要点&gt;的通知》（昌州发改项目函〔2025〕7号）的相关要求，认真落实《自治区公共资源交易远程异地评标管理办法》，积极推行“双盲”评审和远程异地评标，2025年底前，在50%以上依法招标的房屋建筑和市政基础设施项目具备远程异地评标条件下推行远程异地评，打破评标专家“常委”和围串标“小圈子”。</w:t>
      </w:r>
    </w:p>
    <w:p>
      <w:pPr>
        <w:keepNext w:val="0"/>
        <w:keepLines w:val="0"/>
        <w:pageBreakBefore w:val="0"/>
        <w:widowControl/>
        <w:shd w:val="clear" w:color="000000" w:fill="FFFFFF"/>
        <w:kinsoku/>
        <w:wordWrap/>
        <w:overflowPunct/>
        <w:topLinePunct w:val="0"/>
        <w:autoSpaceDE/>
        <w:autoSpaceDN/>
        <w:bidi w:val="0"/>
        <w:adjustRightInd/>
        <w:snapToGrid/>
        <w:spacing w:line="540" w:lineRule="exact"/>
        <w:ind w:firstLine="640" w:firstLineChars="200"/>
        <w:rPr>
          <w:rFonts w:ascii="黑体" w:hAnsi="黑体" w:eastAsia="黑体" w:cs="仿宋"/>
          <w:sz w:val="32"/>
          <w:highlight w:val="none"/>
        </w:rPr>
      </w:pPr>
      <w:r>
        <w:rPr>
          <w:rFonts w:hint="eastAsia" w:ascii="黑体" w:hAnsi="黑体" w:eastAsia="黑体" w:cs="仿宋"/>
          <w:sz w:val="32"/>
          <w:highlight w:val="none"/>
        </w:rPr>
        <w:t>五、</w:t>
      </w:r>
      <w:bookmarkStart w:id="37" w:name="OLE_LINK54"/>
      <w:bookmarkStart w:id="38" w:name="OLE_LINK55"/>
      <w:bookmarkStart w:id="39" w:name="OLE_LINK18"/>
      <w:r>
        <w:rPr>
          <w:rFonts w:hint="eastAsia" w:ascii="黑体" w:hAnsi="黑体" w:eastAsia="黑体" w:cs="仿宋"/>
          <w:sz w:val="32"/>
          <w:highlight w:val="none"/>
        </w:rPr>
        <w:t>强化</w:t>
      </w:r>
      <w:bookmarkStart w:id="40" w:name="OLE_LINK23"/>
      <w:bookmarkStart w:id="41" w:name="OLE_LINK24"/>
      <w:r>
        <w:rPr>
          <w:rFonts w:hint="eastAsia" w:ascii="黑体" w:hAnsi="黑体" w:eastAsia="黑体" w:cs="仿宋"/>
          <w:sz w:val="32"/>
          <w:highlight w:val="none"/>
        </w:rPr>
        <w:t>招投标信用承诺约束</w:t>
      </w:r>
      <w:bookmarkEnd w:id="40"/>
      <w:bookmarkEnd w:id="41"/>
      <w:r>
        <w:rPr>
          <w:rFonts w:hint="eastAsia" w:ascii="黑体" w:hAnsi="黑体" w:eastAsia="黑体" w:cs="仿宋"/>
          <w:sz w:val="32"/>
          <w:highlight w:val="none"/>
        </w:rPr>
        <w:t>，加强农民工欠薪源头治理。</w:t>
      </w:r>
    </w:p>
    <w:bookmarkEnd w:id="37"/>
    <w:bookmarkEnd w:id="38"/>
    <w:p>
      <w:pPr>
        <w:keepNext w:val="0"/>
        <w:keepLines w:val="0"/>
        <w:pageBreakBefore w:val="0"/>
        <w:widowControl/>
        <w:shd w:val="clear" w:color="000000" w:fill="FFFFFF"/>
        <w:kinsoku/>
        <w:wordWrap/>
        <w:overflowPunct/>
        <w:topLinePunct w:val="0"/>
        <w:autoSpaceDE/>
        <w:autoSpaceDN/>
        <w:bidi w:val="0"/>
        <w:adjustRightInd/>
        <w:snapToGrid/>
        <w:spacing w:line="540" w:lineRule="exact"/>
        <w:ind w:firstLine="640" w:firstLineChars="200"/>
        <w:rPr>
          <w:rFonts w:ascii="仿宋_GB2312" w:hAnsi="楷体" w:eastAsia="仿宋_GB2312" w:cs="仿宋_GB2312"/>
          <w:sz w:val="32"/>
          <w:highlight w:val="none"/>
        </w:rPr>
      </w:pPr>
      <w:r>
        <w:rPr>
          <w:rFonts w:hint="eastAsia" w:ascii="仿宋_GB2312" w:hAnsi="楷体" w:eastAsia="仿宋_GB2312" w:cs="仿宋_GB2312"/>
          <w:sz w:val="32"/>
          <w:highlight w:val="none"/>
        </w:rPr>
        <w:t>为加强招投标领域对农民工欠薪信用的应用，有效解决我州农民工工资欠薪问题的源头治理，</w:t>
      </w:r>
      <w:bookmarkStart w:id="42" w:name="OLE_LINK56"/>
      <w:bookmarkStart w:id="43" w:name="OLE_LINK57"/>
      <w:r>
        <w:rPr>
          <w:rFonts w:hint="eastAsia" w:ascii="仿宋_GB2312" w:hAnsi="楷体" w:eastAsia="仿宋_GB2312" w:cs="仿宋_GB2312"/>
          <w:sz w:val="32"/>
          <w:highlight w:val="none"/>
        </w:rPr>
        <w:t>根据昌吉州公共资源交易平台整合共享工作2025年第一次联席会议的工作要求，</w:t>
      </w:r>
      <w:bookmarkEnd w:id="42"/>
      <w:bookmarkEnd w:id="43"/>
      <w:r>
        <w:rPr>
          <w:rFonts w:hint="eastAsia" w:ascii="仿宋_GB2312" w:hAnsi="楷体" w:eastAsia="仿宋_GB2312" w:cs="仿宋_GB2312"/>
          <w:sz w:val="32"/>
          <w:highlight w:val="none"/>
        </w:rPr>
        <w:t>全州房屋建筑和市政基础设施项目招标投标推行《施工承包单位承诺书》制度，招标人应在项目招标文件中增加《</w:t>
      </w:r>
      <w:bookmarkStart w:id="44" w:name="OLE_LINK15"/>
      <w:bookmarkStart w:id="45" w:name="OLE_LINK14"/>
      <w:r>
        <w:rPr>
          <w:rFonts w:hint="eastAsia" w:ascii="仿宋_GB2312" w:hAnsi="楷体" w:eastAsia="仿宋_GB2312" w:cs="仿宋_GB2312"/>
          <w:sz w:val="32"/>
          <w:highlight w:val="none"/>
        </w:rPr>
        <w:t>施工承包单位承诺书</w:t>
      </w:r>
      <w:bookmarkEnd w:id="44"/>
      <w:bookmarkEnd w:id="45"/>
      <w:r>
        <w:rPr>
          <w:rFonts w:hint="eastAsia" w:ascii="仿宋_GB2312" w:hAnsi="楷体" w:eastAsia="仿宋_GB2312" w:cs="仿宋_GB2312"/>
          <w:sz w:val="32"/>
          <w:highlight w:val="none"/>
        </w:rPr>
        <w:t>》要件材料，并将其作为投标文件的必备组成部分，由投标人在投标文件中对落实农民工实名制管理、农民工工资专用账户、总包代发农民工工资、农民工工资保证金、维权告示牌和工程款支付担保等制度进行承诺（详见附件），通过招投标信用承诺约束提高施工企业的诚信意识。</w:t>
      </w:r>
    </w:p>
    <w:bookmarkEnd w:id="39"/>
    <w:p>
      <w:pPr>
        <w:keepNext w:val="0"/>
        <w:keepLines w:val="0"/>
        <w:pageBreakBefore w:val="0"/>
        <w:widowControl/>
        <w:shd w:val="clear" w:color="000000" w:fill="FFFFFF"/>
        <w:kinsoku/>
        <w:wordWrap/>
        <w:overflowPunct/>
        <w:topLinePunct w:val="0"/>
        <w:autoSpaceDE/>
        <w:autoSpaceDN/>
        <w:bidi w:val="0"/>
        <w:adjustRightInd/>
        <w:snapToGrid/>
        <w:spacing w:line="540" w:lineRule="exact"/>
        <w:ind w:firstLine="640" w:firstLineChars="200"/>
        <w:rPr>
          <w:rFonts w:ascii="黑体" w:hAnsi="黑体" w:eastAsia="黑体" w:cs="仿宋"/>
          <w:sz w:val="32"/>
          <w:highlight w:val="none"/>
        </w:rPr>
      </w:pPr>
      <w:r>
        <w:rPr>
          <w:rFonts w:hint="eastAsia" w:ascii="黑体" w:hAnsi="黑体" w:eastAsia="黑体" w:cs="Times New Roman"/>
          <w:kern w:val="0"/>
          <w:sz w:val="32"/>
          <w:szCs w:val="32"/>
          <w:highlight w:val="none"/>
        </w:rPr>
        <w:t>六、本通知自发布之日起实施，房屋建筑和市政基础设施工程招标公告、招标文件未发布的一律按此通知执行。</w:t>
      </w:r>
    </w:p>
    <w:p>
      <w:pPr>
        <w:keepNext w:val="0"/>
        <w:keepLines w:val="0"/>
        <w:pageBreakBefore w:val="0"/>
        <w:widowControl/>
        <w:shd w:val="clear" w:color="000000" w:fill="FFFFFF"/>
        <w:kinsoku/>
        <w:wordWrap/>
        <w:overflowPunct/>
        <w:topLinePunct w:val="0"/>
        <w:autoSpaceDE/>
        <w:autoSpaceDN/>
        <w:bidi w:val="0"/>
        <w:adjustRightInd/>
        <w:snapToGrid/>
        <w:spacing w:line="540" w:lineRule="exact"/>
        <w:ind w:firstLine="640" w:firstLineChars="200"/>
        <w:rPr>
          <w:rFonts w:ascii="黑体" w:hAnsi="黑体" w:eastAsia="黑体" w:cs="Times New Roman"/>
          <w:kern w:val="0"/>
          <w:sz w:val="32"/>
          <w:szCs w:val="32"/>
          <w:highlight w:val="none"/>
        </w:rPr>
      </w:pPr>
    </w:p>
    <w:p>
      <w:pPr>
        <w:keepNext w:val="0"/>
        <w:keepLines w:val="0"/>
        <w:pageBreakBefore w:val="0"/>
        <w:widowControl/>
        <w:shd w:val="clear" w:color="000000" w:fill="FFFFFF"/>
        <w:kinsoku/>
        <w:wordWrap/>
        <w:overflowPunct/>
        <w:topLinePunct w:val="0"/>
        <w:autoSpaceDE/>
        <w:autoSpaceDN/>
        <w:bidi w:val="0"/>
        <w:adjustRightInd/>
        <w:snapToGrid/>
        <w:spacing w:line="540" w:lineRule="exact"/>
        <w:ind w:firstLine="640" w:firstLineChars="200"/>
        <w:rPr>
          <w:rFonts w:ascii="仿宋_GB2312" w:hAnsi="黑体" w:eastAsia="仿宋_GB2312" w:cs="Times New Roman"/>
          <w:kern w:val="0"/>
          <w:sz w:val="32"/>
          <w:szCs w:val="32"/>
          <w:highlight w:val="none"/>
        </w:rPr>
      </w:pPr>
      <w:r>
        <w:rPr>
          <w:rFonts w:hint="eastAsia" w:ascii="仿宋_GB2312" w:hAnsi="黑体" w:eastAsia="仿宋_GB2312" w:cs="Times New Roman"/>
          <w:kern w:val="0"/>
          <w:sz w:val="32"/>
          <w:szCs w:val="32"/>
          <w:highlight w:val="none"/>
        </w:rPr>
        <w:t>附件：</w:t>
      </w:r>
      <w:bookmarkStart w:id="46" w:name="OLE_LINK16"/>
      <w:bookmarkStart w:id="47" w:name="OLE_LINK17"/>
      <w:r>
        <w:rPr>
          <w:rFonts w:hint="eastAsia" w:ascii="仿宋_GB2312" w:hAnsi="黑体" w:eastAsia="仿宋_GB2312" w:cs="Times New Roman"/>
          <w:kern w:val="0"/>
          <w:sz w:val="32"/>
          <w:szCs w:val="32"/>
          <w:highlight w:val="none"/>
        </w:rPr>
        <w:t>施工承包单位承诺书</w:t>
      </w:r>
      <w:bookmarkEnd w:id="46"/>
      <w:bookmarkEnd w:id="47"/>
    </w:p>
    <w:p>
      <w:pPr>
        <w:keepNext w:val="0"/>
        <w:keepLines w:val="0"/>
        <w:pageBreakBefore w:val="0"/>
        <w:widowControl/>
        <w:shd w:val="clear" w:color="000000" w:fill="FFFFFF"/>
        <w:kinsoku/>
        <w:wordWrap/>
        <w:overflowPunct/>
        <w:topLinePunct w:val="0"/>
        <w:autoSpaceDE/>
        <w:autoSpaceDN/>
        <w:bidi w:val="0"/>
        <w:adjustRightInd/>
        <w:snapToGrid/>
        <w:spacing w:line="540" w:lineRule="exact"/>
        <w:ind w:left="1843" w:leftChars="268" w:hanging="1280" w:hangingChars="400"/>
        <w:rPr>
          <w:rFonts w:ascii="仿宋" w:hAnsi="仿宋" w:eastAsia="仿宋"/>
          <w:sz w:val="32"/>
          <w:szCs w:val="32"/>
          <w:highlight w:val="none"/>
        </w:rPr>
      </w:pPr>
      <w:r>
        <w:rPr>
          <w:rFonts w:hint="eastAsia" w:ascii="黑体" w:hAnsi="黑体" w:eastAsia="黑体" w:cs="Times New Roman"/>
          <w:kern w:val="0"/>
          <w:sz w:val="32"/>
          <w:szCs w:val="32"/>
          <w:highlight w:val="none"/>
        </w:rPr>
        <w:t xml:space="preserve"> </w:t>
      </w:r>
    </w:p>
    <w:p>
      <w:pPr>
        <w:keepNext w:val="0"/>
        <w:keepLines w:val="0"/>
        <w:pageBreakBefore w:val="0"/>
        <w:kinsoku/>
        <w:wordWrap/>
        <w:overflowPunct/>
        <w:topLinePunct w:val="0"/>
        <w:autoSpaceDE/>
        <w:autoSpaceDN/>
        <w:bidi w:val="0"/>
        <w:adjustRightInd/>
        <w:snapToGrid/>
        <w:spacing w:line="540" w:lineRule="exact"/>
        <w:rPr>
          <w:rFonts w:ascii="仿宋_GB2312" w:hAnsi="仿宋_GB2312" w:eastAsia="仿宋_GB2312" w:cs="仿宋_GB2312"/>
          <w:sz w:val="32"/>
          <w:szCs w:val="32"/>
          <w:highlight w:val="none"/>
        </w:rPr>
      </w:pPr>
    </w:p>
    <w:p>
      <w:pPr>
        <w:keepNext w:val="0"/>
        <w:keepLines w:val="0"/>
        <w:pageBreakBefore w:val="0"/>
        <w:kinsoku/>
        <w:wordWrap/>
        <w:overflowPunct/>
        <w:topLinePunct w:val="0"/>
        <w:autoSpaceDE/>
        <w:autoSpaceDN/>
        <w:bidi w:val="0"/>
        <w:adjustRightInd/>
        <w:snapToGrid/>
        <w:spacing w:line="540" w:lineRule="exact"/>
        <w:rPr>
          <w:rFonts w:ascii="仿宋_GB2312" w:hAnsi="仿宋_GB2312" w:eastAsia="仿宋_GB2312" w:cs="仿宋_GB2312"/>
          <w:sz w:val="32"/>
          <w:szCs w:val="32"/>
          <w:highlight w:val="none"/>
        </w:rPr>
      </w:pPr>
    </w:p>
    <w:p>
      <w:pPr>
        <w:keepNext w:val="0"/>
        <w:keepLines w:val="0"/>
        <w:pageBreakBefore w:val="0"/>
        <w:kinsoku/>
        <w:wordWrap/>
        <w:overflowPunct/>
        <w:topLinePunct w:val="0"/>
        <w:autoSpaceDE/>
        <w:autoSpaceDN/>
        <w:bidi w:val="0"/>
        <w:adjustRightInd/>
        <w:snapToGrid/>
        <w:spacing w:line="540" w:lineRule="exact"/>
        <w:jc w:val="right"/>
        <w:rPr>
          <w:rFonts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昌吉州住房和城乡建设局</w:t>
      </w:r>
    </w:p>
    <w:p>
      <w:pPr>
        <w:keepNext w:val="0"/>
        <w:keepLines w:val="0"/>
        <w:pageBreakBefore w:val="0"/>
        <w:kinsoku/>
        <w:wordWrap/>
        <w:overflowPunct/>
        <w:topLinePunct w:val="0"/>
        <w:autoSpaceDE/>
        <w:autoSpaceDN/>
        <w:bidi w:val="0"/>
        <w:adjustRightInd/>
        <w:snapToGrid/>
        <w:spacing w:line="540" w:lineRule="exact"/>
        <w:jc w:val="center"/>
        <w:rPr>
          <w:rFonts w:ascii="仿宋_GB2312" w:hAnsi="仿宋_GB2312" w:eastAsia="仿宋_GB2312" w:cs="仿宋_GB2312"/>
          <w:sz w:val="32"/>
          <w:szCs w:val="32"/>
          <w:highlight w:val="none"/>
        </w:rPr>
      </w:pPr>
      <w:r>
        <w:rPr>
          <w:rFonts w:hint="eastAsia" w:ascii="仿宋_GB2312" w:hAnsi="仿宋_GB2312" w:eastAsia="仿宋_GB2312" w:cs="仿宋_GB2312"/>
          <w:sz w:val="32"/>
          <w:highlight w:val="none"/>
        </w:rPr>
        <w:t xml:space="preserve">                                 2025年6</w:t>
      </w:r>
      <w:r>
        <w:rPr>
          <w:rFonts w:hint="eastAsia" w:ascii="仿宋_GB2312" w:hAnsi="仿宋_GB2312" w:eastAsia="仿宋_GB2312" w:cs="仿宋_GB2312"/>
          <w:sz w:val="32"/>
          <w:szCs w:val="32"/>
          <w:highlight w:val="none"/>
        </w:rPr>
        <w:t>月</w:t>
      </w:r>
      <w:r>
        <w:rPr>
          <w:rFonts w:hint="eastAsia" w:ascii="仿宋_GB2312" w:hAnsi="仿宋_GB2312" w:eastAsia="仿宋_GB2312" w:cs="仿宋_GB2312"/>
          <w:sz w:val="32"/>
          <w:szCs w:val="32"/>
          <w:highlight w:val="none"/>
          <w:lang w:val="en-US" w:eastAsia="zh-CN"/>
        </w:rPr>
        <w:t xml:space="preserve"> </w:t>
      </w:r>
      <w:r>
        <w:rPr>
          <w:rFonts w:hint="eastAsia" w:ascii="仿宋_GB2312" w:hAnsi="仿宋_GB2312" w:eastAsia="仿宋_GB2312" w:cs="仿宋_GB2312"/>
          <w:sz w:val="32"/>
          <w:szCs w:val="32"/>
          <w:highlight w:val="none"/>
        </w:rPr>
        <w:t>日</w:t>
      </w:r>
    </w:p>
    <w:p>
      <w:pPr>
        <w:keepNext w:val="0"/>
        <w:keepLines w:val="0"/>
        <w:pageBreakBefore w:val="0"/>
        <w:kinsoku/>
        <w:wordWrap/>
        <w:overflowPunct/>
        <w:topLinePunct w:val="0"/>
        <w:autoSpaceDE/>
        <w:autoSpaceDN/>
        <w:bidi w:val="0"/>
        <w:adjustRightInd/>
        <w:snapToGrid/>
        <w:spacing w:line="540" w:lineRule="exact"/>
        <w:jc w:val="both"/>
        <w:rPr>
          <w:rFonts w:ascii="仿宋_GB2312" w:hAnsi="仿宋_GB2312" w:eastAsia="仿宋_GB2312" w:cs="仿宋_GB2312"/>
          <w:sz w:val="32"/>
          <w:szCs w:val="32"/>
          <w:highlight w:val="none"/>
        </w:rPr>
      </w:pPr>
    </w:p>
    <w:p>
      <w:pPr>
        <w:keepNext w:val="0"/>
        <w:keepLines w:val="0"/>
        <w:pageBreakBefore w:val="0"/>
        <w:kinsoku/>
        <w:wordWrap/>
        <w:overflowPunct/>
        <w:topLinePunct w:val="0"/>
        <w:autoSpaceDE/>
        <w:autoSpaceDN/>
        <w:bidi w:val="0"/>
        <w:adjustRightInd/>
        <w:snapToGrid/>
        <w:spacing w:line="540" w:lineRule="exact"/>
        <w:jc w:val="left"/>
        <w:rPr>
          <w:rFonts w:ascii="仿宋_GB2312" w:hAnsi="黑体" w:eastAsia="仿宋_GB2312" w:cs="Times New Roman"/>
          <w:kern w:val="0"/>
          <w:sz w:val="32"/>
          <w:szCs w:val="32"/>
          <w:highlight w:val="none"/>
        </w:rPr>
      </w:pPr>
      <w:r>
        <w:rPr>
          <w:rFonts w:hint="eastAsia" w:ascii="仿宋_GB2312" w:hAnsi="黑体" w:eastAsia="仿宋_GB2312" w:cs="Times New Roman"/>
          <w:kern w:val="0"/>
          <w:sz w:val="32"/>
          <w:szCs w:val="32"/>
          <w:highlight w:val="none"/>
        </w:rPr>
        <w:t>附件：</w:t>
      </w:r>
    </w:p>
    <w:p>
      <w:pPr>
        <w:keepNext w:val="0"/>
        <w:keepLines w:val="0"/>
        <w:pageBreakBefore w:val="0"/>
        <w:kinsoku/>
        <w:wordWrap/>
        <w:overflowPunct/>
        <w:topLinePunct w:val="0"/>
        <w:autoSpaceDE/>
        <w:autoSpaceDN/>
        <w:bidi w:val="0"/>
        <w:adjustRightInd/>
        <w:snapToGrid/>
        <w:spacing w:line="540" w:lineRule="exact"/>
        <w:jc w:val="center"/>
        <w:rPr>
          <w:rFonts w:ascii="方正小标宋简体" w:hAnsi="仿宋_GB2312" w:eastAsia="方正小标宋简体" w:cs="仿宋_GB2312"/>
          <w:sz w:val="44"/>
          <w:szCs w:val="44"/>
          <w:highlight w:val="none"/>
        </w:rPr>
      </w:pPr>
      <w:r>
        <w:rPr>
          <w:rFonts w:hint="eastAsia" w:ascii="方正小标宋简体" w:hAnsi="黑体" w:eastAsia="方正小标宋简体" w:cs="Times New Roman"/>
          <w:kern w:val="0"/>
          <w:sz w:val="44"/>
          <w:szCs w:val="44"/>
          <w:highlight w:val="none"/>
        </w:rPr>
        <w:t>施工承包单位承诺书</w:t>
      </w:r>
    </w:p>
    <w:p>
      <w:pPr>
        <w:keepNext w:val="0"/>
        <w:keepLines w:val="0"/>
        <w:pageBreakBefore w:val="0"/>
        <w:kinsoku/>
        <w:wordWrap/>
        <w:overflowPunct/>
        <w:topLinePunct w:val="0"/>
        <w:autoSpaceDE/>
        <w:autoSpaceDN/>
        <w:bidi w:val="0"/>
        <w:adjustRightInd/>
        <w:snapToGrid/>
        <w:spacing w:line="540" w:lineRule="exact"/>
        <w:jc w:val="center"/>
        <w:rPr>
          <w:rFonts w:ascii="方正小标宋简体" w:hAnsi="仿宋_GB2312" w:eastAsia="方正小标宋简体" w:cs="仿宋_GB2312"/>
          <w:sz w:val="44"/>
          <w:szCs w:val="44"/>
          <w:highlight w:val="none"/>
        </w:rPr>
      </w:pPr>
    </w:p>
    <w:p>
      <w:pPr>
        <w:keepNext w:val="0"/>
        <w:keepLines w:val="0"/>
        <w:pageBreakBefore w:val="0"/>
        <w:shd w:val="clear" w:color="auto" w:fill="FFFFFF"/>
        <w:kinsoku/>
        <w:wordWrap/>
        <w:overflowPunct/>
        <w:topLinePunct w:val="0"/>
        <w:autoSpaceDE/>
        <w:autoSpaceDN/>
        <w:bidi w:val="0"/>
        <w:adjustRightInd/>
        <w:snapToGrid/>
        <w:spacing w:line="540" w:lineRule="exact"/>
        <w:rPr>
          <w:rFonts w:ascii="仿宋_GB2312" w:hAnsi="Arial" w:eastAsia="仿宋_GB2312" w:cs="Arial"/>
          <w:kern w:val="0"/>
          <w:sz w:val="32"/>
          <w:szCs w:val="32"/>
          <w:highlight w:val="none"/>
        </w:rPr>
      </w:pPr>
      <w:r>
        <w:rPr>
          <w:rFonts w:hint="eastAsia" w:ascii="仿宋" w:hAnsi="仿宋" w:eastAsia="仿宋"/>
          <w:b/>
          <w:sz w:val="32"/>
          <w:szCs w:val="32"/>
          <w:highlight w:val="none"/>
        </w:rPr>
        <w:t xml:space="preserve">   </w:t>
      </w:r>
      <w:r>
        <w:rPr>
          <w:rFonts w:hint="eastAsia" w:ascii="仿宋_GB2312" w:hAnsi="仿宋" w:eastAsia="仿宋_GB2312"/>
          <w:b/>
          <w:sz w:val="32"/>
          <w:szCs w:val="32"/>
          <w:highlight w:val="none"/>
        </w:rPr>
        <w:t xml:space="preserve"> </w:t>
      </w:r>
      <w:r>
        <w:rPr>
          <w:rFonts w:hint="eastAsia" w:ascii="仿宋_GB2312" w:hAnsi="Arial" w:eastAsia="仿宋_GB2312" w:cs="Arial"/>
          <w:kern w:val="0"/>
          <w:sz w:val="32"/>
          <w:szCs w:val="32"/>
          <w:highlight w:val="none"/>
        </w:rPr>
        <w:t>我单位承诺：严格落实《保障农民工工资支付条例》等相关法律、法规相关规定，该项目施工以后</w:t>
      </w:r>
      <w:r>
        <w:rPr>
          <w:rFonts w:hint="eastAsia" w:ascii="仿宋_GB2312" w:hAnsi="Courier New" w:eastAsia="仿宋_GB2312" w:cs="Courier New"/>
          <w:kern w:val="0"/>
          <w:sz w:val="32"/>
          <w:szCs w:val="32"/>
          <w:highlight w:val="none"/>
        </w:rPr>
        <w:t>20</w:t>
      </w:r>
      <w:r>
        <w:rPr>
          <w:rFonts w:hint="eastAsia" w:ascii="仿宋_GB2312" w:hAnsi="Arial" w:eastAsia="仿宋_GB2312" w:cs="Arial"/>
          <w:kern w:val="0"/>
          <w:sz w:val="32"/>
          <w:szCs w:val="32"/>
          <w:highlight w:val="none"/>
        </w:rPr>
        <w:t>日内，保证将农民工工资保证金、农民工工资专用账户、实名制管理、</w:t>
      </w:r>
      <w:bookmarkStart w:id="48" w:name="_GoBack"/>
      <w:bookmarkEnd w:id="48"/>
      <w:r>
        <w:rPr>
          <w:rFonts w:hint="eastAsia" w:ascii="仿宋_GB2312" w:hAnsi="Arial" w:eastAsia="仿宋_GB2312" w:cs="Arial"/>
          <w:kern w:val="0"/>
          <w:sz w:val="32"/>
          <w:szCs w:val="32"/>
          <w:highlight w:val="none"/>
        </w:rPr>
        <w:t>总包单位代发工资、维权信息公示等制度落实到位，并保证本项目所有劳动者工资按月足额支付到位并按项目参加工伤保险，分包单位拖欠农民工工资的，我单位依法先行清偿。如有违反承诺的情形，我单位愿意接受有关部门依照有关规定作出的处理或处罚决定。</w:t>
      </w:r>
    </w:p>
    <w:p>
      <w:pPr>
        <w:keepNext w:val="0"/>
        <w:keepLines w:val="0"/>
        <w:pageBreakBefore w:val="0"/>
        <w:widowControl/>
        <w:shd w:val="clear" w:color="auto" w:fill="FFFFFF"/>
        <w:kinsoku/>
        <w:wordWrap/>
        <w:overflowPunct/>
        <w:topLinePunct w:val="0"/>
        <w:autoSpaceDE/>
        <w:autoSpaceDN/>
        <w:bidi w:val="0"/>
        <w:adjustRightInd/>
        <w:snapToGrid/>
        <w:spacing w:line="540" w:lineRule="exact"/>
        <w:ind w:firstLine="640" w:firstLineChars="200"/>
        <w:jc w:val="left"/>
        <w:rPr>
          <w:rFonts w:ascii="仿宋_GB2312" w:hAnsi="Arial" w:eastAsia="仿宋_GB2312" w:cs="Arial"/>
          <w:kern w:val="0"/>
          <w:sz w:val="32"/>
          <w:szCs w:val="32"/>
          <w:highlight w:val="none"/>
          <w:u w:val="single"/>
        </w:rPr>
      </w:pPr>
      <w:r>
        <w:rPr>
          <w:rFonts w:hint="eastAsia" w:ascii="仿宋_GB2312" w:hAnsi="Arial" w:eastAsia="仿宋_GB2312" w:cs="Arial"/>
          <w:kern w:val="0"/>
          <w:sz w:val="32"/>
          <w:szCs w:val="32"/>
          <w:highlight w:val="none"/>
        </w:rPr>
        <w:t>单位法定代表人：</w:t>
      </w:r>
      <w:r>
        <w:rPr>
          <w:rFonts w:hint="eastAsia" w:ascii="仿宋_GB2312" w:hAnsi="Arial" w:eastAsia="仿宋_GB2312" w:cs="Arial"/>
          <w:kern w:val="0"/>
          <w:sz w:val="32"/>
          <w:szCs w:val="32"/>
          <w:highlight w:val="none"/>
          <w:u w:val="single"/>
        </w:rPr>
        <w:t xml:space="preserve">                               </w:t>
      </w:r>
    </w:p>
    <w:p>
      <w:pPr>
        <w:keepNext w:val="0"/>
        <w:keepLines w:val="0"/>
        <w:pageBreakBefore w:val="0"/>
        <w:widowControl/>
        <w:shd w:val="clear" w:color="auto" w:fill="FFFFFF"/>
        <w:kinsoku/>
        <w:wordWrap/>
        <w:overflowPunct/>
        <w:topLinePunct w:val="0"/>
        <w:autoSpaceDE/>
        <w:autoSpaceDN/>
        <w:bidi w:val="0"/>
        <w:adjustRightInd/>
        <w:snapToGrid/>
        <w:spacing w:line="540" w:lineRule="exact"/>
        <w:ind w:firstLine="640" w:firstLineChars="200"/>
        <w:jc w:val="left"/>
        <w:rPr>
          <w:rFonts w:ascii="仿宋_GB2312" w:hAnsi="Arial" w:eastAsia="仿宋_GB2312" w:cs="Arial"/>
          <w:kern w:val="0"/>
          <w:sz w:val="32"/>
          <w:szCs w:val="32"/>
          <w:highlight w:val="none"/>
          <w:u w:val="single"/>
        </w:rPr>
      </w:pPr>
      <w:r>
        <w:rPr>
          <w:rFonts w:hint="eastAsia" w:ascii="仿宋_GB2312" w:hAnsi="Arial" w:eastAsia="仿宋_GB2312" w:cs="Arial"/>
          <w:kern w:val="0"/>
          <w:sz w:val="32"/>
          <w:szCs w:val="32"/>
          <w:highlight w:val="none"/>
        </w:rPr>
        <w:t>及联系电话：</w:t>
      </w:r>
      <w:r>
        <w:rPr>
          <w:rFonts w:hint="eastAsia" w:ascii="仿宋_GB2312" w:hAnsi="Arial" w:eastAsia="仿宋_GB2312" w:cs="Arial"/>
          <w:kern w:val="0"/>
          <w:sz w:val="32"/>
          <w:szCs w:val="32"/>
          <w:highlight w:val="none"/>
          <w:u w:val="single"/>
        </w:rPr>
        <w:t xml:space="preserve">                                   </w:t>
      </w:r>
    </w:p>
    <w:p>
      <w:pPr>
        <w:keepNext w:val="0"/>
        <w:keepLines w:val="0"/>
        <w:pageBreakBefore w:val="0"/>
        <w:widowControl/>
        <w:shd w:val="clear" w:color="auto" w:fill="FFFFFF"/>
        <w:kinsoku/>
        <w:wordWrap/>
        <w:overflowPunct/>
        <w:topLinePunct w:val="0"/>
        <w:autoSpaceDE/>
        <w:autoSpaceDN/>
        <w:bidi w:val="0"/>
        <w:adjustRightInd/>
        <w:snapToGrid/>
        <w:spacing w:line="540" w:lineRule="exact"/>
        <w:ind w:firstLine="640" w:firstLineChars="200"/>
        <w:jc w:val="left"/>
        <w:rPr>
          <w:rFonts w:ascii="仿宋_GB2312" w:hAnsi="Arial" w:eastAsia="仿宋_GB2312" w:cs="Arial"/>
          <w:kern w:val="0"/>
          <w:sz w:val="32"/>
          <w:szCs w:val="32"/>
          <w:highlight w:val="none"/>
          <w:u w:val="single"/>
        </w:rPr>
      </w:pPr>
      <w:r>
        <w:rPr>
          <w:rFonts w:hint="eastAsia" w:ascii="仿宋_GB2312" w:hAnsi="Arial" w:eastAsia="仿宋_GB2312" w:cs="Arial"/>
          <w:kern w:val="0"/>
          <w:sz w:val="32"/>
          <w:szCs w:val="32"/>
          <w:highlight w:val="none"/>
        </w:rPr>
        <w:t>我单位本项目经理（委托负责处理相关工资纠纷并代表我单位签收行政部门相关法律文书）：</w:t>
      </w:r>
      <w:r>
        <w:rPr>
          <w:rFonts w:hint="eastAsia" w:ascii="仿宋_GB2312" w:hAnsi="Arial" w:eastAsia="仿宋_GB2312" w:cs="Arial"/>
          <w:kern w:val="0"/>
          <w:sz w:val="32"/>
          <w:szCs w:val="32"/>
          <w:highlight w:val="none"/>
          <w:u w:val="single"/>
        </w:rPr>
        <w:t xml:space="preserve">                     </w:t>
      </w:r>
    </w:p>
    <w:p>
      <w:pPr>
        <w:keepNext w:val="0"/>
        <w:keepLines w:val="0"/>
        <w:pageBreakBefore w:val="0"/>
        <w:widowControl/>
        <w:shd w:val="clear" w:color="auto" w:fill="FFFFFF"/>
        <w:kinsoku/>
        <w:wordWrap/>
        <w:overflowPunct/>
        <w:topLinePunct w:val="0"/>
        <w:autoSpaceDE/>
        <w:autoSpaceDN/>
        <w:bidi w:val="0"/>
        <w:adjustRightInd/>
        <w:snapToGrid/>
        <w:spacing w:line="540" w:lineRule="exact"/>
        <w:ind w:firstLine="640" w:firstLineChars="200"/>
        <w:jc w:val="left"/>
        <w:rPr>
          <w:rFonts w:ascii="仿宋_GB2312" w:hAnsi="Arial" w:eastAsia="仿宋_GB2312" w:cs="Arial"/>
          <w:kern w:val="0"/>
          <w:sz w:val="32"/>
          <w:szCs w:val="32"/>
          <w:highlight w:val="none"/>
          <w:u w:val="single"/>
        </w:rPr>
      </w:pPr>
      <w:r>
        <w:rPr>
          <w:rFonts w:hint="eastAsia" w:ascii="仿宋_GB2312" w:hAnsi="Arial" w:eastAsia="仿宋_GB2312" w:cs="Arial"/>
          <w:kern w:val="0"/>
          <w:sz w:val="32"/>
          <w:szCs w:val="32"/>
          <w:highlight w:val="none"/>
        </w:rPr>
        <w:t>联系方式：</w:t>
      </w:r>
      <w:r>
        <w:rPr>
          <w:rFonts w:hint="eastAsia" w:ascii="仿宋_GB2312" w:hAnsi="Arial" w:eastAsia="仿宋_GB2312" w:cs="Arial"/>
          <w:kern w:val="0"/>
          <w:sz w:val="32"/>
          <w:szCs w:val="32"/>
          <w:highlight w:val="none"/>
          <w:u w:val="single"/>
        </w:rPr>
        <w:t xml:space="preserve">                                     </w:t>
      </w:r>
    </w:p>
    <w:p>
      <w:pPr>
        <w:keepNext w:val="0"/>
        <w:keepLines w:val="0"/>
        <w:pageBreakBefore w:val="0"/>
        <w:widowControl/>
        <w:shd w:val="clear" w:color="auto" w:fill="FFFFFF"/>
        <w:kinsoku/>
        <w:wordWrap/>
        <w:overflowPunct/>
        <w:topLinePunct w:val="0"/>
        <w:autoSpaceDE/>
        <w:autoSpaceDN/>
        <w:bidi w:val="0"/>
        <w:adjustRightInd/>
        <w:snapToGrid/>
        <w:spacing w:line="540" w:lineRule="exact"/>
        <w:ind w:firstLine="640" w:firstLineChars="200"/>
        <w:jc w:val="left"/>
        <w:rPr>
          <w:rFonts w:ascii="仿宋_GB2312" w:hAnsi="Arial" w:eastAsia="仿宋_GB2312" w:cs="Arial"/>
          <w:kern w:val="0"/>
          <w:sz w:val="32"/>
          <w:szCs w:val="32"/>
          <w:highlight w:val="none"/>
          <w:u w:val="single"/>
        </w:rPr>
      </w:pPr>
      <w:r>
        <w:rPr>
          <w:rFonts w:hint="eastAsia" w:ascii="仿宋_GB2312" w:hAnsi="Arial" w:eastAsia="仿宋_GB2312" w:cs="Arial"/>
          <w:kern w:val="0"/>
          <w:sz w:val="32"/>
          <w:szCs w:val="32"/>
          <w:highlight w:val="none"/>
        </w:rPr>
        <w:t>本单位确认实际地址：</w:t>
      </w:r>
      <w:r>
        <w:rPr>
          <w:rFonts w:hint="eastAsia" w:ascii="仿宋_GB2312" w:hAnsi="Arial" w:eastAsia="仿宋_GB2312" w:cs="Arial"/>
          <w:kern w:val="0"/>
          <w:sz w:val="32"/>
          <w:szCs w:val="32"/>
          <w:highlight w:val="none"/>
          <w:u w:val="single"/>
        </w:rPr>
        <w:t xml:space="preserve">                                </w:t>
      </w:r>
    </w:p>
    <w:p>
      <w:pPr>
        <w:keepNext w:val="0"/>
        <w:keepLines w:val="0"/>
        <w:pageBreakBefore w:val="0"/>
        <w:widowControl/>
        <w:shd w:val="clear" w:color="auto" w:fill="FFFFFF"/>
        <w:kinsoku/>
        <w:wordWrap/>
        <w:overflowPunct/>
        <w:topLinePunct w:val="0"/>
        <w:autoSpaceDE/>
        <w:autoSpaceDN/>
        <w:bidi w:val="0"/>
        <w:adjustRightInd/>
        <w:snapToGrid/>
        <w:spacing w:line="540" w:lineRule="exact"/>
        <w:jc w:val="left"/>
        <w:rPr>
          <w:rFonts w:ascii="仿宋_GB2312" w:hAnsi="Arial" w:eastAsia="仿宋_GB2312" w:cs="Arial"/>
          <w:kern w:val="0"/>
          <w:sz w:val="32"/>
          <w:szCs w:val="32"/>
          <w:highlight w:val="none"/>
        </w:rPr>
      </w:pPr>
      <w:r>
        <w:rPr>
          <w:rFonts w:hint="eastAsia" w:ascii="仿宋_GB2312" w:hAnsi="Arial" w:eastAsia="仿宋_GB2312" w:cs="Arial"/>
          <w:kern w:val="0"/>
          <w:sz w:val="32"/>
          <w:szCs w:val="32"/>
          <w:highlight w:val="none"/>
        </w:rPr>
        <w:t>（本地址为我单位确认的行政部门、公安、法院通过邮寄等方式接收相关法律文书地址，如因地址变更未书面告知行政部门、公安、法院造成文书退回的，视为已送达本单位。）</w:t>
      </w:r>
    </w:p>
    <w:p>
      <w:pPr>
        <w:keepNext w:val="0"/>
        <w:keepLines w:val="0"/>
        <w:pageBreakBefore w:val="0"/>
        <w:widowControl/>
        <w:shd w:val="clear" w:color="auto" w:fill="FFFFFF"/>
        <w:kinsoku/>
        <w:wordWrap/>
        <w:overflowPunct/>
        <w:topLinePunct w:val="0"/>
        <w:autoSpaceDE/>
        <w:autoSpaceDN/>
        <w:bidi w:val="0"/>
        <w:adjustRightInd/>
        <w:snapToGrid/>
        <w:spacing w:line="540" w:lineRule="exact"/>
        <w:ind w:firstLine="640" w:firstLineChars="200"/>
        <w:jc w:val="left"/>
        <w:rPr>
          <w:rFonts w:ascii="仿宋_GB2312" w:hAnsi="Arial" w:eastAsia="仿宋_GB2312" w:cs="Arial"/>
          <w:kern w:val="0"/>
          <w:sz w:val="32"/>
          <w:szCs w:val="32"/>
          <w:highlight w:val="none"/>
        </w:rPr>
      </w:pPr>
    </w:p>
    <w:p>
      <w:pPr>
        <w:keepNext w:val="0"/>
        <w:keepLines w:val="0"/>
        <w:pageBreakBefore w:val="0"/>
        <w:widowControl/>
        <w:shd w:val="clear" w:color="auto" w:fill="FFFFFF"/>
        <w:kinsoku/>
        <w:wordWrap/>
        <w:overflowPunct/>
        <w:topLinePunct w:val="0"/>
        <w:autoSpaceDE/>
        <w:autoSpaceDN/>
        <w:bidi w:val="0"/>
        <w:adjustRightInd/>
        <w:snapToGrid/>
        <w:spacing w:line="540" w:lineRule="exact"/>
        <w:ind w:firstLine="4160" w:firstLineChars="1300"/>
        <w:jc w:val="left"/>
        <w:rPr>
          <w:rFonts w:ascii="仿宋_GB2312" w:hAnsi="Arial" w:eastAsia="仿宋_GB2312" w:cs="Arial"/>
          <w:kern w:val="0"/>
          <w:sz w:val="32"/>
          <w:szCs w:val="32"/>
          <w:highlight w:val="none"/>
        </w:rPr>
      </w:pPr>
      <w:r>
        <w:rPr>
          <w:rFonts w:hint="eastAsia" w:ascii="仿宋_GB2312" w:hAnsi="Arial" w:eastAsia="仿宋_GB2312" w:cs="Arial"/>
          <w:kern w:val="0"/>
          <w:sz w:val="32"/>
          <w:szCs w:val="32"/>
          <w:highlight w:val="none"/>
        </w:rPr>
        <w:t>单位名称（签章）</w:t>
      </w:r>
    </w:p>
    <w:p>
      <w:pPr>
        <w:keepNext w:val="0"/>
        <w:keepLines w:val="0"/>
        <w:pageBreakBefore w:val="0"/>
        <w:widowControl/>
        <w:shd w:val="clear" w:color="auto" w:fill="FFFFFF"/>
        <w:kinsoku/>
        <w:wordWrap/>
        <w:overflowPunct/>
        <w:topLinePunct w:val="0"/>
        <w:autoSpaceDE/>
        <w:autoSpaceDN/>
        <w:bidi w:val="0"/>
        <w:adjustRightInd/>
        <w:snapToGrid/>
        <w:spacing w:line="540" w:lineRule="exact"/>
        <w:ind w:firstLine="4800" w:firstLineChars="1500"/>
        <w:jc w:val="left"/>
        <w:rPr>
          <w:rFonts w:ascii="仿宋_GB2312" w:hAnsi="Arial" w:eastAsia="仿宋_GB2312" w:cs="Arial"/>
          <w:kern w:val="0"/>
          <w:sz w:val="32"/>
          <w:szCs w:val="32"/>
          <w:highlight w:val="none"/>
        </w:rPr>
      </w:pPr>
      <w:r>
        <w:rPr>
          <w:rFonts w:ascii="仿宋_GB2312" w:hAnsi="Arial" w:eastAsia="仿宋_GB2312" w:cs="Arial"/>
          <w:kern w:val="0"/>
          <w:sz w:val="32"/>
          <w:szCs w:val="32"/>
          <w:highlight w:val="none"/>
        </w:rPr>
        <w:t>年</w:t>
      </w:r>
      <w:r>
        <w:rPr>
          <w:rFonts w:hint="eastAsia" w:ascii="仿宋_GB2312" w:hAnsi="Arial" w:eastAsia="仿宋_GB2312" w:cs="Arial"/>
          <w:kern w:val="0"/>
          <w:sz w:val="32"/>
          <w:szCs w:val="32"/>
          <w:highlight w:val="none"/>
        </w:rPr>
        <w:t xml:space="preserve">   </w:t>
      </w:r>
      <w:r>
        <w:rPr>
          <w:rFonts w:ascii="仿宋_GB2312" w:hAnsi="Arial" w:eastAsia="仿宋_GB2312" w:cs="Arial"/>
          <w:kern w:val="0"/>
          <w:sz w:val="32"/>
          <w:szCs w:val="32"/>
          <w:highlight w:val="none"/>
        </w:rPr>
        <w:t>月</w:t>
      </w:r>
      <w:r>
        <w:rPr>
          <w:rFonts w:hint="eastAsia" w:ascii="仿宋_GB2312" w:hAnsi="Arial" w:eastAsia="仿宋_GB2312" w:cs="Arial"/>
          <w:kern w:val="0"/>
          <w:sz w:val="32"/>
          <w:szCs w:val="32"/>
          <w:highlight w:val="none"/>
        </w:rPr>
        <w:t xml:space="preserve">   </w:t>
      </w:r>
      <w:r>
        <w:rPr>
          <w:rFonts w:ascii="仿宋_GB2312" w:hAnsi="Arial" w:eastAsia="仿宋_GB2312" w:cs="Arial"/>
          <w:kern w:val="0"/>
          <w:sz w:val="32"/>
          <w:szCs w:val="32"/>
          <w:highlight w:val="none"/>
        </w:rPr>
        <w:t>日</w:t>
      </w:r>
    </w:p>
    <w:sectPr>
      <w:headerReference r:id="rId3" w:type="default"/>
      <w:footerReference r:id="rId5" w:type="default"/>
      <w:headerReference r:id="rId4" w:type="even"/>
      <w:type w:val="continuous"/>
      <w:pgSz w:w="11906" w:h="16838"/>
      <w:pgMar w:top="2098" w:right="1531" w:bottom="1984" w:left="1531"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_GBK">
    <w:panose1 w:val="03000509000000000000"/>
    <w:charset w:val="86"/>
    <w:family w:val="roma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 w:name="方正小标宋简体">
    <w:altName w:val="仿宋_GB2312"/>
    <w:panose1 w:val="03000509000000000000"/>
    <w:charset w:val="86"/>
    <w:family w:val="script"/>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rPr>
                              <w:rFonts w:ascii="宋体" w:hAnsi="宋体" w:eastAsia="宋体" w:cs="宋体"/>
                              <w:color w:val="000000"/>
                              <w:sz w:val="28"/>
                              <w:szCs w:val="28"/>
                            </w:rPr>
                          </w:pPr>
                          <w:r>
                            <w:rPr>
                              <w:rFonts w:hint="eastAsia" w:ascii="宋体" w:hAnsi="宋体" w:eastAsia="宋体" w:cs="宋体"/>
                              <w:color w:val="000000"/>
                              <w:sz w:val="28"/>
                              <w:szCs w:val="28"/>
                            </w:rPr>
                            <w:t xml:space="preserve">— </w:t>
                          </w:r>
                          <w:r>
                            <w:rPr>
                              <w:rFonts w:hint="eastAsia" w:ascii="宋体" w:hAnsi="宋体" w:eastAsia="宋体" w:cs="宋体"/>
                              <w:color w:val="000000"/>
                              <w:sz w:val="28"/>
                              <w:szCs w:val="28"/>
                            </w:rPr>
                            <w:fldChar w:fldCharType="begin"/>
                          </w:r>
                          <w:r>
                            <w:rPr>
                              <w:rFonts w:hint="eastAsia" w:ascii="宋体" w:hAnsi="宋体" w:eastAsia="宋体" w:cs="宋体"/>
                              <w:color w:val="000000"/>
                              <w:sz w:val="28"/>
                              <w:szCs w:val="28"/>
                            </w:rPr>
                            <w:instrText xml:space="preserve"> PAGE  \* MERGEFORMAT </w:instrText>
                          </w:r>
                          <w:r>
                            <w:rPr>
                              <w:rFonts w:hint="eastAsia" w:ascii="宋体" w:hAnsi="宋体" w:eastAsia="宋体" w:cs="宋体"/>
                              <w:color w:val="000000"/>
                              <w:sz w:val="28"/>
                              <w:szCs w:val="28"/>
                            </w:rPr>
                            <w:fldChar w:fldCharType="separate"/>
                          </w:r>
                          <w:r>
                            <w:rPr>
                              <w:rFonts w:ascii="宋体" w:hAnsi="宋体" w:eastAsia="宋体" w:cs="宋体"/>
                              <w:color w:val="000000"/>
                              <w:sz w:val="28"/>
                              <w:szCs w:val="28"/>
                            </w:rPr>
                            <w:t>8</w:t>
                          </w:r>
                          <w:r>
                            <w:rPr>
                              <w:rFonts w:hint="eastAsia" w:ascii="宋体" w:hAnsi="宋体" w:eastAsia="宋体" w:cs="宋体"/>
                              <w:color w:val="000000"/>
                              <w:sz w:val="28"/>
                              <w:szCs w:val="28"/>
                            </w:rPr>
                            <w:fldChar w:fldCharType="end"/>
                          </w:r>
                          <w:r>
                            <w:rPr>
                              <w:rFonts w:hint="eastAsia" w:ascii="宋体" w:hAnsi="宋体" w:eastAsia="宋体" w:cs="宋体"/>
                              <w:color w:val="000000"/>
                              <w:sz w:val="28"/>
                              <w:szCs w:val="28"/>
                            </w:rP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CzSVju0AAAAAUBAAAPAAAAAAAAAAEAIAAAACIAAABk&#10;cnMvZG93bnJldi54bWxQSwECFAAUAAAACACHTuJA+k7mmg4CAAAHBAAADgAAAAAAAAABACAAAAAf&#10;AQAAZHJzL2Uyb0RvYy54bWxQSwUGAAAAAAYABgBZAQAAnwUAAAAA&#10;">
              <v:fill on="f" focussize="0,0"/>
              <v:stroke on="f" weight="0.5pt"/>
              <v:imagedata o:title=""/>
              <o:lock v:ext="edit" aspectratio="f"/>
              <v:textbox inset="0mm,0mm,0mm,0mm" style="mso-fit-shape-to-text:t;">
                <w:txbxContent>
                  <w:p>
                    <w:pPr>
                      <w:pStyle w:val="4"/>
                      <w:rPr>
                        <w:rFonts w:ascii="宋体" w:hAnsi="宋体" w:eastAsia="宋体" w:cs="宋体"/>
                        <w:color w:val="000000"/>
                        <w:sz w:val="28"/>
                        <w:szCs w:val="28"/>
                      </w:rPr>
                    </w:pPr>
                    <w:r>
                      <w:rPr>
                        <w:rFonts w:hint="eastAsia" w:ascii="宋体" w:hAnsi="宋体" w:eastAsia="宋体" w:cs="宋体"/>
                        <w:color w:val="000000"/>
                        <w:sz w:val="28"/>
                        <w:szCs w:val="28"/>
                      </w:rPr>
                      <w:t xml:space="preserve">— </w:t>
                    </w:r>
                    <w:r>
                      <w:rPr>
                        <w:rFonts w:hint="eastAsia" w:ascii="宋体" w:hAnsi="宋体" w:eastAsia="宋体" w:cs="宋体"/>
                        <w:color w:val="000000"/>
                        <w:sz w:val="28"/>
                        <w:szCs w:val="28"/>
                      </w:rPr>
                      <w:fldChar w:fldCharType="begin"/>
                    </w:r>
                    <w:r>
                      <w:rPr>
                        <w:rFonts w:hint="eastAsia" w:ascii="宋体" w:hAnsi="宋体" w:eastAsia="宋体" w:cs="宋体"/>
                        <w:color w:val="000000"/>
                        <w:sz w:val="28"/>
                        <w:szCs w:val="28"/>
                      </w:rPr>
                      <w:instrText xml:space="preserve"> PAGE  \* MERGEFORMAT </w:instrText>
                    </w:r>
                    <w:r>
                      <w:rPr>
                        <w:rFonts w:hint="eastAsia" w:ascii="宋体" w:hAnsi="宋体" w:eastAsia="宋体" w:cs="宋体"/>
                        <w:color w:val="000000"/>
                        <w:sz w:val="28"/>
                        <w:szCs w:val="28"/>
                      </w:rPr>
                      <w:fldChar w:fldCharType="separate"/>
                    </w:r>
                    <w:r>
                      <w:rPr>
                        <w:rFonts w:ascii="宋体" w:hAnsi="宋体" w:eastAsia="宋体" w:cs="宋体"/>
                        <w:color w:val="000000"/>
                        <w:sz w:val="28"/>
                        <w:szCs w:val="28"/>
                      </w:rPr>
                      <w:t>8</w:t>
                    </w:r>
                    <w:r>
                      <w:rPr>
                        <w:rFonts w:hint="eastAsia" w:ascii="宋体" w:hAnsi="宋体" w:eastAsia="宋体" w:cs="宋体"/>
                        <w:color w:val="000000"/>
                        <w:sz w:val="28"/>
                        <w:szCs w:val="28"/>
                      </w:rPr>
                      <w:fldChar w:fldCharType="end"/>
                    </w:r>
                    <w:r>
                      <w:rPr>
                        <w:rFonts w:hint="eastAsia" w:ascii="宋体" w:hAnsi="宋体" w:eastAsia="宋体" w:cs="宋体"/>
                        <w:color w:val="000000"/>
                        <w:sz w:val="28"/>
                        <w:szCs w:val="28"/>
                      </w:rPr>
                      <w:t xml:space="preserve">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0B1F"/>
    <w:rsid w:val="00000DB6"/>
    <w:rsid w:val="00004F2E"/>
    <w:rsid w:val="0001630F"/>
    <w:rsid w:val="00022B6C"/>
    <w:rsid w:val="00041654"/>
    <w:rsid w:val="0004601D"/>
    <w:rsid w:val="00047A5E"/>
    <w:rsid w:val="00055CA6"/>
    <w:rsid w:val="0005621F"/>
    <w:rsid w:val="00056888"/>
    <w:rsid w:val="000578ED"/>
    <w:rsid w:val="00061CB5"/>
    <w:rsid w:val="000641E5"/>
    <w:rsid w:val="000660C0"/>
    <w:rsid w:val="000745A6"/>
    <w:rsid w:val="00080D4D"/>
    <w:rsid w:val="00081B89"/>
    <w:rsid w:val="00082608"/>
    <w:rsid w:val="000877BA"/>
    <w:rsid w:val="000903D4"/>
    <w:rsid w:val="00090A2B"/>
    <w:rsid w:val="00090D2F"/>
    <w:rsid w:val="000A0542"/>
    <w:rsid w:val="000A1F12"/>
    <w:rsid w:val="000A26CF"/>
    <w:rsid w:val="000A6E0A"/>
    <w:rsid w:val="000A6EEA"/>
    <w:rsid w:val="000C08A2"/>
    <w:rsid w:val="000C5287"/>
    <w:rsid w:val="000D1578"/>
    <w:rsid w:val="000D32B2"/>
    <w:rsid w:val="000D43AE"/>
    <w:rsid w:val="000D4838"/>
    <w:rsid w:val="000E2F13"/>
    <w:rsid w:val="000E693B"/>
    <w:rsid w:val="000F148E"/>
    <w:rsid w:val="000F162E"/>
    <w:rsid w:val="000F23F6"/>
    <w:rsid w:val="00102866"/>
    <w:rsid w:val="001061C2"/>
    <w:rsid w:val="00110211"/>
    <w:rsid w:val="00116257"/>
    <w:rsid w:val="0012031F"/>
    <w:rsid w:val="0012588A"/>
    <w:rsid w:val="0013023E"/>
    <w:rsid w:val="001306C8"/>
    <w:rsid w:val="00157DC9"/>
    <w:rsid w:val="00165340"/>
    <w:rsid w:val="00166A3E"/>
    <w:rsid w:val="00167DE8"/>
    <w:rsid w:val="0017028A"/>
    <w:rsid w:val="001739B0"/>
    <w:rsid w:val="00184136"/>
    <w:rsid w:val="001923FC"/>
    <w:rsid w:val="001A0435"/>
    <w:rsid w:val="001B3066"/>
    <w:rsid w:val="001B42D1"/>
    <w:rsid w:val="001B6C72"/>
    <w:rsid w:val="001C1DD8"/>
    <w:rsid w:val="001C29B6"/>
    <w:rsid w:val="001C6E67"/>
    <w:rsid w:val="001D1C76"/>
    <w:rsid w:val="001D2A57"/>
    <w:rsid w:val="001D4E91"/>
    <w:rsid w:val="001E5B61"/>
    <w:rsid w:val="001F7786"/>
    <w:rsid w:val="00203B3C"/>
    <w:rsid w:val="00204EB3"/>
    <w:rsid w:val="00213E5D"/>
    <w:rsid w:val="002212CE"/>
    <w:rsid w:val="00225A47"/>
    <w:rsid w:val="00233FBD"/>
    <w:rsid w:val="00234514"/>
    <w:rsid w:val="0024462D"/>
    <w:rsid w:val="002457D9"/>
    <w:rsid w:val="00246D6A"/>
    <w:rsid w:val="00247CAF"/>
    <w:rsid w:val="00247DB8"/>
    <w:rsid w:val="002537D1"/>
    <w:rsid w:val="0025582B"/>
    <w:rsid w:val="00262FA8"/>
    <w:rsid w:val="002631AD"/>
    <w:rsid w:val="002638B4"/>
    <w:rsid w:val="0026714C"/>
    <w:rsid w:val="00270438"/>
    <w:rsid w:val="00272E12"/>
    <w:rsid w:val="0027359F"/>
    <w:rsid w:val="002766AC"/>
    <w:rsid w:val="00277CA8"/>
    <w:rsid w:val="00282B87"/>
    <w:rsid w:val="00283499"/>
    <w:rsid w:val="002848F1"/>
    <w:rsid w:val="002859E1"/>
    <w:rsid w:val="002870F7"/>
    <w:rsid w:val="0029684F"/>
    <w:rsid w:val="002A02BA"/>
    <w:rsid w:val="002A30C2"/>
    <w:rsid w:val="002A44F9"/>
    <w:rsid w:val="002A4882"/>
    <w:rsid w:val="002A77D6"/>
    <w:rsid w:val="002B6277"/>
    <w:rsid w:val="002C4F9C"/>
    <w:rsid w:val="002C6A41"/>
    <w:rsid w:val="002D65D6"/>
    <w:rsid w:val="002D6D9E"/>
    <w:rsid w:val="002D7F90"/>
    <w:rsid w:val="002E193E"/>
    <w:rsid w:val="002F08D9"/>
    <w:rsid w:val="002F27FF"/>
    <w:rsid w:val="002F34CE"/>
    <w:rsid w:val="002F44DF"/>
    <w:rsid w:val="002F7327"/>
    <w:rsid w:val="00300034"/>
    <w:rsid w:val="00300A5E"/>
    <w:rsid w:val="00301519"/>
    <w:rsid w:val="003015D7"/>
    <w:rsid w:val="00301628"/>
    <w:rsid w:val="00305E94"/>
    <w:rsid w:val="0030739F"/>
    <w:rsid w:val="003104D9"/>
    <w:rsid w:val="00312840"/>
    <w:rsid w:val="00313B96"/>
    <w:rsid w:val="00315B2A"/>
    <w:rsid w:val="003170F4"/>
    <w:rsid w:val="00323E32"/>
    <w:rsid w:val="00327749"/>
    <w:rsid w:val="00327C07"/>
    <w:rsid w:val="00335482"/>
    <w:rsid w:val="00340FBC"/>
    <w:rsid w:val="00343723"/>
    <w:rsid w:val="00346146"/>
    <w:rsid w:val="003525A8"/>
    <w:rsid w:val="00353317"/>
    <w:rsid w:val="00357291"/>
    <w:rsid w:val="00377753"/>
    <w:rsid w:val="00377F11"/>
    <w:rsid w:val="00381712"/>
    <w:rsid w:val="00381E5D"/>
    <w:rsid w:val="003825D7"/>
    <w:rsid w:val="003841B6"/>
    <w:rsid w:val="00384968"/>
    <w:rsid w:val="00386E09"/>
    <w:rsid w:val="00391DEE"/>
    <w:rsid w:val="0039279B"/>
    <w:rsid w:val="00393FE9"/>
    <w:rsid w:val="0039571C"/>
    <w:rsid w:val="00395ABC"/>
    <w:rsid w:val="003979FC"/>
    <w:rsid w:val="003A05F3"/>
    <w:rsid w:val="003A7B4F"/>
    <w:rsid w:val="003C2802"/>
    <w:rsid w:val="003C4E4C"/>
    <w:rsid w:val="003D271A"/>
    <w:rsid w:val="003D2B57"/>
    <w:rsid w:val="003D408F"/>
    <w:rsid w:val="003D6C58"/>
    <w:rsid w:val="003D7B21"/>
    <w:rsid w:val="003E24E2"/>
    <w:rsid w:val="003F22A0"/>
    <w:rsid w:val="003F488E"/>
    <w:rsid w:val="0040003B"/>
    <w:rsid w:val="00401236"/>
    <w:rsid w:val="0040285B"/>
    <w:rsid w:val="00404354"/>
    <w:rsid w:val="0041101F"/>
    <w:rsid w:val="00412C93"/>
    <w:rsid w:val="0041484A"/>
    <w:rsid w:val="00420911"/>
    <w:rsid w:val="00420D76"/>
    <w:rsid w:val="00420EA6"/>
    <w:rsid w:val="00420F10"/>
    <w:rsid w:val="00421805"/>
    <w:rsid w:val="00425ED8"/>
    <w:rsid w:val="00427370"/>
    <w:rsid w:val="00433472"/>
    <w:rsid w:val="00433F29"/>
    <w:rsid w:val="00436765"/>
    <w:rsid w:val="004509C8"/>
    <w:rsid w:val="00451711"/>
    <w:rsid w:val="00453EA4"/>
    <w:rsid w:val="00461BBE"/>
    <w:rsid w:val="00461D28"/>
    <w:rsid w:val="00462CB7"/>
    <w:rsid w:val="0046311A"/>
    <w:rsid w:val="004704A3"/>
    <w:rsid w:val="00473FF7"/>
    <w:rsid w:val="00474D56"/>
    <w:rsid w:val="004808AA"/>
    <w:rsid w:val="00480A9C"/>
    <w:rsid w:val="00484D0B"/>
    <w:rsid w:val="004857B6"/>
    <w:rsid w:val="004876E0"/>
    <w:rsid w:val="00492078"/>
    <w:rsid w:val="00493310"/>
    <w:rsid w:val="00493318"/>
    <w:rsid w:val="004A1218"/>
    <w:rsid w:val="004A1D02"/>
    <w:rsid w:val="004A2065"/>
    <w:rsid w:val="004A548A"/>
    <w:rsid w:val="004B257B"/>
    <w:rsid w:val="004B2E9D"/>
    <w:rsid w:val="004B536F"/>
    <w:rsid w:val="004B708A"/>
    <w:rsid w:val="004B760E"/>
    <w:rsid w:val="004D7E3B"/>
    <w:rsid w:val="004E2319"/>
    <w:rsid w:val="004E36A6"/>
    <w:rsid w:val="004E42A0"/>
    <w:rsid w:val="004E484D"/>
    <w:rsid w:val="004E66AB"/>
    <w:rsid w:val="004E6BDF"/>
    <w:rsid w:val="004F02D1"/>
    <w:rsid w:val="004F08DF"/>
    <w:rsid w:val="004F12E3"/>
    <w:rsid w:val="004F55C7"/>
    <w:rsid w:val="00525894"/>
    <w:rsid w:val="00533258"/>
    <w:rsid w:val="005365A3"/>
    <w:rsid w:val="00537C4C"/>
    <w:rsid w:val="00540470"/>
    <w:rsid w:val="00541EEA"/>
    <w:rsid w:val="0054547F"/>
    <w:rsid w:val="0055059D"/>
    <w:rsid w:val="00552A70"/>
    <w:rsid w:val="00553BDE"/>
    <w:rsid w:val="00554652"/>
    <w:rsid w:val="00560458"/>
    <w:rsid w:val="00564328"/>
    <w:rsid w:val="0057297B"/>
    <w:rsid w:val="005739CA"/>
    <w:rsid w:val="00575203"/>
    <w:rsid w:val="0057652F"/>
    <w:rsid w:val="00576ACA"/>
    <w:rsid w:val="00582EA8"/>
    <w:rsid w:val="005834F0"/>
    <w:rsid w:val="00583620"/>
    <w:rsid w:val="00583B1A"/>
    <w:rsid w:val="00587BE7"/>
    <w:rsid w:val="00596879"/>
    <w:rsid w:val="00597288"/>
    <w:rsid w:val="005974A6"/>
    <w:rsid w:val="005A71D5"/>
    <w:rsid w:val="005A744A"/>
    <w:rsid w:val="005B2586"/>
    <w:rsid w:val="005B346A"/>
    <w:rsid w:val="005B5207"/>
    <w:rsid w:val="005C0DA8"/>
    <w:rsid w:val="005C3BBC"/>
    <w:rsid w:val="005D1946"/>
    <w:rsid w:val="005D3A78"/>
    <w:rsid w:val="005D3AEC"/>
    <w:rsid w:val="005E1C91"/>
    <w:rsid w:val="005E2BBF"/>
    <w:rsid w:val="005E580F"/>
    <w:rsid w:val="005E6692"/>
    <w:rsid w:val="005F4638"/>
    <w:rsid w:val="005F4A54"/>
    <w:rsid w:val="005F6C36"/>
    <w:rsid w:val="00607AAE"/>
    <w:rsid w:val="00607CC5"/>
    <w:rsid w:val="00607D15"/>
    <w:rsid w:val="0061007A"/>
    <w:rsid w:val="006103FC"/>
    <w:rsid w:val="00610E70"/>
    <w:rsid w:val="00617A58"/>
    <w:rsid w:val="00624B8D"/>
    <w:rsid w:val="00626139"/>
    <w:rsid w:val="00640537"/>
    <w:rsid w:val="006415C5"/>
    <w:rsid w:val="0064444D"/>
    <w:rsid w:val="00645090"/>
    <w:rsid w:val="006642C6"/>
    <w:rsid w:val="0066566D"/>
    <w:rsid w:val="00666397"/>
    <w:rsid w:val="00667063"/>
    <w:rsid w:val="00673EFF"/>
    <w:rsid w:val="006759A2"/>
    <w:rsid w:val="00682269"/>
    <w:rsid w:val="00682D5D"/>
    <w:rsid w:val="006909A5"/>
    <w:rsid w:val="006919BC"/>
    <w:rsid w:val="00695918"/>
    <w:rsid w:val="006A17F0"/>
    <w:rsid w:val="006A65F4"/>
    <w:rsid w:val="006B2E07"/>
    <w:rsid w:val="006B3794"/>
    <w:rsid w:val="006B51E7"/>
    <w:rsid w:val="006C19C9"/>
    <w:rsid w:val="006C5CCD"/>
    <w:rsid w:val="006D43BF"/>
    <w:rsid w:val="006E29A8"/>
    <w:rsid w:val="006F41BF"/>
    <w:rsid w:val="006F75CC"/>
    <w:rsid w:val="007051FA"/>
    <w:rsid w:val="00707F64"/>
    <w:rsid w:val="0071108D"/>
    <w:rsid w:val="00711DE8"/>
    <w:rsid w:val="007243D2"/>
    <w:rsid w:val="00724B2F"/>
    <w:rsid w:val="007250AB"/>
    <w:rsid w:val="00725D0A"/>
    <w:rsid w:val="007320B6"/>
    <w:rsid w:val="007324DE"/>
    <w:rsid w:val="00733003"/>
    <w:rsid w:val="00735463"/>
    <w:rsid w:val="00742DC4"/>
    <w:rsid w:val="00742FB5"/>
    <w:rsid w:val="0074372F"/>
    <w:rsid w:val="00743F14"/>
    <w:rsid w:val="00744376"/>
    <w:rsid w:val="00745D8E"/>
    <w:rsid w:val="00751040"/>
    <w:rsid w:val="007517F4"/>
    <w:rsid w:val="00753EC6"/>
    <w:rsid w:val="00754EAF"/>
    <w:rsid w:val="0077001F"/>
    <w:rsid w:val="00771DDD"/>
    <w:rsid w:val="00775EA3"/>
    <w:rsid w:val="007762B5"/>
    <w:rsid w:val="0078011B"/>
    <w:rsid w:val="00782BF1"/>
    <w:rsid w:val="00785B80"/>
    <w:rsid w:val="00786172"/>
    <w:rsid w:val="0079004D"/>
    <w:rsid w:val="00792670"/>
    <w:rsid w:val="00792D9D"/>
    <w:rsid w:val="00796CCE"/>
    <w:rsid w:val="007A05E7"/>
    <w:rsid w:val="007A400F"/>
    <w:rsid w:val="007A50AC"/>
    <w:rsid w:val="007B2DA5"/>
    <w:rsid w:val="007C016D"/>
    <w:rsid w:val="007C168C"/>
    <w:rsid w:val="007C29C1"/>
    <w:rsid w:val="007C2F89"/>
    <w:rsid w:val="007C38E6"/>
    <w:rsid w:val="007C5FFC"/>
    <w:rsid w:val="007D2A1A"/>
    <w:rsid w:val="007D5E94"/>
    <w:rsid w:val="007E047E"/>
    <w:rsid w:val="007E5812"/>
    <w:rsid w:val="007E7ADC"/>
    <w:rsid w:val="007F4DFF"/>
    <w:rsid w:val="0080492C"/>
    <w:rsid w:val="00810C89"/>
    <w:rsid w:val="008147F0"/>
    <w:rsid w:val="00827279"/>
    <w:rsid w:val="00831340"/>
    <w:rsid w:val="008431F4"/>
    <w:rsid w:val="00845A5B"/>
    <w:rsid w:val="00845C7B"/>
    <w:rsid w:val="00847134"/>
    <w:rsid w:val="00850165"/>
    <w:rsid w:val="0086267F"/>
    <w:rsid w:val="0087009A"/>
    <w:rsid w:val="00875F8D"/>
    <w:rsid w:val="00876F90"/>
    <w:rsid w:val="00877B2F"/>
    <w:rsid w:val="00877B7A"/>
    <w:rsid w:val="0088359A"/>
    <w:rsid w:val="008851D6"/>
    <w:rsid w:val="00885754"/>
    <w:rsid w:val="00886026"/>
    <w:rsid w:val="00890150"/>
    <w:rsid w:val="00890B71"/>
    <w:rsid w:val="008A17E1"/>
    <w:rsid w:val="008A2AA7"/>
    <w:rsid w:val="008A7256"/>
    <w:rsid w:val="008B5A57"/>
    <w:rsid w:val="008B63C0"/>
    <w:rsid w:val="008B6DF8"/>
    <w:rsid w:val="008D01B7"/>
    <w:rsid w:val="008D3B3A"/>
    <w:rsid w:val="008D5516"/>
    <w:rsid w:val="008D6B55"/>
    <w:rsid w:val="008E4211"/>
    <w:rsid w:val="008F0F41"/>
    <w:rsid w:val="008F1AB8"/>
    <w:rsid w:val="008F2448"/>
    <w:rsid w:val="008F3C15"/>
    <w:rsid w:val="009052C8"/>
    <w:rsid w:val="009055F1"/>
    <w:rsid w:val="009105B1"/>
    <w:rsid w:val="00913C48"/>
    <w:rsid w:val="0092108A"/>
    <w:rsid w:val="00921C80"/>
    <w:rsid w:val="00922BAA"/>
    <w:rsid w:val="009319C4"/>
    <w:rsid w:val="00932DF0"/>
    <w:rsid w:val="00933C59"/>
    <w:rsid w:val="00934F22"/>
    <w:rsid w:val="009410AD"/>
    <w:rsid w:val="009413AD"/>
    <w:rsid w:val="00941F6F"/>
    <w:rsid w:val="00943927"/>
    <w:rsid w:val="009442AE"/>
    <w:rsid w:val="00946837"/>
    <w:rsid w:val="009479D3"/>
    <w:rsid w:val="00947C5C"/>
    <w:rsid w:val="00953949"/>
    <w:rsid w:val="00955F07"/>
    <w:rsid w:val="0095637A"/>
    <w:rsid w:val="0095651E"/>
    <w:rsid w:val="00963B05"/>
    <w:rsid w:val="00966179"/>
    <w:rsid w:val="00980D72"/>
    <w:rsid w:val="009854D2"/>
    <w:rsid w:val="00986557"/>
    <w:rsid w:val="0099347F"/>
    <w:rsid w:val="0099660B"/>
    <w:rsid w:val="00997FC3"/>
    <w:rsid w:val="009A0A6E"/>
    <w:rsid w:val="009A12B5"/>
    <w:rsid w:val="009A2004"/>
    <w:rsid w:val="009A2248"/>
    <w:rsid w:val="009A6C59"/>
    <w:rsid w:val="009A7FF9"/>
    <w:rsid w:val="009B2357"/>
    <w:rsid w:val="009B4311"/>
    <w:rsid w:val="009B7331"/>
    <w:rsid w:val="009C0696"/>
    <w:rsid w:val="009C3AE0"/>
    <w:rsid w:val="009C69AE"/>
    <w:rsid w:val="009D63DE"/>
    <w:rsid w:val="009E0B1F"/>
    <w:rsid w:val="009E3615"/>
    <w:rsid w:val="009E69F5"/>
    <w:rsid w:val="009F0CB3"/>
    <w:rsid w:val="009F3054"/>
    <w:rsid w:val="009F756F"/>
    <w:rsid w:val="00A00A41"/>
    <w:rsid w:val="00A04364"/>
    <w:rsid w:val="00A21F0F"/>
    <w:rsid w:val="00A33D47"/>
    <w:rsid w:val="00A35BDB"/>
    <w:rsid w:val="00A403CD"/>
    <w:rsid w:val="00A4466F"/>
    <w:rsid w:val="00A46A4E"/>
    <w:rsid w:val="00A46EA9"/>
    <w:rsid w:val="00A55B9E"/>
    <w:rsid w:val="00A5795F"/>
    <w:rsid w:val="00A6052E"/>
    <w:rsid w:val="00A66030"/>
    <w:rsid w:val="00A706E4"/>
    <w:rsid w:val="00A83C08"/>
    <w:rsid w:val="00A91A98"/>
    <w:rsid w:val="00A92136"/>
    <w:rsid w:val="00AA058E"/>
    <w:rsid w:val="00AB0882"/>
    <w:rsid w:val="00AB0A0B"/>
    <w:rsid w:val="00AC1330"/>
    <w:rsid w:val="00AC2C22"/>
    <w:rsid w:val="00AC5B44"/>
    <w:rsid w:val="00AC7291"/>
    <w:rsid w:val="00AD149E"/>
    <w:rsid w:val="00AD19AE"/>
    <w:rsid w:val="00AD3673"/>
    <w:rsid w:val="00AD3D17"/>
    <w:rsid w:val="00AD692E"/>
    <w:rsid w:val="00AE444E"/>
    <w:rsid w:val="00AE66B4"/>
    <w:rsid w:val="00AF485A"/>
    <w:rsid w:val="00AF7193"/>
    <w:rsid w:val="00B06B8F"/>
    <w:rsid w:val="00B07EBB"/>
    <w:rsid w:val="00B12B13"/>
    <w:rsid w:val="00B1304B"/>
    <w:rsid w:val="00B15A7F"/>
    <w:rsid w:val="00B17548"/>
    <w:rsid w:val="00B20047"/>
    <w:rsid w:val="00B20364"/>
    <w:rsid w:val="00B2091A"/>
    <w:rsid w:val="00B24BF9"/>
    <w:rsid w:val="00B273E5"/>
    <w:rsid w:val="00B34CB6"/>
    <w:rsid w:val="00B42466"/>
    <w:rsid w:val="00B42C2B"/>
    <w:rsid w:val="00B56B6E"/>
    <w:rsid w:val="00B611B2"/>
    <w:rsid w:val="00B62B80"/>
    <w:rsid w:val="00B632B5"/>
    <w:rsid w:val="00B64531"/>
    <w:rsid w:val="00B65BFF"/>
    <w:rsid w:val="00B67794"/>
    <w:rsid w:val="00B81AD7"/>
    <w:rsid w:val="00B83119"/>
    <w:rsid w:val="00B91276"/>
    <w:rsid w:val="00B93CF1"/>
    <w:rsid w:val="00B95BA2"/>
    <w:rsid w:val="00B96DA2"/>
    <w:rsid w:val="00BA6060"/>
    <w:rsid w:val="00BB04FE"/>
    <w:rsid w:val="00BB0B48"/>
    <w:rsid w:val="00BB14B0"/>
    <w:rsid w:val="00BB5AF4"/>
    <w:rsid w:val="00BD0D88"/>
    <w:rsid w:val="00BD2C8C"/>
    <w:rsid w:val="00BD71DC"/>
    <w:rsid w:val="00BE5D0F"/>
    <w:rsid w:val="00BE6A2C"/>
    <w:rsid w:val="00BF217B"/>
    <w:rsid w:val="00BF31F0"/>
    <w:rsid w:val="00BF687E"/>
    <w:rsid w:val="00C05905"/>
    <w:rsid w:val="00C06B10"/>
    <w:rsid w:val="00C11A69"/>
    <w:rsid w:val="00C139FF"/>
    <w:rsid w:val="00C15F2D"/>
    <w:rsid w:val="00C20259"/>
    <w:rsid w:val="00C220A4"/>
    <w:rsid w:val="00C33F4D"/>
    <w:rsid w:val="00C35595"/>
    <w:rsid w:val="00C40671"/>
    <w:rsid w:val="00C40F05"/>
    <w:rsid w:val="00C436D7"/>
    <w:rsid w:val="00C44CA4"/>
    <w:rsid w:val="00C45EE9"/>
    <w:rsid w:val="00C531CF"/>
    <w:rsid w:val="00C53F8C"/>
    <w:rsid w:val="00C5762D"/>
    <w:rsid w:val="00C620C3"/>
    <w:rsid w:val="00C70488"/>
    <w:rsid w:val="00C70563"/>
    <w:rsid w:val="00C70883"/>
    <w:rsid w:val="00C70FEE"/>
    <w:rsid w:val="00C73EEE"/>
    <w:rsid w:val="00C77264"/>
    <w:rsid w:val="00C800C6"/>
    <w:rsid w:val="00C80FAC"/>
    <w:rsid w:val="00C82F0C"/>
    <w:rsid w:val="00C83BD3"/>
    <w:rsid w:val="00CA0DC3"/>
    <w:rsid w:val="00CA10DF"/>
    <w:rsid w:val="00CB143D"/>
    <w:rsid w:val="00CB34D2"/>
    <w:rsid w:val="00CC698C"/>
    <w:rsid w:val="00CD0B19"/>
    <w:rsid w:val="00CD54EC"/>
    <w:rsid w:val="00CD6F31"/>
    <w:rsid w:val="00CE0236"/>
    <w:rsid w:val="00CE0BAF"/>
    <w:rsid w:val="00CE40E0"/>
    <w:rsid w:val="00CE6C78"/>
    <w:rsid w:val="00CF4152"/>
    <w:rsid w:val="00CF7F68"/>
    <w:rsid w:val="00D02099"/>
    <w:rsid w:val="00D02EF4"/>
    <w:rsid w:val="00D05902"/>
    <w:rsid w:val="00D12D8F"/>
    <w:rsid w:val="00D155B2"/>
    <w:rsid w:val="00D244C7"/>
    <w:rsid w:val="00D26B53"/>
    <w:rsid w:val="00D275A8"/>
    <w:rsid w:val="00D306F1"/>
    <w:rsid w:val="00D342BF"/>
    <w:rsid w:val="00D420CA"/>
    <w:rsid w:val="00D43D46"/>
    <w:rsid w:val="00D4483D"/>
    <w:rsid w:val="00D46CB8"/>
    <w:rsid w:val="00D50556"/>
    <w:rsid w:val="00D52C25"/>
    <w:rsid w:val="00D53F12"/>
    <w:rsid w:val="00D57434"/>
    <w:rsid w:val="00D64D83"/>
    <w:rsid w:val="00D668CA"/>
    <w:rsid w:val="00D66F2F"/>
    <w:rsid w:val="00D7204F"/>
    <w:rsid w:val="00D73F69"/>
    <w:rsid w:val="00D75549"/>
    <w:rsid w:val="00D807CA"/>
    <w:rsid w:val="00D80B26"/>
    <w:rsid w:val="00D80EEB"/>
    <w:rsid w:val="00D81B38"/>
    <w:rsid w:val="00D857DC"/>
    <w:rsid w:val="00D94526"/>
    <w:rsid w:val="00DA7AA8"/>
    <w:rsid w:val="00DB4D7A"/>
    <w:rsid w:val="00DB6364"/>
    <w:rsid w:val="00DB661B"/>
    <w:rsid w:val="00DB7406"/>
    <w:rsid w:val="00DC0AEC"/>
    <w:rsid w:val="00DC5B77"/>
    <w:rsid w:val="00DD0480"/>
    <w:rsid w:val="00DD0BDB"/>
    <w:rsid w:val="00DE0783"/>
    <w:rsid w:val="00DE40BF"/>
    <w:rsid w:val="00DF30D6"/>
    <w:rsid w:val="00E04EC6"/>
    <w:rsid w:val="00E05074"/>
    <w:rsid w:val="00E13FF5"/>
    <w:rsid w:val="00E16EC4"/>
    <w:rsid w:val="00E23E31"/>
    <w:rsid w:val="00E23FFE"/>
    <w:rsid w:val="00E3072B"/>
    <w:rsid w:val="00E458FE"/>
    <w:rsid w:val="00E52792"/>
    <w:rsid w:val="00E52A45"/>
    <w:rsid w:val="00E53000"/>
    <w:rsid w:val="00E554FC"/>
    <w:rsid w:val="00E6045E"/>
    <w:rsid w:val="00E62689"/>
    <w:rsid w:val="00E62F9E"/>
    <w:rsid w:val="00E645DF"/>
    <w:rsid w:val="00E723D7"/>
    <w:rsid w:val="00E72752"/>
    <w:rsid w:val="00E73AC7"/>
    <w:rsid w:val="00E84909"/>
    <w:rsid w:val="00E87462"/>
    <w:rsid w:val="00E92670"/>
    <w:rsid w:val="00E93580"/>
    <w:rsid w:val="00EA10A8"/>
    <w:rsid w:val="00EA3F8E"/>
    <w:rsid w:val="00EB2647"/>
    <w:rsid w:val="00EB3273"/>
    <w:rsid w:val="00EC2A92"/>
    <w:rsid w:val="00EC40DF"/>
    <w:rsid w:val="00ED097E"/>
    <w:rsid w:val="00ED2DC9"/>
    <w:rsid w:val="00ED3078"/>
    <w:rsid w:val="00ED44C0"/>
    <w:rsid w:val="00ED5B12"/>
    <w:rsid w:val="00EE120E"/>
    <w:rsid w:val="00EE21E8"/>
    <w:rsid w:val="00EE593C"/>
    <w:rsid w:val="00EE757B"/>
    <w:rsid w:val="00EF138A"/>
    <w:rsid w:val="00EF260C"/>
    <w:rsid w:val="00F02F18"/>
    <w:rsid w:val="00F10D90"/>
    <w:rsid w:val="00F11955"/>
    <w:rsid w:val="00F156C1"/>
    <w:rsid w:val="00F17792"/>
    <w:rsid w:val="00F20AD9"/>
    <w:rsid w:val="00F211CC"/>
    <w:rsid w:val="00F22DA6"/>
    <w:rsid w:val="00F26E8E"/>
    <w:rsid w:val="00F342DA"/>
    <w:rsid w:val="00F35CF3"/>
    <w:rsid w:val="00F402C4"/>
    <w:rsid w:val="00F45299"/>
    <w:rsid w:val="00F50932"/>
    <w:rsid w:val="00F543BC"/>
    <w:rsid w:val="00F55CE6"/>
    <w:rsid w:val="00F56BF8"/>
    <w:rsid w:val="00F64113"/>
    <w:rsid w:val="00F71145"/>
    <w:rsid w:val="00F7284B"/>
    <w:rsid w:val="00F74632"/>
    <w:rsid w:val="00F7538C"/>
    <w:rsid w:val="00F80233"/>
    <w:rsid w:val="00F85B3D"/>
    <w:rsid w:val="00F94F99"/>
    <w:rsid w:val="00FA2371"/>
    <w:rsid w:val="00FA4A7B"/>
    <w:rsid w:val="00FA56F1"/>
    <w:rsid w:val="00FC01BC"/>
    <w:rsid w:val="00FC15CD"/>
    <w:rsid w:val="00FC4F17"/>
    <w:rsid w:val="00FC50FA"/>
    <w:rsid w:val="00FC74C5"/>
    <w:rsid w:val="00FD1E12"/>
    <w:rsid w:val="00FD3BB5"/>
    <w:rsid w:val="00FD4854"/>
    <w:rsid w:val="00FD659F"/>
    <w:rsid w:val="00FE109E"/>
    <w:rsid w:val="00FE62C7"/>
    <w:rsid w:val="00FE7C5A"/>
    <w:rsid w:val="00FF167E"/>
    <w:rsid w:val="00FF1B6F"/>
    <w:rsid w:val="00FF31FF"/>
    <w:rsid w:val="05AC0043"/>
    <w:rsid w:val="05FA0A8D"/>
    <w:rsid w:val="077D4193"/>
    <w:rsid w:val="07AB2998"/>
    <w:rsid w:val="20820500"/>
    <w:rsid w:val="278352F2"/>
    <w:rsid w:val="2CC65896"/>
    <w:rsid w:val="2F557016"/>
    <w:rsid w:val="30B10599"/>
    <w:rsid w:val="3BD86D53"/>
    <w:rsid w:val="3DCB6FAA"/>
    <w:rsid w:val="3E63020F"/>
    <w:rsid w:val="43043759"/>
    <w:rsid w:val="45162439"/>
    <w:rsid w:val="47287B40"/>
    <w:rsid w:val="4A8D6A18"/>
    <w:rsid w:val="4C6C5DBA"/>
    <w:rsid w:val="5D4662E3"/>
    <w:rsid w:val="6413297A"/>
    <w:rsid w:val="66F266E3"/>
    <w:rsid w:val="770E3FB1"/>
    <w:rsid w:val="7C152F51"/>
    <w:rsid w:val="7C777696"/>
    <w:rsid w:val="7D1876CA"/>
    <w:rsid w:val="7D712D9E"/>
    <w:rsid w:val="7FCC0EB4"/>
  </w:rsids>
  <m:mathPr>
    <m:mathFont m:val="Cambria Math"/>
    <m:brkBin m:val="before"/>
    <m:brkBinSub m:val="--"/>
    <m:smallFrac m:val="1"/>
    <m:dispDef/>
    <m:lMargin m:val="1440"/>
    <m:rMargin m:val="144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unhideWhenUsed="0" w:uiPriority="99" w:semiHidden="0" w:name="heading 1"/>
    <w:lsdException w:uiPriority="99" w:name="heading 2"/>
    <w:lsdException w:uiPriority="99" w:name="heading 3"/>
    <w:lsdException w:uiPriority="99" w:name="heading 4"/>
    <w:lsdException w:uiPriority="99" w:name="heading 5"/>
    <w:lsdException w:uiPriority="99" w:name="heading 6"/>
    <w:lsdException w:uiPriority="99" w:name="heading 7"/>
    <w:lsdException w:uiPriority="99" w:name="heading 8"/>
    <w:lsdException w:uiPriority="9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99" w:name="toc 1"/>
    <w:lsdException w:uiPriority="99" w:name="toc 2"/>
    <w:lsdException w:uiPriority="99" w:name="toc 3"/>
    <w:lsdException w:uiPriority="99" w:name="toc 4"/>
    <w:lsdException w:uiPriority="99" w:name="toc 5"/>
    <w:lsdException w:uiPriority="99" w:name="toc 6"/>
    <w:lsdException w:uiPriority="99" w:name="toc 7"/>
    <w:lsdException w:uiPriority="99" w:name="toc 8"/>
    <w:lsdException w:uiPriority="9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uiPriority="99"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unhideWhenUsed="0" w:uiPriority="99"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unhideWhenUsed="0" w:uiPriority="99"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unhideWhenUsed="0" w:uiPriority="99" w:semiHidden="0" w:name="Strong"/>
    <w:lsdException w:unhideWhenUsed="0" w:uiPriority="99"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8">
    <w:name w:val="Default Paragraph Font"/>
    <w:semiHidden/>
    <w:unhideWhenUsed/>
    <w:uiPriority w:val="1"/>
  </w:style>
  <w:style w:type="table" w:default="1" w:styleId="7">
    <w:name w:val="Normal Table"/>
    <w:semiHidden/>
    <w:unhideWhenUsed/>
    <w:uiPriority w:val="99"/>
    <w:tblPr>
      <w:tblLayout w:type="fixed"/>
      <w:tblCellMar>
        <w:top w:w="0" w:type="dxa"/>
        <w:left w:w="108" w:type="dxa"/>
        <w:bottom w:w="0" w:type="dxa"/>
        <w:right w:w="108" w:type="dxa"/>
      </w:tblCellMar>
    </w:tblPr>
  </w:style>
  <w:style w:type="paragraph" w:styleId="2">
    <w:name w:val="Date"/>
    <w:basedOn w:val="1"/>
    <w:next w:val="1"/>
    <w:link w:val="20"/>
    <w:semiHidden/>
    <w:unhideWhenUsed/>
    <w:qFormat/>
    <w:uiPriority w:val="99"/>
    <w:pPr>
      <w:ind w:left="100" w:leftChars="2500"/>
    </w:pPr>
  </w:style>
  <w:style w:type="paragraph" w:styleId="3">
    <w:name w:val="Balloon Text"/>
    <w:basedOn w:val="1"/>
    <w:link w:val="19"/>
    <w:semiHidden/>
    <w:unhideWhenUsed/>
    <w:qFormat/>
    <w:uiPriority w:val="99"/>
    <w:rPr>
      <w:sz w:val="18"/>
      <w:szCs w:val="18"/>
    </w:rPr>
  </w:style>
  <w:style w:type="paragraph" w:styleId="4">
    <w:name w:val="footer"/>
    <w:basedOn w:val="1"/>
    <w:link w:val="16"/>
    <w:unhideWhenUsed/>
    <w:qFormat/>
    <w:uiPriority w:val="99"/>
    <w:pPr>
      <w:tabs>
        <w:tab w:val="center" w:pos="4153"/>
        <w:tab w:val="right" w:pos="8306"/>
      </w:tabs>
      <w:snapToGrid w:val="0"/>
      <w:jc w:val="left"/>
    </w:pPr>
    <w:rPr>
      <w:sz w:val="18"/>
      <w:szCs w:val="18"/>
    </w:rPr>
  </w:style>
  <w:style w:type="paragraph" w:styleId="5">
    <w:name w:val="header"/>
    <w:basedOn w:val="1"/>
    <w:link w:val="15"/>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Normal (Web)"/>
    <w:basedOn w:val="1"/>
    <w:qFormat/>
    <w:uiPriority w:val="0"/>
    <w:pPr>
      <w:spacing w:beforeAutospacing="1" w:afterAutospacing="1"/>
      <w:jc w:val="left"/>
    </w:pPr>
    <w:rPr>
      <w:rFonts w:cs="Times New Roman"/>
      <w:kern w:val="0"/>
      <w:sz w:val="24"/>
    </w:rPr>
  </w:style>
  <w:style w:type="character" w:customStyle="1" w:styleId="9">
    <w:name w:val="页眉 Char"/>
    <w:basedOn w:val="8"/>
    <w:qFormat/>
    <w:uiPriority w:val="99"/>
    <w:rPr>
      <w:sz w:val="18"/>
      <w:szCs w:val="18"/>
    </w:rPr>
  </w:style>
  <w:style w:type="character" w:customStyle="1" w:styleId="10">
    <w:name w:val="页脚 Char"/>
    <w:basedOn w:val="8"/>
    <w:qFormat/>
    <w:uiPriority w:val="99"/>
    <w:rPr>
      <w:sz w:val="18"/>
      <w:szCs w:val="18"/>
    </w:rPr>
  </w:style>
  <w:style w:type="paragraph" w:customStyle="1" w:styleId="11">
    <w:name w:val="普通(网站)1"/>
    <w:basedOn w:val="1"/>
    <w:qFormat/>
    <w:uiPriority w:val="0"/>
    <w:pPr>
      <w:widowControl/>
      <w:spacing w:before="100" w:beforeAutospacing="1" w:after="100" w:afterAutospacing="1"/>
      <w:jc w:val="left"/>
    </w:pPr>
    <w:rPr>
      <w:rFonts w:ascii="宋体" w:hAnsi="宋体" w:eastAsia="宋体" w:cs="宋体"/>
      <w:kern w:val="0"/>
      <w:sz w:val="24"/>
    </w:rPr>
  </w:style>
  <w:style w:type="character" w:customStyle="1" w:styleId="12">
    <w:name w:val="NormalCharacter"/>
    <w:semiHidden/>
    <w:qFormat/>
    <w:uiPriority w:val="0"/>
    <w:rPr>
      <w:kern w:val="2"/>
      <w:sz w:val="21"/>
      <w:szCs w:val="24"/>
      <w:lang w:val="en-US" w:eastAsia="zh-CN" w:bidi="ar-SA"/>
    </w:rPr>
  </w:style>
  <w:style w:type="character" w:customStyle="1" w:styleId="13">
    <w:name w:val="批注框文本 Char"/>
    <w:basedOn w:val="8"/>
    <w:semiHidden/>
    <w:qFormat/>
    <w:uiPriority w:val="99"/>
    <w:rPr>
      <w:kern w:val="2"/>
      <w:sz w:val="18"/>
      <w:szCs w:val="18"/>
    </w:rPr>
  </w:style>
  <w:style w:type="character" w:customStyle="1" w:styleId="14">
    <w:name w:val="日期 Char"/>
    <w:basedOn w:val="8"/>
    <w:semiHidden/>
    <w:qFormat/>
    <w:uiPriority w:val="99"/>
    <w:rPr>
      <w:kern w:val="2"/>
      <w:sz w:val="21"/>
      <w:szCs w:val="24"/>
    </w:rPr>
  </w:style>
  <w:style w:type="character" w:customStyle="1" w:styleId="15">
    <w:name w:val="页眉 Char1"/>
    <w:basedOn w:val="8"/>
    <w:link w:val="5"/>
    <w:qFormat/>
    <w:uiPriority w:val="99"/>
    <w:rPr>
      <w:sz w:val="18"/>
      <w:szCs w:val="18"/>
    </w:rPr>
  </w:style>
  <w:style w:type="character" w:customStyle="1" w:styleId="16">
    <w:name w:val="页脚 Char1"/>
    <w:basedOn w:val="8"/>
    <w:link w:val="4"/>
    <w:qFormat/>
    <w:uiPriority w:val="99"/>
    <w:rPr>
      <w:sz w:val="18"/>
      <w:szCs w:val="18"/>
    </w:rPr>
  </w:style>
  <w:style w:type="paragraph" w:customStyle="1" w:styleId="17">
    <w:name w:val="普通(网站)11"/>
    <w:basedOn w:val="1"/>
    <w:qFormat/>
    <w:uiPriority w:val="0"/>
    <w:pPr>
      <w:widowControl/>
      <w:spacing w:before="100" w:beforeAutospacing="1" w:after="100" w:afterAutospacing="1"/>
      <w:jc w:val="left"/>
    </w:pPr>
    <w:rPr>
      <w:rFonts w:ascii="宋体" w:hAnsi="宋体" w:eastAsia="宋体" w:cs="宋体"/>
      <w:kern w:val="0"/>
      <w:sz w:val="24"/>
    </w:rPr>
  </w:style>
  <w:style w:type="character" w:customStyle="1" w:styleId="18">
    <w:name w:val="NormalCharacter1"/>
    <w:semiHidden/>
    <w:qFormat/>
    <w:uiPriority w:val="0"/>
    <w:rPr>
      <w:kern w:val="2"/>
      <w:sz w:val="21"/>
      <w:szCs w:val="24"/>
      <w:lang w:val="en-US" w:eastAsia="zh-CN" w:bidi="ar-SA"/>
    </w:rPr>
  </w:style>
  <w:style w:type="character" w:customStyle="1" w:styleId="19">
    <w:name w:val="批注框文本 Char1"/>
    <w:basedOn w:val="8"/>
    <w:link w:val="3"/>
    <w:semiHidden/>
    <w:qFormat/>
    <w:uiPriority w:val="99"/>
    <w:rPr>
      <w:kern w:val="2"/>
      <w:sz w:val="18"/>
      <w:szCs w:val="18"/>
    </w:rPr>
  </w:style>
  <w:style w:type="character" w:customStyle="1" w:styleId="20">
    <w:name w:val="日期 Char1"/>
    <w:basedOn w:val="8"/>
    <w:link w:val="2"/>
    <w:semiHidden/>
    <w:qFormat/>
    <w:uiPriority w:val="99"/>
    <w:rPr>
      <w:kern w:val="2"/>
      <w:sz w:val="21"/>
      <w:szCs w:val="24"/>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satMod val="300000"/>
                <a:tint val="50000"/>
              </a:schemeClr>
            </a:gs>
            <a:gs pos="35000">
              <a:schemeClr val="phClr">
                <a:satMod val="300000"/>
                <a:tint val="37000"/>
              </a:schemeClr>
            </a:gs>
            <a:gs pos="100000">
              <a:schemeClr val="phClr">
                <a:satMod val="350000"/>
                <a:tint val="15000"/>
              </a:schemeClr>
            </a:gs>
          </a:gsLst>
          <a:lin ang="16200000" scaled="1"/>
        </a:gradFill>
        <a:gradFill rotWithShape="1">
          <a:gsLst>
            <a:gs pos="0">
              <a:schemeClr val="phClr">
                <a:satMod val="130000"/>
                <a:shade val="51000"/>
              </a:schemeClr>
            </a:gs>
            <a:gs pos="80000">
              <a:schemeClr val="phClr">
                <a:satMod val="130000"/>
                <a:shade val="93000"/>
              </a:schemeClr>
            </a:gs>
            <a:gs pos="100000">
              <a:schemeClr val="phClr">
                <a:satMod val="135000"/>
                <a:shade val="94000"/>
              </a:schemeClr>
            </a:gs>
          </a:gsLst>
          <a:lin ang="16200000" scaled="0"/>
        </a:gradFill>
      </a:fillStyleLst>
      <a:lnStyleLst>
        <a:ln w="9525" cap="flat" cmpd="sng" algn="ctr">
          <a:solidFill>
            <a:schemeClr val="phClr">
              <a:satMod val="105000"/>
              <a:shade val="9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satMod val="350000"/>
                <a:tint val="40000"/>
              </a:schemeClr>
            </a:gs>
            <a:gs pos="40000">
              <a:schemeClr val="phClr">
                <a:satMod val="350000"/>
                <a:shade val="99000"/>
                <a:tint val="45000"/>
              </a:schemeClr>
            </a:gs>
            <a:gs pos="100000">
              <a:schemeClr val="phClr">
                <a:satMod val="255000"/>
                <a:shade val="20000"/>
              </a:schemeClr>
            </a:gs>
          </a:gsLst>
          <a:path path="circle">
            <a:fillToRect l="50000" t="-80000" r="50000" b="180000"/>
          </a:path>
        </a:gradFill>
        <a:gradFill rotWithShape="1">
          <a:gsLst>
            <a:gs pos="0">
              <a:schemeClr val="phClr">
                <a:satMod val="300000"/>
                <a:tint val="80000"/>
              </a:schemeClr>
            </a:gs>
            <a:gs pos="100000">
              <a:schemeClr val="phClr">
                <a:satMod val="200000"/>
                <a:shade val="3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9</Pages>
  <Words>585</Words>
  <Characters>3341</Characters>
  <Lines>27</Lines>
  <Paragraphs>7</Paragraphs>
  <TotalTime>20</TotalTime>
  <ScaleCrop>false</ScaleCrop>
  <LinksUpToDate>false</LinksUpToDate>
  <CharactersWithSpaces>3919</CharactersWithSpaces>
  <Application>WPS Office_11.8.2.8555_F1E327BC-269C-435d-A152-05C5408002CA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2025-05-30T12:17:00Z</dcterms:created>
  <dc:creator>lenovo</dc:creator>
  <cp:lastModifiedBy>NTKO</cp:lastModifiedBy>
  <cp:lastPrinted>2025-06-26T04:14:18Z</cp:lastPrinted>
  <dcterms:modified xsi:type="dcterms:W3CDTF">2025-06-26T04:15:00Z</dcterms:modified>
  <cp:revision>29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2052-11.8.2.8555</vt:lpwstr>
  </property>
  <property fmtid="{D5CDD505-2E9C-101B-9397-08002B2CF9AE}" pid="3" name="ICV">
    <vt:lpwstr>91965775E52C453A90C7D7421467E5FB</vt:lpwstr>
  </property>
</Properties>
</file>