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州保密局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numPr>
          <w:numId w:val="0"/>
        </w:numPr>
        <w:ind w:left="640" w:leftChars="0" w:firstLine="320" w:firstLineChars="1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（一）承办自治州委员会保密委员会日常事务工作，依法履行保密行政管理职能。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（二）贯彻执行中央、自治区和自治州党委、人民政府有关保密工作的方针、政策、决定、指示；制定全州保密工作计划并组织实施，提出改进和加强保密工作的建议。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（三）督促、协调和指导各县市、州直各企事业单位及保密协作小组的保密工作，制定或会同有关部门制定保密制度和措施。监督检查《保密法》及其它保密法规制度的实施。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（四）组织开展保密检查，督促有关部门对失泄密事件进行查处，参与或组织有关单位对重大泄密事件的查处工作，适时采取补救措施，提出处理意见并向上级报告。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（五）组织、指导保密宣传教育工作，制定宣传教育宣传计划，开展经常性的宣传教育工作；制定保密干部培训计划并组织培训。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（六）组织、指导和监督各单位按照法定程序确定和变更国家秘密的密级、保密期限和解密工作。</w:t>
      </w:r>
    </w:p>
    <w:p>
      <w:pPr>
        <w:ind w:firstLine="960" w:firstLineChars="3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（七）指导、参与大型涉密活动和对外交往与合作中的保密工作；指导、监督和协调对外提供国家秘密的工作，负责对外提供资料的保密审查，并按职权范围和规定程序办理有关审批手续。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（八）承担涉密通信、办公自动化和计算机信息系统的审批、备案工作。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（九）贯彻执行国家和自治区关于保密技术工作的方针、规定的计划，加强对保密要害部门、部位保密环境和办公设施以及重大涉密活动、重要涉密场所的保密技术检查，负责保密技术的推广应用工作。</w:t>
      </w:r>
    </w:p>
    <w:p>
      <w:pPr>
        <w:pStyle w:val="8"/>
        <w:widowControl/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（十）完成上级交办的其他工作任务。</w:t>
      </w:r>
    </w:p>
    <w:p>
      <w:pPr>
        <w:pStyle w:val="8"/>
        <w:widowControl/>
        <w:spacing w:line="560" w:lineRule="exact"/>
        <w:jc w:val="lef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职能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整体划转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经自治州第十五届人代会批复我单位2019年年初部门预算总额为257.45万元，本次调减预算257.45万元。具体情况为：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：（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华文中宋" w:eastAsia="仿宋_GB2312"/>
          <w:sz w:val="32"/>
          <w:szCs w:val="32"/>
        </w:rPr>
        <w:t>）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州保密局</w:t>
      </w:r>
      <w:r>
        <w:rPr>
          <w:rFonts w:hint="eastAsia" w:ascii="仿宋_GB2312" w:hAnsi="华文中宋" w:eastAsia="仿宋_GB2312"/>
          <w:sz w:val="32"/>
          <w:szCs w:val="32"/>
        </w:rPr>
        <w:t>整体划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，划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预算257.45万元。其中，基本支出197.45万元；项目支出60万元。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三公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”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经费全部划出预算2.43万元。其中公务用车运行维护费支出2.15万元;公务接待费支出：0.28万元。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</w:rPr>
        <w:t>，原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保密业务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80F0000" w:usb2="00000010" w:usb3="00000000" w:csb0="0004009F" w:csb1="00000000"/>
  </w:font>
  <w:font w:name="仿宋_GB2312">
    <w:altName w:val="仿宋"/>
    <w:panose1 w:val="02010609030101010101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">
    <w:nsid w:val="00000006"/>
    <w:multiLevelType w:val="multilevel"/>
    <w:tmpl w:val="00000006"/>
    <w:lvl w:ilvl="0" w:tentative="1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3">
    <w:name w:val="页脚 Char"/>
    <w:basedOn w:val="4"/>
    <w:link w:val="2"/>
    <w:semiHidden/>
    <w:rPr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semiHidden/>
    <w:rPr>
      <w:sz w:val="18"/>
      <w:szCs w:val="18"/>
    </w:rPr>
  </w:style>
  <w:style w:type="paragraph" w:customStyle="1" w:styleId="7">
    <w:name w:val="批注框文本 Char Char"/>
    <w:basedOn w:val="1"/>
    <w:link w:val="9"/>
    <w:rPr>
      <w:sz w:val="18"/>
      <w:szCs w:val="18"/>
    </w:rPr>
  </w:style>
  <w:style w:type="paragraph" w:customStyle="1" w:styleId="8">
    <w:name w:val="List Paragraph"/>
    <w:basedOn w:val="1"/>
    <w:pPr>
      <w:ind w:firstLine="420" w:firstLineChars="200"/>
    </w:pPr>
  </w:style>
  <w:style w:type="character" w:customStyle="1" w:styleId="9">
    <w:name w:val="批注框文本 Char Char Char Char"/>
    <w:basedOn w:val="4"/>
    <w:link w:val="7"/>
    <w:semiHidden/>
    <w:rPr>
      <w:sz w:val="18"/>
      <w:szCs w:val="18"/>
    </w:rPr>
  </w:style>
  <w:style w:type="character" w:customStyle="1" w:styleId="10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2019-07-05T13:19:00Z</dcterms:created>
  <dc:creator>刘大军（预算处）</dc:creator>
  <cp:lastPrinted>2019-03-17T09:32:00Z</cp:lastPrinted>
  <dcterms:modified xsi:type="dcterms:W3CDTF">2019-07-23T18:38:07Z</dcterms:modified>
  <dc:title>user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