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rFonts w:ascii="华文中宋" w:eastAsia="华文中宋" w:hAnsi="华文中宋"/>
          <w:sz w:val="36"/>
          <w:szCs w:val="36"/>
        </w:rPr>
      </w:pPr>
      <w:r>
        <w:rPr>
          <w:rFonts w:ascii="华文中宋" w:eastAsia="华文中宋" w:hAnsi="华文中宋" w:hint="eastAsia"/>
          <w:sz w:val="36"/>
          <w:szCs w:val="36"/>
          <w:lang w:eastAsia="zh-CN"/>
        </w:rPr>
        <w:t>昌吉州商务局</w:t>
      </w:r>
      <w:r>
        <w:rPr>
          <w:rFonts w:ascii="华文中宋" w:eastAsia="华文中宋" w:hAnsi="华文中宋" w:hint="eastAsia"/>
          <w:sz w:val="36"/>
          <w:szCs w:val="36"/>
        </w:rPr>
        <w:t>调整预算补充公开说明</w:t>
      </w:r>
    </w:p>
    <w:p>
      <w:pPr>
        <w:pStyle w:val="style0"/>
        <w:jc w:val="center"/>
        <w:rPr>
          <w:rFonts w:ascii="华文中宋" w:eastAsia="华文中宋" w:hAnsi="华文中宋"/>
          <w:sz w:val="36"/>
          <w:szCs w:val="36"/>
        </w:rPr>
      </w:pPr>
    </w:p>
    <w:p>
      <w:pPr>
        <w:pStyle w:val="style0"/>
        <w:ind w:firstLine="640" w:firstLineChars="200"/>
        <w:rPr>
          <w:rFonts w:ascii="仿宋_GB2312" w:eastAsia="仿宋_GB2312" w:hAnsi="华文中宋"/>
          <w:sz w:val="32"/>
          <w:szCs w:val="32"/>
        </w:rPr>
      </w:pPr>
      <w:r>
        <w:rPr>
          <w:rFonts w:ascii="仿宋_GB2312" w:eastAsia="仿宋_GB2312" w:hAnsi="华文中宋" w:hint="eastAsia"/>
          <w:sz w:val="32"/>
          <w:szCs w:val="32"/>
        </w:rPr>
        <w:t>根据自治州党委、人民政府《关于&lt;昌吉回族自治州机构改革方案&gt;的实施意见》（昌州党办发[2019]1号）要求，按照《关于涉改部门单位调整预算的通知》（昌州财行函</w:t>
      </w:r>
      <w:r>
        <w:rPr>
          <w:rFonts w:ascii="仿宋_GB2312" w:eastAsia="仿宋_GB2312" w:hint="eastAsia"/>
          <w:sz w:val="32"/>
          <w:szCs w:val="32"/>
        </w:rPr>
        <w:t>〔2019〕001号），调整部门单位预算。现将我单位预算调整补充公开如下：</w:t>
      </w:r>
    </w:p>
    <w:p>
      <w:pPr>
        <w:pStyle w:val="style179"/>
        <w:numPr>
          <w:ilvl w:val="0"/>
          <w:numId w:val="1"/>
        </w:numPr>
        <w:ind w:firstLineChars="0"/>
        <w:rPr>
          <w:rFonts w:ascii="黑体" w:eastAsia="黑体" w:hAnsi="黑体"/>
          <w:sz w:val="32"/>
          <w:szCs w:val="32"/>
        </w:rPr>
      </w:pPr>
      <w:r>
        <w:rPr>
          <w:rFonts w:ascii="黑体" w:eastAsia="黑体" w:hAnsi="黑体" w:hint="eastAsia"/>
          <w:sz w:val="32"/>
          <w:szCs w:val="32"/>
        </w:rPr>
        <w:t>单位职能划转情况</w:t>
      </w:r>
    </w:p>
    <w:p>
      <w:pPr>
        <w:pStyle w:val="style0"/>
        <w:widowControl/>
        <w:spacing w:lineRule="atLeast" w:line="560"/>
        <w:ind w:firstLine="640" w:firstLineChars="200"/>
        <w:outlineLvl w:val="1"/>
        <w:rPr>
          <w:color w:val="000000"/>
        </w:rPr>
      </w:pPr>
      <w:r>
        <w:rPr>
          <w:rFonts w:ascii="仿宋_GB2312" w:eastAsia="仿宋_GB2312" w:hAnsi="华文中宋" w:hint="eastAsia"/>
          <w:color w:val="000000"/>
          <w:sz w:val="32"/>
          <w:szCs w:val="32"/>
        </w:rPr>
        <w:t>我单位主要职能为</w:t>
      </w:r>
    </w:p>
    <w:p>
      <w:pPr>
        <w:pStyle w:val="style0"/>
        <w:widowControl/>
        <w:spacing w:lineRule="atLeast" w:line="560"/>
        <w:outlineLvl w:val="1"/>
        <w:rPr/>
      </w:pPr>
      <w:r>
        <w:rPr>
          <w:rFonts w:ascii="仿宋_GB2312" w:eastAsia="仿宋_GB2312" w:hAnsi="宋体" w:hint="default"/>
          <w:kern w:val="0"/>
          <w:sz w:val="32"/>
          <w:szCs w:val="32"/>
        </w:rPr>
        <w:t xml:space="preserve">    </w:t>
      </w:r>
      <w:r>
        <w:rPr>
          <w:rFonts w:ascii="仿宋_GB2312" w:eastAsia="仿宋_GB2312" w:hAnsi="宋体" w:hint="default"/>
          <w:kern w:val="0"/>
          <w:sz w:val="32"/>
          <w:szCs w:val="32"/>
        </w:rPr>
        <w:t>（一）贯彻执行国家和自治区有关内外贸易、国内外经济技术合作和外商投资政策、法规；拟订自治昌吉州内外贸易、招商引资、对外经济合作、外商投资、对外投资中长期规划、年度计划，并组织实施；研究“一带一路”建设、区域经济合作、现代流通方式的发展趋势和流通体制改革并提出建议。</w:t>
      </w:r>
    </w:p>
    <w:p>
      <w:pPr>
        <w:pStyle w:val="style0"/>
        <w:widowControl/>
        <w:spacing w:lineRule="atLeast" w:line="560"/>
        <w:ind w:firstLine="640" w:firstLineChars="200"/>
        <w:outlineLvl w:val="1"/>
        <w:rPr/>
      </w:pPr>
      <w:r>
        <w:rPr>
          <w:rFonts w:ascii="仿宋_GB2312" w:eastAsia="仿宋_GB2312" w:hAnsi="宋体" w:hint="default"/>
          <w:kern w:val="0"/>
          <w:sz w:val="32"/>
          <w:szCs w:val="32"/>
        </w:rPr>
        <w:t>（二）负责推进流通产业结构调整，指导流通企业改革，商贸服务业和社区商业发展，提出促进商贸中小企业发展的政策建议，推动流通标准化和连锁经营、商业特许经营、物流配送、电子商务等现代流通方式的发展。</w:t>
      </w:r>
    </w:p>
    <w:p>
      <w:pPr>
        <w:pStyle w:val="style0"/>
        <w:widowControl/>
        <w:spacing w:lineRule="atLeast" w:line="560"/>
        <w:ind w:firstLine="640" w:firstLineChars="200"/>
        <w:outlineLvl w:val="1"/>
        <w:rPr/>
      </w:pPr>
      <w:r>
        <w:rPr>
          <w:rFonts w:ascii="仿宋_GB2312" w:eastAsia="仿宋_GB2312" w:hAnsi="宋体" w:hint="default"/>
          <w:kern w:val="0"/>
          <w:sz w:val="32"/>
          <w:szCs w:val="32"/>
        </w:rPr>
        <w:t>（三）指导大宗产品批发市场规划和商业网点规划、商业体系建设工作。研究提出自治昌吉州流通行业和生活服务业重点设施布局意见，协调自治昌吉州商业中心、特色商业街和各类商品交易市场的规划和建设。</w:t>
      </w:r>
    </w:p>
    <w:p>
      <w:pPr>
        <w:pStyle w:val="style0"/>
        <w:widowControl/>
        <w:spacing w:lineRule="atLeast" w:line="560"/>
        <w:ind w:firstLine="640" w:firstLineChars="200"/>
        <w:outlineLvl w:val="1"/>
        <w:rPr/>
      </w:pPr>
      <w:r>
        <w:rPr>
          <w:rFonts w:ascii="仿宋_GB2312" w:eastAsia="仿宋_GB2312" w:hAnsi="宋体" w:hint="default"/>
          <w:kern w:val="0"/>
          <w:sz w:val="32"/>
          <w:szCs w:val="32"/>
        </w:rPr>
        <w:t>（四）承担牵头协调整顿和规范市场经济秩序工作的责任。拟订自治昌吉州规范市场运行、流通秩序的政策，推动商务领域信用建设，指导商业信用销售；建立市场诚信公共服务平台，按有关规定对特殊流通行业进行监督管理。负责酒类流通的监督管理及相应的行政复议工作；指导再生资源流通管理工作。</w:t>
      </w:r>
    </w:p>
    <w:p>
      <w:pPr>
        <w:pStyle w:val="style0"/>
        <w:widowControl/>
        <w:spacing w:lineRule="atLeast" w:line="560"/>
        <w:ind w:firstLine="640" w:firstLineChars="200"/>
        <w:outlineLvl w:val="1"/>
        <w:rPr/>
      </w:pPr>
      <w:r>
        <w:rPr>
          <w:rFonts w:ascii="仿宋_GB2312" w:eastAsia="仿宋_GB2312" w:hAnsi="宋体" w:hint="default"/>
          <w:kern w:val="0"/>
          <w:sz w:val="32"/>
          <w:szCs w:val="32"/>
        </w:rPr>
        <w:t>（五）承担组织实施重要消费品市场调控和重要生产资料流通管理的责任。负责建立健全生活必需品市场供应应急管理机制，监测分析市场运行、商品供求状况，调查分析商品价格信息并进行预测预警和信息引导，按分工负责重要消费品储备管理和市场调控工作；按有关规定对成品油流通环节进行监督管理。</w:t>
      </w:r>
    </w:p>
    <w:p>
      <w:pPr>
        <w:pStyle w:val="style0"/>
        <w:widowControl/>
        <w:spacing w:lineRule="atLeast" w:line="560"/>
        <w:ind w:firstLine="640" w:firstLineChars="200"/>
        <w:outlineLvl w:val="1"/>
        <w:rPr/>
      </w:pPr>
      <w:r>
        <w:rPr>
          <w:rFonts w:ascii="仿宋_GB2312" w:eastAsia="仿宋_GB2312" w:hAnsi="宋体" w:hint="default"/>
          <w:kern w:val="0"/>
          <w:sz w:val="32"/>
          <w:szCs w:val="32"/>
        </w:rPr>
        <w:t>（六）制定电子商务发展规划和政策措施并组织实施；指导企业信息化及运用电子商务开拓国内外市场；负责建立电子商务行业统计和评价体系，牵头推进电子商务支撑服务体系发展。</w:t>
      </w:r>
    </w:p>
    <w:p>
      <w:pPr>
        <w:pStyle w:val="style0"/>
        <w:widowControl/>
        <w:spacing w:lineRule="atLeast" w:line="560"/>
        <w:ind w:firstLine="640" w:firstLineChars="200"/>
        <w:outlineLvl w:val="1"/>
        <w:rPr/>
      </w:pPr>
      <w:r>
        <w:rPr>
          <w:rFonts w:ascii="仿宋_GB2312" w:eastAsia="仿宋_GB2312" w:hAnsi="宋体" w:hint="default"/>
          <w:kern w:val="0"/>
          <w:sz w:val="32"/>
          <w:szCs w:val="32"/>
        </w:rPr>
        <w:t>（七）负责自治昌吉州对外贸易的管理。贯彻执行国家进出口商品、加工贸易管理办法和进出口管理商品、技术目录，拟订促进外贸增长方式转变的政策措施；组织实施自治昌吉州进出口配额计划，贯彻执行国家、自治区有关边境贸易的各项政策并组织实施，贯彻落实国家对外技术贸易、出口管制以及鼓励技术和成套设备进出口的贸易政策。会同有关部门制定促进自治昌吉州服务贸易和服务外包发展的规划并组织实施；推动服务外包平台建设；组织协调自治昌吉州反倾销、反补贴、保障措施及其他与进出口公平贸易相关的工作，建立进出口公平贸易及产业损害预警机制；依法实施对外贸易调查和产业损害调查，指导协调产业安全应对工作及国外对自治昌吉州出口商品的反倾销、反补贴、保障措施的应诉等相关工作。</w:t>
      </w:r>
    </w:p>
    <w:p>
      <w:pPr>
        <w:pStyle w:val="style0"/>
        <w:widowControl/>
        <w:spacing w:lineRule="atLeast" w:line="560"/>
        <w:ind w:firstLine="640" w:firstLineChars="200"/>
        <w:outlineLvl w:val="1"/>
        <w:rPr/>
      </w:pPr>
      <w:r>
        <w:rPr>
          <w:rFonts w:ascii="仿宋_GB2312" w:eastAsia="仿宋_GB2312" w:hAnsi="宋体" w:hint="default"/>
          <w:kern w:val="0"/>
          <w:sz w:val="32"/>
          <w:szCs w:val="32"/>
        </w:rPr>
        <w:t>（八）指导外商投资工作。依法核准权限内自治昌吉州外商投资企业的设立和变更事项；负责国家规定的限额以上、限制投资和涉及配额、许可证管理的外商投资企业的设立及其变更事项的审核上报工作；负责管理、监督自治昌吉州外商投资企业执行有关法律、法规、合同情况。</w:t>
      </w:r>
    </w:p>
    <w:p>
      <w:pPr>
        <w:pStyle w:val="style0"/>
        <w:widowControl/>
        <w:spacing w:lineRule="atLeast" w:line="560"/>
        <w:ind w:firstLine="640" w:firstLineChars="200"/>
        <w:outlineLvl w:val="1"/>
        <w:rPr/>
      </w:pPr>
      <w:r>
        <w:rPr>
          <w:rFonts w:ascii="仿宋_GB2312" w:eastAsia="仿宋_GB2312" w:hAnsi="宋体" w:hint="default"/>
          <w:kern w:val="0"/>
          <w:sz w:val="32"/>
          <w:szCs w:val="32"/>
        </w:rPr>
        <w:t>（九）负责对外经济合作工作。执行对外经济合作政策，指导和监督自治昌吉州境外承包工程及对外劳务合作；审核上报自治昌吉州企业（组织）在境外投资项目和驻外机构，协调外派劳务人员的权益保护工作；申报多边、双边国际及民间无偿援助项目。</w:t>
      </w:r>
    </w:p>
    <w:p>
      <w:pPr>
        <w:pStyle w:val="style0"/>
        <w:widowControl/>
        <w:spacing w:lineRule="atLeast" w:line="560"/>
        <w:ind w:firstLine="640" w:firstLineChars="200"/>
        <w:outlineLvl w:val="1"/>
        <w:rPr/>
      </w:pPr>
      <w:r>
        <w:rPr>
          <w:rFonts w:ascii="仿宋_GB2312" w:eastAsia="仿宋_GB2312" w:hAnsi="宋体" w:hint="default"/>
          <w:kern w:val="0"/>
          <w:sz w:val="32"/>
          <w:szCs w:val="32"/>
        </w:rPr>
        <w:t>（十）负责自治昌吉州招商引资工作协调、组织、管理。执行自治区招商引资方针政策，编制招商引资发展规划和年度计划，建设自治昌吉州绿色招商项目库，落实重大招商项目跟进责任制，参与评审论证自治昌吉州重点招商项目，完善招商引资服务体系；负责招商引资统计通报、信息收集和目标考核等工作。</w:t>
      </w:r>
    </w:p>
    <w:p>
      <w:pPr>
        <w:pStyle w:val="style0"/>
        <w:widowControl/>
        <w:spacing w:lineRule="atLeast" w:line="560"/>
        <w:ind w:firstLine="640" w:firstLineChars="200"/>
        <w:outlineLvl w:val="1"/>
        <w:rPr/>
      </w:pPr>
      <w:r>
        <w:rPr>
          <w:rFonts w:ascii="仿宋_GB2312" w:eastAsia="仿宋_GB2312" w:hAnsi="宋体" w:hint="default"/>
          <w:kern w:val="0"/>
          <w:sz w:val="32"/>
          <w:szCs w:val="32"/>
        </w:rPr>
        <w:t>（十一）负责与自治区各地昌吉州及内地各省市之间的横向经济联合协作。开展外引内联、对口支援及有关项目的对接落实工作；组织和参与各类商务领域交易会、洽谈会、博览会、展览会和有关招商活动；负责外省市人民政府、企业驻昌吉州办事机构和企业联合会（商会）等社团组织招商引资及重大项目引进落实。</w:t>
      </w:r>
    </w:p>
    <w:p>
      <w:pPr>
        <w:pStyle w:val="style0"/>
        <w:widowControl/>
        <w:spacing w:lineRule="atLeast" w:line="560"/>
        <w:ind w:firstLine="640" w:firstLineChars="200"/>
        <w:outlineLvl w:val="1"/>
        <w:rPr/>
      </w:pPr>
      <w:r>
        <w:rPr>
          <w:rFonts w:ascii="仿宋_GB2312" w:eastAsia="仿宋_GB2312" w:hAnsi="宋体" w:hint="default"/>
          <w:kern w:val="0"/>
          <w:sz w:val="32"/>
          <w:szCs w:val="32"/>
        </w:rPr>
        <w:t>（十二）完成自治昌吉州党委、自治昌吉州人民政府交办的其他任务。</w:t>
      </w:r>
    </w:p>
    <w:p>
      <w:pPr>
        <w:pStyle w:val="style0"/>
        <w:ind w:firstLine="480" w:firstLineChars="150"/>
        <w:rPr>
          <w:rFonts w:ascii="仿宋_GB2312" w:eastAsia="仿宋_GB2312" w:hAnsi="华文中宋"/>
          <w:color w:val="000000"/>
          <w:sz w:val="32"/>
          <w:szCs w:val="32"/>
        </w:rPr>
      </w:pPr>
      <w:r>
        <w:rPr>
          <w:rFonts w:ascii="仿宋_GB2312" w:eastAsia="仿宋_GB2312" w:hAnsi="华文中宋" w:hint="eastAsia"/>
          <w:color w:val="000000"/>
          <w:sz w:val="32"/>
          <w:szCs w:val="32"/>
        </w:rPr>
        <w:t>贯彻落实自治州党政机构改革工作部署，本次</w:t>
      </w:r>
      <w:r>
        <w:rPr>
          <w:rFonts w:ascii="仿宋_GB2312" w:eastAsia="仿宋_GB2312" w:hAnsi="华文中宋" w:hint="eastAsia"/>
          <w:color w:val="000000"/>
          <w:sz w:val="32"/>
          <w:szCs w:val="32"/>
          <w:lang w:eastAsia="zh-CN"/>
        </w:rPr>
        <w:t>没有</w:t>
      </w:r>
      <w:r>
        <w:rPr>
          <w:rFonts w:ascii="仿宋_GB2312" w:eastAsia="仿宋_GB2312" w:hAnsi="华文中宋" w:hint="eastAsia"/>
          <w:color w:val="000000"/>
          <w:sz w:val="32"/>
          <w:szCs w:val="32"/>
        </w:rPr>
        <w:t>划入</w:t>
      </w:r>
      <w:r>
        <w:rPr>
          <w:rFonts w:ascii="仿宋_GB2312" w:eastAsia="仿宋_GB2312" w:hAnsi="华文中宋" w:hint="eastAsia"/>
          <w:color w:val="000000"/>
          <w:sz w:val="32"/>
          <w:szCs w:val="32"/>
        </w:rPr>
        <w:t>职能，划出职能</w:t>
      </w:r>
      <w:r>
        <w:rPr>
          <w:rFonts w:ascii="仿宋_GB2312" w:eastAsia="仿宋_GB2312" w:hAnsi="华文中宋" w:hint="default"/>
          <w:color w:val="000000"/>
          <w:sz w:val="32"/>
          <w:szCs w:val="32"/>
          <w:lang w:val="en-US"/>
        </w:rPr>
        <w:t>1</w:t>
      </w:r>
      <w:r>
        <w:rPr>
          <w:rFonts w:ascii="仿宋_GB2312" w:eastAsia="仿宋_GB2312" w:hAnsi="华文中宋" w:hint="eastAsia"/>
          <w:color w:val="000000"/>
          <w:sz w:val="32"/>
          <w:szCs w:val="32"/>
          <w:lang w:val="en-US" w:eastAsia="zh-CN"/>
        </w:rPr>
        <w:t>、三产牵头协调职责；</w:t>
      </w:r>
      <w:r>
        <w:rPr>
          <w:rFonts w:ascii="仿宋_GB2312" w:eastAsia="仿宋_GB2312" w:hAnsi="华文中宋" w:hint="default"/>
          <w:color w:val="000000"/>
          <w:sz w:val="32"/>
          <w:szCs w:val="32"/>
          <w:lang w:val="en-US" w:eastAsia="zh-CN"/>
        </w:rPr>
        <w:t>2</w:t>
      </w:r>
      <w:r>
        <w:rPr>
          <w:rFonts w:ascii="仿宋_GB2312" w:eastAsia="仿宋_GB2312" w:hAnsi="华文中宋" w:hint="eastAsia"/>
          <w:color w:val="000000"/>
          <w:sz w:val="32"/>
          <w:szCs w:val="32"/>
          <w:lang w:val="en-US" w:eastAsia="zh-CN"/>
        </w:rPr>
        <w:t>、食糖等消费品储备管理职责；</w:t>
      </w:r>
      <w:r>
        <w:rPr>
          <w:rFonts w:ascii="仿宋_GB2312" w:eastAsia="仿宋_GB2312" w:hAnsi="华文中宋" w:hint="default"/>
          <w:color w:val="000000"/>
          <w:sz w:val="32"/>
          <w:szCs w:val="32"/>
          <w:lang w:val="en-US" w:eastAsia="zh-CN"/>
        </w:rPr>
        <w:t>3</w:t>
      </w:r>
      <w:r>
        <w:rPr>
          <w:rFonts w:ascii="仿宋_GB2312" w:eastAsia="仿宋_GB2312" w:hAnsi="华文中宋" w:hint="eastAsia"/>
          <w:color w:val="000000"/>
          <w:sz w:val="32"/>
          <w:szCs w:val="32"/>
          <w:lang w:val="en-US" w:eastAsia="zh-CN"/>
        </w:rPr>
        <w:t>、对外开放职责</w:t>
      </w:r>
      <w:r>
        <w:rPr>
          <w:rFonts w:ascii="仿宋_GB2312" w:eastAsia="仿宋_GB2312" w:hAnsi="华文中宋" w:hint="eastAsia"/>
          <w:color w:val="000000"/>
          <w:sz w:val="32"/>
          <w:szCs w:val="32"/>
        </w:rPr>
        <w:t>。</w:t>
      </w:r>
    </w:p>
    <w:p>
      <w:pPr>
        <w:pStyle w:val="style179"/>
        <w:numPr>
          <w:ilvl w:val="0"/>
          <w:numId w:val="1"/>
        </w:numPr>
        <w:ind w:firstLineChars="0"/>
        <w:rPr>
          <w:rFonts w:ascii="黑体" w:eastAsia="黑体" w:hAnsi="黑体"/>
          <w:sz w:val="32"/>
          <w:szCs w:val="32"/>
        </w:rPr>
      </w:pPr>
      <w:r>
        <w:rPr>
          <w:rFonts w:ascii="黑体" w:eastAsia="黑体" w:hAnsi="黑体" w:hint="eastAsia"/>
          <w:sz w:val="32"/>
          <w:szCs w:val="32"/>
        </w:rPr>
        <w:t>预算调整情况</w:t>
      </w:r>
    </w:p>
    <w:p>
      <w:pPr>
        <w:pStyle w:val="style0"/>
        <w:ind w:firstLine="480" w:firstLineChars="150"/>
        <w:rPr>
          <w:rFonts w:ascii="仿宋_GB2312" w:eastAsia="仿宋_GB2312" w:hAnsi="华文中宋"/>
          <w:sz w:val="32"/>
          <w:szCs w:val="32"/>
        </w:rPr>
      </w:pPr>
      <w:r>
        <w:rPr>
          <w:rFonts w:ascii="仿宋_GB2312" w:eastAsia="仿宋_GB2312" w:hAnsi="华文中宋" w:hint="eastAsia"/>
          <w:sz w:val="32"/>
          <w:szCs w:val="32"/>
        </w:rPr>
        <w:t>经自治州第十五届人代会批复我单位2019年年初部门预算总额为</w:t>
      </w:r>
      <w:r>
        <w:rPr>
          <w:rFonts w:ascii="仿宋_GB2312" w:eastAsia="仿宋_GB2312" w:hAnsi="华文中宋" w:hint="eastAsia"/>
          <w:sz w:val="32"/>
          <w:szCs w:val="32"/>
          <w:lang w:val="en-US" w:eastAsia="zh-CN"/>
        </w:rPr>
        <w:t>410.01</w:t>
      </w:r>
      <w:r>
        <w:rPr>
          <w:rFonts w:ascii="仿宋_GB2312" w:eastAsia="仿宋_GB2312" w:hAnsi="华文中宋" w:hint="eastAsia"/>
          <w:sz w:val="32"/>
          <w:szCs w:val="32"/>
        </w:rPr>
        <w:t>万元，本次调增（减）预算</w:t>
      </w:r>
      <w:r>
        <w:rPr>
          <w:rFonts w:ascii="仿宋_GB2312" w:eastAsia="仿宋_GB2312" w:hAnsi="华文中宋" w:hint="eastAsia"/>
          <w:sz w:val="32"/>
          <w:szCs w:val="32"/>
          <w:lang w:val="en-US" w:eastAsia="zh-CN"/>
        </w:rPr>
        <w:t>26.86</w:t>
      </w:r>
      <w:r>
        <w:rPr>
          <w:rFonts w:ascii="仿宋_GB2312" w:eastAsia="仿宋_GB2312" w:hAnsi="华文中宋" w:hint="eastAsia"/>
          <w:sz w:val="32"/>
          <w:szCs w:val="32"/>
        </w:rPr>
        <w:t>万元。具体情况为：</w:t>
      </w:r>
    </w:p>
    <w:p>
      <w:pPr>
        <w:pStyle w:val="style0"/>
        <w:ind w:firstLine="480" w:firstLineChars="150"/>
        <w:rPr>
          <w:rFonts w:ascii="仿宋_GB2312" w:eastAsia="仿宋_GB2312" w:hAnsi="华文中宋" w:hint="eastAsia"/>
          <w:sz w:val="32"/>
          <w:szCs w:val="32"/>
        </w:rPr>
      </w:pPr>
      <w:r>
        <w:rPr>
          <w:rFonts w:ascii="仿宋_GB2312" w:eastAsia="仿宋_GB2312" w:hAnsi="华文中宋" w:hint="eastAsia"/>
          <w:sz w:val="32"/>
          <w:szCs w:val="32"/>
        </w:rPr>
        <w:t>划入：（一）</w:t>
      </w:r>
      <w:r>
        <w:rPr>
          <w:rFonts w:ascii="仿宋_GB2312" w:eastAsia="仿宋_GB2312" w:hAnsi="华文中宋" w:hint="eastAsia"/>
          <w:sz w:val="32"/>
          <w:szCs w:val="32"/>
          <w:lang w:eastAsia="zh-CN"/>
        </w:rPr>
        <w:t>昌吉州商务局</w:t>
      </w:r>
      <w:r>
        <w:rPr>
          <w:rFonts w:ascii="仿宋_GB2312" w:eastAsia="仿宋_GB2312" w:hAnsi="华文中宋" w:hint="eastAsia"/>
          <w:sz w:val="32"/>
          <w:szCs w:val="32"/>
        </w:rPr>
        <w:t>整体（或部分）</w:t>
      </w:r>
      <w:r>
        <w:rPr>
          <w:rFonts w:ascii="仿宋_GB2312" w:eastAsia="仿宋_GB2312" w:hAnsi="华文中宋" w:hint="eastAsia"/>
          <w:sz w:val="32"/>
          <w:szCs w:val="32"/>
          <w:lang w:eastAsia="zh-CN"/>
        </w:rPr>
        <w:t>没有</w:t>
      </w:r>
      <w:r>
        <w:rPr>
          <w:rFonts w:ascii="仿宋_GB2312" w:eastAsia="仿宋_GB2312" w:hAnsi="华文中宋" w:hint="eastAsia"/>
          <w:sz w:val="32"/>
          <w:szCs w:val="32"/>
        </w:rPr>
        <w:t>划入</w:t>
      </w:r>
      <w:r>
        <w:rPr>
          <w:rFonts w:ascii="仿宋_GB2312" w:eastAsia="仿宋_GB2312" w:hAnsi="华文中宋" w:hint="eastAsia"/>
          <w:sz w:val="32"/>
          <w:szCs w:val="32"/>
          <w:lang w:eastAsia="zh-CN"/>
        </w:rPr>
        <w:t>职能</w:t>
      </w:r>
      <w:r>
        <w:rPr>
          <w:rFonts w:ascii="仿宋_GB2312" w:eastAsia="仿宋_GB2312" w:hAnsi="华文中宋" w:hint="eastAsia"/>
          <w:sz w:val="32"/>
          <w:szCs w:val="32"/>
        </w:rPr>
        <w:t>，划入预算</w:t>
      </w:r>
      <w:r>
        <w:rPr>
          <w:rFonts w:ascii="仿宋_GB2312" w:eastAsia="仿宋_GB2312" w:hAnsi="华文中宋" w:hint="eastAsia"/>
          <w:sz w:val="32"/>
          <w:szCs w:val="32"/>
          <w:lang w:val="en-US" w:eastAsia="zh-CN"/>
        </w:rPr>
        <w:t>0</w:t>
      </w:r>
      <w:r>
        <w:rPr>
          <w:rFonts w:ascii="仿宋_GB2312" w:eastAsia="仿宋_GB2312" w:hAnsi="华文中宋" w:hint="eastAsia"/>
          <w:sz w:val="32"/>
          <w:szCs w:val="32"/>
        </w:rPr>
        <w:t>万元。其中，基本支出</w:t>
      </w:r>
      <w:r>
        <w:rPr>
          <w:rFonts w:ascii="仿宋_GB2312" w:eastAsia="仿宋_GB2312" w:hAnsi="华文中宋" w:hint="eastAsia"/>
          <w:sz w:val="32"/>
          <w:szCs w:val="32"/>
          <w:lang w:val="en-US" w:eastAsia="zh-CN"/>
        </w:rPr>
        <w:t>0</w:t>
      </w:r>
      <w:r>
        <w:rPr>
          <w:rFonts w:ascii="仿宋_GB2312" w:eastAsia="仿宋_GB2312" w:hAnsi="华文中宋" w:hint="eastAsia"/>
          <w:sz w:val="32"/>
          <w:szCs w:val="32"/>
        </w:rPr>
        <w:t>万元；项目支出</w:t>
      </w:r>
      <w:r>
        <w:rPr>
          <w:rFonts w:ascii="仿宋_GB2312" w:eastAsia="仿宋_GB2312" w:hAnsi="华文中宋" w:hint="eastAsia"/>
          <w:sz w:val="32"/>
          <w:szCs w:val="32"/>
          <w:lang w:val="en-US" w:eastAsia="zh-CN"/>
        </w:rPr>
        <w:t>0</w:t>
      </w:r>
      <w:r>
        <w:rPr>
          <w:rFonts w:ascii="仿宋_GB2312" w:eastAsia="仿宋_GB2312" w:hAnsi="华文中宋" w:hint="eastAsia"/>
          <w:sz w:val="32"/>
          <w:szCs w:val="32"/>
        </w:rPr>
        <w:t>万元。</w:t>
      </w:r>
    </w:p>
    <w:bookmarkStart w:id="0" w:name="_GoBack"/>
    <w:bookmarkEnd w:id="0"/>
    <w:p>
      <w:pPr>
        <w:pStyle w:val="style0"/>
        <w:ind w:firstLine="480" w:firstLineChars="150"/>
        <w:rPr>
          <w:rFonts w:ascii="仿宋_GB2312" w:eastAsia="仿宋_GB2312" w:hAnsi="华文中宋"/>
          <w:sz w:val="32"/>
          <w:szCs w:val="32"/>
        </w:rPr>
      </w:pPr>
      <w:r>
        <w:rPr>
          <w:rFonts w:ascii="仿宋_GB2312" w:eastAsia="仿宋_GB2312" w:hAnsi="华文中宋" w:hint="eastAsia"/>
          <w:sz w:val="32"/>
          <w:szCs w:val="32"/>
        </w:rPr>
        <w:t>划出：（二）部分划出</w:t>
      </w:r>
      <w:r>
        <w:rPr>
          <w:rFonts w:ascii="仿宋_GB2312" w:eastAsia="仿宋_GB2312" w:hAnsi="华文中宋" w:hint="eastAsia"/>
          <w:sz w:val="32"/>
          <w:szCs w:val="32"/>
          <w:lang w:eastAsia="zh-CN"/>
        </w:rPr>
        <w:t>昌吉州发改委</w:t>
      </w:r>
      <w:r>
        <w:rPr>
          <w:rFonts w:ascii="仿宋_GB2312" w:eastAsia="仿宋_GB2312" w:hAnsi="华文中宋" w:hint="eastAsia"/>
          <w:sz w:val="32"/>
          <w:szCs w:val="32"/>
        </w:rPr>
        <w:t>单位，划出预算</w:t>
      </w:r>
      <w:r>
        <w:rPr>
          <w:rFonts w:ascii="仿宋_GB2312" w:eastAsia="仿宋_GB2312" w:hAnsi="华文中宋" w:hint="eastAsia"/>
          <w:sz w:val="32"/>
          <w:szCs w:val="32"/>
          <w:lang w:val="en-US" w:eastAsia="zh-CN"/>
        </w:rPr>
        <w:t>26.86</w:t>
      </w:r>
      <w:r>
        <w:rPr>
          <w:rFonts w:ascii="仿宋_GB2312" w:eastAsia="仿宋_GB2312" w:hAnsi="华文中宋" w:hint="eastAsia"/>
          <w:sz w:val="32"/>
          <w:szCs w:val="32"/>
        </w:rPr>
        <w:t>万元。其中，基本支出</w:t>
      </w:r>
      <w:r>
        <w:rPr>
          <w:rFonts w:ascii="仿宋_GB2312" w:eastAsia="仿宋_GB2312" w:hAnsi="华文中宋" w:hint="eastAsia"/>
          <w:sz w:val="32"/>
          <w:szCs w:val="32"/>
          <w:lang w:val="en-US" w:eastAsia="zh-CN"/>
        </w:rPr>
        <w:t>26.86</w:t>
      </w:r>
      <w:r>
        <w:rPr>
          <w:rFonts w:ascii="仿宋_GB2312" w:eastAsia="仿宋_GB2312" w:hAnsi="华文中宋" w:hint="eastAsia"/>
          <w:sz w:val="32"/>
          <w:szCs w:val="32"/>
        </w:rPr>
        <w:t>万元；项目支出</w:t>
      </w:r>
      <w:r>
        <w:rPr>
          <w:rFonts w:ascii="仿宋_GB2312" w:eastAsia="仿宋_GB2312" w:hAnsi="华文中宋" w:hint="eastAsia"/>
          <w:sz w:val="32"/>
          <w:szCs w:val="32"/>
          <w:lang w:val="en-US" w:eastAsia="zh-CN"/>
        </w:rPr>
        <w:t>0</w:t>
      </w:r>
      <w:r>
        <w:rPr>
          <w:rFonts w:ascii="仿宋_GB2312" w:eastAsia="仿宋_GB2312" w:hAnsi="华文中宋" w:hint="eastAsia"/>
          <w:sz w:val="32"/>
          <w:szCs w:val="32"/>
        </w:rPr>
        <w:t>万元。</w:t>
      </w:r>
    </w:p>
    <w:p>
      <w:pPr>
        <w:pStyle w:val="style0"/>
        <w:ind w:firstLine="160" w:firstLineChars="50"/>
        <w:rPr>
          <w:rFonts w:ascii="仿宋_GB2312" w:eastAsia="仿宋_GB2312" w:hAnsi="华文中宋" w:hint="eastAsia"/>
          <w:sz w:val="32"/>
          <w:szCs w:val="32"/>
          <w:lang w:eastAsia="zh-CN"/>
        </w:rPr>
      </w:pPr>
      <w:r>
        <w:rPr>
          <w:rFonts w:ascii="仿宋_GB2312" w:eastAsia="仿宋_GB2312" w:hAnsi="华文中宋" w:hint="eastAsia"/>
          <w:sz w:val="32"/>
          <w:szCs w:val="32"/>
        </w:rPr>
        <w:t xml:space="preserve"> “三公”经费变化情况为：</w:t>
      </w:r>
      <w:r>
        <w:rPr>
          <w:rFonts w:ascii="仿宋_GB2312" w:eastAsia="仿宋_GB2312" w:hAnsi="华文中宋" w:hint="eastAsia"/>
          <w:sz w:val="32"/>
          <w:szCs w:val="32"/>
          <w:lang w:val="en-US" w:eastAsia="zh-CN"/>
        </w:rPr>
        <w:t>0万元</w:t>
      </w:r>
    </w:p>
    <w:p>
      <w:pPr>
        <w:pStyle w:val="style0"/>
        <w:ind w:firstLine="640" w:firstLineChars="200"/>
        <w:rPr>
          <w:rFonts w:ascii="黑体" w:eastAsia="黑体" w:hAnsi="黑体"/>
          <w:sz w:val="32"/>
          <w:szCs w:val="32"/>
        </w:rPr>
      </w:pPr>
      <w:r>
        <w:rPr>
          <w:rFonts w:ascii="黑体" w:eastAsia="黑体" w:hAnsi="黑体" w:hint="eastAsia"/>
          <w:sz w:val="32"/>
          <w:szCs w:val="32"/>
        </w:rPr>
        <w:t>三、绩效目标调整情况</w:t>
      </w:r>
    </w:p>
    <w:p>
      <w:pPr>
        <w:pStyle w:val="style0"/>
        <w:ind w:firstLine="640" w:firstLineChars="200"/>
        <w:rPr>
          <w:rFonts w:ascii="仿宋_GB2312" w:eastAsia="仿宋_GB2312" w:hAnsi="华文中宋"/>
          <w:sz w:val="32"/>
          <w:szCs w:val="32"/>
        </w:rPr>
      </w:pPr>
      <w:r>
        <w:rPr>
          <w:rFonts w:ascii="仿宋_GB2312" w:eastAsia="仿宋_GB2312" w:hAnsi="华文中宋" w:hint="eastAsia"/>
          <w:sz w:val="32"/>
          <w:szCs w:val="32"/>
        </w:rPr>
        <w:t>因项目金额、性质</w:t>
      </w:r>
      <w:r>
        <w:rPr>
          <w:rFonts w:ascii="仿宋_GB2312" w:eastAsia="仿宋_GB2312" w:hAnsi="华文中宋" w:hint="eastAsia"/>
          <w:sz w:val="32"/>
          <w:szCs w:val="32"/>
          <w:lang w:eastAsia="zh-CN"/>
        </w:rPr>
        <w:t>没有</w:t>
      </w:r>
      <w:r>
        <w:rPr>
          <w:rFonts w:ascii="仿宋_GB2312" w:eastAsia="仿宋_GB2312" w:hAnsi="华文中宋" w:hint="eastAsia"/>
          <w:sz w:val="32"/>
          <w:szCs w:val="32"/>
        </w:rPr>
        <w:t>发生变化，原项目经费绩效目标</w:t>
      </w:r>
      <w:r>
        <w:rPr>
          <w:rFonts w:ascii="仿宋_GB2312" w:eastAsia="仿宋_GB2312" w:hAnsi="华文中宋" w:hint="eastAsia"/>
          <w:sz w:val="32"/>
          <w:szCs w:val="32"/>
          <w:lang w:eastAsia="zh-CN"/>
        </w:rPr>
        <w:t>不需要</w:t>
      </w:r>
      <w:r>
        <w:rPr>
          <w:rFonts w:ascii="仿宋_GB2312" w:eastAsia="仿宋_GB2312" w:hAnsi="华文中宋" w:hint="eastAsia"/>
          <w:sz w:val="32"/>
          <w:szCs w:val="32"/>
        </w:rPr>
        <w:t>同步调整。</w:t>
      </w:r>
    </w:p>
    <w:p>
      <w:pPr>
        <w:pStyle w:val="style0"/>
        <w:ind w:left="481" w:leftChars="229" w:firstLine="160" w:firstLineChars="50"/>
        <w:rPr>
          <w:rFonts w:ascii="仿宋_GB2312" w:eastAsia="仿宋_GB2312" w:hAnsi="华文中宋"/>
          <w:sz w:val="32"/>
          <w:szCs w:val="32"/>
        </w:rPr>
      </w:pPr>
      <w:r>
        <w:rPr>
          <w:rFonts w:ascii="仿宋_GB2312" w:eastAsia="仿宋_GB2312" w:hAnsi="华文中宋" w:hint="eastAsia"/>
          <w:sz w:val="32"/>
          <w:szCs w:val="32"/>
        </w:rPr>
        <w:t>以上具体情况，详见附件。</w:t>
      </w:r>
    </w:p>
    <w:p>
      <w:pPr>
        <w:pStyle w:val="style0"/>
        <w:ind w:left="1440" w:leftChars="305" w:hanging="800" w:hangingChars="250"/>
        <w:rPr>
          <w:rFonts w:ascii="仿宋_GB2312" w:eastAsia="仿宋_GB2312" w:hAnsi="华文中宋"/>
          <w:sz w:val="32"/>
          <w:szCs w:val="32"/>
        </w:rPr>
      </w:pPr>
      <w:r>
        <w:rPr>
          <w:rFonts w:ascii="仿宋_GB2312" w:eastAsia="仿宋_GB2312" w:hAnsi="华文中宋" w:hint="eastAsia"/>
          <w:sz w:val="32"/>
          <w:szCs w:val="32"/>
        </w:rPr>
        <w:t>附件</w:t>
      </w:r>
    </w:p>
    <w:p>
      <w:pPr>
        <w:pStyle w:val="style0"/>
        <w:ind w:left="1440" w:leftChars="305" w:hanging="800" w:hangingChars="250"/>
        <w:rPr>
          <w:rFonts w:ascii="仿宋_GB2312" w:eastAsia="仿宋_GB2312" w:hAnsi="华文中宋"/>
          <w:sz w:val="32"/>
          <w:szCs w:val="32"/>
        </w:rPr>
      </w:pPr>
      <w:r>
        <w:rPr>
          <w:rFonts w:ascii="仿宋_GB2312" w:eastAsia="仿宋_GB2312" w:hAnsi="华文中宋" w:hint="eastAsia"/>
          <w:sz w:val="32"/>
          <w:szCs w:val="32"/>
        </w:rPr>
        <w:t>1：自治州党政机关机构改革预算调整表</w:t>
      </w:r>
    </w:p>
    <w:p>
      <w:pPr>
        <w:pStyle w:val="style0"/>
        <w:ind w:firstLine="480" w:firstLineChars="150"/>
        <w:rPr>
          <w:rFonts w:ascii="仿宋_GB2312" w:eastAsia="仿宋_GB2312" w:hAnsi="华文中宋"/>
          <w:sz w:val="32"/>
          <w:szCs w:val="32"/>
        </w:rPr>
      </w:pPr>
      <w:r>
        <w:rPr>
          <w:rFonts w:ascii="仿宋_GB2312" w:eastAsia="仿宋_GB2312" w:hAnsi="华文中宋" w:hint="eastAsia"/>
          <w:sz w:val="32"/>
          <w:szCs w:val="32"/>
        </w:rPr>
        <w:t xml:space="preserve"> 2：项目绩效目标调整情况表</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宋体"/>
    <w:panose1 w:val="02010600030000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0020204"/>
    <w:charset w:val="01"/>
    <w:family w:val="swiss"/>
    <w:pitch w:val="default"/>
    <w:sig w:usb0="E0002AFF" w:usb1="C0007843" w:usb2="00000009" w:usb3="00000000" w:csb0="400001FF" w:csb1="FFFF0000"/>
  </w:font>
  <w:font w:name="黑体">
    <w:altName w:val="黑体"/>
    <w:panose1 w:val="02010609060000010101"/>
    <w:charset w:val="86"/>
    <w:family w:val="auto"/>
    <w:pitch w:val="default"/>
    <w:sig w:usb0="800002BF" w:usb1="38CF7CFA" w:usb2="00000016" w:usb3="00000000" w:csb0="00040001" w:csb1="00000000"/>
  </w:font>
  <w:font w:name="Courier New">
    <w:altName w:val="Courier New"/>
    <w:panose1 w:val="02070309020000020404"/>
    <w:charset w:val="01"/>
    <w:family w:val="modern"/>
    <w:pitch w:val="default"/>
    <w:sig w:usb0="E0002AFF" w:usb1="C0007843" w:usb2="00000009" w:usb3="00000000" w:csb0="400001FF" w:csb1="FFFF0000"/>
  </w:font>
  <w:font w:name="Symbol">
    <w:altName w:val="Symbol"/>
    <w:panose1 w:val="05050102010000020507"/>
    <w:charset w:val="02"/>
    <w:family w:val="roman"/>
    <w:pitch w:val="default"/>
    <w:sig w:usb0="00000000" w:usb1="00000000" w:usb2="00000000" w:usb3="00000000" w:csb0="80000000" w:csb1="00000000"/>
  </w:font>
  <w:font w:name="Calibri">
    <w:altName w:val="Calibri"/>
    <w:panose1 w:val="020f0502020000030204"/>
    <w:charset w:val="00"/>
    <w:family w:val="swiss"/>
    <w:pitch w:val="default"/>
    <w:sig w:usb0="E00002FF" w:usb1="4000ACFF" w:usb2="00000001" w:usb3="00000000" w:csb0="2000019F" w:csb1="00000000"/>
  </w:font>
  <w:font w:name="华文中宋">
    <w:altName w:val="微软雅黑"/>
    <w:panose1 w:val="00000000000000000000"/>
    <w:charset w:val="86"/>
    <w:family w:val="auto"/>
    <w:pitch w:val="default"/>
    <w:sig w:usb0="00000000" w:usb1="00000000" w:usb2="00000010" w:usb3="00000000" w:csb0="0004009F" w:csb1="00000000"/>
  </w:font>
  <w:font w:name="仿宋_GB2312">
    <w:altName w:val="仿宋"/>
    <w:panose1 w:val="00000000000000000000"/>
    <w:charset w:val="86"/>
    <w:family w:val="modern"/>
    <w:pitch w:val="default"/>
    <w:sig w:usb0="00000000" w:usb1="00000000" w:usb2="00000010" w:usb3="00000000" w:csb0="00040000" w:csb1="00000000"/>
  </w:font>
  <w:font w:name="微软雅黑">
    <w:altName w:val="微软雅黑"/>
    <w:panose1 w:val="020b0503020000020204"/>
    <w:charset w:val="86"/>
    <w:family w:val="auto"/>
    <w:pitch w:val="default"/>
    <w:sig w:usb0="80000287" w:usb1="280F3C52" w:usb2="00000016" w:usb3="00000000" w:csb0="0004001F" w:csb1="00000000"/>
  </w:font>
  <w:font w:name="仿宋">
    <w:altName w:val="仿宋"/>
    <w:panose1 w:val="02010609060000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3DEE1AAB"/>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2"/>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Layout w:type="fixed"/>
      <w:tblCellMar>
        <w:top w:w="0" w:type="dxa"/>
        <w:left w:w="108" w:type="dxa"/>
        <w:bottom w:w="0" w:type="dxa"/>
        <w:right w:w="108" w:type="dxa"/>
      </w:tblCellMar>
    </w:tblPr>
    <w:tcPr>
      <w:tcBorders/>
    </w:tcPr>
  </w:style>
  <w:style w:type="paragraph" w:styleId="style153">
    <w:name w:val="Balloon Text"/>
    <w:basedOn w:val="style0"/>
    <w:next w:val="style153"/>
    <w:link w:val="style4099"/>
    <w:uiPriority w:val="99"/>
    <w:pPr/>
    <w:rPr>
      <w:sz w:val="18"/>
      <w:szCs w:val="18"/>
    </w:rPr>
  </w:style>
  <w:style w:type="paragraph" w:styleId="style32">
    <w:name w:val="footer"/>
    <w:basedOn w:val="style0"/>
    <w:next w:val="style32"/>
    <w:link w:val="style4098"/>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097"/>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7">
    <w:name w:val="页眉 Char"/>
    <w:basedOn w:val="style65"/>
    <w:next w:val="style4097"/>
    <w:link w:val="style31"/>
    <w:uiPriority w:val="99"/>
    <w:rPr>
      <w:sz w:val="18"/>
      <w:szCs w:val="18"/>
    </w:rPr>
  </w:style>
  <w:style w:type="character" w:customStyle="1" w:styleId="style4098">
    <w:name w:val="页脚 Char"/>
    <w:basedOn w:val="style65"/>
    <w:next w:val="style4098"/>
    <w:link w:val="style32"/>
    <w:qFormat/>
    <w:uiPriority w:val="99"/>
    <w:rPr>
      <w:sz w:val="18"/>
      <w:szCs w:val="18"/>
    </w:rPr>
  </w:style>
  <w:style w:type="paragraph" w:styleId="style179">
    <w:name w:val="List Paragraph"/>
    <w:basedOn w:val="style0"/>
    <w:next w:val="style179"/>
    <w:qFormat/>
    <w:uiPriority w:val="34"/>
    <w:pPr>
      <w:ind w:firstLine="420" w:firstLineChars="200"/>
    </w:pPr>
    <w:rPr/>
  </w:style>
  <w:style w:type="character" w:customStyle="1" w:styleId="style4099">
    <w:name w:val="批注框文本 Char"/>
    <w:basedOn w:val="style65"/>
    <w:next w:val="style4099"/>
    <w:link w:val="style153"/>
    <w:qFormat/>
    <w:uiPriority w:val="99"/>
    <w:rPr>
      <w:sz w:val="18"/>
      <w:szCs w:val="18"/>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Words>1995</Words>
  <Pages>2</Pages>
  <Characters>2026</Characters>
  <Application>WPS Office</Application>
  <DocSecurity>0</DocSecurity>
  <Paragraphs>29</Paragraphs>
  <ScaleCrop>false</ScaleCrop>
  <Company>Microsoft</Company>
  <LinksUpToDate>false</LinksUpToDate>
  <CharactersWithSpaces>2032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2019-07-04T05:19:00Z</dcterms:created>
  <dc:creator>刘大军（预算处）</dc:creator>
  <lastModifiedBy>JSN-AL00a</lastModifiedBy>
  <lastPrinted>2019-03-16T01:32:00Z</lastPrinted>
  <dcterms:modified xsi:type="dcterms:W3CDTF">2019-07-23T11:09:04Z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