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pStyle w:val="2"/>
      </w:pPr>
    </w:p>
    <w:p>
      <w:pPr>
        <w:spacing w:line="560" w:lineRule="exact"/>
        <w:jc w:val="center"/>
        <w:rPr>
          <w:rFonts w:ascii="黑体" w:hAnsi="黑体" w:eastAsia="黑体" w:cs="黑体"/>
          <w:b/>
          <w:kern w:val="0"/>
          <w:sz w:val="48"/>
          <w:szCs w:val="48"/>
        </w:rPr>
      </w:pPr>
      <w:r>
        <w:rPr>
          <w:rFonts w:hint="eastAsia" w:ascii="黑体" w:hAnsi="黑体" w:eastAsia="黑体" w:cs="黑体"/>
          <w:b/>
          <w:kern w:val="0"/>
          <w:sz w:val="48"/>
          <w:szCs w:val="48"/>
        </w:rPr>
        <w:t>昌吉州城乡居民基本医疗保险支出</w:t>
      </w:r>
    </w:p>
    <w:p>
      <w:pPr>
        <w:spacing w:line="560" w:lineRule="exact"/>
        <w:jc w:val="center"/>
        <w:rPr>
          <w:rFonts w:ascii="黑体" w:hAnsi="黑体" w:eastAsia="黑体" w:cs="黑体"/>
          <w:b/>
          <w:kern w:val="0"/>
          <w:sz w:val="48"/>
          <w:szCs w:val="48"/>
        </w:rPr>
      </w:pPr>
      <w:r>
        <w:rPr>
          <w:rFonts w:hint="eastAsia" w:ascii="黑体" w:hAnsi="黑体" w:eastAsia="黑体" w:cs="黑体"/>
          <w:b/>
          <w:kern w:val="0"/>
          <w:sz w:val="48"/>
          <w:szCs w:val="48"/>
        </w:rPr>
        <w:t>绩效评价报告</w:t>
      </w:r>
    </w:p>
    <w:p>
      <w:pPr>
        <w:spacing w:line="560" w:lineRule="exact"/>
        <w:jc w:val="center"/>
        <w:rPr>
          <w:rFonts w:ascii="黑体" w:hAnsi="黑体" w:eastAsia="黑体" w:cs="黑体"/>
          <w:b/>
          <w:kern w:val="0"/>
          <w:sz w:val="48"/>
          <w:szCs w:val="48"/>
        </w:rPr>
      </w:pPr>
    </w:p>
    <w:p>
      <w:pPr>
        <w:spacing w:line="560" w:lineRule="exact"/>
        <w:jc w:val="center"/>
        <w:rPr>
          <w:rFonts w:ascii="黑体" w:hAnsi="黑体" w:eastAsia="黑体" w:cs="黑体"/>
          <w:b/>
          <w:kern w:val="0"/>
          <w:sz w:val="48"/>
          <w:szCs w:val="48"/>
        </w:rPr>
      </w:pPr>
      <w:r>
        <w:rPr>
          <w:rFonts w:hint="eastAsia" w:ascii="黑体" w:hAnsi="黑体" w:eastAsia="黑体" w:cs="黑体"/>
          <w:b/>
          <w:kern w:val="0"/>
          <w:sz w:val="48"/>
          <w:szCs w:val="48"/>
        </w:rPr>
        <w:t>（</w:t>
      </w:r>
      <w:r>
        <w:rPr>
          <w:rFonts w:ascii="黑体" w:hAnsi="黑体" w:eastAsia="黑体" w:cs="黑体"/>
          <w:b/>
          <w:kern w:val="0"/>
          <w:sz w:val="48"/>
          <w:szCs w:val="48"/>
        </w:rPr>
        <w:t>201</w:t>
      </w:r>
      <w:r>
        <w:rPr>
          <w:rFonts w:hint="eastAsia" w:ascii="黑体" w:hAnsi="黑体" w:eastAsia="黑体" w:cs="黑体"/>
          <w:b/>
          <w:kern w:val="0"/>
          <w:sz w:val="48"/>
          <w:szCs w:val="48"/>
        </w:rPr>
        <w:t>9年度）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bCs/>
          <w:kern w:val="0"/>
          <w:sz w:val="30"/>
          <w:szCs w:val="30"/>
        </w:rPr>
      </w:pPr>
    </w:p>
    <w:p>
      <w:pPr>
        <w:spacing w:line="560" w:lineRule="exact"/>
        <w:ind w:firstLine="600" w:firstLineChars="200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ascii="黑体" w:hAnsi="黑体" w:eastAsia="黑体" w:cs="黑体"/>
          <w:bCs/>
          <w:kern w:val="0"/>
          <w:sz w:val="30"/>
          <w:szCs w:val="30"/>
        </w:rPr>
        <w:t xml:space="preserve">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项目名称：城乡居民基本医疗保险基金支出</w:t>
      </w:r>
    </w:p>
    <w:p>
      <w:pPr>
        <w:spacing w:line="560" w:lineRule="exact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</w:p>
    <w:p>
      <w:pPr>
        <w:spacing w:line="560" w:lineRule="exact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ascii="黑体" w:hAnsi="黑体" w:eastAsia="黑体" w:cs="黑体"/>
          <w:bCs/>
          <w:kern w:val="0"/>
          <w:sz w:val="32"/>
          <w:szCs w:val="32"/>
        </w:rPr>
        <w:t xml:space="preserve">    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实施单位（公章）：</w:t>
      </w:r>
    </w:p>
    <w:p>
      <w:pPr>
        <w:spacing w:line="560" w:lineRule="exact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</w:p>
    <w:p>
      <w:pPr>
        <w:spacing w:line="560" w:lineRule="exact"/>
        <w:ind w:firstLine="755" w:firstLineChars="236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负责人（签章）：</w:t>
      </w:r>
    </w:p>
    <w:p>
      <w:pPr>
        <w:spacing w:line="560" w:lineRule="exact"/>
        <w:ind w:firstLine="755" w:firstLineChars="236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</w:p>
    <w:p>
      <w:pPr>
        <w:spacing w:line="560" w:lineRule="exact"/>
        <w:ind w:firstLine="755" w:firstLineChars="236"/>
        <w:jc w:val="lef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填报时间：</w:t>
      </w:r>
      <w:r>
        <w:rPr>
          <w:rFonts w:ascii="黑体" w:hAnsi="黑体" w:eastAsia="黑体" w:cs="黑体"/>
          <w:bCs/>
          <w:kern w:val="0"/>
          <w:sz w:val="32"/>
          <w:szCs w:val="32"/>
        </w:rPr>
        <w:t xml:space="preserve"> 20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20年</w:t>
      </w:r>
      <w:r>
        <w:rPr>
          <w:rFonts w:ascii="黑体" w:hAnsi="黑体" w:eastAsia="黑体" w:cs="黑体"/>
          <w:bCs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4月</w:t>
      </w:r>
      <w:r>
        <w:rPr>
          <w:rFonts w:ascii="黑体" w:hAnsi="黑体" w:eastAsia="黑体" w:cs="黑体"/>
          <w:bCs/>
          <w:kern w:val="0"/>
          <w:sz w:val="32"/>
          <w:szCs w:val="32"/>
        </w:rPr>
        <w:t xml:space="preserve"> 1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5日</w:t>
      </w: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</w:p>
    <w:p>
      <w:pPr>
        <w:pStyle w:val="2"/>
      </w:pP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Cs w:val="0"/>
          <w:spacing w:val="-4"/>
          <w:sz w:val="30"/>
          <w:szCs w:val="30"/>
        </w:rPr>
        <w:t>一、城乡居民基本医疗保险基金收支余总体情况</w:t>
      </w:r>
    </w:p>
    <w:p>
      <w:pPr>
        <w:spacing w:line="560" w:lineRule="exact"/>
        <w:ind w:firstLine="567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（一）城乡居民基本医疗保险基金总体情况</w:t>
      </w:r>
    </w:p>
    <w:p>
      <w:pPr>
        <w:tabs>
          <w:tab w:val="left" w:pos="0"/>
        </w:tabs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度，在州人民政府、财政局的大力支持和共同努力下，昌吉州医疗保障工作取得了显著成绩。各项医疗保险基金收入稳步增长，支出相对增加，总体运行平稳。确保了广大参保人员各项社会保险待遇的按时、足额发放，医疗保险覆盖面逐步扩大。在进一步加强医疗保险基金预算管理的基础上，确保了各项基金的安全运营。</w:t>
      </w:r>
    </w:p>
    <w:p>
      <w:pPr>
        <w:tabs>
          <w:tab w:val="left" w:pos="0"/>
        </w:tabs>
        <w:spacing w:line="560" w:lineRule="exact"/>
        <w:ind w:firstLine="600" w:firstLineChars="200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9年全州城乡居民基本医疗保险基金收入6.99亿元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（剔除新农合个人缴费收入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1.2亿元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当年实际收入为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6.32亿元），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较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实际较上年增长0.67元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增幅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10.60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，完成年度预算100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。基金支出6.95亿元，较上年增加1.94亿元，增长38.72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，完成年度预算102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。基金当期结余0.05亿元，滚存结余3.71亿元。</w:t>
      </w:r>
    </w:p>
    <w:p>
      <w:pPr>
        <w:spacing w:line="560" w:lineRule="exact"/>
        <w:ind w:firstLine="567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（二）城乡居民基本医疗保险基金支出预算绩效目标设定情况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（包括基金支出预算目标及阶段性目标；项目用途和主要内容、涉及对象及人数范围等）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9年预算城乡居民基本医疗保险基金支出6.95亿元</w:t>
      </w:r>
      <w:r>
        <w:rPr>
          <w:rFonts w:ascii="仿宋_GB2312" w:hAnsi="仿宋_GB2312" w:eastAsia="仿宋_GB2312" w:cs="仿宋_GB2312"/>
          <w:bCs/>
          <w:kern w:val="0"/>
          <w:sz w:val="30"/>
          <w:szCs w:val="30"/>
        </w:rPr>
        <w:t>,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其中医疗保险待遇支出6.14亿元。保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障全州77.44万名参保城乡居民基本的医疗报销问题，参保人员住院就医12490425人次，门诊就医 1105820 人次，门诊大病 285483 人次。全年预算支出执行目标102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以上，承诺在业务申报25个工作日内（含业务审核、财务拨付）将申报资金拨付至各定点医疗机构及参保单位，首次拨款准确率</w:t>
      </w:r>
      <w:r>
        <w:rPr>
          <w:rFonts w:ascii="仿宋_GB2312" w:hAnsi="仿宋_GB2312" w:eastAsia="仿宋_GB2312" w:cs="仿宋_GB2312"/>
          <w:bCs/>
          <w:sz w:val="30"/>
          <w:szCs w:val="30"/>
        </w:rPr>
        <w:t>99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％以上，参保群众满意率</w:t>
      </w:r>
      <w:r>
        <w:rPr>
          <w:rFonts w:ascii="仿宋_GB2312" w:hAnsi="仿宋_GB2312" w:eastAsia="仿宋_GB2312" w:cs="仿宋_GB2312"/>
          <w:bCs/>
          <w:sz w:val="30"/>
          <w:szCs w:val="30"/>
        </w:rPr>
        <w:t>95%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以上。</w:t>
      </w: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Cs w:val="0"/>
          <w:spacing w:val="-4"/>
          <w:sz w:val="30"/>
          <w:szCs w:val="30"/>
        </w:rPr>
        <w:t>二、城乡居民基本医疗保险基金预算完成及运行情况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9年城乡居民基本医疗保险基金总收入6.99亿元，其中：个人缴费收入2.37亿元（财政对困难人员代缴收入317万元，城乡医疗救助资助收入682万元），各级财政补助收入 4.57亿元，利息收入467万元。基金支出6.95亿元，其中：基本医疗保险待遇支出6.14亿元，大病保险支出0.81亿元。基金当期结余500万元，累计结余3.71亿元。</w:t>
      </w:r>
    </w:p>
    <w:p>
      <w:pPr>
        <w:numPr>
          <w:ilvl w:val="0"/>
          <w:numId w:val="1"/>
        </w:num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Cs w:val="0"/>
          <w:spacing w:val="-4"/>
          <w:sz w:val="30"/>
          <w:szCs w:val="30"/>
        </w:rPr>
        <w:t>城乡居民基本医疗保险基金支出组织实施情况和绩效管理情况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医疗保险管理情况分析</w:t>
      </w:r>
    </w:p>
    <w:p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1</w:t>
      </w:r>
      <w:r>
        <w:rPr>
          <w:rFonts w:ascii="仿宋_GB2312" w:hAnsi="仿宋_GB2312" w:eastAsia="仿宋_GB2312" w:cs="仿宋_GB2312"/>
          <w:bCs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医疗保障制度体系进一步完善。建立了全州统一的城乡居民基本医疗保险制度、城乡居民大病保险和城镇职工大病保险制度；出台进一步完善医疗救助政策，将贫困人口全部纳入三项制度范围，建立了稳定脱贫、防止因病返贫的长效机制；将城乡居民初期高血压、糖尿病门诊费用纳入保障，门诊医疗费报销比例50%以上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。</w:t>
      </w:r>
    </w:p>
    <w:p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2、医疗保障范围进一步扩大，</w:t>
      </w:r>
      <w:r>
        <w:rPr>
          <w:rFonts w:ascii="仿宋_GB2312" w:hAnsi="仿宋_GB2312" w:eastAsia="仿宋_GB2312" w:cs="仿宋_GB2312"/>
          <w:bCs/>
          <w:sz w:val="30"/>
          <w:szCs w:val="30"/>
        </w:rPr>
        <w:t>待遇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水平不断提高。我州城乡居民医疗保险报销比例达到70%以上，大病保险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起付线由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1.9万元降低至1.2万元，大病保险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不设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封顶线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报销比例提高至60%以上；实施医保精准扶贫，贫困人口大病保险住院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不设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封顶线，起付标准降低50%，报销比例提高5个百分点。2019年各类医疗保障受益人群达151.62万人次。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3、</w:t>
      </w:r>
      <w:r>
        <w:rPr>
          <w:rFonts w:ascii="仿宋_GB2312" w:hAnsi="仿宋_GB2312" w:eastAsia="仿宋_GB2312" w:cs="仿宋_GB2312"/>
          <w:bCs/>
          <w:sz w:val="30"/>
          <w:szCs w:val="30"/>
        </w:rPr>
        <w:t>经办服务能力不断提升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，基金监管力度持续强化。医保经办服务能力不断提升，全州实现了医保经办标准化，打造了“一窗式”医保服务。建成了医保即时联网结算体系，为参保群众提供了优质、便捷的服务。落实举报奖励制度、畅通举报渠道，实行全覆盖打击欺诈骗取医疗保障基金专项治理。 </w:t>
      </w:r>
    </w:p>
    <w:p>
      <w:pPr>
        <w:widowControl/>
        <w:shd w:val="clear" w:color="auto" w:fill="FFFFFF"/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4、进一步加强医保基金管理，强化基金安全意识，加大医保经办业务标准化、规范化、制度化建设力度，从源头上防范和控制医保基金风险。开展经办机构风险防控和打击欺诈骗取医疗保障基金专项行动，及时化解和排除基金安全风险和隐患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减少基金跑冒滴漏现象发生。</w:t>
      </w:r>
    </w:p>
    <w:p>
      <w:pPr>
        <w:spacing w:line="560" w:lineRule="exact"/>
        <w:ind w:firstLine="567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（二）绩效目标完成情况分析</w:t>
      </w:r>
    </w:p>
    <w:p>
      <w:pPr>
        <w:spacing w:line="560" w:lineRule="exact"/>
        <w:ind w:firstLine="600" w:firstLineChars="200"/>
        <w:rPr>
          <w:rFonts w:ascii="仿宋_GB2312" w:hAnsi="仿宋_GB2312" w:eastAsia="仿宋_GB2312" w:cs="仿宋_GB2312"/>
          <w:bCs/>
          <w:spacing w:val="-4"/>
          <w:sz w:val="30"/>
          <w:szCs w:val="30"/>
        </w:rPr>
      </w:pPr>
      <w:r>
        <w:rPr>
          <w:rFonts w:ascii="仿宋_GB2312" w:hAnsi="仿宋_GB2312" w:eastAsia="仿宋_GB2312" w:cs="仿宋_GB2312"/>
          <w:bCs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9年基本医疗保险基金基金支出6.95亿元，较上年增加1.94亿元，增长38.72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，完成年度预算102</w:t>
      </w:r>
      <w:r>
        <w:rPr>
          <w:rFonts w:ascii="仿宋_GB2312" w:hAnsi="仿宋_GB2312" w:eastAsia="仿宋_GB2312" w:cs="仿宋_GB2312"/>
          <w:bCs/>
          <w:sz w:val="30"/>
          <w:szCs w:val="30"/>
        </w:rPr>
        <w:t>%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。有效保障了77.44万名参保城乡居民基本的医疗保险待遇。参保人员住院就医</w:t>
      </w:r>
      <w:r>
        <w:rPr>
          <w:rFonts w:ascii="仿宋_GB2312" w:hAnsi="仿宋_GB2312" w:eastAsia="仿宋_GB2312" w:cs="仿宋_GB2312"/>
          <w:bCs/>
          <w:sz w:val="30"/>
          <w:szCs w:val="30"/>
        </w:rPr>
        <w:t>151.62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人次，其中：城乡居民住院</w:t>
      </w:r>
      <w:r>
        <w:rPr>
          <w:rFonts w:ascii="仿宋_GB2312" w:hAnsi="仿宋_GB2312" w:eastAsia="仿宋_GB2312" w:cs="仿宋_GB2312"/>
          <w:bCs/>
          <w:sz w:val="30"/>
          <w:szCs w:val="30"/>
        </w:rPr>
        <w:t>124904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人次，门诊就医1</w:t>
      </w:r>
      <w:r>
        <w:rPr>
          <w:rFonts w:ascii="仿宋_GB2312" w:hAnsi="仿宋_GB2312" w:eastAsia="仿宋_GB2312" w:cs="仿宋_GB2312"/>
          <w:bCs/>
          <w:sz w:val="30"/>
          <w:szCs w:val="30"/>
        </w:rPr>
        <w:t>105820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人次，门诊大病就医 </w:t>
      </w:r>
      <w:r>
        <w:rPr>
          <w:rFonts w:ascii="仿宋_GB2312" w:hAnsi="仿宋_GB2312" w:eastAsia="仿宋_GB2312" w:cs="仿宋_GB2312"/>
          <w:bCs/>
          <w:sz w:val="30"/>
          <w:szCs w:val="30"/>
        </w:rPr>
        <w:t>285483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人次。</w:t>
      </w:r>
      <w:r>
        <w:rPr>
          <w:rFonts w:ascii="仿宋_GB2312" w:hAnsi="仿宋_GB2312" w:eastAsia="仿宋_GB2312" w:cs="仿宋_GB2312"/>
          <w:bCs/>
          <w:spacing w:val="-4"/>
          <w:sz w:val="30"/>
          <w:szCs w:val="30"/>
        </w:rPr>
        <w:t>201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9年全年参保城乡居民没有因基本医疗待遇问题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  <w:lang w:eastAsia="zh-CN"/>
        </w:rPr>
        <w:t>引起上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访，群众上访率为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  <w:lang w:val="en-US" w:eastAsia="zh-CN"/>
        </w:rPr>
        <w:t>零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。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所有医疗费用结算均在业务申报</w:t>
      </w:r>
      <w:r>
        <w:rPr>
          <w:rFonts w:ascii="仿宋_GB2312" w:hAnsi="仿宋_GB2312" w:eastAsia="仿宋_GB2312" w:cs="仿宋_GB2312"/>
          <w:bCs/>
          <w:sz w:val="30"/>
          <w:szCs w:val="30"/>
        </w:rPr>
        <w:t>25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个工作日内（含业务审核、财务拨付）将申报资金拨付至各定点医疗机构及参保单位，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医疗保险待遇也在规定时限内报销，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首次拨款准确率</w:t>
      </w:r>
      <w:r>
        <w:rPr>
          <w:rFonts w:ascii="仿宋_GB2312" w:hAnsi="仿宋_GB2312" w:eastAsia="仿宋_GB2312" w:cs="仿宋_GB2312"/>
          <w:bCs/>
          <w:sz w:val="30"/>
          <w:szCs w:val="30"/>
        </w:rPr>
        <w:t>99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％以上，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社会满意度</w:t>
      </w:r>
      <w:r>
        <w:rPr>
          <w:rFonts w:ascii="仿宋_GB2312" w:hAnsi="仿宋_GB2312" w:eastAsia="仿宋_GB2312" w:cs="仿宋_GB2312"/>
          <w:bCs/>
          <w:spacing w:val="-4"/>
          <w:sz w:val="30"/>
          <w:szCs w:val="30"/>
        </w:rPr>
        <w:t>95%</w:t>
      </w: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以上，圆满保障了参保人员就医等切身利益。坚定维护了新疆社会稳定和长治久安。</w:t>
      </w: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Cs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Cs w:val="0"/>
          <w:spacing w:val="-4"/>
          <w:sz w:val="30"/>
          <w:szCs w:val="30"/>
        </w:rPr>
        <w:t>四、其他需要说明的问题</w:t>
      </w:r>
    </w:p>
    <w:p>
      <w:pPr>
        <w:spacing w:line="560" w:lineRule="exact"/>
        <w:ind w:firstLine="567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（一）主要经验及做法、存在问题和建议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宋体" w:eastAsia="仿宋_GB2312" w:cs="仿宋_GB2312"/>
          <w:sz w:val="30"/>
          <w:szCs w:val="30"/>
        </w:rPr>
        <w:t>201</w:t>
      </w:r>
      <w:r>
        <w:rPr>
          <w:rFonts w:hint="eastAsia" w:ascii="仿宋_GB2312" w:hAnsi="宋体" w:eastAsia="仿宋_GB2312" w:cs="仿宋_GB2312"/>
          <w:sz w:val="30"/>
          <w:szCs w:val="30"/>
        </w:rPr>
        <w:t>9年是实施“十三五”规划的</w:t>
      </w:r>
      <w:r>
        <w:rPr>
          <w:rFonts w:hint="eastAsia" w:ascii="仿宋_GB2312" w:hAnsi="宋体" w:eastAsia="仿宋_GB2312" w:cs="仿宋_GB2312"/>
          <w:sz w:val="30"/>
          <w:szCs w:val="30"/>
          <w:lang w:eastAsia="zh-CN"/>
        </w:rPr>
        <w:t>关键</w:t>
      </w:r>
      <w:r>
        <w:rPr>
          <w:rFonts w:hint="eastAsia" w:ascii="仿宋_GB2312" w:hAnsi="宋体" w:eastAsia="仿宋_GB2312" w:cs="仿宋_GB2312"/>
          <w:sz w:val="30"/>
          <w:szCs w:val="30"/>
        </w:rPr>
        <w:t>之年，也是医疗保障事业发展进入新阶段、实现新发展的关键之年。昌吉州以基金安全运行为根本，以提高管理服务水平为重点，严格执行社会保险各项政策，建立健全内部控制制度，确保待遇发放，基金运行总体平稳。同时逐步提高各项保险待遇支付标准，使参保人员的获得感、幸福感不断增强。</w:t>
      </w:r>
    </w:p>
    <w:p>
      <w:pPr>
        <w:pStyle w:val="16"/>
        <w:widowControl/>
        <w:spacing w:beforeAutospacing="0" w:after="300" w:afterAutospacing="0" w:line="560" w:lineRule="exact"/>
        <w:ind w:firstLine="600" w:firstLineChars="200"/>
        <w:rPr>
          <w:rFonts w:ascii="仿宋_GB2312" w:hAnsi="仿宋_GB2312" w:eastAsia="仿宋_GB2312" w:cs="仿宋_GB2312"/>
          <w:kern w:val="2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昌吉州各级医疗保障经办机构按照“流程覆盖、环节把控、职责明确”的工作思路，把内控制度体系建设作为根本，实现了经办和管理工作规范、有效运行，保障了基金安全。一是健全综合内控制度。从组织机构、业务运行、基金财务、信息系统、内部控制等方面，制定内控制度、业务流程、岗位职责等，参保人员均按规定办理参保登记、个人账户信息修改、缴费等业务，严格执行统一的会计制度和收支业务审批制度，医保基金按规定对基金分别建账、分账核算，基金收入户、支出户和财政专户按规定开设账户，严格实行收支两条线管理，全面实行全程电子化，杜绝隐匿、转移、侵占、挪用基金的现象，确保基金专款专用。二是建立考核考评制度。及时调整完善内控考核办法，按规定设置岗位，增强医保经办机构干部队伍力量，加强管理，严格遵守不相容职务相互分离的原则，业务审核岗位和审批岗位分离、审批岗位与计发待遇岗位分离、审批岗位与数据录入岗位分离、会计岗位与出纳岗位分离</w:t>
      </w:r>
      <w:r>
        <w:rPr>
          <w:rFonts w:ascii="仿宋_GB2312" w:hAnsi="仿宋_GB2312" w:eastAsia="仿宋_GB2312" w:cs="仿宋_GB2312"/>
          <w:kern w:val="2"/>
          <w:sz w:val="30"/>
          <w:szCs w:val="30"/>
        </w:rPr>
        <w:t>;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无违反业务规程、信息系统操作流程规定以及岗位职责、审批权限，办理医疗保险业务、修改医疗保险信息的现象</w:t>
      </w:r>
      <w:r>
        <w:rPr>
          <w:rFonts w:ascii="仿宋_GB2312" w:hAnsi="仿宋_GB2312" w:eastAsia="仿宋_GB2312" w:cs="仿宋_GB2312"/>
          <w:kern w:val="2"/>
          <w:sz w:val="30"/>
          <w:szCs w:val="30"/>
        </w:rPr>
        <w:t>;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财务与业务按月对账，按规定与基金开户银行、财政部门和上下级经办机构等核对基金的收付情况</w:t>
      </w:r>
      <w:r>
        <w:rPr>
          <w:rFonts w:ascii="仿宋_GB2312" w:hAnsi="仿宋_GB2312" w:eastAsia="仿宋_GB2312" w:cs="仿宋_GB2312"/>
          <w:kern w:val="2"/>
          <w:sz w:val="30"/>
          <w:szCs w:val="30"/>
        </w:rPr>
        <w:t>;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</w:rPr>
        <w:t>严格执行基金支付政策，按月编制基金支付计划，按月足额发放待遇，做到不拖欠、不挪用、不挤占医保基金。</w:t>
      </w:r>
    </w:p>
    <w:p>
      <w:pPr>
        <w:spacing w:line="560" w:lineRule="exact"/>
        <w:ind w:firstLine="630"/>
        <w:rPr>
          <w:rFonts w:ascii="仿宋_GB2312" w:hAnsi="Verdana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存在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0"/>
          <w:szCs w:val="30"/>
        </w:rPr>
        <w:t>以下的问题：</w:t>
      </w:r>
      <w:r>
        <w:rPr>
          <w:rFonts w:hint="eastAsia" w:ascii="仿宋_GB2312" w:hAnsi="Verdana" w:eastAsia="仿宋_GB2312" w:cs="宋体"/>
          <w:b/>
          <w:kern w:val="0"/>
          <w:sz w:val="32"/>
          <w:szCs w:val="32"/>
        </w:rPr>
        <w:t>城乡居民医保基金收支压力不断加大。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随着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参保人数逐年下降，基金收入也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随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之减少，近年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人口老龄化程度提高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，慢性病患者病率显著增长，基金支出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增长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率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大于基金收入增长幅度</w:t>
      </w:r>
      <w:r>
        <w:rPr>
          <w:rFonts w:hint="eastAsia" w:ascii="仿宋_GB2312" w:hAnsi="Verdana" w:eastAsia="仿宋_GB2312" w:cs="宋体"/>
          <w:kern w:val="0"/>
          <w:sz w:val="32"/>
          <w:szCs w:val="32"/>
          <w:lang w:eastAsia="zh-CN"/>
        </w:rPr>
        <w:t>，基金支付压力加大</w:t>
      </w:r>
      <w:r>
        <w:rPr>
          <w:rFonts w:hint="eastAsia" w:ascii="仿宋_GB2312" w:hAnsi="Verdana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bCs/>
          <w:color w:val="000000"/>
          <w:kern w:val="0"/>
          <w:sz w:val="30"/>
          <w:szCs w:val="30"/>
        </w:rPr>
      </w:pPr>
    </w:p>
    <w:p>
      <w:pPr>
        <w:spacing w:line="560" w:lineRule="exact"/>
        <w:ind w:firstLine="645"/>
        <w:rPr>
          <w:rFonts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</w:rPr>
        <w:t>下一步昌吉州要进一步抓好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全力推进“全民参保计划”，积极采取措施、创新机制，扩大医疗保险覆盖面，强化基金征缴，做到应收尽收，不漏死角。同时做好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内部控制风险防控工作，加大对经办工作的监督检查，纠正和堵塞经办环节的漏洞和薄弱点，规范经办机构合理运行，确保基金安全。</w:t>
      </w:r>
    </w:p>
    <w:p>
      <w:pPr>
        <w:spacing w:line="560" w:lineRule="exact"/>
        <w:ind w:firstLine="640"/>
        <w:rPr>
          <w:rStyle w:val="20"/>
          <w:rFonts w:ascii="仿宋_GB2312" w:hAnsi="仿宋_GB2312" w:eastAsia="仿宋_GB2312" w:cs="仿宋_GB2312"/>
          <w:b w:val="0"/>
          <w:spacing w:val="-4"/>
          <w:sz w:val="30"/>
          <w:szCs w:val="30"/>
        </w:rPr>
      </w:pPr>
      <w:r>
        <w:rPr>
          <w:rStyle w:val="20"/>
          <w:rFonts w:hint="eastAsia" w:ascii="仿宋_GB2312" w:hAnsi="仿宋_GB2312" w:eastAsia="仿宋_GB2312" w:cs="仿宋_GB2312"/>
          <w:b w:val="0"/>
          <w:spacing w:val="-4"/>
          <w:sz w:val="30"/>
          <w:szCs w:val="30"/>
        </w:rPr>
        <w:t>五、附表</w:t>
      </w:r>
    </w:p>
    <w:p>
      <w:pPr>
        <w:spacing w:line="560" w:lineRule="exact"/>
        <w:ind w:firstLine="567"/>
        <w:rPr>
          <w:rFonts w:ascii="仿宋_GB2312" w:hAnsi="仿宋_GB2312" w:eastAsia="仿宋_GB2312" w:cs="仿宋_GB2312"/>
          <w:bCs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pacing w:val="-4"/>
          <w:sz w:val="30"/>
          <w:szCs w:val="30"/>
        </w:rPr>
        <w:t>昌吉州城乡居民医疗保险支出绩效自评表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1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6F9A22"/>
    <w:multiLevelType w:val="singleLevel"/>
    <w:tmpl w:val="A16F9A22"/>
    <w:lvl w:ilvl="0" w:tentative="0">
      <w:start w:val="3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457"/>
    <w:rsid w:val="00007751"/>
    <w:rsid w:val="00052BFB"/>
    <w:rsid w:val="00056465"/>
    <w:rsid w:val="00083B12"/>
    <w:rsid w:val="000A1197"/>
    <w:rsid w:val="000A6460"/>
    <w:rsid w:val="000C2A5E"/>
    <w:rsid w:val="000D7DCD"/>
    <w:rsid w:val="000E5F72"/>
    <w:rsid w:val="000F5437"/>
    <w:rsid w:val="00121AE4"/>
    <w:rsid w:val="00144A3E"/>
    <w:rsid w:val="00146AAD"/>
    <w:rsid w:val="00151B2F"/>
    <w:rsid w:val="00187B5B"/>
    <w:rsid w:val="00191808"/>
    <w:rsid w:val="001B3A40"/>
    <w:rsid w:val="001B6CEB"/>
    <w:rsid w:val="002C11E4"/>
    <w:rsid w:val="002C4738"/>
    <w:rsid w:val="002C4C7A"/>
    <w:rsid w:val="002C75C9"/>
    <w:rsid w:val="002E63AA"/>
    <w:rsid w:val="00325819"/>
    <w:rsid w:val="00362378"/>
    <w:rsid w:val="0038175E"/>
    <w:rsid w:val="00392327"/>
    <w:rsid w:val="003F1196"/>
    <w:rsid w:val="00421EEE"/>
    <w:rsid w:val="00423478"/>
    <w:rsid w:val="004366A8"/>
    <w:rsid w:val="00460505"/>
    <w:rsid w:val="00493F02"/>
    <w:rsid w:val="004973F4"/>
    <w:rsid w:val="004F6F3D"/>
    <w:rsid w:val="00502BA7"/>
    <w:rsid w:val="00506C64"/>
    <w:rsid w:val="0051288D"/>
    <w:rsid w:val="005162F1"/>
    <w:rsid w:val="00521C2B"/>
    <w:rsid w:val="00535153"/>
    <w:rsid w:val="00536224"/>
    <w:rsid w:val="00554D37"/>
    <w:rsid w:val="00554F82"/>
    <w:rsid w:val="0056390D"/>
    <w:rsid w:val="005652F1"/>
    <w:rsid w:val="005719B0"/>
    <w:rsid w:val="00577485"/>
    <w:rsid w:val="005B125D"/>
    <w:rsid w:val="005D10D6"/>
    <w:rsid w:val="005F669E"/>
    <w:rsid w:val="006A5EA1"/>
    <w:rsid w:val="006F1484"/>
    <w:rsid w:val="007059FC"/>
    <w:rsid w:val="00741077"/>
    <w:rsid w:val="007470A9"/>
    <w:rsid w:val="00774FC7"/>
    <w:rsid w:val="0079297E"/>
    <w:rsid w:val="007E5C0A"/>
    <w:rsid w:val="00814900"/>
    <w:rsid w:val="008178E0"/>
    <w:rsid w:val="0083110A"/>
    <w:rsid w:val="00855E3A"/>
    <w:rsid w:val="00892FAA"/>
    <w:rsid w:val="008C18AE"/>
    <w:rsid w:val="0091431A"/>
    <w:rsid w:val="00922CB9"/>
    <w:rsid w:val="00962F90"/>
    <w:rsid w:val="00974947"/>
    <w:rsid w:val="00977A8B"/>
    <w:rsid w:val="009B5D7E"/>
    <w:rsid w:val="009E5CD9"/>
    <w:rsid w:val="009F4E7D"/>
    <w:rsid w:val="00A26421"/>
    <w:rsid w:val="00A4128E"/>
    <w:rsid w:val="00A4293B"/>
    <w:rsid w:val="00A67D50"/>
    <w:rsid w:val="00A73156"/>
    <w:rsid w:val="00A8691A"/>
    <w:rsid w:val="00AC1946"/>
    <w:rsid w:val="00B074E2"/>
    <w:rsid w:val="00B34882"/>
    <w:rsid w:val="00B40063"/>
    <w:rsid w:val="00B41F61"/>
    <w:rsid w:val="00BA46E6"/>
    <w:rsid w:val="00BA51CF"/>
    <w:rsid w:val="00BA52C1"/>
    <w:rsid w:val="00BA7704"/>
    <w:rsid w:val="00BB200C"/>
    <w:rsid w:val="00BC06D8"/>
    <w:rsid w:val="00BC5DAB"/>
    <w:rsid w:val="00BD1DBE"/>
    <w:rsid w:val="00BF1036"/>
    <w:rsid w:val="00C0269D"/>
    <w:rsid w:val="00C56C72"/>
    <w:rsid w:val="00C70524"/>
    <w:rsid w:val="00CA6457"/>
    <w:rsid w:val="00CC43CC"/>
    <w:rsid w:val="00CD003D"/>
    <w:rsid w:val="00CE1E86"/>
    <w:rsid w:val="00D064EA"/>
    <w:rsid w:val="00D17F2E"/>
    <w:rsid w:val="00D25887"/>
    <w:rsid w:val="00D27E7E"/>
    <w:rsid w:val="00D30354"/>
    <w:rsid w:val="00D744F6"/>
    <w:rsid w:val="00D846E4"/>
    <w:rsid w:val="00D97C6E"/>
    <w:rsid w:val="00DB3E27"/>
    <w:rsid w:val="00DF42A0"/>
    <w:rsid w:val="00E25910"/>
    <w:rsid w:val="00E35491"/>
    <w:rsid w:val="00E769FE"/>
    <w:rsid w:val="00EA2CBE"/>
    <w:rsid w:val="00F1255F"/>
    <w:rsid w:val="00F32FEE"/>
    <w:rsid w:val="00F74673"/>
    <w:rsid w:val="00F7692E"/>
    <w:rsid w:val="00F910BE"/>
    <w:rsid w:val="00FA6BA9"/>
    <w:rsid w:val="00FB10BB"/>
    <w:rsid w:val="00FB6F83"/>
    <w:rsid w:val="00FC609F"/>
    <w:rsid w:val="00FE2B76"/>
    <w:rsid w:val="01116FEC"/>
    <w:rsid w:val="04EB4934"/>
    <w:rsid w:val="09A50626"/>
    <w:rsid w:val="0B9E5BB7"/>
    <w:rsid w:val="0BBC293C"/>
    <w:rsid w:val="166879CC"/>
    <w:rsid w:val="19AF3D51"/>
    <w:rsid w:val="1BA40D39"/>
    <w:rsid w:val="20317511"/>
    <w:rsid w:val="26682714"/>
    <w:rsid w:val="29241053"/>
    <w:rsid w:val="2AE45F76"/>
    <w:rsid w:val="2DCC62C6"/>
    <w:rsid w:val="30BE0F9C"/>
    <w:rsid w:val="30EE20E9"/>
    <w:rsid w:val="31F23AFE"/>
    <w:rsid w:val="356A7949"/>
    <w:rsid w:val="37413820"/>
    <w:rsid w:val="37C45358"/>
    <w:rsid w:val="3BB70555"/>
    <w:rsid w:val="3BC7304C"/>
    <w:rsid w:val="41F46496"/>
    <w:rsid w:val="449C451D"/>
    <w:rsid w:val="47FB44A6"/>
    <w:rsid w:val="4BDB7DA7"/>
    <w:rsid w:val="4C5F7F78"/>
    <w:rsid w:val="50E84442"/>
    <w:rsid w:val="53005138"/>
    <w:rsid w:val="5447318A"/>
    <w:rsid w:val="58D75736"/>
    <w:rsid w:val="5B5F4564"/>
    <w:rsid w:val="5BD37F56"/>
    <w:rsid w:val="5C0141DF"/>
    <w:rsid w:val="5C4806EE"/>
    <w:rsid w:val="5D57207E"/>
    <w:rsid w:val="608C353B"/>
    <w:rsid w:val="65C07533"/>
    <w:rsid w:val="66437D33"/>
    <w:rsid w:val="684B0830"/>
    <w:rsid w:val="69B91819"/>
    <w:rsid w:val="6C0A0ACE"/>
    <w:rsid w:val="6D747692"/>
    <w:rsid w:val="70B07B00"/>
    <w:rsid w:val="75AE4E59"/>
    <w:rsid w:val="76243622"/>
    <w:rsid w:val="764C07CF"/>
    <w:rsid w:val="7769140A"/>
    <w:rsid w:val="77716415"/>
    <w:rsid w:val="78CD017D"/>
    <w:rsid w:val="7B270171"/>
    <w:rsid w:val="7BDE0F75"/>
    <w:rsid w:val="7D980D38"/>
    <w:rsid w:val="7E670D9A"/>
    <w:rsid w:val="7F37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99"/>
    <w:pPr>
      <w:keepNext/>
      <w:widowControl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2"/>
    <w:basedOn w:val="1"/>
    <w:next w:val="1"/>
    <w:link w:val="23"/>
    <w:qFormat/>
    <w:uiPriority w:val="99"/>
    <w:pPr>
      <w:keepNext/>
      <w:widowControl/>
      <w:spacing w:before="240" w:after="60"/>
      <w:jc w:val="left"/>
      <w:outlineLvl w:val="1"/>
    </w:pPr>
    <w:rPr>
      <w:rFonts w:ascii="Cambria" w:hAnsi="Cambria"/>
      <w:b/>
      <w:bCs/>
      <w:i/>
      <w:iCs/>
      <w:kern w:val="0"/>
      <w:sz w:val="28"/>
      <w:szCs w:val="28"/>
    </w:rPr>
  </w:style>
  <w:style w:type="paragraph" w:styleId="5">
    <w:name w:val="heading 3"/>
    <w:basedOn w:val="1"/>
    <w:next w:val="1"/>
    <w:link w:val="24"/>
    <w:qFormat/>
    <w:uiPriority w:val="99"/>
    <w:pPr>
      <w:keepNext/>
      <w:widowControl/>
      <w:spacing w:before="240" w:after="60"/>
      <w:jc w:val="left"/>
      <w:outlineLvl w:val="2"/>
    </w:pPr>
    <w:rPr>
      <w:rFonts w:ascii="Cambria" w:hAnsi="Cambria"/>
      <w:b/>
      <w:bCs/>
      <w:kern w:val="0"/>
      <w:sz w:val="26"/>
      <w:szCs w:val="26"/>
    </w:rPr>
  </w:style>
  <w:style w:type="paragraph" w:styleId="6">
    <w:name w:val="heading 4"/>
    <w:basedOn w:val="1"/>
    <w:next w:val="1"/>
    <w:link w:val="25"/>
    <w:qFormat/>
    <w:uiPriority w:val="99"/>
    <w:pPr>
      <w:keepNext/>
      <w:widowControl/>
      <w:spacing w:before="240" w:after="60"/>
      <w:jc w:val="left"/>
      <w:outlineLvl w:val="3"/>
    </w:pPr>
    <w:rPr>
      <w:rFonts w:ascii="Calibri" w:hAnsi="Calibri"/>
      <w:b/>
      <w:bCs/>
      <w:kern w:val="0"/>
      <w:sz w:val="28"/>
      <w:szCs w:val="28"/>
    </w:rPr>
  </w:style>
  <w:style w:type="paragraph" w:styleId="7">
    <w:name w:val="heading 5"/>
    <w:basedOn w:val="1"/>
    <w:next w:val="1"/>
    <w:link w:val="26"/>
    <w:qFormat/>
    <w:uiPriority w:val="99"/>
    <w:pPr>
      <w:widowControl/>
      <w:spacing w:before="240" w:after="60"/>
      <w:jc w:val="left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8">
    <w:name w:val="heading 6"/>
    <w:basedOn w:val="1"/>
    <w:next w:val="1"/>
    <w:link w:val="27"/>
    <w:qFormat/>
    <w:uiPriority w:val="99"/>
    <w:pPr>
      <w:widowControl/>
      <w:spacing w:before="240" w:after="60"/>
      <w:jc w:val="left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9">
    <w:name w:val="heading 7"/>
    <w:basedOn w:val="1"/>
    <w:next w:val="1"/>
    <w:link w:val="28"/>
    <w:qFormat/>
    <w:uiPriority w:val="99"/>
    <w:pPr>
      <w:widowControl/>
      <w:spacing w:before="240" w:after="60"/>
      <w:jc w:val="left"/>
      <w:outlineLvl w:val="6"/>
    </w:pPr>
    <w:rPr>
      <w:rFonts w:ascii="Calibri" w:hAnsi="Calibri"/>
      <w:kern w:val="0"/>
      <w:sz w:val="24"/>
    </w:rPr>
  </w:style>
  <w:style w:type="paragraph" w:styleId="10">
    <w:name w:val="heading 8"/>
    <w:basedOn w:val="1"/>
    <w:next w:val="1"/>
    <w:link w:val="29"/>
    <w:qFormat/>
    <w:uiPriority w:val="99"/>
    <w:pPr>
      <w:widowControl/>
      <w:spacing w:before="240" w:after="60"/>
      <w:jc w:val="left"/>
      <w:outlineLvl w:val="7"/>
    </w:pPr>
    <w:rPr>
      <w:rFonts w:ascii="Calibri" w:hAnsi="Calibri"/>
      <w:i/>
      <w:iCs/>
      <w:kern w:val="0"/>
      <w:sz w:val="24"/>
    </w:rPr>
  </w:style>
  <w:style w:type="paragraph" w:styleId="11">
    <w:name w:val="heading 9"/>
    <w:basedOn w:val="1"/>
    <w:next w:val="1"/>
    <w:link w:val="30"/>
    <w:qFormat/>
    <w:uiPriority w:val="99"/>
    <w:pPr>
      <w:widowControl/>
      <w:spacing w:before="240" w:after="60"/>
      <w:jc w:val="left"/>
      <w:outlineLvl w:val="8"/>
    </w:pPr>
    <w:rPr>
      <w:rFonts w:ascii="Cambria" w:hAnsi="Cambria"/>
      <w:kern w:val="0"/>
      <w:sz w:val="22"/>
      <w:szCs w:val="2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31"/>
    <w:qFormat/>
    <w:uiPriority w:val="99"/>
    <w:pPr>
      <w:jc w:val="center"/>
    </w:pPr>
    <w:rPr>
      <w:rFonts w:eastAsia="方正小标宋简体"/>
      <w:b/>
      <w:bCs/>
      <w:sz w:val="44"/>
    </w:rPr>
  </w:style>
  <w:style w:type="paragraph" w:styleId="12">
    <w:name w:val="Balloon Text"/>
    <w:basedOn w:val="1"/>
    <w:link w:val="32"/>
    <w:semiHidden/>
    <w:qFormat/>
    <w:uiPriority w:val="99"/>
    <w:rPr>
      <w:sz w:val="18"/>
      <w:szCs w:val="18"/>
    </w:rPr>
  </w:style>
  <w:style w:type="paragraph" w:styleId="13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14">
    <w:name w:val="header"/>
    <w:basedOn w:val="1"/>
    <w:link w:val="3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15">
    <w:name w:val="Subtitle"/>
    <w:basedOn w:val="1"/>
    <w:next w:val="1"/>
    <w:link w:val="35"/>
    <w:qFormat/>
    <w:uiPriority w:val="99"/>
    <w:pPr>
      <w:widowControl/>
      <w:spacing w:after="60"/>
      <w:jc w:val="center"/>
      <w:outlineLvl w:val="1"/>
    </w:pPr>
    <w:rPr>
      <w:rFonts w:ascii="Cambria" w:hAnsi="Cambria"/>
      <w:kern w:val="0"/>
      <w:sz w:val="24"/>
    </w:rPr>
  </w:style>
  <w:style w:type="paragraph" w:styleId="16">
    <w:name w:val="Normal (Web)"/>
    <w:basedOn w:val="1"/>
    <w:semiHidden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7">
    <w:name w:val="Title"/>
    <w:basedOn w:val="1"/>
    <w:next w:val="1"/>
    <w:link w:val="36"/>
    <w:qFormat/>
    <w:uiPriority w:val="99"/>
    <w:pPr>
      <w:widowControl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20">
    <w:name w:val="Strong"/>
    <w:basedOn w:val="19"/>
    <w:qFormat/>
    <w:uiPriority w:val="99"/>
    <w:rPr>
      <w:rFonts w:cs="Times New Roman"/>
      <w:b/>
      <w:bCs/>
    </w:rPr>
  </w:style>
  <w:style w:type="character" w:styleId="21">
    <w:name w:val="Emphasis"/>
    <w:basedOn w:val="19"/>
    <w:qFormat/>
    <w:uiPriority w:val="99"/>
    <w:rPr>
      <w:rFonts w:ascii="Calibri" w:hAnsi="Calibri" w:cs="Times New Roman"/>
      <w:b/>
      <w:i/>
      <w:iCs/>
    </w:rPr>
  </w:style>
  <w:style w:type="character" w:customStyle="1" w:styleId="22">
    <w:name w:val="标题 1 字符"/>
    <w:basedOn w:val="19"/>
    <w:link w:val="3"/>
    <w:qFormat/>
    <w:locked/>
    <w:uiPriority w:val="99"/>
    <w:rPr>
      <w:rFonts w:ascii="Cambria" w:hAnsi="Cambria" w:eastAsia="宋体" w:cs="Times New Roman"/>
      <w:b/>
      <w:bCs/>
      <w:kern w:val="32"/>
      <w:sz w:val="32"/>
      <w:szCs w:val="32"/>
    </w:rPr>
  </w:style>
  <w:style w:type="character" w:customStyle="1" w:styleId="23">
    <w:name w:val="标题 2 字符"/>
    <w:basedOn w:val="19"/>
    <w:link w:val="4"/>
    <w:semiHidden/>
    <w:qFormat/>
    <w:locked/>
    <w:uiPriority w:val="99"/>
    <w:rPr>
      <w:rFonts w:ascii="Cambria" w:hAnsi="Cambria" w:eastAsia="宋体" w:cs="Times New Roman"/>
      <w:b/>
      <w:bCs/>
      <w:i/>
      <w:iCs/>
      <w:sz w:val="28"/>
      <w:szCs w:val="28"/>
    </w:rPr>
  </w:style>
  <w:style w:type="character" w:customStyle="1" w:styleId="24">
    <w:name w:val="标题 3 字符"/>
    <w:basedOn w:val="19"/>
    <w:link w:val="5"/>
    <w:semiHidden/>
    <w:qFormat/>
    <w:locked/>
    <w:uiPriority w:val="99"/>
    <w:rPr>
      <w:rFonts w:ascii="Cambria" w:hAnsi="Cambria" w:eastAsia="宋体" w:cs="Times New Roman"/>
      <w:b/>
      <w:bCs/>
      <w:sz w:val="26"/>
      <w:szCs w:val="26"/>
    </w:rPr>
  </w:style>
  <w:style w:type="character" w:customStyle="1" w:styleId="25">
    <w:name w:val="标题 4 字符"/>
    <w:basedOn w:val="19"/>
    <w:link w:val="6"/>
    <w:semiHidden/>
    <w:qFormat/>
    <w:locked/>
    <w:uiPriority w:val="99"/>
    <w:rPr>
      <w:rFonts w:cs="Times New Roman"/>
      <w:b/>
      <w:bCs/>
      <w:sz w:val="28"/>
      <w:szCs w:val="28"/>
    </w:rPr>
  </w:style>
  <w:style w:type="character" w:customStyle="1" w:styleId="26">
    <w:name w:val="标题 5 字符"/>
    <w:basedOn w:val="19"/>
    <w:link w:val="7"/>
    <w:semiHidden/>
    <w:qFormat/>
    <w:locked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27">
    <w:name w:val="标题 6 字符"/>
    <w:basedOn w:val="19"/>
    <w:link w:val="8"/>
    <w:semiHidden/>
    <w:qFormat/>
    <w:locked/>
    <w:uiPriority w:val="99"/>
    <w:rPr>
      <w:rFonts w:cs="Times New Roman"/>
      <w:b/>
      <w:bCs/>
    </w:rPr>
  </w:style>
  <w:style w:type="character" w:customStyle="1" w:styleId="28">
    <w:name w:val="标题 7 字符"/>
    <w:basedOn w:val="19"/>
    <w:link w:val="9"/>
    <w:semiHidden/>
    <w:qFormat/>
    <w:locked/>
    <w:uiPriority w:val="99"/>
    <w:rPr>
      <w:rFonts w:cs="Times New Roman"/>
      <w:sz w:val="24"/>
      <w:szCs w:val="24"/>
    </w:rPr>
  </w:style>
  <w:style w:type="character" w:customStyle="1" w:styleId="29">
    <w:name w:val="标题 8 字符"/>
    <w:basedOn w:val="19"/>
    <w:link w:val="10"/>
    <w:semiHidden/>
    <w:qFormat/>
    <w:locked/>
    <w:uiPriority w:val="99"/>
    <w:rPr>
      <w:rFonts w:cs="Times New Roman"/>
      <w:i/>
      <w:iCs/>
      <w:sz w:val="24"/>
      <w:szCs w:val="24"/>
    </w:rPr>
  </w:style>
  <w:style w:type="character" w:customStyle="1" w:styleId="30">
    <w:name w:val="标题 9 字符"/>
    <w:basedOn w:val="19"/>
    <w:link w:val="11"/>
    <w:semiHidden/>
    <w:qFormat/>
    <w:locked/>
    <w:uiPriority w:val="99"/>
    <w:rPr>
      <w:rFonts w:ascii="Cambria" w:hAnsi="Cambria" w:eastAsia="宋体" w:cs="Times New Roman"/>
    </w:rPr>
  </w:style>
  <w:style w:type="character" w:customStyle="1" w:styleId="31">
    <w:name w:val="正文文本 字符"/>
    <w:basedOn w:val="19"/>
    <w:link w:val="2"/>
    <w:semiHidden/>
    <w:qFormat/>
    <w:locked/>
    <w:uiPriority w:val="99"/>
    <w:rPr>
      <w:rFonts w:cs="Times New Roman"/>
      <w:sz w:val="24"/>
      <w:szCs w:val="24"/>
    </w:rPr>
  </w:style>
  <w:style w:type="character" w:customStyle="1" w:styleId="32">
    <w:name w:val="批注框文本 字符"/>
    <w:basedOn w:val="19"/>
    <w:link w:val="12"/>
    <w:semiHidden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3">
    <w:name w:val="页脚 字符"/>
    <w:basedOn w:val="19"/>
    <w:link w:val="1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34">
    <w:name w:val="页眉 字符"/>
    <w:basedOn w:val="19"/>
    <w:link w:val="14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35">
    <w:name w:val="副标题 字符"/>
    <w:basedOn w:val="19"/>
    <w:link w:val="15"/>
    <w:qFormat/>
    <w:locked/>
    <w:uiPriority w:val="99"/>
    <w:rPr>
      <w:rFonts w:ascii="Cambria" w:hAnsi="Cambria" w:eastAsia="宋体" w:cs="Times New Roman"/>
      <w:sz w:val="24"/>
      <w:szCs w:val="24"/>
    </w:rPr>
  </w:style>
  <w:style w:type="character" w:customStyle="1" w:styleId="36">
    <w:name w:val="标题 字符"/>
    <w:basedOn w:val="19"/>
    <w:link w:val="17"/>
    <w:qFormat/>
    <w:locked/>
    <w:uiPriority w:val="99"/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37">
    <w:name w:val="No Spacing"/>
    <w:basedOn w:val="1"/>
    <w:qFormat/>
    <w:uiPriority w:val="99"/>
    <w:pPr>
      <w:widowControl/>
      <w:jc w:val="left"/>
    </w:pPr>
    <w:rPr>
      <w:rFonts w:ascii="Calibri" w:hAnsi="Calibri"/>
      <w:kern w:val="0"/>
      <w:sz w:val="24"/>
      <w:szCs w:val="32"/>
      <w:lang w:eastAsia="en-US"/>
    </w:rPr>
  </w:style>
  <w:style w:type="paragraph" w:styleId="38">
    <w:name w:val="List Paragraph"/>
    <w:basedOn w:val="1"/>
    <w:qFormat/>
    <w:uiPriority w:val="99"/>
    <w:pPr>
      <w:widowControl/>
      <w:ind w:left="720"/>
      <w:contextualSpacing/>
      <w:jc w:val="left"/>
    </w:pPr>
    <w:rPr>
      <w:rFonts w:ascii="Calibri" w:hAnsi="Calibri"/>
      <w:kern w:val="0"/>
      <w:sz w:val="24"/>
      <w:lang w:eastAsia="en-US"/>
    </w:rPr>
  </w:style>
  <w:style w:type="paragraph" w:styleId="39">
    <w:name w:val="Quote"/>
    <w:basedOn w:val="1"/>
    <w:next w:val="1"/>
    <w:link w:val="40"/>
    <w:qFormat/>
    <w:uiPriority w:val="99"/>
    <w:pPr>
      <w:widowControl/>
      <w:jc w:val="left"/>
    </w:pPr>
    <w:rPr>
      <w:rFonts w:ascii="Calibri" w:hAnsi="Calibri"/>
      <w:i/>
      <w:kern w:val="0"/>
      <w:sz w:val="24"/>
    </w:rPr>
  </w:style>
  <w:style w:type="character" w:customStyle="1" w:styleId="40">
    <w:name w:val="引用 字符"/>
    <w:basedOn w:val="19"/>
    <w:link w:val="39"/>
    <w:qFormat/>
    <w:locked/>
    <w:uiPriority w:val="99"/>
    <w:rPr>
      <w:rFonts w:cs="Times New Roman"/>
      <w:i/>
      <w:sz w:val="24"/>
      <w:szCs w:val="24"/>
    </w:rPr>
  </w:style>
  <w:style w:type="paragraph" w:styleId="41">
    <w:name w:val="Intense Quote"/>
    <w:basedOn w:val="1"/>
    <w:next w:val="1"/>
    <w:link w:val="42"/>
    <w:qFormat/>
    <w:uiPriority w:val="99"/>
    <w:pPr>
      <w:widowControl/>
      <w:ind w:left="720" w:right="720"/>
      <w:jc w:val="left"/>
    </w:pPr>
    <w:rPr>
      <w:rFonts w:ascii="Calibri" w:hAnsi="Calibri"/>
      <w:b/>
      <w:i/>
      <w:kern w:val="0"/>
      <w:sz w:val="24"/>
      <w:szCs w:val="22"/>
    </w:rPr>
  </w:style>
  <w:style w:type="character" w:customStyle="1" w:styleId="42">
    <w:name w:val="明显引用 字符"/>
    <w:basedOn w:val="19"/>
    <w:link w:val="41"/>
    <w:qFormat/>
    <w:locked/>
    <w:uiPriority w:val="99"/>
    <w:rPr>
      <w:rFonts w:cs="Times New Roman"/>
      <w:b/>
      <w:i/>
      <w:sz w:val="24"/>
    </w:rPr>
  </w:style>
  <w:style w:type="character" w:customStyle="1" w:styleId="43">
    <w:name w:val="Subtle Emphasis1"/>
    <w:qFormat/>
    <w:uiPriority w:val="99"/>
    <w:rPr>
      <w:i/>
      <w:color w:val="595959"/>
    </w:rPr>
  </w:style>
  <w:style w:type="character" w:customStyle="1" w:styleId="44">
    <w:name w:val="Intense Emphasis1"/>
    <w:basedOn w:val="19"/>
    <w:qFormat/>
    <w:uiPriority w:val="99"/>
    <w:rPr>
      <w:rFonts w:cs="Times New Roman"/>
      <w:b/>
      <w:i/>
      <w:sz w:val="24"/>
      <w:szCs w:val="24"/>
      <w:u w:val="single"/>
    </w:rPr>
  </w:style>
  <w:style w:type="character" w:customStyle="1" w:styleId="45">
    <w:name w:val="Subtle Reference1"/>
    <w:basedOn w:val="19"/>
    <w:qFormat/>
    <w:uiPriority w:val="99"/>
    <w:rPr>
      <w:rFonts w:cs="Times New Roman"/>
      <w:sz w:val="24"/>
      <w:szCs w:val="24"/>
      <w:u w:val="single"/>
    </w:rPr>
  </w:style>
  <w:style w:type="character" w:customStyle="1" w:styleId="46">
    <w:name w:val="Intense Reference1"/>
    <w:basedOn w:val="19"/>
    <w:qFormat/>
    <w:uiPriority w:val="99"/>
    <w:rPr>
      <w:rFonts w:cs="Times New Roman"/>
      <w:b/>
      <w:sz w:val="24"/>
      <w:u w:val="single"/>
    </w:rPr>
  </w:style>
  <w:style w:type="character" w:customStyle="1" w:styleId="47">
    <w:name w:val="Book Title1"/>
    <w:basedOn w:val="19"/>
    <w:qFormat/>
    <w:uiPriority w:val="99"/>
    <w:rPr>
      <w:rFonts w:ascii="Cambria" w:hAnsi="Cambria" w:eastAsia="宋体" w:cs="Times New Roman"/>
      <w:b/>
      <w:i/>
      <w:sz w:val="24"/>
      <w:szCs w:val="24"/>
    </w:rPr>
  </w:style>
  <w:style w:type="paragraph" w:customStyle="1" w:styleId="48">
    <w:name w:val="TOC Heading1"/>
    <w:basedOn w:val="3"/>
    <w:next w:val="1"/>
    <w:semiHidden/>
    <w:qFormat/>
    <w:uiPriority w:val="99"/>
    <w:pPr>
      <w:outlineLvl w:val="9"/>
    </w:pPr>
    <w:rPr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441</Words>
  <Characters>2516</Characters>
  <Lines>20</Lines>
  <Paragraphs>5</Paragraphs>
  <TotalTime>8</TotalTime>
  <ScaleCrop>false</ScaleCrop>
  <LinksUpToDate>false</LinksUpToDate>
  <CharactersWithSpaces>2952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2018-08-15T02:06:00Z</dcterms:created>
  <dc:creator>赵 恺（预算处）</dc:creator>
  <cp:lastModifiedBy>admin</cp:lastModifiedBy>
  <cp:lastPrinted>2020-04-20T07:42:00Z</cp:lastPrinted>
  <dcterms:modified xsi:type="dcterms:W3CDTF">2020-04-20T09:32:59Z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