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pStyle w:val="2"/>
      </w:pP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昌吉州职工医疗保险支出</w:t>
      </w: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绩效评价报告</w:t>
      </w: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（</w:t>
      </w:r>
      <w:r>
        <w:rPr>
          <w:rFonts w:ascii="黑体" w:hAnsi="黑体" w:eastAsia="黑体" w:cs="黑体"/>
          <w:b/>
          <w:kern w:val="0"/>
          <w:sz w:val="48"/>
          <w:szCs w:val="48"/>
        </w:rPr>
        <w:t>201</w:t>
      </w:r>
      <w:r>
        <w:rPr>
          <w:rFonts w:hint="eastAsia" w:ascii="黑体" w:hAnsi="黑体" w:eastAsia="黑体" w:cs="黑体"/>
          <w:b/>
          <w:kern w:val="0"/>
          <w:sz w:val="48"/>
          <w:szCs w:val="48"/>
        </w:rPr>
        <w:t>9年度）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ascii="黑体" w:hAnsi="黑体" w:eastAsia="黑体" w:cs="黑体"/>
          <w:bCs/>
          <w:kern w:val="0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项目名称：医疗保险基金支出</w:t>
      </w: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  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实施单位（公章）：</w:t>
      </w: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负责人（签章）：</w:t>
      </w: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填报时间：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20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20年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4月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1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5日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</w:p>
    <w:p>
      <w:pPr>
        <w:pStyle w:val="2"/>
      </w:pP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一、职工医疗保险基金收支余总体情况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（一）职工医疗保险基金总体情况</w:t>
      </w:r>
    </w:p>
    <w:p>
      <w:pPr>
        <w:tabs>
          <w:tab w:val="left" w:pos="0"/>
        </w:tabs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度，在自治州人民政府、财政局的大力支持和共同努力下，昌吉州医疗保障工作取得了显著成绩。各项医疗保险基金收入稳步增长，支出相对增加，总体运行平稳。确保了广大参保人员各项社会保险待遇的按时、足额发放，医疗保险覆盖面逐步扩大。在进一步加强医疗保险基金预算管理的基础上，确保了各项基金的安全运营。</w:t>
      </w:r>
    </w:p>
    <w:p>
      <w:pPr>
        <w:tabs>
          <w:tab w:val="left" w:pos="0"/>
        </w:tabs>
        <w:spacing w:line="560" w:lineRule="exact"/>
        <w:ind w:firstLine="600" w:firstLineChars="200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9年全州职工医疗保险基金收入19.78亿元，较上年增加1.24亿元，增长6.69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，完成年度预算110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。基金支出13.33亿元，较上年增加0.58亿元，增长4.14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，完成年度预算103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。基金当期结余5.19亿元，滚存结余29.82亿元。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（二）职工医疗保险基金支出预算绩效目标设定情况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（包括基金支出预算目标及阶段性目标；项目用途和主要内容、涉及对象及人数范围等）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9年预算职工基本医疗保险基金支出14.05亿元</w:t>
      </w:r>
      <w:r>
        <w:rPr>
          <w:rFonts w:ascii="仿宋_GB2312" w:hAnsi="仿宋_GB2312" w:eastAsia="仿宋_GB2312" w:cs="仿宋_GB2312"/>
          <w:bCs/>
          <w:kern w:val="0"/>
          <w:sz w:val="30"/>
          <w:szCs w:val="30"/>
        </w:rPr>
        <w:t>,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其中医疗保险待遇支出13.09亿元，生育保险待遇支出9521万元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。保障全州31.17万名参保职工的医疗、生育报销问题，参保人员住院就医35390人次，门诊就医187356人次，享受生育医疗费1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17万人次，生育津贴122人。全年预算支出执行目标103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以上，承诺在业务申报</w:t>
      </w:r>
      <w:r>
        <w:rPr>
          <w:rFonts w:ascii="仿宋_GB2312" w:hAnsi="仿宋_GB2312" w:eastAsia="仿宋_GB2312" w:cs="仿宋_GB2312"/>
          <w:bCs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个工作日内（含业务审核、财务拨付）将申报资金拨付至各定点医疗机构及参保单位，首次拨款准确率</w:t>
      </w:r>
      <w:r>
        <w:rPr>
          <w:rFonts w:ascii="仿宋_GB2312" w:hAnsi="仿宋_GB2312" w:eastAsia="仿宋_GB2312" w:cs="仿宋_GB2312"/>
          <w:bCs/>
          <w:sz w:val="30"/>
          <w:szCs w:val="30"/>
        </w:rPr>
        <w:t>99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％以上，参保群众满意率</w:t>
      </w:r>
      <w:r>
        <w:rPr>
          <w:rFonts w:ascii="仿宋_GB2312" w:hAnsi="仿宋_GB2312" w:eastAsia="仿宋_GB2312" w:cs="仿宋_GB2312"/>
          <w:bCs/>
          <w:sz w:val="30"/>
          <w:szCs w:val="30"/>
        </w:rPr>
        <w:t>95%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以上。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二、职工医疗保险基金预算完成及运行情况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基本医疗保险基金(含生育)总收入19.78亿元，其中：基本医疗保险费收入19.29亿元，利息收入3244万元，其他收入371万元，转移收入1183万元。支出14.59亿元，其中：基本医疗保险待遇支出14.44亿元，其他支出401万元，转移支出1040万元。基金当期结余5.19亿元，累计结余29.82亿元。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9年基本医疗保险基金支出14.59万元</w:t>
      </w:r>
      <w:r>
        <w:rPr>
          <w:rFonts w:ascii="仿宋_GB2312" w:hAnsi="仿宋_GB2312" w:eastAsia="仿宋_GB2312" w:cs="仿宋_GB2312"/>
          <w:bCs/>
          <w:kern w:val="0"/>
          <w:sz w:val="30"/>
          <w:szCs w:val="30"/>
        </w:rPr>
        <w:t>,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较上年增加0.58亿元，增长4.14</w:t>
      </w:r>
      <w:r>
        <w:rPr>
          <w:rFonts w:ascii="仿宋_GB2312" w:hAnsi="仿宋_GB2312" w:eastAsia="仿宋_GB2312" w:cs="仿宋_GB2312"/>
          <w:bCs/>
          <w:kern w:val="0"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完成全年预算14.04万元的103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</w:t>
      </w:r>
    </w:p>
    <w:p>
      <w:pPr>
        <w:numPr>
          <w:ilvl w:val="0"/>
          <w:numId w:val="1"/>
        </w:num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职工医疗保险基金支出组织实施情况和绩效管理情况</w:t>
      </w:r>
    </w:p>
    <w:p>
      <w:pPr>
        <w:spacing w:line="560" w:lineRule="exact"/>
        <w:ind w:firstLine="567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（一）医疗保险管理情况分析</w:t>
      </w:r>
    </w:p>
    <w:p>
      <w:pPr>
        <w:spacing w:line="560" w:lineRule="exact"/>
        <w:ind w:firstLine="588" w:firstLineChars="196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1、医疗保障制度体系进一步完善。建立了全州统一城镇职工大病病保险制度；实施基本医疗保险与生育保险合并改革；开展了城镇职工长期护理保险制度试点。</w:t>
      </w:r>
    </w:p>
    <w:p>
      <w:pPr>
        <w:spacing w:line="560" w:lineRule="exact"/>
        <w:ind w:firstLine="588" w:firstLineChars="196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2、医疗保障范围进一步扩大，</w:t>
      </w:r>
      <w:r>
        <w:rPr>
          <w:rFonts w:ascii="仿宋_GB2312" w:hAnsi="仿宋_GB2312" w:eastAsia="仿宋_GB2312" w:cs="仿宋_GB2312"/>
          <w:bCs/>
          <w:sz w:val="30"/>
          <w:szCs w:val="30"/>
        </w:rPr>
        <w:t>待遇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水平不断提高。截至2019年末，全州职工基本医疗保险参保31.17万人。我州职工基本医保统筹基金支付比例达到80%，大病保险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不设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封顶线，报销比例60%以上；生育保险津贴享受天数158天；2019年各类医疗保障受益人群达</w:t>
      </w:r>
      <w:r>
        <w:rPr>
          <w:rFonts w:ascii="仿宋_GB2312" w:hAnsi="仿宋_GB2312" w:eastAsia="仿宋_GB2312" w:cs="仿宋_GB2312"/>
          <w:bCs/>
          <w:sz w:val="30"/>
          <w:szCs w:val="30"/>
        </w:rPr>
        <w:t>179.86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万人次。</w:t>
      </w:r>
    </w:p>
    <w:p>
      <w:pPr>
        <w:spacing w:line="560" w:lineRule="exact"/>
        <w:ind w:firstLine="63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3、</w:t>
      </w:r>
      <w:r>
        <w:rPr>
          <w:rFonts w:ascii="仿宋_GB2312" w:hAnsi="仿宋_GB2312" w:eastAsia="仿宋_GB2312" w:cs="仿宋_GB2312"/>
          <w:bCs/>
          <w:sz w:val="30"/>
          <w:szCs w:val="30"/>
        </w:rPr>
        <w:t>经办服务能力不断提升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基金监管力度持续强化。医保经办服务能力不断提升，全州实现了医保经办标准化，打造了“一窗式”医保服务。建成了医保即时联网结算体系，为参保群众提供了优质、便捷的服务。落实举报奖励制度、畅通举报渠道，实行全覆盖打击欺诈骗取医疗保障基金专项治理。</w:t>
      </w:r>
    </w:p>
    <w:p>
      <w:pPr>
        <w:widowControl/>
        <w:shd w:val="clear" w:color="auto" w:fill="FFFFFF"/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4、进一步加强医保基金管理，强化基金安全意识，加大医保经办业务标准化、规范化、制度化建设力度，从源头上防范和控制医保基金风险。开展经办机构风险防控和打击欺诈骗取医疗保障基金专项行动，及时化解和排除基金安全风险和隐患，减少基金跑冒滴漏现象发生。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（二）绩效目标完成情况分析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9年基本医疗保险基金基金支出14.59亿元，较上年增加0.58亿元，增长4.14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，完成年度预算103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。有效保障了31.17万名参保职工的医疗保险和22.40名参保职工的生育保险报销、生育津贴待遇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的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报销。参保人员住院就医110004人次，其中：在职职工70408人次、退休职工39596人次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门诊就医187356人次，其中：在职职工893218人次、退休职工795424人次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生育保险待遇享受人数6972人、生育津贴享受人数4945人。</w:t>
      </w:r>
      <w:r>
        <w:rPr>
          <w:rFonts w:ascii="仿宋_GB2312" w:hAnsi="仿宋_GB2312" w:eastAsia="仿宋_GB2312" w:cs="仿宋_GB2312"/>
          <w:bCs/>
          <w:spacing w:val="-4"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9年全年参保职工没有因为医疗待遇问题引起上访，群众上访率为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  <w:lang w:eastAsia="zh-CN"/>
        </w:rPr>
        <w:t>零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。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所有医疗费用结算均在业务申报25个工作日内（含业务审核、财务拨付）将申报资金拨付至各定点医疗机构及参保单位，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医疗保险待遇也在规定时限内报销，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首次拨款准确率</w:t>
      </w:r>
      <w:r>
        <w:rPr>
          <w:rFonts w:ascii="仿宋_GB2312" w:hAnsi="仿宋_GB2312" w:eastAsia="仿宋_GB2312" w:cs="仿宋_GB2312"/>
          <w:bCs/>
          <w:sz w:val="30"/>
          <w:szCs w:val="30"/>
        </w:rPr>
        <w:t>99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％以上，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社会满意度</w:t>
      </w:r>
      <w:r>
        <w:rPr>
          <w:rFonts w:ascii="仿宋_GB2312" w:hAnsi="仿宋_GB2312" w:eastAsia="仿宋_GB2312" w:cs="仿宋_GB2312"/>
          <w:bCs/>
          <w:spacing w:val="-4"/>
          <w:sz w:val="30"/>
          <w:szCs w:val="30"/>
        </w:rPr>
        <w:t>95%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以上，圆满保障了在职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  <w:lang w:eastAsia="zh-CN"/>
        </w:rPr>
        <w:t>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退休人员的就医、生育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  <w:lang w:eastAsia="zh-CN"/>
        </w:rPr>
        <w:t>的报销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。坚定维护了新疆社会稳定和长治久安。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四、其他需要说明的问题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</w:t>
      </w: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  <w:lang w:eastAsia="zh-CN"/>
        </w:rPr>
        <w:t>一</w:t>
      </w: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）主要经验及做法、存在问题和建议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201</w:t>
      </w:r>
      <w:r>
        <w:rPr>
          <w:rFonts w:hint="eastAsia" w:ascii="仿宋_GB2312" w:hAnsi="宋体" w:eastAsia="仿宋_GB2312" w:cs="仿宋_GB2312"/>
          <w:sz w:val="30"/>
          <w:szCs w:val="30"/>
        </w:rPr>
        <w:t>9年是实施“十三五”规划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关键</w:t>
      </w:r>
      <w:r>
        <w:rPr>
          <w:rFonts w:hint="eastAsia" w:ascii="仿宋_GB2312" w:hAnsi="宋体" w:eastAsia="仿宋_GB2312" w:cs="仿宋_GB2312"/>
          <w:sz w:val="30"/>
          <w:szCs w:val="30"/>
        </w:rPr>
        <w:t>之年，也是医疗保障事业发展进入新阶段、实现新发展的关键之年。昌吉州以基金安全运行为根本，以提高管理服务水平为重点，严格执行社会保险各项政策，建立健全内部控制制度，确保待遇发放，基金运行总体平稳。同时逐步提高各项保险待遇支付标准，使参保人员的获得感、幸福感不断增强。</w:t>
      </w:r>
    </w:p>
    <w:p>
      <w:pPr>
        <w:pStyle w:val="16"/>
        <w:widowControl/>
        <w:spacing w:beforeAutospacing="0" w:after="300" w:afterAutospacing="0" w:line="560" w:lineRule="exact"/>
        <w:ind w:firstLine="600" w:firstLineChars="200"/>
        <w:rPr>
          <w:rFonts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昌吉州各级医疗保障经办机构按照“流程覆盖、环节把控、职责明确”的工作思路，把内控制度体系建设作为根本，实现了经办和管理工作规范、有效运行，保障了基金安全。一是健全综合内控制度。从组织机构、业务运行、基金财务、信息系统、内部控制等方面，制定内控制度、业务流程、岗位职责等，参保人员均按规定办理参保登记、个人账户信息修改、缴费等业务，严格执行统一的会计制度和收支业务审批制度，医保基金按规定对基金分别建账、分账核算，基金收入户、支出户和财政专户按规定开设账户，严格实行收支两条线管理，全面实行全程电子化，杜绝隐匿、转移、侵占、挪用基金的现象，确保基金专款专用。二是建立考核考评制度。及时调整完善内控考核办法，按规定设置岗位，增强医保经办机构干部队伍力量，加强管理，严格遵守不相容职务相互分离的原则，业务审核岗位和审批岗位分离、审批岗位与计发待遇岗位分离、审批岗位与数据录入岗位分离、会计岗位与出纳岗位分离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无违反业务规程、信息系统操作流程规定以及岗位职责、审批权限，办理医疗保险业务、修改医疗保险信息的现象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财务与业务按月对账，按规定与基金开户银行、财政部门和上下级经办机构等核对基金的收付情况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严格执行基金支付政策，按月编制基金支付计划，按月足额发放待遇，做到不拖欠、不挪用、不挤占医保基金。</w:t>
      </w:r>
    </w:p>
    <w:p>
      <w:pPr>
        <w:spacing w:line="560" w:lineRule="exact"/>
        <w:ind w:firstLine="60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  <w:t>目前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还存在以下两个方面的问题：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  <w:t>一是</w:t>
      </w:r>
      <w:r>
        <w:rPr>
          <w:rFonts w:hint="eastAsia" w:ascii="仿宋_GB2312" w:hAnsi="宋体" w:eastAsia="仿宋_GB2312" w:cs="仿宋_GB2312"/>
          <w:i w:val="0"/>
          <w:color w:val="auto"/>
          <w:kern w:val="0"/>
          <w:sz w:val="32"/>
          <w:szCs w:val="32"/>
          <w:u w:val="none"/>
          <w:lang w:val="en-US" w:eastAsia="zh-CN"/>
        </w:rPr>
        <w:t>基金结余呈较快增长态势，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  <w:t>已于2020年调整了缴费及支出政策，预计2020年收支平衡，略有结余。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二是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  <w:t>2019年职工医疗保险基金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  <w:t>预算收入执行率要求较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对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财务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经办人员的培训工作有待加强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，以提高财务人员编制预算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精准性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。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bCs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0"/>
          <w:szCs w:val="30"/>
        </w:rPr>
        <w:t>下一步昌吉州要进一步抓好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全力推进“全民参保计划”，积极采取措施、创新机制，扩大医疗保险覆盖面，强化基金征缴，做到应收尽收，不漏死角。同时做好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内部控制风险防控工作，加大对经办工作的监督检查，纠正和堵塞经办环节的漏洞和薄弱点，规范经办机构合理运行，确保基金安全。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五、附表</w:t>
      </w:r>
    </w:p>
    <w:p>
      <w:pPr>
        <w:spacing w:line="560" w:lineRule="exact"/>
        <w:ind w:firstLine="567"/>
        <w:rPr>
          <w:rFonts w:ascii="仿宋_GB2312" w:hAnsi="仿宋_GB2312" w:eastAsia="仿宋_GB2312" w:cs="仿宋_GB2312"/>
          <w:bCs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昌吉州职工基本医疗保险支出绩效自评表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3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073417"/>
    <w:rsid w:val="14FA5B20"/>
    <w:rsid w:val="1AC83597"/>
    <w:rsid w:val="29320BCA"/>
    <w:rsid w:val="529F2DE7"/>
    <w:rsid w:val="5BB10EE8"/>
    <w:rsid w:val="70F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9"/>
    <w:pPr>
      <w:keepNext/>
      <w:widowControl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2"/>
    <w:basedOn w:val="1"/>
    <w:next w:val="1"/>
    <w:link w:val="23"/>
    <w:qFormat/>
    <w:uiPriority w:val="9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</w:rPr>
  </w:style>
  <w:style w:type="paragraph" w:styleId="5">
    <w:name w:val="heading 3"/>
    <w:basedOn w:val="1"/>
    <w:next w:val="1"/>
    <w:link w:val="24"/>
    <w:qFormat/>
    <w:uiPriority w:val="9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paragraph" w:styleId="6">
    <w:name w:val="heading 4"/>
    <w:basedOn w:val="1"/>
    <w:next w:val="1"/>
    <w:link w:val="25"/>
    <w:qFormat/>
    <w:uiPriority w:val="99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kern w:val="0"/>
      <w:sz w:val="28"/>
      <w:szCs w:val="28"/>
    </w:rPr>
  </w:style>
  <w:style w:type="paragraph" w:styleId="7">
    <w:name w:val="heading 5"/>
    <w:basedOn w:val="1"/>
    <w:next w:val="1"/>
    <w:link w:val="26"/>
    <w:qFormat/>
    <w:uiPriority w:val="99"/>
    <w:pPr>
      <w:widowControl/>
      <w:spacing w:before="240" w:after="60"/>
      <w:jc w:val="left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8">
    <w:name w:val="heading 6"/>
    <w:basedOn w:val="1"/>
    <w:next w:val="1"/>
    <w:link w:val="27"/>
    <w:qFormat/>
    <w:uiPriority w:val="99"/>
    <w:pPr>
      <w:widowControl/>
      <w:spacing w:before="240" w:after="60"/>
      <w:jc w:val="left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9">
    <w:name w:val="heading 7"/>
    <w:basedOn w:val="1"/>
    <w:next w:val="1"/>
    <w:link w:val="28"/>
    <w:qFormat/>
    <w:uiPriority w:val="99"/>
    <w:pPr>
      <w:widowControl/>
      <w:spacing w:before="240" w:after="60"/>
      <w:jc w:val="left"/>
      <w:outlineLvl w:val="6"/>
    </w:pPr>
    <w:rPr>
      <w:rFonts w:ascii="Calibri" w:hAnsi="Calibri"/>
      <w:kern w:val="0"/>
      <w:sz w:val="24"/>
    </w:rPr>
  </w:style>
  <w:style w:type="paragraph" w:styleId="10">
    <w:name w:val="heading 8"/>
    <w:basedOn w:val="1"/>
    <w:next w:val="1"/>
    <w:link w:val="29"/>
    <w:qFormat/>
    <w:uiPriority w:val="99"/>
    <w:pPr>
      <w:widowControl/>
      <w:spacing w:before="240" w:after="60"/>
      <w:jc w:val="left"/>
      <w:outlineLvl w:val="7"/>
    </w:pPr>
    <w:rPr>
      <w:rFonts w:ascii="Calibri" w:hAnsi="Calibri"/>
      <w:i/>
      <w:iCs/>
      <w:kern w:val="0"/>
      <w:sz w:val="24"/>
    </w:rPr>
  </w:style>
  <w:style w:type="paragraph" w:styleId="11">
    <w:name w:val="heading 9"/>
    <w:basedOn w:val="1"/>
    <w:next w:val="1"/>
    <w:link w:val="30"/>
    <w:qFormat/>
    <w:uiPriority w:val="99"/>
    <w:pPr>
      <w:widowControl/>
      <w:spacing w:before="240" w:after="60"/>
      <w:jc w:val="left"/>
      <w:outlineLvl w:val="8"/>
    </w:pPr>
    <w:rPr>
      <w:rFonts w:ascii="Cambria" w:hAnsi="Cambria"/>
      <w:kern w:val="0"/>
      <w:sz w:val="22"/>
      <w:szCs w:val="22"/>
    </w:rPr>
  </w:style>
  <w:style w:type="character" w:default="1" w:styleId="19">
    <w:name w:val="Default Paragraph Font"/>
    <w:qFormat/>
    <w:uiPriority w:val="1"/>
  </w:style>
  <w:style w:type="table" w:default="1" w:styleId="18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1"/>
    <w:qFormat/>
    <w:uiPriority w:val="99"/>
    <w:pPr>
      <w:jc w:val="center"/>
    </w:pPr>
    <w:rPr>
      <w:rFonts w:eastAsia="方正小标宋简体"/>
      <w:b/>
      <w:bCs/>
      <w:sz w:val="44"/>
    </w:rPr>
  </w:style>
  <w:style w:type="paragraph" w:styleId="12">
    <w:name w:val="Balloon Text"/>
    <w:basedOn w:val="1"/>
    <w:link w:val="32"/>
    <w:qFormat/>
    <w:uiPriority w:val="99"/>
    <w:rPr>
      <w:sz w:val="18"/>
      <w:szCs w:val="18"/>
    </w:rPr>
  </w:style>
  <w:style w:type="paragraph" w:styleId="13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4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5">
    <w:name w:val="Subtitle"/>
    <w:basedOn w:val="1"/>
    <w:next w:val="1"/>
    <w:link w:val="35"/>
    <w:qFormat/>
    <w:uiPriority w:val="99"/>
    <w:pPr>
      <w:widowControl/>
      <w:spacing w:after="60"/>
      <w:jc w:val="center"/>
      <w:outlineLvl w:val="1"/>
    </w:pPr>
    <w:rPr>
      <w:rFonts w:ascii="Cambria" w:hAnsi="Cambria"/>
      <w:kern w:val="0"/>
      <w:sz w:val="24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link w:val="36"/>
    <w:qFormat/>
    <w:uiPriority w:val="99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20">
    <w:name w:val="Strong"/>
    <w:basedOn w:val="19"/>
    <w:qFormat/>
    <w:uiPriority w:val="99"/>
    <w:rPr>
      <w:rFonts w:cs="Times New Roman"/>
      <w:b/>
      <w:bCs/>
    </w:rPr>
  </w:style>
  <w:style w:type="character" w:styleId="21">
    <w:name w:val="Emphasis"/>
    <w:basedOn w:val="19"/>
    <w:qFormat/>
    <w:uiPriority w:val="99"/>
    <w:rPr>
      <w:rFonts w:ascii="Calibri" w:hAnsi="Calibri" w:cs="Times New Roman"/>
      <w:b/>
      <w:i/>
      <w:iCs/>
    </w:rPr>
  </w:style>
  <w:style w:type="character" w:customStyle="1" w:styleId="22">
    <w:name w:val="标题 1 字符"/>
    <w:basedOn w:val="19"/>
    <w:link w:val="3"/>
    <w:qFormat/>
    <w:uiPriority w:val="99"/>
    <w:rPr>
      <w:rFonts w:ascii="Cambria" w:hAnsi="Cambria" w:eastAsia="宋体" w:cs="Times New Roman"/>
      <w:b/>
      <w:bCs/>
      <w:kern w:val="32"/>
      <w:sz w:val="32"/>
      <w:szCs w:val="32"/>
    </w:rPr>
  </w:style>
  <w:style w:type="character" w:customStyle="1" w:styleId="23">
    <w:name w:val="标题 2 字符"/>
    <w:basedOn w:val="19"/>
    <w:link w:val="4"/>
    <w:qFormat/>
    <w:uiPriority w:val="99"/>
    <w:rPr>
      <w:rFonts w:ascii="Cambria" w:hAnsi="Cambria" w:eastAsia="宋体" w:cs="Times New Roman"/>
      <w:b/>
      <w:bCs/>
      <w:i/>
      <w:iCs/>
      <w:sz w:val="28"/>
      <w:szCs w:val="28"/>
    </w:rPr>
  </w:style>
  <w:style w:type="character" w:customStyle="1" w:styleId="24">
    <w:name w:val="标题 3 字符"/>
    <w:basedOn w:val="19"/>
    <w:link w:val="5"/>
    <w:qFormat/>
    <w:uiPriority w:val="99"/>
    <w:rPr>
      <w:rFonts w:ascii="Cambria" w:hAnsi="Cambria" w:eastAsia="宋体" w:cs="Times New Roman"/>
      <w:b/>
      <w:bCs/>
      <w:sz w:val="26"/>
      <w:szCs w:val="26"/>
    </w:rPr>
  </w:style>
  <w:style w:type="character" w:customStyle="1" w:styleId="25">
    <w:name w:val="标题 4 字符"/>
    <w:basedOn w:val="19"/>
    <w:link w:val="6"/>
    <w:qFormat/>
    <w:uiPriority w:val="99"/>
    <w:rPr>
      <w:rFonts w:cs="Times New Roman"/>
      <w:b/>
      <w:bCs/>
      <w:sz w:val="28"/>
      <w:szCs w:val="28"/>
    </w:rPr>
  </w:style>
  <w:style w:type="character" w:customStyle="1" w:styleId="26">
    <w:name w:val="标题 5 字符"/>
    <w:basedOn w:val="19"/>
    <w:link w:val="7"/>
    <w:qFormat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27">
    <w:name w:val="标题 6 字符"/>
    <w:basedOn w:val="19"/>
    <w:link w:val="8"/>
    <w:qFormat/>
    <w:uiPriority w:val="99"/>
    <w:rPr>
      <w:rFonts w:cs="Times New Roman"/>
      <w:b/>
      <w:bCs/>
    </w:rPr>
  </w:style>
  <w:style w:type="character" w:customStyle="1" w:styleId="28">
    <w:name w:val="标题 7 字符"/>
    <w:basedOn w:val="19"/>
    <w:link w:val="9"/>
    <w:qFormat/>
    <w:uiPriority w:val="99"/>
    <w:rPr>
      <w:rFonts w:cs="Times New Roman"/>
      <w:sz w:val="24"/>
      <w:szCs w:val="24"/>
    </w:rPr>
  </w:style>
  <w:style w:type="character" w:customStyle="1" w:styleId="29">
    <w:name w:val="标题 8 字符"/>
    <w:basedOn w:val="19"/>
    <w:link w:val="10"/>
    <w:qFormat/>
    <w:uiPriority w:val="99"/>
    <w:rPr>
      <w:rFonts w:cs="Times New Roman"/>
      <w:i/>
      <w:iCs/>
      <w:sz w:val="24"/>
      <w:szCs w:val="24"/>
    </w:rPr>
  </w:style>
  <w:style w:type="character" w:customStyle="1" w:styleId="30">
    <w:name w:val="标题 9 字符"/>
    <w:basedOn w:val="19"/>
    <w:link w:val="11"/>
    <w:qFormat/>
    <w:uiPriority w:val="99"/>
    <w:rPr>
      <w:rFonts w:ascii="Cambria" w:hAnsi="Cambria" w:eastAsia="宋体" w:cs="Times New Roman"/>
    </w:rPr>
  </w:style>
  <w:style w:type="character" w:customStyle="1" w:styleId="31">
    <w:name w:val="正文文本 字符"/>
    <w:basedOn w:val="19"/>
    <w:link w:val="2"/>
    <w:qFormat/>
    <w:uiPriority w:val="99"/>
    <w:rPr>
      <w:rFonts w:cs="Times New Roman"/>
      <w:sz w:val="24"/>
      <w:szCs w:val="24"/>
    </w:rPr>
  </w:style>
  <w:style w:type="character" w:customStyle="1" w:styleId="32">
    <w:name w:val="批注框文本 字符"/>
    <w:basedOn w:val="19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3">
    <w:name w:val="页脚 字符"/>
    <w:basedOn w:val="19"/>
    <w:link w:val="1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34">
    <w:name w:val="页眉 字符"/>
    <w:basedOn w:val="19"/>
    <w:link w:val="1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35">
    <w:name w:val="副标题 字符"/>
    <w:basedOn w:val="19"/>
    <w:link w:val="15"/>
    <w:qFormat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36">
    <w:name w:val="标题 字符"/>
    <w:basedOn w:val="19"/>
    <w:link w:val="17"/>
    <w:qFormat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7">
    <w:name w:val="No Spacing"/>
    <w:basedOn w:val="1"/>
    <w:qFormat/>
    <w:uiPriority w:val="99"/>
    <w:pPr>
      <w:widowControl/>
      <w:jc w:val="left"/>
    </w:pPr>
    <w:rPr>
      <w:rFonts w:ascii="Calibri" w:hAnsi="Calibri"/>
      <w:kern w:val="0"/>
      <w:sz w:val="24"/>
      <w:szCs w:val="32"/>
      <w:lang w:eastAsia="en-US"/>
    </w:rPr>
  </w:style>
  <w:style w:type="paragraph" w:styleId="38">
    <w:name w:val="List Paragraph"/>
    <w:basedOn w:val="1"/>
    <w:qFormat/>
    <w:uiPriority w:val="99"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/>
    </w:rPr>
  </w:style>
  <w:style w:type="paragraph" w:styleId="39">
    <w:name w:val="Quote"/>
    <w:basedOn w:val="1"/>
    <w:next w:val="1"/>
    <w:link w:val="40"/>
    <w:qFormat/>
    <w:uiPriority w:val="99"/>
    <w:pPr>
      <w:widowControl/>
      <w:jc w:val="left"/>
    </w:pPr>
    <w:rPr>
      <w:rFonts w:ascii="Calibri" w:hAnsi="Calibri"/>
      <w:i/>
      <w:kern w:val="0"/>
      <w:sz w:val="24"/>
    </w:rPr>
  </w:style>
  <w:style w:type="character" w:customStyle="1" w:styleId="40">
    <w:name w:val="引用 字符"/>
    <w:basedOn w:val="19"/>
    <w:link w:val="39"/>
    <w:qFormat/>
    <w:uiPriority w:val="99"/>
    <w:rPr>
      <w:rFonts w:cs="Times New Roman"/>
      <w:i/>
      <w:sz w:val="24"/>
      <w:szCs w:val="24"/>
    </w:rPr>
  </w:style>
  <w:style w:type="paragraph" w:styleId="41">
    <w:name w:val="Intense Quote"/>
    <w:basedOn w:val="1"/>
    <w:next w:val="1"/>
    <w:link w:val="42"/>
    <w:qFormat/>
    <w:uiPriority w:val="99"/>
    <w:pPr>
      <w:widowControl/>
      <w:ind w:left="720" w:right="720"/>
      <w:jc w:val="left"/>
    </w:pPr>
    <w:rPr>
      <w:rFonts w:ascii="Calibri" w:hAnsi="Calibri"/>
      <w:b/>
      <w:i/>
      <w:kern w:val="0"/>
      <w:sz w:val="24"/>
      <w:szCs w:val="22"/>
    </w:rPr>
  </w:style>
  <w:style w:type="character" w:customStyle="1" w:styleId="42">
    <w:name w:val="明显引用 字符"/>
    <w:basedOn w:val="19"/>
    <w:link w:val="41"/>
    <w:qFormat/>
    <w:uiPriority w:val="99"/>
    <w:rPr>
      <w:rFonts w:cs="Times New Roman"/>
      <w:b/>
      <w:i/>
      <w:sz w:val="24"/>
    </w:rPr>
  </w:style>
  <w:style w:type="character" w:customStyle="1" w:styleId="43">
    <w:name w:val="Subtle Emphasis1"/>
    <w:qFormat/>
    <w:uiPriority w:val="99"/>
    <w:rPr>
      <w:i/>
      <w:color w:val="595959"/>
    </w:rPr>
  </w:style>
  <w:style w:type="character" w:customStyle="1" w:styleId="44">
    <w:name w:val="Intense Emphasis1"/>
    <w:basedOn w:val="19"/>
    <w:qFormat/>
    <w:uiPriority w:val="99"/>
    <w:rPr>
      <w:rFonts w:cs="Times New Roman"/>
      <w:b/>
      <w:i/>
      <w:sz w:val="24"/>
      <w:szCs w:val="24"/>
      <w:u w:val="single"/>
    </w:rPr>
  </w:style>
  <w:style w:type="character" w:customStyle="1" w:styleId="45">
    <w:name w:val="Subtle Reference1"/>
    <w:basedOn w:val="19"/>
    <w:qFormat/>
    <w:uiPriority w:val="99"/>
    <w:rPr>
      <w:rFonts w:cs="Times New Roman"/>
      <w:sz w:val="24"/>
      <w:szCs w:val="24"/>
      <w:u w:val="single"/>
    </w:rPr>
  </w:style>
  <w:style w:type="character" w:customStyle="1" w:styleId="46">
    <w:name w:val="Intense Reference1"/>
    <w:basedOn w:val="19"/>
    <w:qFormat/>
    <w:uiPriority w:val="99"/>
    <w:rPr>
      <w:rFonts w:cs="Times New Roman"/>
      <w:b/>
      <w:sz w:val="24"/>
      <w:u w:val="single"/>
    </w:rPr>
  </w:style>
  <w:style w:type="character" w:customStyle="1" w:styleId="47">
    <w:name w:val="Book Title1"/>
    <w:basedOn w:val="19"/>
    <w:qFormat/>
    <w:uiPriority w:val="99"/>
    <w:rPr>
      <w:rFonts w:ascii="Cambria" w:hAnsi="Cambria" w:eastAsia="宋体" w:cs="Times New Roman"/>
      <w:b/>
      <w:i/>
      <w:sz w:val="24"/>
      <w:szCs w:val="24"/>
    </w:rPr>
  </w:style>
  <w:style w:type="paragraph" w:customStyle="1" w:styleId="48">
    <w:name w:val="TOC Heading1"/>
    <w:basedOn w:val="3"/>
    <w:next w:val="1"/>
    <w:qFormat/>
    <w:uiPriority w:val="99"/>
    <w:pPr>
      <w:outlineLvl w:val="9"/>
    </w:pPr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2797</Words>
  <Characters>3051</Characters>
  <Paragraphs>55</Paragraphs>
  <TotalTime>2</TotalTime>
  <ScaleCrop>false</ScaleCrop>
  <LinksUpToDate>false</LinksUpToDate>
  <CharactersWithSpaces>3060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2018-08-15T02:06:00Z</dcterms:created>
  <dc:creator>赵 恺（预算处）</dc:creator>
  <cp:lastModifiedBy>admin</cp:lastModifiedBy>
  <cp:lastPrinted>2020-04-20T08:28:48Z</cp:lastPrinted>
  <dcterms:modified xsi:type="dcterms:W3CDTF">2020-04-20T09:40:13Z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