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shd w:val="clear" w:fill="FFFFFF"/>
        </w:rPr>
        <w:t>昌吉州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金融办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shd w:val="clear" w:fill="FFFFFF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shd w:val="clear" w:fill="FFFFFF"/>
        </w:rPr>
        <w:t>年政府信息公开工作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shd w:val="clear" w:fill="FFFFFF"/>
        </w:rPr>
        <w:t>年度报告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ascii="仿宋_GB2312" w:hAnsi="宋体" w:eastAsia="仿宋_GB2312" w:cs="仿宋_GB2312"/>
          <w:b w:val="0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</w:pPr>
      <w:r>
        <w:rPr>
          <w:rFonts w:ascii="仿宋_GB2312" w:hAnsi="宋体" w:eastAsia="仿宋_GB2312" w:cs="仿宋_GB2312"/>
          <w:b w:val="0"/>
          <w:color w:val="auto"/>
          <w:sz w:val="32"/>
          <w:szCs w:val="32"/>
        </w:rPr>
        <w:t>本报告依据《中华人民共和国政府信息公开条例》（国务院令第711号）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lang w:eastAsia="zh-CN"/>
        </w:rPr>
        <w:t>和《关于做好政府信息公开工作年度报告编制工作的通知》（昌州政办函【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lang w:eastAsia="zh-CN"/>
        </w:rPr>
        <w:t>】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lang w:val="en-US" w:eastAsia="zh-CN"/>
        </w:rPr>
        <w:t>1号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lang w:eastAsia="zh-CN"/>
        </w:rPr>
        <w:t>），</w:t>
      </w:r>
      <w:r>
        <w:rPr>
          <w:rFonts w:ascii="仿宋_GB2312" w:hAnsi="宋体" w:eastAsia="仿宋_GB2312" w:cs="仿宋_GB2312"/>
          <w:b w:val="0"/>
          <w:color w:val="auto"/>
          <w:sz w:val="32"/>
          <w:szCs w:val="32"/>
        </w:rPr>
        <w:t>结合我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lang w:eastAsia="zh-CN"/>
        </w:rPr>
        <w:t>办</w:t>
      </w:r>
      <w:r>
        <w:rPr>
          <w:rFonts w:ascii="仿宋_GB2312" w:hAnsi="宋体" w:eastAsia="仿宋_GB2312" w:cs="仿宋_GB2312"/>
          <w:b w:val="0"/>
          <w:color w:val="auto"/>
          <w:sz w:val="32"/>
          <w:szCs w:val="32"/>
        </w:rPr>
        <w:t>政府信息公开工作有关统计数据撰写。报告主要包括：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lang w:val="en-US" w:eastAsia="zh-CN"/>
        </w:rPr>
        <w:t>1.总体情况；2.主动公开政府信息情况；3.收到和处理政府信息公开申请情况；4.政府信息公开行政复议、行政诉讼情况；5.存在的主要问题及改进情况；6.其他需要报告的事项。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本报告中所列数据的统计期限自20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年1月1日起至20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年12月31日止。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</w:rPr>
        <w:t>报告的电子版可在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  <w:lang w:eastAsia="zh-CN"/>
        </w:rPr>
        <w:t>昌吉州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</w:rPr>
        <w:t>人民政府网站下载。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</w:rPr>
        <w:t>如对本报告有任何疑问，请与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lang w:eastAsia="zh-CN"/>
        </w:rPr>
        <w:t>昌吉州金融工作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</w:rPr>
        <w:t>办公室联系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</w:rPr>
        <w:t>（地址：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lang w:eastAsia="zh-CN"/>
        </w:rPr>
        <w:t>昌吉市延安北路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lang w:val="en-US" w:eastAsia="zh-CN"/>
        </w:rPr>
        <w:t>54号州长楼504室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</w:rPr>
        <w:t>，电话：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lang w:val="en-US" w:eastAsia="zh-CN"/>
        </w:rPr>
        <w:t>0994-2365608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</w:rPr>
        <w:t>3，邮编：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lang w:val="en-US" w:eastAsia="zh-CN"/>
        </w:rPr>
        <w:t>831100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一、总体情况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</w:rPr>
      </w:pP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</w:rPr>
        <w:t>2020年，在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  <w:lang w:eastAsia="zh-CN"/>
        </w:rPr>
        <w:t>州党委、政府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</w:rPr>
        <w:t>指导下，以贯彻落实新修订的《政府信息公开条例》（以下简称《条例》）为引领，围绕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  <w:lang w:eastAsia="zh-CN"/>
        </w:rPr>
        <w:t>自治区党委“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  <w:lang w:val="en-US" w:eastAsia="zh-CN"/>
        </w:rPr>
        <w:t>1+3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  <w:lang w:eastAsia="zh-CN"/>
        </w:rPr>
        <w:t>”工作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</w:rPr>
        <w:t>部署，我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  <w:lang w:eastAsia="zh-CN"/>
        </w:rPr>
        <w:t>办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</w:rPr>
        <w:t>不断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  <w:lang w:val="en-US" w:eastAsia="zh-CN"/>
        </w:rPr>
        <w:t>加强用权公开、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</w:rPr>
        <w:t>着力推进重点领域信息公开、助力做好“六稳”“六保”工作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  <w:lang w:eastAsia="zh-CN"/>
        </w:rPr>
        <w:t>金融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</w:rPr>
        <w:t>政策解读、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  <w:lang w:eastAsia="zh-CN"/>
        </w:rPr>
        <w:t>扎实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</w:rPr>
        <w:t>推进基层政务标准化规范化建设、优化政务公开平台服务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  <w:lang w:eastAsia="zh-CN"/>
        </w:rPr>
        <w:t>能力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</w:rPr>
        <w:t>、强化政务公开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  <w:lang w:eastAsia="zh-CN"/>
        </w:rPr>
        <w:t>各项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shd w:val="clear" w:fill="FFFFFF"/>
        </w:rPr>
        <w:t>保障措施，提升政务公开工作水平。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（一）主动公开情况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办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严格按照《条例》规定的主动公开信息范围发布或更新信息。截止2020年12月31日，主动公开政府信息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（二）依申请公开情况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Chars="0" w:firstLine="64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ascii="仿宋_GB2312" w:eastAsia="仿宋_GB2312" w:cs="仿宋_GB2312" w:hAnsiTheme="minorHAnsi"/>
          <w:b w:val="0"/>
          <w:kern w:val="0"/>
          <w:sz w:val="32"/>
          <w:szCs w:val="32"/>
          <w:lang w:val="en-US" w:eastAsia="zh-CN" w:bidi="ar"/>
        </w:rPr>
        <w:t>严格按照新《条例》，</w:t>
      </w:r>
      <w:r>
        <w:rPr>
          <w:rFonts w:hint="eastAsia" w:ascii="仿宋_GB2312" w:eastAsia="仿宋_GB2312" w:cs="仿宋_GB2312"/>
          <w:b w:val="0"/>
          <w:kern w:val="0"/>
          <w:sz w:val="32"/>
          <w:szCs w:val="32"/>
          <w:lang w:val="en-US" w:eastAsia="zh-CN" w:bidi="ar"/>
        </w:rPr>
        <w:t>按照昌吉州人民</w:t>
      </w:r>
      <w:r>
        <w:rPr>
          <w:rFonts w:ascii="仿宋_GB2312" w:eastAsia="仿宋_GB2312" w:cs="仿宋_GB2312" w:hAnsiTheme="minorHAnsi"/>
          <w:b w:val="0"/>
          <w:kern w:val="0"/>
          <w:sz w:val="32"/>
          <w:szCs w:val="32"/>
          <w:lang w:val="en-US" w:eastAsia="zh-CN" w:bidi="ar"/>
        </w:rPr>
        <w:t>政府信息依申请公开指南，受理依申请公开政府信息工作，按时、按要求回复申请人</w:t>
      </w:r>
      <w:r>
        <w:rPr>
          <w:rFonts w:hint="eastAsia" w:ascii="仿宋_GB2312" w:eastAsia="仿宋_GB2312" w:cs="仿宋_GB2312"/>
          <w:b w:val="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2020年，我办收到依申请公开0件。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Chars="0" w:firstLine="64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（三）政府信息管理情况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Chars="0" w:firstLine="64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进一步完善政务信息管理机制，不断建立健全政务信息制作、公开、等制度，探索政务信息规范化管理。按照“谁制作、谁发布、谁负责”的要求，规范信息公开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逐级审批制度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，保证信息发布权威、及时、准确、安全。在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政办的牵头下，我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今年开展两次敏感词、严重错别字等重大表述错误信息以及个人隐私信息全面排查工作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，进一步加强了政府信息管理。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line="600" w:lineRule="exact"/>
        <w:ind w:left="480" w:leftChars="0"/>
        <w:rPr>
          <w:rFonts w:hint="eastAsia" w:ascii="仿宋_GB2312" w:hAnsi="仿宋_GB2312" w:eastAsia="仿宋_GB2312" w:cs="仿宋_GB2312"/>
          <w:b/>
          <w:bCs w:val="0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 w:val="0"/>
          <w:color w:val="333333"/>
          <w:sz w:val="32"/>
          <w:szCs w:val="32"/>
          <w:shd w:val="clear" w:color="auto" w:fill="FFFFFF"/>
          <w:lang w:eastAsia="zh-CN"/>
        </w:rPr>
        <w:t>（四）</w:t>
      </w:r>
      <w:r>
        <w:rPr>
          <w:rFonts w:hint="eastAsia" w:ascii="仿宋_GB2312" w:hAnsi="仿宋_GB2312" w:eastAsia="仿宋_GB2312" w:cs="仿宋_GB2312"/>
          <w:b/>
          <w:bCs w:val="0"/>
          <w:color w:val="333333"/>
          <w:sz w:val="32"/>
          <w:szCs w:val="32"/>
          <w:shd w:val="clear" w:color="auto" w:fill="FFFFFF"/>
        </w:rPr>
        <w:t>平台建设情况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left="0" w:right="0" w:firstLine="600"/>
        <w:jc w:val="both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聚焦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重点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领域，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着重公布服务对象关注的政务公开信息。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充分发挥微信等新媒体功用，将微信作为信息公开重要平台予以推进。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目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前微信公众号关注人数达1000余人，2020年以来，共推送信息526条.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Chars="0" w:firstLine="642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（五）监督保障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宋体" w:eastAsia="仿宋_GB2312" w:cs="仿宋_GB2312"/>
          <w:b w:val="0"/>
          <w:bCs/>
          <w:color w:val="auto"/>
          <w:sz w:val="32"/>
          <w:szCs w:val="32"/>
          <w:lang w:eastAsia="zh-CN"/>
        </w:rPr>
        <w:t>落实主体责任</w:t>
      </w:r>
      <w:r>
        <w:rPr>
          <w:rFonts w:ascii="仿宋_GB2312" w:hAnsi="宋体" w:eastAsia="仿宋_GB2312" w:cs="仿宋_GB2312"/>
          <w:b w:val="0"/>
          <w:bCs/>
          <w:color w:val="auto"/>
          <w:sz w:val="32"/>
          <w:szCs w:val="32"/>
        </w:rPr>
        <w:t>。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</w:rPr>
        <w:t>为确保工作落实，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fill="FFFFFF"/>
          <w:lang w:val="en-US" w:eastAsia="zh-CN"/>
        </w:rPr>
        <w:t>明确政务公开工作任务、具体要求、责任单位、完成时限，安排专人定期更新。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</w:rPr>
        <w:t>针对工作中遇到的问题，</w:t>
      </w:r>
      <w:r>
        <w:rPr>
          <w:rFonts w:hint="eastAsia" w:ascii="仿宋_GB2312" w:hAnsi="宋体" w:eastAsia="仿宋_GB2312" w:cs="仿宋_GB2312"/>
          <w:b w:val="0"/>
          <w:color w:val="auto"/>
          <w:sz w:val="32"/>
          <w:szCs w:val="32"/>
          <w:lang w:eastAsia="zh-CN"/>
        </w:rPr>
        <w:t>及时处理，并制定相应的切实管用的长效机制。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Chars="0" w:firstLine="642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二、主动公开政府信息情况</w:t>
      </w:r>
    </w:p>
    <w:tbl>
      <w:tblPr>
        <w:tblStyle w:val="4"/>
        <w:tblpPr w:leftFromText="180" w:rightFromText="180" w:vertAnchor="text" w:horzAnchor="page" w:tblpX="1339" w:tblpY="261"/>
        <w:tblOverlap w:val="never"/>
        <w:tblW w:w="9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5"/>
        <w:gridCol w:w="1695"/>
        <w:gridCol w:w="2190"/>
        <w:gridCol w:w="25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96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本年新制作数量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本年新公开数量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规章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84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规范性文件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96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上一年项目数量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本年增/减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9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其他对外管理服务事项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96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上一年项目数量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本年增/减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9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行政强制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96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上一年项目数量</w:t>
            </w:r>
          </w:p>
        </w:tc>
        <w:tc>
          <w:tcPr>
            <w:tcW w:w="4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行政事业性收费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9" w:hRule="atLeast"/>
        </w:trPr>
        <w:tc>
          <w:tcPr>
            <w:tcW w:w="96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采购项目数量</w:t>
            </w:r>
          </w:p>
        </w:tc>
        <w:tc>
          <w:tcPr>
            <w:tcW w:w="4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政府集中采购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</w:tbl>
    <w:tbl>
      <w:tblPr>
        <w:tblStyle w:val="4"/>
        <w:tblpPr w:leftFromText="180" w:rightFromText="180" w:vertAnchor="text" w:horzAnchor="page" w:tblpX="1825" w:tblpY="1363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88"/>
        <w:gridCol w:w="1841"/>
        <w:gridCol w:w="611"/>
        <w:gridCol w:w="671"/>
        <w:gridCol w:w="671"/>
        <w:gridCol w:w="798"/>
        <w:gridCol w:w="798"/>
        <w:gridCol w:w="546"/>
        <w:gridCol w:w="5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29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-271780</wp:posOffset>
                      </wp:positionH>
                      <wp:positionV relativeFrom="paragraph">
                        <wp:posOffset>-678180</wp:posOffset>
                      </wp:positionV>
                      <wp:extent cx="3648075" cy="533400"/>
                      <wp:effectExtent l="0" t="0" r="9525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true"/>
                            <wps:spPr>
                              <a:xfrm>
                                <a:off x="0" y="0"/>
                                <a:ext cx="3648075" cy="533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numPr>
                                      <w:ilvl w:val="0"/>
                                      <w:numId w:val="0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spacing w:line="600" w:lineRule="exact"/>
                                    <w:ind w:leftChars="0" w:firstLine="642"/>
                                    <w:rPr>
                                      <w:rFonts w:hint="eastAsia" w:ascii="仿宋_GB2312" w:hAnsi="仿宋_GB2312" w:eastAsia="仿宋_GB2312" w:cs="仿宋_GB2312"/>
                                      <w:b/>
                                      <w:bCs/>
                                      <w:sz w:val="32"/>
                                      <w:szCs w:val="3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sz w:val="32"/>
                                      <w:szCs w:val="32"/>
                                      <w:lang w:eastAsia="zh-CN"/>
                                    </w:rPr>
                                    <w:t>三、收到和处理处理政府信息公开</w:t>
                                  </w:r>
                                  <w:r>
                                    <w:rPr>
                                      <w:rFonts w:hint="eastAsia" w:ascii="仿宋_GB2312" w:hAnsi="仿宋_GB2312" w:eastAsia="仿宋_GB2312" w:cs="仿宋_GB2312"/>
                                      <w:b/>
                                      <w:bCs/>
                                      <w:sz w:val="32"/>
                                      <w:szCs w:val="32"/>
                                      <w:lang w:eastAsia="zh-CN"/>
                                    </w:rPr>
                                    <w:t>申请情况</w:t>
                                  </w:r>
                                </w:p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21.4pt;margin-top:-53.4pt;height:42pt;width:287.25pt;z-index:251658240;mso-width-relative:page;mso-height-relative:page;" fillcolor="#FFFFFF [3201]" filled="t" stroked="f" coordsize="21600,21600" o:gfxdata="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FgAAAGRycy9QSwECFAAUAAAACACHTuJAzOSaaNYAAAAMAQAADwAA&#10;AAAAAAABACAAAAA4AAAAZHJzL2Rvd25yZXYueG1sUEsBAhQAFAAAAAgAh07iQMjIRuo7AgAAUwQA&#10;AA4AAAAAAAAAAQAgAAAAOwEAAGRycy9lMm9Eb2MueG1sUEsFBgAAAAAGAAYAWQEAAOgF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spacing w:line="600" w:lineRule="exact"/>
                              <w:ind w:leftChars="0" w:firstLine="642"/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32"/>
                                <w:szCs w:val="32"/>
                                <w:lang w:eastAsia="zh-CN"/>
                              </w:rPr>
                              <w:t>三、收到和处理处理政府信息公开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  <w:t>申请情况</w:t>
                            </w: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（本列数据的勾稽关系为：第一项加第二项之和，等于第三项加第四项之和）</w:t>
            </w:r>
          </w:p>
        </w:tc>
        <w:tc>
          <w:tcPr>
            <w:tcW w:w="257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29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自然人</w:t>
            </w:r>
          </w:p>
        </w:tc>
        <w:tc>
          <w:tcPr>
            <w:tcW w:w="2233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法人或其他组织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2429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商业企业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科研机构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社会公益组织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法律服务机构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其他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42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一、本年新收政府信息公开申请数量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42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二、上年结转政府信息公开申请数量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70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三、   本年度办理结果</w:t>
            </w:r>
          </w:p>
        </w:tc>
        <w:tc>
          <w:tcPr>
            <w:tcW w:w="17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（一）予以公开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7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（二）部分公开（区分处理的，只计这一情形，不计其他情形）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7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（三） 不予公开</w:t>
            </w:r>
          </w:p>
        </w:tc>
        <w:tc>
          <w:tcPr>
            <w:tcW w:w="1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1.属于国家秘密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7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2.其他法律行政法规禁止公开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7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3.危及“三安全一稳定”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7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4.保护第三方合法权益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7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5.属于三类内部事务信息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7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6.属于四类过程性信息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7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7.属于行政执法案卷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7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8.属于行政查询事项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7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1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（四） 无法提供</w:t>
            </w:r>
          </w:p>
        </w:tc>
        <w:tc>
          <w:tcPr>
            <w:tcW w:w="1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1.本机关不掌握相关政府信息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7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2.没有现成信息需要另行制作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7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3.补正后申请内容仍不明确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7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（五） 不予处理</w:t>
            </w:r>
          </w:p>
        </w:tc>
        <w:tc>
          <w:tcPr>
            <w:tcW w:w="1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1.信访举报投诉类申请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7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2.重复申请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7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3.要求提供公开出版物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7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4.无正当理由大量反复申请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7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5.要求行政机关确认或重新出具已获取信息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7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（六）其他处理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7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（七）总计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42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四、结转下年度继续办理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Chars="0" w:firstLine="642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Chars="0" w:firstLine="642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四、政府信息公开行政复议、行政诉讼情况</w:t>
      </w:r>
    </w:p>
    <w:tbl>
      <w:tblPr>
        <w:tblStyle w:val="4"/>
        <w:tblpPr w:leftFromText="180" w:rightFromText="180" w:vertAnchor="text" w:horzAnchor="page" w:tblpX="1819" w:tblpY="322"/>
        <w:tblOverlap w:val="never"/>
        <w:tblW w:w="93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711"/>
        <w:gridCol w:w="726"/>
        <w:gridCol w:w="682"/>
        <w:gridCol w:w="540"/>
        <w:gridCol w:w="596"/>
        <w:gridCol w:w="668"/>
        <w:gridCol w:w="624"/>
        <w:gridCol w:w="610"/>
        <w:gridCol w:w="483"/>
        <w:gridCol w:w="596"/>
        <w:gridCol w:w="668"/>
        <w:gridCol w:w="668"/>
        <w:gridCol w:w="654"/>
        <w:gridCol w:w="4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3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行政复议</w:t>
            </w:r>
          </w:p>
        </w:tc>
        <w:tc>
          <w:tcPr>
            <w:tcW w:w="602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结果维持</w:t>
            </w:r>
          </w:p>
        </w:tc>
        <w:tc>
          <w:tcPr>
            <w:tcW w:w="7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结果纠正</w:t>
            </w:r>
          </w:p>
        </w:tc>
        <w:tc>
          <w:tcPr>
            <w:tcW w:w="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其他结果</w:t>
            </w:r>
          </w:p>
        </w:tc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尚未审结</w:t>
            </w:r>
          </w:p>
        </w:tc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2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未经复议直接起诉</w:t>
            </w:r>
          </w:p>
        </w:tc>
        <w:tc>
          <w:tcPr>
            <w:tcW w:w="30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结果维持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结果纠正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其他结果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尚未审结</w:t>
            </w: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结果维持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结果纠正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其他结果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尚未审结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Chars="0" w:firstLine="642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五、存在的主要问题及改进情况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line="600" w:lineRule="exact"/>
        <w:ind w:firstLine="321" w:firstLineChars="100"/>
        <w:rPr>
          <w:rFonts w:hint="eastAsia" w:ascii="楷体_GB2312" w:hAnsi="楷体_GB2312" w:eastAsia="楷体_GB2312" w:cs="楷体_GB2312"/>
          <w:b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kern w:val="0"/>
          <w:sz w:val="32"/>
          <w:szCs w:val="32"/>
          <w:lang w:eastAsia="zh-CN"/>
        </w:rPr>
        <w:t>（一）存在的主要问题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shd w:val="clear" w:fill="FFFFFF"/>
        </w:rPr>
        <w:t>一是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fill="FFFFFF"/>
        </w:rPr>
        <w:t>信息公开质量有待提升，对所属领域目录标</w:t>
      </w:r>
      <w:r>
        <w:rPr>
          <w:rFonts w:hint="eastAsia" w:ascii="仿宋" w:hAnsi="仿宋" w:eastAsia="仿宋" w:cs="仿宋"/>
          <w:sz w:val="32"/>
          <w:szCs w:val="32"/>
          <w:shd w:val="clear" w:fill="FFFFFF"/>
        </w:rPr>
        <w:t>准指引研究不透彻、理解不深入，对公开事项标准不清楚，存在信息不准确、不规范、缺项漏项、要素不全等突出问题；</w:t>
      </w:r>
      <w:r>
        <w:rPr>
          <w:rFonts w:hint="eastAsia" w:ascii="仿宋" w:hAnsi="仿宋" w:eastAsia="仿宋" w:cs="仿宋"/>
          <w:b/>
          <w:bCs/>
          <w:sz w:val="32"/>
          <w:szCs w:val="32"/>
          <w:shd w:val="clear" w:fill="FFFFFF"/>
          <w:lang w:eastAsia="zh-CN"/>
        </w:rPr>
        <w:t>二</w:t>
      </w:r>
      <w:r>
        <w:rPr>
          <w:rFonts w:hint="eastAsia" w:ascii="仿宋" w:hAnsi="仿宋" w:eastAsia="仿宋" w:cs="仿宋"/>
          <w:b/>
          <w:bCs/>
          <w:sz w:val="32"/>
          <w:szCs w:val="32"/>
          <w:shd w:val="clear" w:fill="FFFFFF"/>
        </w:rPr>
        <w:t>是</w:t>
      </w:r>
      <w:r>
        <w:rPr>
          <w:rFonts w:hint="eastAsia" w:ascii="仿宋" w:hAnsi="仿宋" w:eastAsia="仿宋" w:cs="仿宋"/>
          <w:sz w:val="32"/>
          <w:szCs w:val="32"/>
          <w:shd w:val="clear" w:fill="FFFFFF"/>
        </w:rPr>
        <w:t>对信息公开工作的重要性认识不到位，工作存在等靠思想，没有做到常态化公开。</w:t>
      </w:r>
      <w:r>
        <w:rPr>
          <w:rFonts w:ascii="微软雅黑" w:hAnsi="微软雅黑" w:eastAsia="微软雅黑" w:cs="微软雅黑"/>
          <w:color w:val="3D3D3D"/>
          <w:sz w:val="24"/>
          <w:szCs w:val="24"/>
          <w:shd w:val="clear" w:fill="FFFFFF"/>
        </w:rPr>
        <w:br w:type="textWrapping"/>
      </w:r>
      <w:r>
        <w:rPr>
          <w:rFonts w:ascii="黑体" w:hAnsi="宋体" w:eastAsia="黑体" w:cs="黑体"/>
          <w:color w:val="3D3D3D"/>
          <w:sz w:val="30"/>
          <w:szCs w:val="30"/>
          <w:shd w:val="clear" w:fill="FFFFFF"/>
        </w:rPr>
        <w:t>　　</w:t>
      </w:r>
      <w:r>
        <w:rPr>
          <w:rFonts w:hint="eastAsia" w:ascii="楷体_GB2312" w:hAnsi="楷体_GB2312" w:eastAsia="楷体_GB2312" w:cs="楷体_GB2312"/>
          <w:b/>
          <w:bCs/>
          <w:color w:val="3D3D3D"/>
          <w:sz w:val="30"/>
          <w:szCs w:val="30"/>
          <w:shd w:val="clear" w:fill="FFFFFF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bCs/>
          <w:color w:val="3D3D3D"/>
          <w:sz w:val="30"/>
          <w:szCs w:val="30"/>
          <w:shd w:val="clear" w:fill="FFFFFF"/>
        </w:rPr>
        <w:t>下一步工作打算</w:t>
      </w:r>
      <w:r>
        <w:rPr>
          <w:rStyle w:val="6"/>
          <w:rFonts w:hint="eastAsia" w:ascii="黑体" w:hAnsi="宋体" w:eastAsia="黑体" w:cs="黑体"/>
          <w:b w:val="0"/>
          <w:vanish/>
          <w:color w:val="3D3D3D"/>
          <w:sz w:val="30"/>
          <w:szCs w:val="30"/>
          <w:shd w:val="clear" w:fill="FFFFFF"/>
        </w:rPr>
        <w:t>、下一步工作打算</w:t>
      </w:r>
      <w:r>
        <w:rPr>
          <w:rFonts w:hint="eastAsia" w:ascii="微软雅黑" w:hAnsi="微软雅黑" w:eastAsia="微软雅黑" w:cs="微软雅黑"/>
          <w:color w:val="3D3D3D"/>
          <w:sz w:val="24"/>
          <w:szCs w:val="24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color w:val="3D3D3D"/>
          <w:sz w:val="24"/>
          <w:szCs w:val="24"/>
          <w:shd w:val="clear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不断完善信息公开内容。不断完善政府信息公开的内容，及时更新公开信息；主动及时向社会公开可以公开的信息，以确保政府信息公开的完整性、全面性和及时性。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完善充实政府信息公开的内容，加强对公众关注度高的政府信息的梳理，及时全面进行公布。</w:t>
      </w:r>
    </w:p>
    <w:p>
      <w:pPr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  <w:t xml:space="preserve">    六、其他需要报告的事项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Chars="0" w:firstLine="642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无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600" w:lineRule="exact"/>
        <w:ind w:firstLine="48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昌吉州金融工作办公室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2021年2月1日</w:t>
      </w: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045CC3"/>
    <w:rsid w:val="1B571004"/>
    <w:rsid w:val="230609B2"/>
    <w:rsid w:val="3A09353A"/>
    <w:rsid w:val="3A5278D5"/>
    <w:rsid w:val="7B932C6E"/>
    <w:rsid w:val="7F0D515B"/>
    <w:rsid w:val="F7EBC058"/>
    <w:rsid w:val="FFEA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hp</dc:creator>
  <cp:lastModifiedBy>user</cp:lastModifiedBy>
  <cp:lastPrinted>2021-02-02T10:15:55Z</cp:lastPrinted>
  <dcterms:modified xsi:type="dcterms:W3CDTF">2021-02-02T10:23:05Z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