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highlight w:val="none"/>
        </w:rPr>
      </w:pPr>
      <w:r>
        <w:rPr>
          <w:rFonts w:hint="eastAsia" w:ascii="黑体" w:hAnsi="黑体" w:eastAsia="黑体"/>
          <w:sz w:val="32"/>
          <w:szCs w:val="32"/>
          <w:highlight w:val="none"/>
        </w:rPr>
        <w:t>附件：</w:t>
      </w:r>
    </w:p>
    <w:p>
      <w:pPr>
        <w:rPr>
          <w:highlight w:val="none"/>
        </w:rPr>
      </w:pPr>
    </w:p>
    <w:p>
      <w:pPr>
        <w:rPr>
          <w:highlight w:val="none"/>
        </w:rPr>
      </w:pPr>
    </w:p>
    <w:p>
      <w:pPr>
        <w:widowControl/>
        <w:spacing w:before="100" w:beforeAutospacing="1" w:after="100" w:afterAutospacing="1"/>
        <w:outlineLvl w:val="1"/>
        <w:rPr>
          <w:rFonts w:ascii="黑体" w:hAnsi="黑体" w:eastAsia="黑体" w:cs="宋体"/>
          <w:kern w:val="0"/>
          <w:sz w:val="32"/>
          <w:szCs w:val="32"/>
          <w:highlight w:val="none"/>
        </w:rPr>
      </w:pPr>
    </w:p>
    <w:p>
      <w:pPr>
        <w:widowControl/>
        <w:spacing w:before="100" w:beforeAutospacing="1" w:after="100" w:afterAutospacing="1"/>
        <w:outlineLvl w:val="1"/>
        <w:rPr>
          <w:rFonts w:ascii="黑体" w:hAnsi="黑体" w:eastAsia="黑体" w:cs="宋体"/>
          <w:kern w:val="0"/>
          <w:sz w:val="32"/>
          <w:szCs w:val="32"/>
          <w:highlight w:val="none"/>
        </w:rPr>
      </w:pPr>
    </w:p>
    <w:p>
      <w:pPr>
        <w:widowControl/>
        <w:spacing w:before="100" w:beforeAutospacing="1" w:after="100" w:afterAutospacing="1"/>
        <w:outlineLvl w:val="1"/>
        <w:rPr>
          <w:rFonts w:ascii="宋体" w:cs="宋体"/>
          <w:b/>
          <w:bCs/>
          <w:kern w:val="0"/>
          <w:sz w:val="44"/>
          <w:szCs w:val="44"/>
          <w:highlight w:val="none"/>
        </w:rPr>
      </w:pPr>
    </w:p>
    <w:p>
      <w:pPr>
        <w:widowControl/>
        <w:spacing w:before="100" w:beforeAutospacing="1" w:after="100" w:afterAutospacing="1"/>
        <w:jc w:val="center"/>
        <w:outlineLvl w:val="1"/>
        <w:rPr>
          <w:rFonts w:ascii="方正小标宋_GBK" w:hAnsi="宋体" w:eastAsia="方正小标宋_GBK"/>
          <w:kern w:val="0"/>
          <w:sz w:val="44"/>
          <w:szCs w:val="44"/>
          <w:highlight w:val="none"/>
        </w:rPr>
      </w:pPr>
      <w:r>
        <w:rPr>
          <w:rFonts w:hint="eastAsia" w:ascii="方正小标宋_GBK" w:hAnsi="宋体" w:eastAsia="方正小标宋_GBK"/>
          <w:kern w:val="0"/>
          <w:sz w:val="44"/>
          <w:szCs w:val="44"/>
          <w:highlight w:val="none"/>
        </w:rPr>
        <w:t>昌吉州</w:t>
      </w:r>
      <w:r>
        <w:rPr>
          <w:rFonts w:ascii="方正小标宋_GBK" w:hAnsi="宋体" w:eastAsia="方正小标宋_GBK"/>
          <w:kern w:val="0"/>
          <w:sz w:val="44"/>
          <w:szCs w:val="44"/>
          <w:highlight w:val="none"/>
        </w:rPr>
        <w:t>社会主义学院2019</w:t>
      </w:r>
      <w:r>
        <w:rPr>
          <w:rFonts w:hint="eastAsia" w:ascii="方正小标宋_GBK" w:hAnsi="宋体" w:eastAsia="方正小标宋_GBK"/>
          <w:kern w:val="0"/>
          <w:sz w:val="44"/>
          <w:szCs w:val="44"/>
          <w:highlight w:val="none"/>
        </w:rPr>
        <w:t>年部门预算公开</w:t>
      </w:r>
    </w:p>
    <w:p>
      <w:pPr>
        <w:widowControl/>
        <w:spacing w:before="100" w:beforeAutospacing="1" w:after="100" w:afterAutospacing="1"/>
        <w:jc w:val="center"/>
        <w:outlineLvl w:val="1"/>
        <w:rPr>
          <w:rFonts w:ascii="宋体"/>
          <w:b/>
          <w:kern w:val="0"/>
          <w:sz w:val="44"/>
          <w:szCs w:val="44"/>
          <w:highlight w:val="none"/>
        </w:rPr>
      </w:pPr>
    </w:p>
    <w:p>
      <w:pPr>
        <w:widowControl/>
        <w:spacing w:before="100" w:beforeAutospacing="1" w:after="100" w:afterAutospacing="1"/>
        <w:jc w:val="center"/>
        <w:outlineLvl w:val="1"/>
        <w:rPr>
          <w:rFonts w:ascii="宋体"/>
          <w:b/>
          <w:kern w:val="0"/>
          <w:sz w:val="44"/>
          <w:szCs w:val="44"/>
          <w:highlight w:val="none"/>
        </w:rPr>
      </w:pPr>
    </w:p>
    <w:p>
      <w:pPr>
        <w:widowControl/>
        <w:spacing w:before="100" w:beforeAutospacing="1" w:after="100" w:afterAutospacing="1"/>
        <w:jc w:val="center"/>
        <w:outlineLvl w:val="1"/>
        <w:rPr>
          <w:rFonts w:ascii="宋体"/>
          <w:b/>
          <w:kern w:val="0"/>
          <w:sz w:val="44"/>
          <w:szCs w:val="44"/>
          <w:highlight w:val="none"/>
        </w:rPr>
      </w:pPr>
    </w:p>
    <w:p>
      <w:pPr>
        <w:widowControl/>
        <w:spacing w:before="100" w:beforeAutospacing="1" w:after="100" w:afterAutospacing="1"/>
        <w:jc w:val="center"/>
        <w:outlineLvl w:val="1"/>
        <w:rPr>
          <w:rFonts w:ascii="宋体"/>
          <w:b/>
          <w:kern w:val="0"/>
          <w:sz w:val="44"/>
          <w:szCs w:val="44"/>
          <w:highlight w:val="none"/>
        </w:rPr>
      </w:pPr>
    </w:p>
    <w:p>
      <w:pPr>
        <w:widowControl/>
        <w:spacing w:before="100" w:beforeAutospacing="1" w:after="100" w:afterAutospacing="1"/>
        <w:jc w:val="center"/>
        <w:outlineLvl w:val="1"/>
        <w:rPr>
          <w:rFonts w:ascii="宋体"/>
          <w:b/>
          <w:kern w:val="0"/>
          <w:sz w:val="44"/>
          <w:szCs w:val="44"/>
          <w:highlight w:val="none"/>
        </w:rPr>
      </w:pPr>
    </w:p>
    <w:p>
      <w:pPr>
        <w:widowControl/>
        <w:spacing w:before="100" w:beforeAutospacing="1" w:after="100" w:afterAutospacing="1"/>
        <w:jc w:val="center"/>
        <w:outlineLvl w:val="1"/>
        <w:rPr>
          <w:rFonts w:ascii="宋体"/>
          <w:b/>
          <w:kern w:val="0"/>
          <w:sz w:val="44"/>
          <w:szCs w:val="44"/>
          <w:highlight w:val="none"/>
        </w:rPr>
      </w:pPr>
    </w:p>
    <w:p>
      <w:pPr>
        <w:widowControl/>
        <w:spacing w:before="100" w:beforeAutospacing="1" w:after="100" w:afterAutospacing="1"/>
        <w:jc w:val="center"/>
        <w:outlineLvl w:val="1"/>
        <w:rPr>
          <w:rFonts w:ascii="宋体"/>
          <w:b/>
          <w:kern w:val="0"/>
          <w:sz w:val="44"/>
          <w:szCs w:val="44"/>
          <w:highlight w:val="none"/>
        </w:rPr>
      </w:pPr>
    </w:p>
    <w:p>
      <w:pPr>
        <w:widowControl/>
        <w:spacing w:before="100" w:beforeAutospacing="1" w:after="100" w:afterAutospacing="1"/>
        <w:jc w:val="center"/>
        <w:outlineLvl w:val="1"/>
        <w:rPr>
          <w:rFonts w:ascii="宋体"/>
          <w:b/>
          <w:kern w:val="0"/>
          <w:sz w:val="44"/>
          <w:szCs w:val="44"/>
          <w:highlight w:val="none"/>
        </w:rPr>
      </w:pPr>
    </w:p>
    <w:p>
      <w:pPr>
        <w:widowControl/>
        <w:spacing w:before="100" w:beforeAutospacing="1" w:after="100" w:afterAutospacing="1"/>
        <w:jc w:val="center"/>
        <w:outlineLvl w:val="1"/>
        <w:rPr>
          <w:rFonts w:ascii="宋体"/>
          <w:b/>
          <w:kern w:val="0"/>
          <w:sz w:val="44"/>
          <w:szCs w:val="44"/>
          <w:highlight w:val="none"/>
        </w:rPr>
      </w:pPr>
    </w:p>
    <w:p>
      <w:pPr>
        <w:widowControl/>
        <w:spacing w:before="100" w:beforeAutospacing="1" w:after="100" w:afterAutospacing="1"/>
        <w:jc w:val="center"/>
        <w:outlineLvl w:val="1"/>
        <w:rPr>
          <w:rFonts w:ascii="宋体"/>
          <w:b/>
          <w:kern w:val="0"/>
          <w:sz w:val="44"/>
          <w:szCs w:val="44"/>
          <w:highlight w:val="none"/>
        </w:rPr>
      </w:pPr>
    </w:p>
    <w:p>
      <w:pPr>
        <w:widowControl/>
        <w:spacing w:line="500" w:lineRule="exact"/>
        <w:jc w:val="center"/>
        <w:outlineLvl w:val="1"/>
        <w:rPr>
          <w:rFonts w:ascii="黑体" w:hAnsi="黑体" w:eastAsia="黑体"/>
          <w:kern w:val="0"/>
          <w:sz w:val="44"/>
          <w:szCs w:val="44"/>
          <w:highlight w:val="none"/>
        </w:rPr>
      </w:pPr>
      <w:r>
        <w:rPr>
          <w:rFonts w:hint="eastAsia" w:ascii="黑体" w:hAnsi="黑体" w:eastAsia="黑体"/>
          <w:kern w:val="0"/>
          <w:sz w:val="44"/>
          <w:szCs w:val="44"/>
          <w:highlight w:val="none"/>
        </w:rPr>
        <w:t>目录</w:t>
      </w:r>
    </w:p>
    <w:p>
      <w:pPr>
        <w:widowControl/>
        <w:spacing w:line="500" w:lineRule="exact"/>
        <w:jc w:val="center"/>
        <w:outlineLvl w:val="1"/>
        <w:rPr>
          <w:rFonts w:ascii="宋体"/>
          <w:b/>
          <w:kern w:val="0"/>
          <w:sz w:val="44"/>
          <w:szCs w:val="44"/>
          <w:highlight w:val="none"/>
        </w:rPr>
      </w:pPr>
    </w:p>
    <w:p>
      <w:pPr>
        <w:widowControl/>
        <w:spacing w:line="460" w:lineRule="exac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第一部分</w:t>
      </w:r>
      <w:r>
        <w:rPr>
          <w:rFonts w:ascii="仿宋_GB2312" w:hAnsi="宋体" w:eastAsia="仿宋_GB2312"/>
          <w:b/>
          <w:kern w:val="0"/>
          <w:sz w:val="32"/>
          <w:szCs w:val="32"/>
          <w:highlight w:val="none"/>
        </w:rPr>
        <w:t xml:space="preserve">  社会主义学院</w:t>
      </w:r>
      <w:r>
        <w:rPr>
          <w:rFonts w:hint="eastAsia" w:ascii="仿宋_GB2312" w:hAnsi="宋体" w:eastAsia="仿宋_GB2312"/>
          <w:b/>
          <w:kern w:val="0"/>
          <w:sz w:val="32"/>
          <w:szCs w:val="32"/>
          <w:highlight w:val="none"/>
        </w:rPr>
        <w:t>概况</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一、主要职能</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二、机构设置及人员情况</w:t>
      </w:r>
    </w:p>
    <w:p>
      <w:pPr>
        <w:widowControl/>
        <w:spacing w:line="460" w:lineRule="exac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第二部分</w:t>
      </w:r>
      <w:r>
        <w:rPr>
          <w:rFonts w:ascii="仿宋_GB2312" w:hAnsi="宋体" w:eastAsia="仿宋_GB2312"/>
          <w:b/>
          <w:kern w:val="0"/>
          <w:sz w:val="32"/>
          <w:szCs w:val="32"/>
          <w:highlight w:val="none"/>
        </w:rPr>
        <w:t xml:space="preserve">  </w:t>
      </w:r>
      <w:r>
        <w:rPr>
          <w:rFonts w:hint="eastAsia" w:ascii="宋体" w:hAnsi="宋体"/>
          <w:b/>
          <w:kern w:val="0"/>
          <w:sz w:val="32"/>
          <w:szCs w:val="32"/>
          <w:highlight w:val="none"/>
        </w:rPr>
        <w:t>2019</w:t>
      </w:r>
      <w:r>
        <w:rPr>
          <w:rFonts w:hint="eastAsia" w:ascii="仿宋_GB2312" w:hAnsi="宋体" w:eastAsia="仿宋_GB2312"/>
          <w:b/>
          <w:kern w:val="0"/>
          <w:sz w:val="32"/>
          <w:szCs w:val="32"/>
          <w:highlight w:val="none"/>
        </w:rPr>
        <w:t>年部门预算公开表</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一、部门收支总体情况表</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二、部门收入总体情况表</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三、部门支出总体情况表</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四、财政拨款收支总体情况表</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五、一般公共预算支出情况表</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六、一般公共预算基本支出情况表</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七、</w:t>
      </w:r>
      <w:r>
        <w:rPr>
          <w:rFonts w:hint="eastAsia" w:ascii="仿宋_GB2312" w:hAnsi="宋体" w:eastAsia="仿宋_GB2312"/>
          <w:bCs/>
          <w:kern w:val="0"/>
          <w:sz w:val="32"/>
          <w:szCs w:val="32"/>
          <w:highlight w:val="none"/>
        </w:rPr>
        <w:t>项目支出情况表</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八、一般公共预算“三公”经费支出情况表</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九、政府性基金预算支出情况表</w:t>
      </w:r>
    </w:p>
    <w:p>
      <w:pPr>
        <w:widowControl/>
        <w:spacing w:line="460" w:lineRule="exac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第三部分</w:t>
      </w:r>
      <w:r>
        <w:rPr>
          <w:rFonts w:ascii="仿宋_GB2312" w:hAnsi="宋体" w:eastAsia="仿宋_GB2312"/>
          <w:b/>
          <w:kern w:val="0"/>
          <w:sz w:val="32"/>
          <w:szCs w:val="32"/>
          <w:highlight w:val="none"/>
        </w:rPr>
        <w:t xml:space="preserve"> </w:t>
      </w:r>
      <w:r>
        <w:rPr>
          <w:rFonts w:hint="eastAsia" w:ascii="宋体" w:hAnsi="宋体"/>
          <w:b/>
          <w:kern w:val="0"/>
          <w:sz w:val="32"/>
          <w:szCs w:val="32"/>
          <w:highlight w:val="none"/>
        </w:rPr>
        <w:t>2019</w:t>
      </w:r>
      <w:r>
        <w:rPr>
          <w:rFonts w:hint="eastAsia" w:ascii="仿宋_GB2312" w:hAnsi="宋体" w:eastAsia="仿宋_GB2312"/>
          <w:b/>
          <w:kern w:val="0"/>
          <w:sz w:val="32"/>
          <w:szCs w:val="32"/>
          <w:highlight w:val="none"/>
        </w:rPr>
        <w:t>年部门预算情况说明</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一、关于</w:t>
      </w:r>
      <w:r>
        <w:rPr>
          <w:rFonts w:ascii="仿宋_GB2312" w:hAnsi="宋体" w:eastAsia="仿宋_GB2312"/>
          <w:kern w:val="0"/>
          <w:sz w:val="32"/>
          <w:szCs w:val="32"/>
          <w:highlight w:val="none"/>
        </w:rPr>
        <w:t>社会主义学院2019</w:t>
      </w:r>
      <w:r>
        <w:rPr>
          <w:rFonts w:hint="eastAsia" w:ascii="仿宋_GB2312" w:hAnsi="宋体" w:eastAsia="仿宋_GB2312"/>
          <w:kern w:val="0"/>
          <w:sz w:val="32"/>
          <w:szCs w:val="32"/>
          <w:highlight w:val="none"/>
        </w:rPr>
        <w:t>年收支预算情况的总体说明</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二、关于</w:t>
      </w:r>
      <w:r>
        <w:rPr>
          <w:rFonts w:ascii="仿宋_GB2312" w:hAnsi="宋体" w:eastAsia="仿宋_GB2312"/>
          <w:kern w:val="0"/>
          <w:sz w:val="32"/>
          <w:szCs w:val="32"/>
          <w:highlight w:val="none"/>
        </w:rPr>
        <w:t>社会主义学院2019</w:t>
      </w:r>
      <w:r>
        <w:rPr>
          <w:rFonts w:hint="eastAsia" w:ascii="仿宋_GB2312" w:hAnsi="宋体" w:eastAsia="仿宋_GB2312"/>
          <w:kern w:val="0"/>
          <w:sz w:val="32"/>
          <w:szCs w:val="32"/>
          <w:highlight w:val="none"/>
        </w:rPr>
        <w:t>年收入预算情况说明</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三、关于</w:t>
      </w:r>
      <w:r>
        <w:rPr>
          <w:rFonts w:ascii="仿宋_GB2312" w:hAnsi="宋体" w:eastAsia="仿宋_GB2312"/>
          <w:kern w:val="0"/>
          <w:sz w:val="32"/>
          <w:szCs w:val="32"/>
          <w:highlight w:val="none"/>
        </w:rPr>
        <w:t>社会主义学院2019</w:t>
      </w:r>
      <w:r>
        <w:rPr>
          <w:rFonts w:hint="eastAsia" w:ascii="仿宋_GB2312" w:hAnsi="宋体" w:eastAsia="仿宋_GB2312"/>
          <w:kern w:val="0"/>
          <w:sz w:val="32"/>
          <w:szCs w:val="32"/>
          <w:highlight w:val="none"/>
        </w:rPr>
        <w:t>年支出预算情况说明</w:t>
      </w:r>
    </w:p>
    <w:p>
      <w:pPr>
        <w:widowControl/>
        <w:spacing w:line="460" w:lineRule="exact"/>
        <w:outlineLvl w:val="1"/>
        <w:rPr>
          <w:rFonts w:ascii="仿宋_GB2312" w:hAnsi="宋体" w:eastAsia="仿宋_GB2312"/>
          <w:bCs/>
          <w:kern w:val="0"/>
          <w:sz w:val="32"/>
          <w:szCs w:val="32"/>
          <w:highlight w:val="none"/>
        </w:rPr>
      </w:pPr>
      <w:r>
        <w:rPr>
          <w:rFonts w:hint="eastAsia" w:ascii="仿宋_GB2312" w:hAnsi="宋体" w:eastAsia="仿宋_GB2312"/>
          <w:bCs/>
          <w:kern w:val="0"/>
          <w:sz w:val="32"/>
          <w:szCs w:val="32"/>
          <w:highlight w:val="none"/>
        </w:rPr>
        <w:t>四、关于</w:t>
      </w:r>
      <w:r>
        <w:rPr>
          <w:rFonts w:ascii="仿宋_GB2312" w:hAnsi="宋体" w:eastAsia="仿宋_GB2312"/>
          <w:bCs/>
          <w:kern w:val="0"/>
          <w:sz w:val="32"/>
          <w:szCs w:val="32"/>
          <w:highlight w:val="none"/>
        </w:rPr>
        <w:t>社会主义学院2019</w:t>
      </w:r>
      <w:r>
        <w:rPr>
          <w:rFonts w:hint="eastAsia" w:ascii="仿宋_GB2312" w:hAnsi="宋体" w:eastAsia="仿宋_GB2312"/>
          <w:bCs/>
          <w:kern w:val="0"/>
          <w:sz w:val="32"/>
          <w:szCs w:val="32"/>
          <w:highlight w:val="none"/>
        </w:rPr>
        <w:t>年财政拨款收支预算情况的总体说明</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五、关于</w:t>
      </w:r>
      <w:r>
        <w:rPr>
          <w:rFonts w:ascii="仿宋_GB2312" w:hAnsi="宋体" w:eastAsia="仿宋_GB2312"/>
          <w:kern w:val="0"/>
          <w:sz w:val="32"/>
          <w:szCs w:val="32"/>
          <w:highlight w:val="none"/>
        </w:rPr>
        <w:t>社会主义学院2019</w:t>
      </w:r>
      <w:r>
        <w:rPr>
          <w:rFonts w:hint="eastAsia" w:ascii="仿宋_GB2312" w:hAnsi="宋体" w:eastAsia="仿宋_GB2312"/>
          <w:kern w:val="0"/>
          <w:sz w:val="32"/>
          <w:szCs w:val="32"/>
          <w:highlight w:val="none"/>
        </w:rPr>
        <w:t>年一般公共预算当年拨款情况说明</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六、关于</w:t>
      </w:r>
      <w:r>
        <w:rPr>
          <w:rFonts w:ascii="仿宋_GB2312" w:hAnsi="宋体" w:eastAsia="仿宋_GB2312"/>
          <w:kern w:val="0"/>
          <w:sz w:val="32"/>
          <w:szCs w:val="32"/>
          <w:highlight w:val="none"/>
        </w:rPr>
        <w:t>社会主义学院2019</w:t>
      </w:r>
      <w:r>
        <w:rPr>
          <w:rFonts w:hint="eastAsia" w:ascii="仿宋_GB2312" w:hAnsi="宋体" w:eastAsia="仿宋_GB2312"/>
          <w:kern w:val="0"/>
          <w:sz w:val="32"/>
          <w:szCs w:val="32"/>
          <w:highlight w:val="none"/>
        </w:rPr>
        <w:t>年一般公共预算基本支出情况说明</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七、关于</w:t>
      </w:r>
      <w:r>
        <w:rPr>
          <w:rFonts w:ascii="仿宋_GB2312" w:hAnsi="宋体" w:eastAsia="仿宋_GB2312"/>
          <w:kern w:val="0"/>
          <w:sz w:val="32"/>
          <w:szCs w:val="32"/>
          <w:highlight w:val="none"/>
        </w:rPr>
        <w:t>社会主义学院2019</w:t>
      </w:r>
      <w:r>
        <w:rPr>
          <w:rFonts w:hint="eastAsia" w:ascii="仿宋_GB2312" w:hAnsi="宋体" w:eastAsia="仿宋_GB2312"/>
          <w:kern w:val="0"/>
          <w:sz w:val="32"/>
          <w:szCs w:val="32"/>
          <w:highlight w:val="none"/>
        </w:rPr>
        <w:t>年项目支出情况说明</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八、关于</w:t>
      </w:r>
      <w:r>
        <w:rPr>
          <w:rFonts w:ascii="仿宋_GB2312" w:hAnsi="宋体" w:eastAsia="仿宋_GB2312"/>
          <w:kern w:val="0"/>
          <w:sz w:val="32"/>
          <w:szCs w:val="32"/>
          <w:highlight w:val="none"/>
        </w:rPr>
        <w:t>社会主义学院2019</w:t>
      </w:r>
      <w:r>
        <w:rPr>
          <w:rFonts w:hint="eastAsia" w:ascii="仿宋_GB2312" w:hAnsi="宋体" w:eastAsia="仿宋_GB2312"/>
          <w:kern w:val="0"/>
          <w:sz w:val="32"/>
          <w:szCs w:val="32"/>
          <w:highlight w:val="none"/>
        </w:rPr>
        <w:t>年一般公共预算“三公”经费预算情况说明</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九、关于</w:t>
      </w:r>
      <w:r>
        <w:rPr>
          <w:rFonts w:ascii="仿宋_GB2312" w:hAnsi="宋体" w:eastAsia="仿宋_GB2312"/>
          <w:kern w:val="0"/>
          <w:sz w:val="32"/>
          <w:szCs w:val="32"/>
          <w:highlight w:val="none"/>
        </w:rPr>
        <w:t>社会主义学院2019</w:t>
      </w:r>
      <w:r>
        <w:rPr>
          <w:rFonts w:hint="eastAsia" w:ascii="仿宋_GB2312" w:hAnsi="宋体" w:eastAsia="仿宋_GB2312"/>
          <w:kern w:val="0"/>
          <w:sz w:val="32"/>
          <w:szCs w:val="32"/>
          <w:highlight w:val="none"/>
        </w:rPr>
        <w:t>年政府性基金预算拨款情况说明</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十、其他重要事项的情况说明</w:t>
      </w:r>
    </w:p>
    <w:p>
      <w:pPr>
        <w:widowControl/>
        <w:spacing w:line="460" w:lineRule="exac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第四部分</w:t>
      </w:r>
      <w:r>
        <w:rPr>
          <w:rFonts w:ascii="仿宋_GB2312" w:hAnsi="宋体" w:eastAsia="仿宋_GB2312"/>
          <w:b/>
          <w:kern w:val="0"/>
          <w:sz w:val="32"/>
          <w:szCs w:val="32"/>
          <w:highlight w:val="none"/>
        </w:rPr>
        <w:t xml:space="preserve">  </w:t>
      </w:r>
      <w:r>
        <w:rPr>
          <w:rFonts w:hint="eastAsia" w:ascii="仿宋_GB2312" w:hAnsi="宋体" w:eastAsia="仿宋_GB2312"/>
          <w:b/>
          <w:kern w:val="0"/>
          <w:sz w:val="32"/>
          <w:szCs w:val="32"/>
          <w:highlight w:val="none"/>
        </w:rPr>
        <w:t>名词解释</w:t>
      </w:r>
    </w:p>
    <w:p>
      <w:pPr>
        <w:widowControl/>
        <w:jc w:val="center"/>
        <w:outlineLvl w:val="1"/>
        <w:rPr>
          <w:rFonts w:ascii="黑体" w:hAnsi="黑体" w:eastAsia="黑体"/>
          <w:kern w:val="0"/>
          <w:sz w:val="32"/>
          <w:szCs w:val="32"/>
          <w:highlight w:val="none"/>
        </w:rPr>
      </w:pPr>
      <w:r>
        <w:rPr>
          <w:rFonts w:hint="eastAsia" w:ascii="黑体" w:hAnsi="黑体" w:eastAsia="黑体"/>
          <w:kern w:val="0"/>
          <w:sz w:val="32"/>
          <w:szCs w:val="32"/>
          <w:highlight w:val="none"/>
        </w:rPr>
        <w:t>第一部分</w:t>
      </w:r>
      <w:r>
        <w:rPr>
          <w:rFonts w:ascii="黑体" w:hAnsi="黑体" w:eastAsia="黑体"/>
          <w:kern w:val="0"/>
          <w:sz w:val="32"/>
          <w:szCs w:val="32"/>
          <w:highlight w:val="none"/>
        </w:rPr>
        <w:t xml:space="preserve">   社会主义学院</w:t>
      </w:r>
      <w:r>
        <w:rPr>
          <w:rFonts w:hint="eastAsia" w:ascii="黑体" w:hAnsi="黑体" w:eastAsia="黑体"/>
          <w:kern w:val="0"/>
          <w:sz w:val="32"/>
          <w:szCs w:val="32"/>
          <w:highlight w:val="none"/>
        </w:rPr>
        <w:t>概况</w:t>
      </w:r>
    </w:p>
    <w:p>
      <w:pPr>
        <w:widowControl/>
        <w:jc w:val="center"/>
        <w:outlineLvl w:val="1"/>
        <w:rPr>
          <w:rFonts w:ascii="宋体"/>
          <w:b/>
          <w:kern w:val="0"/>
          <w:sz w:val="32"/>
          <w:szCs w:val="32"/>
          <w:highlight w:val="none"/>
        </w:rPr>
      </w:pPr>
    </w:p>
    <w:p>
      <w:pPr>
        <w:widowControl/>
        <w:spacing w:line="560" w:lineRule="exact"/>
        <w:jc w:val="left"/>
        <w:rPr>
          <w:rFonts w:ascii="黑体" w:hAnsi="黑体" w:eastAsia="黑体" w:cs="宋体"/>
          <w:bCs/>
          <w:kern w:val="0"/>
          <w:sz w:val="32"/>
          <w:szCs w:val="32"/>
          <w:highlight w:val="none"/>
        </w:rPr>
      </w:pPr>
      <w:r>
        <w:rPr>
          <w:rFonts w:hint="eastAsia" w:ascii="仿宋_GB2312" w:hAnsi="宋体" w:eastAsia="仿宋_GB2312" w:cs="宋体"/>
          <w:kern w:val="0"/>
          <w:sz w:val="32"/>
          <w:szCs w:val="32"/>
          <w:highlight w:val="none"/>
        </w:rPr>
        <w:t>　</w:t>
      </w:r>
      <w:r>
        <w:rPr>
          <w:rFonts w:ascii="仿宋_GB2312" w:hAnsi="宋体" w:eastAsia="仿宋_GB2312" w:cs="宋体"/>
          <w:kern w:val="0"/>
          <w:sz w:val="32"/>
          <w:szCs w:val="32"/>
          <w:highlight w:val="none"/>
        </w:rPr>
        <w:t xml:space="preserve">  </w:t>
      </w:r>
      <w:r>
        <w:rPr>
          <w:rFonts w:hint="eastAsia" w:ascii="黑体" w:hAnsi="黑体" w:eastAsia="黑体" w:cs="宋体"/>
          <w:bCs/>
          <w:kern w:val="0"/>
          <w:sz w:val="32"/>
          <w:szCs w:val="32"/>
          <w:highlight w:val="none"/>
        </w:rPr>
        <w:t>一、主要职能</w:t>
      </w:r>
    </w:p>
    <w:p>
      <w:pPr>
        <w:pStyle w:val="6"/>
        <w:rPr>
          <w:color w:val="000000"/>
          <w:sz w:val="33"/>
          <w:szCs w:val="33"/>
          <w:highlight w:val="none"/>
        </w:rPr>
      </w:pPr>
      <w:r>
        <w:rPr>
          <w:rFonts w:ascii="黑体" w:hAnsi="黑体" w:eastAsia="黑体"/>
          <w:bCs/>
          <w:sz w:val="32"/>
          <w:szCs w:val="32"/>
          <w:highlight w:val="none"/>
        </w:rPr>
        <w:t xml:space="preserve">   </w:t>
      </w:r>
      <w:r>
        <w:rPr>
          <w:rFonts w:ascii="仿宋_GB2312" w:hAnsi="黑体" w:eastAsia="仿宋_GB2312"/>
          <w:bCs/>
          <w:sz w:val="32"/>
          <w:szCs w:val="32"/>
          <w:highlight w:val="none"/>
        </w:rPr>
        <w:t xml:space="preserve"> </w:t>
      </w:r>
      <w:r>
        <w:rPr>
          <w:color w:val="000000"/>
          <w:sz w:val="33"/>
          <w:szCs w:val="33"/>
          <w:highlight w:val="none"/>
        </w:rPr>
        <w:t>教育培训无党派及民主党派人，少数民族，宗教界非公有制经济等统一战线方面代表人士，学习研究和宣传党的统一战</w:t>
      </w:r>
    </w:p>
    <w:p>
      <w:pPr>
        <w:pStyle w:val="6"/>
        <w:rPr>
          <w:color w:val="000000"/>
          <w:sz w:val="33"/>
          <w:szCs w:val="33"/>
          <w:highlight w:val="none"/>
        </w:rPr>
      </w:pPr>
      <w:r>
        <w:rPr>
          <w:color w:val="000000"/>
          <w:sz w:val="33"/>
          <w:szCs w:val="33"/>
          <w:highlight w:val="none"/>
        </w:rPr>
        <w:t>线理论方针和政策</w:t>
      </w:r>
    </w:p>
    <w:p>
      <w:pPr>
        <w:widowControl/>
        <w:spacing w:line="560" w:lineRule="exact"/>
        <w:jc w:val="left"/>
        <w:rPr>
          <w:rFonts w:ascii="仿宋_GB2312" w:hAnsi="宋体" w:eastAsia="仿宋_GB2312" w:cs="宋体"/>
          <w:bCs/>
          <w:kern w:val="0"/>
          <w:sz w:val="32"/>
          <w:szCs w:val="32"/>
          <w:highlight w:val="none"/>
        </w:rPr>
      </w:pPr>
      <w:r>
        <w:rPr>
          <w:rFonts w:ascii="仿宋_GB2312" w:hAnsi="宋体" w:eastAsia="仿宋_GB2312" w:cs="宋体"/>
          <w:bCs/>
          <w:kern w:val="0"/>
          <w:sz w:val="32"/>
          <w:szCs w:val="32"/>
          <w:highlight w:val="none"/>
        </w:rPr>
        <w:t xml:space="preserve"> </w:t>
      </w:r>
    </w:p>
    <w:p>
      <w:pPr>
        <w:widowControl/>
        <w:spacing w:line="560" w:lineRule="exact"/>
        <w:jc w:val="left"/>
        <w:rPr>
          <w:rFonts w:ascii="宋体" w:hAnsi="宋体" w:cs="宋体"/>
          <w:color w:val="000000"/>
          <w:kern w:val="0"/>
          <w:sz w:val="33"/>
          <w:szCs w:val="33"/>
          <w:highlight w:val="none"/>
        </w:rPr>
      </w:pPr>
      <w:r>
        <w:rPr>
          <w:rFonts w:hint="eastAsia" w:ascii="仿宋_GB2312" w:hAnsi="宋体" w:eastAsia="仿宋_GB2312" w:cs="宋体"/>
          <w:kern w:val="0"/>
          <w:sz w:val="32"/>
          <w:szCs w:val="32"/>
          <w:highlight w:val="none"/>
        </w:rPr>
        <w:t>　</w:t>
      </w:r>
      <w:r>
        <w:rPr>
          <w:rFonts w:ascii="仿宋_GB2312" w:hAnsi="宋体" w:eastAsia="仿宋_GB2312" w:cs="宋体"/>
          <w:kern w:val="0"/>
          <w:sz w:val="32"/>
          <w:szCs w:val="32"/>
          <w:highlight w:val="none"/>
        </w:rPr>
        <w:t xml:space="preserve">  </w:t>
      </w:r>
      <w:r>
        <w:rPr>
          <w:rFonts w:hint="eastAsia" w:ascii="宋体" w:hAnsi="宋体" w:cs="宋体"/>
          <w:color w:val="000000"/>
          <w:kern w:val="0"/>
          <w:sz w:val="33"/>
          <w:szCs w:val="33"/>
          <w:highlight w:val="none"/>
        </w:rPr>
        <w:t>二、机构设置及人员情况</w:t>
      </w:r>
    </w:p>
    <w:p>
      <w:pPr>
        <w:pStyle w:val="6"/>
        <w:spacing w:line="560" w:lineRule="exact"/>
        <w:ind w:firstLine="660" w:firstLineChars="200"/>
        <w:rPr>
          <w:color w:val="000000"/>
          <w:sz w:val="33"/>
          <w:szCs w:val="33"/>
          <w:highlight w:val="none"/>
        </w:rPr>
      </w:pPr>
      <w:r>
        <w:rPr>
          <w:color w:val="000000"/>
          <w:sz w:val="33"/>
          <w:szCs w:val="33"/>
          <w:highlight w:val="none"/>
        </w:rPr>
        <w:t>本院无下属预算单位，下设办公室、教务科、后勤科</w:t>
      </w:r>
      <w:r>
        <w:rPr>
          <w:rFonts w:hint="eastAsia"/>
          <w:color w:val="000000"/>
          <w:sz w:val="33"/>
          <w:szCs w:val="33"/>
          <w:highlight w:val="none"/>
        </w:rPr>
        <w:t>3</w:t>
      </w:r>
      <w:r>
        <w:rPr>
          <w:color w:val="000000"/>
          <w:sz w:val="33"/>
          <w:szCs w:val="33"/>
          <w:highlight w:val="none"/>
        </w:rPr>
        <w:t>个科室。教职工编制数为 1</w:t>
      </w:r>
      <w:r>
        <w:rPr>
          <w:rFonts w:hint="eastAsia"/>
          <w:color w:val="000000"/>
          <w:sz w:val="33"/>
          <w:szCs w:val="33"/>
          <w:highlight w:val="none"/>
        </w:rPr>
        <w:t>6</w:t>
      </w:r>
      <w:r>
        <w:rPr>
          <w:color w:val="000000"/>
          <w:sz w:val="33"/>
          <w:szCs w:val="33"/>
          <w:highlight w:val="none"/>
        </w:rPr>
        <w:t>人，实有人数 16 人，其中：在职 16人，增加或减少 0 人；退休 0 人，增加或减少 0 人；离休 1 人，增加或减少 0 人。</w:t>
      </w:r>
    </w:p>
    <w:p>
      <w:pPr>
        <w:pStyle w:val="6"/>
        <w:spacing w:line="560" w:lineRule="exact"/>
        <w:ind w:firstLine="660" w:firstLineChars="200"/>
        <w:rPr>
          <w:color w:val="000000"/>
          <w:sz w:val="33"/>
          <w:szCs w:val="33"/>
          <w:highlight w:val="none"/>
        </w:rPr>
      </w:pPr>
    </w:p>
    <w:p>
      <w:pPr>
        <w:pStyle w:val="6"/>
        <w:spacing w:line="560" w:lineRule="exact"/>
        <w:ind w:firstLine="660" w:firstLineChars="200"/>
        <w:rPr>
          <w:color w:val="000000"/>
          <w:sz w:val="33"/>
          <w:szCs w:val="33"/>
          <w:highlight w:val="none"/>
        </w:rPr>
      </w:pPr>
    </w:p>
    <w:p>
      <w:pPr>
        <w:pStyle w:val="6"/>
        <w:spacing w:line="560" w:lineRule="exact"/>
        <w:ind w:firstLine="660" w:firstLineChars="200"/>
        <w:rPr>
          <w:color w:val="000000"/>
          <w:sz w:val="33"/>
          <w:szCs w:val="33"/>
          <w:highlight w:val="none"/>
        </w:rPr>
      </w:pPr>
    </w:p>
    <w:p>
      <w:pPr>
        <w:pStyle w:val="6"/>
        <w:spacing w:line="560" w:lineRule="exact"/>
        <w:ind w:firstLine="660" w:firstLineChars="200"/>
        <w:rPr>
          <w:color w:val="000000"/>
          <w:sz w:val="33"/>
          <w:szCs w:val="33"/>
          <w:highlight w:val="none"/>
        </w:rPr>
      </w:pPr>
    </w:p>
    <w:p>
      <w:pPr>
        <w:pStyle w:val="6"/>
        <w:spacing w:line="560" w:lineRule="exact"/>
        <w:ind w:firstLine="660" w:firstLineChars="200"/>
        <w:rPr>
          <w:color w:val="000000"/>
          <w:sz w:val="33"/>
          <w:szCs w:val="33"/>
          <w:highlight w:val="none"/>
        </w:rPr>
      </w:pPr>
    </w:p>
    <w:p>
      <w:pPr>
        <w:widowControl/>
        <w:spacing w:before="120" w:beforeLines="50"/>
        <w:jc w:val="center"/>
        <w:outlineLvl w:val="1"/>
        <w:rPr>
          <w:rFonts w:ascii="方正小标宋简体" w:hAnsi="方正小标宋简体" w:eastAsia="方正小标宋简体" w:cs="方正小标宋简体"/>
          <w:kern w:val="0"/>
          <w:sz w:val="32"/>
          <w:szCs w:val="32"/>
          <w:highlight w:val="none"/>
        </w:rPr>
      </w:pPr>
      <w:r>
        <w:rPr>
          <w:rFonts w:hint="eastAsia" w:ascii="方正小标宋简体" w:hAnsi="方正小标宋简体" w:eastAsia="方正小标宋简体" w:cs="方正小标宋简体"/>
          <w:kern w:val="0"/>
          <w:sz w:val="32"/>
          <w:szCs w:val="32"/>
          <w:highlight w:val="none"/>
        </w:rPr>
        <w:t>第二部分  2019年部门预算公开表</w:t>
      </w:r>
    </w:p>
    <w:p>
      <w:pPr>
        <w:widowControl/>
        <w:spacing w:before="120" w:beforeLines="50"/>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表一：</w:t>
      </w:r>
    </w:p>
    <w:p>
      <w:pPr>
        <w:widowControl/>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部门收支总体情况表</w:t>
      </w:r>
    </w:p>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w:t>
      </w:r>
      <w:r>
        <w:rPr>
          <w:rFonts w:hint="eastAsia" w:ascii="仿宋_GB2312" w:hAnsi="宋体" w:eastAsia="仿宋_GB2312"/>
          <w:kern w:val="0"/>
          <w:sz w:val="24"/>
          <w:highlight w:val="none"/>
          <w:lang w:eastAsia="zh-CN"/>
        </w:rPr>
        <w:t>昌吉州社会主义学院</w:t>
      </w:r>
      <w:r>
        <w:rPr>
          <w:rFonts w:ascii="仿宋_GB2312" w:hAnsi="宋体" w:eastAsia="仿宋_GB2312"/>
          <w:kern w:val="0"/>
          <w:sz w:val="24"/>
          <w:highlight w:val="none"/>
        </w:rPr>
        <w:t xml:space="preserve">    </w:t>
      </w:r>
      <w:r>
        <w:rPr>
          <w:rFonts w:hint="eastAsia" w:ascii="仿宋_GB2312" w:hAnsi="宋体" w:eastAsia="仿宋_GB2312"/>
          <w:kern w:val="0"/>
          <w:sz w:val="24"/>
          <w:highlight w:val="none"/>
          <w:lang w:val="en-US" w:eastAsia="zh-CN"/>
        </w:rPr>
        <w:t xml:space="preserve">                         </w:t>
      </w:r>
      <w:r>
        <w:rPr>
          <w:rFonts w:ascii="仿宋_GB2312" w:hAnsi="宋体" w:eastAsia="仿宋_GB2312"/>
          <w:kern w:val="0"/>
          <w:sz w:val="24"/>
          <w:highlight w:val="none"/>
        </w:rPr>
        <w:t xml:space="preserve"> </w:t>
      </w:r>
      <w:r>
        <w:rPr>
          <w:rFonts w:hint="eastAsia" w:ascii="仿宋_GB2312" w:hAnsi="宋体" w:eastAsia="仿宋_GB2312"/>
          <w:kern w:val="0"/>
          <w:sz w:val="24"/>
          <w:highlight w:val="none"/>
        </w:rPr>
        <w:t>单位：万元</w:t>
      </w:r>
      <w:r>
        <w:rPr>
          <w:rFonts w:ascii="仿宋_GB2312" w:hAnsi="宋体" w:eastAsia="仿宋_GB2312"/>
          <w:kern w:val="0"/>
          <w:sz w:val="24"/>
          <w:highlight w:val="none"/>
        </w:rPr>
        <w:t xml:space="preserve">                                           </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noWrap/>
            <w:vAlign w:val="bottom"/>
          </w:tcPr>
          <w:p>
            <w:pPr>
              <w:widowControl/>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收</w:t>
            </w:r>
            <w:r>
              <w:rPr>
                <w:rFonts w:ascii="仿宋_GB2312" w:hAnsi="宋体" w:eastAsia="仿宋_GB2312" w:cs="宋体"/>
                <w:b/>
                <w:bCs/>
                <w:kern w:val="0"/>
                <w:sz w:val="24"/>
                <w:highlight w:val="none"/>
              </w:rPr>
              <w:t xml:space="preserve">     </w:t>
            </w:r>
            <w:r>
              <w:rPr>
                <w:rFonts w:hint="eastAsia" w:ascii="仿宋_GB2312" w:hAnsi="宋体" w:eastAsia="仿宋_GB2312" w:cs="宋体"/>
                <w:b/>
                <w:bCs/>
                <w:kern w:val="0"/>
                <w:sz w:val="24"/>
                <w:highlight w:val="none"/>
              </w:rPr>
              <w:t>入</w:t>
            </w:r>
          </w:p>
        </w:tc>
        <w:tc>
          <w:tcPr>
            <w:tcW w:w="4394" w:type="dxa"/>
            <w:gridSpan w:val="2"/>
            <w:tcBorders>
              <w:top w:val="single" w:color="auto" w:sz="4" w:space="0"/>
              <w:left w:val="nil"/>
              <w:bottom w:val="single" w:color="auto" w:sz="4" w:space="0"/>
              <w:right w:val="single" w:color="auto" w:sz="4" w:space="0"/>
            </w:tcBorders>
            <w:noWrap/>
            <w:vAlign w:val="bottom"/>
          </w:tcPr>
          <w:p>
            <w:pPr>
              <w:widowControl/>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支</w:t>
            </w:r>
            <w:r>
              <w:rPr>
                <w:rFonts w:ascii="仿宋_GB2312" w:hAnsi="宋体" w:eastAsia="仿宋_GB2312" w:cs="宋体"/>
                <w:b/>
                <w:bCs/>
                <w:kern w:val="0"/>
                <w:sz w:val="24"/>
                <w:highlight w:val="none"/>
              </w:rPr>
              <w:t xml:space="preserve">     </w:t>
            </w:r>
            <w:r>
              <w:rPr>
                <w:rFonts w:hint="eastAsia" w:ascii="仿宋_GB2312" w:hAnsi="宋体" w:eastAsia="仿宋_GB2312" w:cs="宋体"/>
                <w:b/>
                <w:bCs/>
                <w:kern w:val="0"/>
                <w:sz w:val="24"/>
                <w:highlight w:val="none"/>
              </w:rPr>
              <w:t>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3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项</w:t>
            </w:r>
            <w:r>
              <w:rPr>
                <w:rFonts w:ascii="仿宋_GB2312" w:hAnsi="宋体" w:eastAsia="仿宋_GB2312" w:cs="宋体"/>
                <w:b/>
                <w:kern w:val="0"/>
                <w:sz w:val="20"/>
                <w:szCs w:val="20"/>
                <w:highlight w:val="none"/>
              </w:rPr>
              <w:t xml:space="preserve">     </w:t>
            </w:r>
            <w:r>
              <w:rPr>
                <w:rFonts w:hint="eastAsia" w:ascii="仿宋_GB2312" w:hAnsi="宋体" w:eastAsia="仿宋_GB2312" w:cs="宋体"/>
                <w:b/>
                <w:kern w:val="0"/>
                <w:sz w:val="20"/>
                <w:szCs w:val="20"/>
                <w:highlight w:val="none"/>
              </w:rPr>
              <w:t>目</w:t>
            </w:r>
          </w:p>
        </w:tc>
        <w:tc>
          <w:tcPr>
            <w:tcW w:w="1988" w:type="dxa"/>
            <w:tcBorders>
              <w:top w:val="nil"/>
              <w:left w:val="nil"/>
              <w:bottom w:val="single" w:color="auto" w:sz="4" w:space="0"/>
              <w:right w:val="single" w:color="auto" w:sz="4" w:space="0"/>
            </w:tcBorders>
            <w:noWrap/>
            <w:vAlign w:val="center"/>
          </w:tcPr>
          <w:p>
            <w:pPr>
              <w:widowControl/>
              <w:spacing w:line="3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预算数</w:t>
            </w:r>
          </w:p>
        </w:tc>
        <w:tc>
          <w:tcPr>
            <w:tcW w:w="2693" w:type="dxa"/>
            <w:tcBorders>
              <w:top w:val="nil"/>
              <w:left w:val="nil"/>
              <w:bottom w:val="single" w:color="auto" w:sz="4" w:space="0"/>
              <w:right w:val="single" w:color="auto" w:sz="4" w:space="0"/>
            </w:tcBorders>
            <w:noWrap/>
            <w:vAlign w:val="center"/>
          </w:tcPr>
          <w:p>
            <w:pPr>
              <w:widowControl/>
              <w:spacing w:line="3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功能分类</w:t>
            </w:r>
          </w:p>
        </w:tc>
        <w:tc>
          <w:tcPr>
            <w:tcW w:w="1701" w:type="dxa"/>
            <w:tcBorders>
              <w:top w:val="nil"/>
              <w:left w:val="nil"/>
              <w:bottom w:val="single" w:color="auto" w:sz="4" w:space="0"/>
              <w:right w:val="single" w:color="auto" w:sz="4" w:space="0"/>
            </w:tcBorders>
            <w:noWrap/>
            <w:vAlign w:val="center"/>
          </w:tcPr>
          <w:p>
            <w:pPr>
              <w:widowControl/>
              <w:spacing w:line="3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财政拨款（补助）</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1394.18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201 </w:t>
            </w:r>
            <w:r>
              <w:rPr>
                <w:rFonts w:hint="eastAsia" w:ascii="仿宋_GB2312" w:hAnsi="宋体" w:eastAsia="仿宋_GB2312" w:cs="宋体"/>
                <w:kern w:val="0"/>
                <w:sz w:val="18"/>
                <w:szCs w:val="18"/>
                <w:highlight w:val="none"/>
              </w:rPr>
              <w:t>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    </w:t>
            </w:r>
            <w:r>
              <w:rPr>
                <w:rFonts w:hint="eastAsia" w:ascii="仿宋_GB2312" w:hAnsi="宋体" w:eastAsia="仿宋_GB2312" w:cs="宋体"/>
                <w:kern w:val="0"/>
                <w:sz w:val="18"/>
                <w:szCs w:val="18"/>
                <w:highlight w:val="none"/>
              </w:rPr>
              <w:t>一般公共预算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1394.18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202 </w:t>
            </w:r>
            <w:r>
              <w:rPr>
                <w:rFonts w:hint="eastAsia" w:ascii="仿宋_GB2312" w:hAnsi="宋体" w:eastAsia="仿宋_GB2312" w:cs="宋体"/>
                <w:kern w:val="0"/>
                <w:sz w:val="18"/>
                <w:szCs w:val="18"/>
                <w:highlight w:val="none"/>
              </w:rPr>
              <w:t>外交支出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    </w:t>
            </w:r>
            <w:r>
              <w:rPr>
                <w:rFonts w:hint="eastAsia" w:ascii="仿宋_GB2312" w:hAnsi="宋体" w:eastAsia="仿宋_GB2312" w:cs="宋体"/>
                <w:kern w:val="0"/>
                <w:sz w:val="18"/>
                <w:szCs w:val="18"/>
                <w:highlight w:val="none"/>
              </w:rPr>
              <w:t>政府性基金预算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203 </w:t>
            </w:r>
            <w:r>
              <w:rPr>
                <w:rFonts w:hint="eastAsia" w:ascii="仿宋_GB2312" w:hAnsi="宋体" w:eastAsia="仿宋_GB2312" w:cs="宋体"/>
                <w:kern w:val="0"/>
                <w:sz w:val="18"/>
                <w:szCs w:val="18"/>
                <w:highlight w:val="none"/>
              </w:rPr>
              <w:t>国防支出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教育收费（财政专户）</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204 </w:t>
            </w:r>
            <w:r>
              <w:rPr>
                <w:rFonts w:hint="eastAsia" w:ascii="仿宋_GB2312" w:hAnsi="宋体" w:eastAsia="仿宋_GB2312" w:cs="宋体"/>
                <w:kern w:val="0"/>
                <w:sz w:val="18"/>
                <w:szCs w:val="18"/>
                <w:highlight w:val="none"/>
              </w:rPr>
              <w:t>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事业收入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205 </w:t>
            </w:r>
            <w:r>
              <w:rPr>
                <w:rFonts w:hint="eastAsia" w:ascii="仿宋_GB2312" w:hAnsi="宋体" w:eastAsia="仿宋_GB2312" w:cs="宋体"/>
                <w:kern w:val="0"/>
                <w:sz w:val="18"/>
                <w:szCs w:val="18"/>
                <w:highlight w:val="none"/>
              </w:rPr>
              <w:t>教育支出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1394.18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事业单位经营收入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206 </w:t>
            </w:r>
            <w:r>
              <w:rPr>
                <w:rFonts w:hint="eastAsia" w:ascii="仿宋_GB2312" w:hAnsi="宋体" w:eastAsia="仿宋_GB2312" w:cs="宋体"/>
                <w:kern w:val="0"/>
                <w:sz w:val="18"/>
                <w:szCs w:val="18"/>
                <w:highlight w:val="none"/>
              </w:rPr>
              <w:t>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其他收入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207 </w:t>
            </w:r>
            <w:r>
              <w:rPr>
                <w:rFonts w:hint="eastAsia" w:ascii="仿宋_GB2312" w:hAnsi="宋体" w:eastAsia="仿宋_GB2312" w:cs="宋体"/>
                <w:kern w:val="0"/>
                <w:sz w:val="18"/>
                <w:szCs w:val="18"/>
                <w:highlight w:val="none"/>
              </w:rPr>
              <w:t>文化体育与传媒支出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用事业基金弥补收支差额</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208 </w:t>
            </w:r>
            <w:r>
              <w:rPr>
                <w:rFonts w:hint="eastAsia" w:ascii="仿宋_GB2312" w:hAnsi="宋体" w:eastAsia="仿宋_GB2312" w:cs="宋体"/>
                <w:kern w:val="0"/>
                <w:sz w:val="18"/>
                <w:szCs w:val="18"/>
                <w:highlight w:val="none"/>
              </w:rPr>
              <w:t>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209 </w:t>
            </w:r>
            <w:r>
              <w:rPr>
                <w:rFonts w:hint="eastAsia" w:ascii="仿宋_GB2312" w:hAnsi="宋体" w:eastAsia="仿宋_GB2312" w:cs="宋体"/>
                <w:kern w:val="0"/>
                <w:sz w:val="18"/>
                <w:szCs w:val="18"/>
                <w:highlight w:val="none"/>
              </w:rPr>
              <w:t>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210 </w:t>
            </w:r>
            <w:r>
              <w:rPr>
                <w:rFonts w:hint="eastAsia" w:ascii="仿宋_GB2312" w:hAnsi="宋体" w:eastAsia="仿宋_GB2312" w:cs="宋体"/>
                <w:kern w:val="0"/>
                <w:sz w:val="18"/>
                <w:szCs w:val="18"/>
                <w:highlight w:val="none"/>
              </w:rPr>
              <w:t>医疗卫生与计划生育支出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211 </w:t>
            </w:r>
            <w:r>
              <w:rPr>
                <w:rFonts w:hint="eastAsia" w:ascii="仿宋_GB2312" w:hAnsi="宋体" w:eastAsia="仿宋_GB2312" w:cs="宋体"/>
                <w:kern w:val="0"/>
                <w:sz w:val="18"/>
                <w:szCs w:val="18"/>
                <w:highlight w:val="none"/>
              </w:rPr>
              <w:t>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212 </w:t>
            </w:r>
            <w:r>
              <w:rPr>
                <w:rFonts w:hint="eastAsia" w:ascii="仿宋_GB2312" w:hAnsi="宋体" w:eastAsia="仿宋_GB2312" w:cs="宋体"/>
                <w:kern w:val="0"/>
                <w:sz w:val="18"/>
                <w:szCs w:val="18"/>
                <w:highlight w:val="none"/>
              </w:rPr>
              <w:t>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213 </w:t>
            </w:r>
            <w:r>
              <w:rPr>
                <w:rFonts w:hint="eastAsia" w:ascii="仿宋_GB2312" w:hAnsi="宋体" w:eastAsia="仿宋_GB2312" w:cs="宋体"/>
                <w:kern w:val="0"/>
                <w:sz w:val="18"/>
                <w:szCs w:val="18"/>
                <w:highlight w:val="none"/>
              </w:rPr>
              <w:t>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214 </w:t>
            </w:r>
            <w:r>
              <w:rPr>
                <w:rFonts w:hint="eastAsia" w:ascii="仿宋_GB2312" w:hAnsi="宋体" w:eastAsia="仿宋_GB2312" w:cs="宋体"/>
                <w:kern w:val="0"/>
                <w:sz w:val="18"/>
                <w:szCs w:val="18"/>
                <w:highlight w:val="none"/>
              </w:rPr>
              <w:t>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215 </w:t>
            </w:r>
            <w:r>
              <w:rPr>
                <w:rFonts w:hint="eastAsia" w:ascii="仿宋_GB2312" w:hAnsi="宋体" w:eastAsia="仿宋_GB2312" w:cs="宋体"/>
                <w:kern w:val="0"/>
                <w:sz w:val="18"/>
                <w:szCs w:val="18"/>
                <w:highlight w:val="none"/>
              </w:rPr>
              <w:t>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216 </w:t>
            </w:r>
            <w:r>
              <w:rPr>
                <w:rFonts w:hint="eastAsia" w:ascii="仿宋_GB2312" w:hAnsi="宋体" w:eastAsia="仿宋_GB2312" w:cs="宋体"/>
                <w:kern w:val="0"/>
                <w:sz w:val="18"/>
                <w:szCs w:val="18"/>
                <w:highlight w:val="none"/>
              </w:rPr>
              <w:t>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217 </w:t>
            </w:r>
            <w:r>
              <w:rPr>
                <w:rFonts w:hint="eastAsia" w:ascii="仿宋_GB2312" w:hAnsi="宋体" w:eastAsia="仿宋_GB2312" w:cs="宋体"/>
                <w:kern w:val="0"/>
                <w:sz w:val="18"/>
                <w:szCs w:val="18"/>
                <w:highlight w:val="none"/>
              </w:rPr>
              <w:t>金融支出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219 </w:t>
            </w:r>
            <w:r>
              <w:rPr>
                <w:rFonts w:hint="eastAsia" w:ascii="仿宋_GB2312" w:hAnsi="宋体" w:eastAsia="仿宋_GB2312" w:cs="宋体"/>
                <w:kern w:val="0"/>
                <w:sz w:val="18"/>
                <w:szCs w:val="18"/>
                <w:highlight w:val="none"/>
              </w:rPr>
              <w:t>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220 </w:t>
            </w:r>
            <w:r>
              <w:rPr>
                <w:rFonts w:hint="eastAsia" w:ascii="仿宋_GB2312" w:hAnsi="宋体" w:eastAsia="仿宋_GB2312" w:cs="宋体"/>
                <w:kern w:val="0"/>
                <w:sz w:val="18"/>
                <w:szCs w:val="18"/>
                <w:highlight w:val="none"/>
              </w:rPr>
              <w:t>国土资源气象等支出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221 </w:t>
            </w:r>
            <w:r>
              <w:rPr>
                <w:rFonts w:hint="eastAsia" w:ascii="仿宋_GB2312" w:hAnsi="宋体" w:eastAsia="仿宋_GB2312" w:cs="宋体"/>
                <w:kern w:val="0"/>
                <w:sz w:val="18"/>
                <w:szCs w:val="18"/>
                <w:highlight w:val="none"/>
              </w:rPr>
              <w:t>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222 </w:t>
            </w:r>
            <w:r>
              <w:rPr>
                <w:rFonts w:hint="eastAsia" w:ascii="仿宋_GB2312" w:hAnsi="宋体" w:eastAsia="仿宋_GB2312" w:cs="宋体"/>
                <w:kern w:val="0"/>
                <w:sz w:val="18"/>
                <w:szCs w:val="18"/>
                <w:highlight w:val="none"/>
              </w:rPr>
              <w:t>粮油物资管理支出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223 </w:t>
            </w:r>
            <w:r>
              <w:rPr>
                <w:rFonts w:hint="eastAsia" w:ascii="仿宋_GB2312" w:hAnsi="宋体" w:eastAsia="仿宋_GB2312" w:cs="宋体"/>
                <w:kern w:val="0"/>
                <w:sz w:val="18"/>
                <w:szCs w:val="18"/>
                <w:highlight w:val="none"/>
              </w:rPr>
              <w:t>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227 </w:t>
            </w:r>
            <w:r>
              <w:rPr>
                <w:rFonts w:hint="eastAsia" w:ascii="仿宋_GB2312" w:hAnsi="宋体" w:eastAsia="仿宋_GB2312" w:cs="宋体"/>
                <w:kern w:val="0"/>
                <w:sz w:val="18"/>
                <w:szCs w:val="18"/>
                <w:highlight w:val="none"/>
              </w:rPr>
              <w:t>预备费</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229 </w:t>
            </w:r>
            <w:r>
              <w:rPr>
                <w:rFonts w:hint="eastAsia" w:ascii="仿宋_GB2312" w:hAnsi="宋体" w:eastAsia="仿宋_GB2312" w:cs="宋体"/>
                <w:kern w:val="0"/>
                <w:sz w:val="18"/>
                <w:szCs w:val="18"/>
                <w:highlight w:val="none"/>
              </w:rPr>
              <w:t>其他支出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231 </w:t>
            </w:r>
            <w:r>
              <w:rPr>
                <w:rFonts w:hint="eastAsia" w:ascii="仿宋_GB2312" w:hAnsi="宋体" w:eastAsia="仿宋_GB2312" w:cs="宋体"/>
                <w:kern w:val="0"/>
                <w:sz w:val="18"/>
                <w:szCs w:val="18"/>
                <w:highlight w:val="none"/>
              </w:rPr>
              <w:t>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232 </w:t>
            </w:r>
            <w:r>
              <w:rPr>
                <w:rFonts w:hint="eastAsia" w:ascii="仿宋_GB2312" w:hAnsi="宋体" w:eastAsia="仿宋_GB2312" w:cs="宋体"/>
                <w:kern w:val="0"/>
                <w:sz w:val="18"/>
                <w:szCs w:val="18"/>
                <w:highlight w:val="none"/>
              </w:rPr>
              <w:t>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233 </w:t>
            </w:r>
            <w:r>
              <w:rPr>
                <w:rFonts w:hint="eastAsia" w:ascii="仿宋_GB2312" w:hAnsi="宋体" w:eastAsia="仿宋_GB2312" w:cs="宋体"/>
                <w:kern w:val="0"/>
                <w:sz w:val="18"/>
                <w:szCs w:val="18"/>
                <w:highlight w:val="none"/>
              </w:rPr>
              <w:t>债务发行费支出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20"/>
                <w:szCs w:val="20"/>
                <w:highlight w:val="none"/>
              </w:rPr>
              <w:t>小</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计</w:t>
            </w:r>
          </w:p>
        </w:tc>
        <w:tc>
          <w:tcPr>
            <w:tcW w:w="1988" w:type="dxa"/>
            <w:tcBorders>
              <w:top w:val="nil"/>
              <w:left w:val="single" w:color="auto" w:sz="4" w:space="0"/>
              <w:bottom w:val="single" w:color="auto" w:sz="4" w:space="0"/>
              <w:right w:val="single" w:color="auto" w:sz="4" w:space="0"/>
            </w:tcBorders>
            <w:noWrap/>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1394.18</w:t>
            </w:r>
          </w:p>
        </w:tc>
        <w:tc>
          <w:tcPr>
            <w:tcW w:w="2693" w:type="dxa"/>
            <w:tcBorders>
              <w:top w:val="nil"/>
              <w:left w:val="nil"/>
              <w:bottom w:val="single" w:color="auto" w:sz="4" w:space="0"/>
              <w:right w:val="single" w:color="auto" w:sz="4" w:space="0"/>
            </w:tcBorders>
            <w:noWrap/>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20"/>
                <w:szCs w:val="20"/>
                <w:highlight w:val="none"/>
              </w:rPr>
              <w:t>小</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计</w:t>
            </w:r>
          </w:p>
        </w:tc>
        <w:tc>
          <w:tcPr>
            <w:tcW w:w="1701" w:type="dxa"/>
            <w:tcBorders>
              <w:top w:val="nil"/>
              <w:left w:val="nil"/>
              <w:bottom w:val="single" w:color="auto" w:sz="4" w:space="0"/>
              <w:right w:val="single" w:color="auto" w:sz="4" w:space="0"/>
            </w:tcBorders>
            <w:noWrap/>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1394.18</w:t>
            </w:r>
          </w:p>
        </w:tc>
      </w:tr>
      <w:tr>
        <w:tblPrEx>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noWrap/>
            <w:vAlign w:val="center"/>
          </w:tcPr>
          <w:p>
            <w:pPr>
              <w:widowControl/>
              <w:spacing w:line="300" w:lineRule="exact"/>
              <w:jc w:val="center"/>
              <w:rPr>
                <w:rFonts w:ascii="仿宋_GB2312" w:hAnsi="宋体" w:eastAsia="仿宋_GB2312" w:cs="宋体"/>
                <w:kern w:val="0"/>
                <w:sz w:val="20"/>
                <w:szCs w:val="20"/>
                <w:highlight w:val="none"/>
              </w:rPr>
            </w:pPr>
            <w:r>
              <w:rPr>
                <w:rFonts w:hint="eastAsia" w:ascii="仿宋_GB2312" w:hAnsi="宋体" w:eastAsia="仿宋_GB2312" w:cs="宋体"/>
                <w:kern w:val="0"/>
                <w:sz w:val="18"/>
                <w:szCs w:val="18"/>
                <w:highlight w:val="none"/>
              </w:rPr>
              <w:t>单位上年结余（不包括国库集中支付额度结余）</w:t>
            </w:r>
          </w:p>
        </w:tc>
        <w:tc>
          <w:tcPr>
            <w:tcW w:w="1988" w:type="dxa"/>
            <w:tcBorders>
              <w:top w:val="nil"/>
              <w:left w:val="single" w:color="auto" w:sz="4" w:space="0"/>
              <w:bottom w:val="single" w:color="auto" w:sz="4" w:space="0"/>
              <w:right w:val="single" w:color="auto" w:sz="4" w:space="0"/>
            </w:tcBorders>
            <w:noWrap/>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pPr>
              <w:widowControl/>
              <w:spacing w:line="300" w:lineRule="exact"/>
              <w:jc w:val="center"/>
              <w:rPr>
                <w:rFonts w:ascii="仿宋_GB2312" w:hAnsi="宋体" w:eastAsia="仿宋_GB2312" w:cs="宋体"/>
                <w:kern w:val="0"/>
                <w:sz w:val="20"/>
                <w:szCs w:val="20"/>
                <w:highlight w:val="none"/>
              </w:rPr>
            </w:pPr>
            <w:r>
              <w:rPr>
                <w:rFonts w:ascii="仿宋_GB2312" w:hAnsi="宋体" w:eastAsia="仿宋_GB2312" w:cs="宋体"/>
                <w:kern w:val="0"/>
                <w:sz w:val="20"/>
                <w:szCs w:val="20"/>
                <w:highlight w:val="none"/>
              </w:rPr>
              <w:t xml:space="preserve">230 </w:t>
            </w:r>
            <w:r>
              <w:rPr>
                <w:rFonts w:hint="eastAsia" w:ascii="仿宋_GB2312" w:hAnsi="宋体" w:eastAsia="仿宋_GB2312" w:cs="宋体"/>
                <w:kern w:val="0"/>
                <w:sz w:val="20"/>
                <w:szCs w:val="20"/>
                <w:highlight w:val="none"/>
              </w:rPr>
              <w:t>转移性支出</w:t>
            </w:r>
          </w:p>
        </w:tc>
        <w:tc>
          <w:tcPr>
            <w:tcW w:w="1701" w:type="dxa"/>
            <w:tcBorders>
              <w:top w:val="nil"/>
              <w:left w:val="single" w:color="auto" w:sz="4" w:space="0"/>
              <w:bottom w:val="single" w:color="auto" w:sz="4" w:space="0"/>
              <w:right w:val="single" w:color="auto" w:sz="4" w:space="0"/>
            </w:tcBorders>
            <w:noWrap/>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20"/>
                <w:szCs w:val="20"/>
                <w:highlight w:val="none"/>
              </w:rPr>
              <w:t>收</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入</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总</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支</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出</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合</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计</w:t>
            </w:r>
          </w:p>
        </w:tc>
        <w:tc>
          <w:tcPr>
            <w:tcW w:w="1701" w:type="dxa"/>
            <w:tcBorders>
              <w:top w:val="nil"/>
              <w:left w:val="single" w:color="auto" w:sz="4" w:space="0"/>
              <w:bottom w:val="single" w:color="auto" w:sz="4" w:space="0"/>
              <w:right w:val="single" w:color="auto" w:sz="4" w:space="0"/>
            </w:tcBorders>
            <w:noWrap/>
            <w:vAlign w:val="center"/>
          </w:tcPr>
          <w:p>
            <w:pPr>
              <w:widowControl/>
              <w:spacing w:line="30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bl>
    <w:p>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表二：</w:t>
      </w:r>
    </w:p>
    <w:p>
      <w:pPr>
        <w:widowControl/>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部门收入总体情况表</w:t>
      </w:r>
    </w:p>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填报部门：</w:t>
      </w:r>
      <w:r>
        <w:rPr>
          <w:rFonts w:hint="eastAsia" w:ascii="仿宋_GB2312" w:hAnsi="宋体" w:eastAsia="仿宋_GB2312"/>
          <w:kern w:val="0"/>
          <w:sz w:val="24"/>
          <w:highlight w:val="none"/>
          <w:lang w:eastAsia="zh-CN"/>
        </w:rPr>
        <w:t>昌吉州社会主义学院</w:t>
      </w:r>
      <w:r>
        <w:rPr>
          <w:rFonts w:ascii="仿宋_GB2312" w:hAnsi="宋体" w:eastAsia="仿宋_GB2312"/>
          <w:kern w:val="0"/>
          <w:sz w:val="24"/>
          <w:highlight w:val="none"/>
        </w:rPr>
        <w:t xml:space="preserve">    </w:t>
      </w:r>
      <w:r>
        <w:rPr>
          <w:rFonts w:hint="eastAsia" w:ascii="仿宋_GB2312" w:hAnsi="宋体" w:eastAsia="仿宋_GB2312"/>
          <w:kern w:val="0"/>
          <w:sz w:val="24"/>
          <w:highlight w:val="none"/>
          <w:lang w:val="en-US" w:eastAsia="zh-CN"/>
        </w:rPr>
        <w:t xml:space="preserve">         </w:t>
      </w:r>
      <w:r>
        <w:rPr>
          <w:rFonts w:ascii="仿宋_GB2312" w:hAnsi="宋体" w:eastAsia="仿宋_GB2312"/>
          <w:kern w:val="0"/>
          <w:sz w:val="24"/>
          <w:highlight w:val="none"/>
        </w:rPr>
        <w:t xml:space="preserve">            </w:t>
      </w:r>
      <w:r>
        <w:rPr>
          <w:rFonts w:hint="eastAsia" w:ascii="仿宋_GB2312" w:hAnsi="宋体" w:eastAsia="仿宋_GB2312"/>
          <w:kern w:val="0"/>
          <w:sz w:val="24"/>
          <w:highlight w:val="none"/>
        </w:rPr>
        <w:t>单位：</w:t>
      </w:r>
      <w:r>
        <w:rPr>
          <w:rFonts w:ascii="仿宋_GB2312" w:hAnsi="宋体" w:eastAsia="仿宋_GB2312"/>
          <w:kern w:val="0"/>
          <w:sz w:val="24"/>
          <w:highlight w:val="none"/>
        </w:rPr>
        <w:t xml:space="preserve">   </w:t>
      </w:r>
      <w:r>
        <w:rPr>
          <w:rFonts w:hint="eastAsia" w:ascii="仿宋_GB2312" w:hAnsi="宋体" w:eastAsia="仿宋_GB2312"/>
          <w:kern w:val="0"/>
          <w:sz w:val="24"/>
          <w:highlight w:val="none"/>
        </w:rPr>
        <w:t>万元</w:t>
      </w:r>
    </w:p>
    <w:tbl>
      <w:tblPr>
        <w:tblStyle w:val="7"/>
        <w:tblW w:w="9654" w:type="dxa"/>
        <w:tblInd w:w="93" w:type="dxa"/>
        <w:tblLayout w:type="fixed"/>
        <w:tblCellMar>
          <w:top w:w="0" w:type="dxa"/>
          <w:left w:w="108" w:type="dxa"/>
          <w:bottom w:w="0" w:type="dxa"/>
          <w:right w:w="108" w:type="dxa"/>
        </w:tblCellMar>
      </w:tblPr>
      <w:tblGrid>
        <w:gridCol w:w="417"/>
        <w:gridCol w:w="417"/>
        <w:gridCol w:w="417"/>
        <w:gridCol w:w="2145"/>
        <w:gridCol w:w="820"/>
        <w:gridCol w:w="680"/>
        <w:gridCol w:w="680"/>
        <w:gridCol w:w="680"/>
        <w:gridCol w:w="680"/>
        <w:gridCol w:w="680"/>
        <w:gridCol w:w="680"/>
        <w:gridCol w:w="680"/>
        <w:gridCol w:w="678"/>
      </w:tblGrid>
      <w:tr>
        <w:tblPrEx>
          <w:tblCellMar>
            <w:top w:w="0" w:type="dxa"/>
            <w:left w:w="108" w:type="dxa"/>
            <w:bottom w:w="0" w:type="dxa"/>
            <w:right w:w="108" w:type="dxa"/>
          </w:tblCellMar>
        </w:tblPrEx>
        <w:trPr>
          <w:trHeight w:val="510" w:hRule="atLeast"/>
        </w:trPr>
        <w:tc>
          <w:tcPr>
            <w:tcW w:w="125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功能分类科目编码</w:t>
            </w:r>
          </w:p>
        </w:tc>
        <w:tc>
          <w:tcPr>
            <w:tcW w:w="21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总</w:t>
            </w:r>
            <w:r>
              <w:rPr>
                <w:rFonts w:ascii="仿宋_GB2312" w:eastAsia="仿宋_GB2312"/>
                <w:b/>
                <w:color w:val="000000"/>
                <w:sz w:val="20"/>
                <w:szCs w:val="20"/>
                <w:highlight w:val="none"/>
              </w:rPr>
              <w:t xml:space="preserve">  </w:t>
            </w:r>
            <w:r>
              <w:rPr>
                <w:rFonts w:hint="eastAsia" w:ascii="仿宋_GB2312" w:eastAsia="仿宋_GB2312"/>
                <w:b/>
                <w:color w:val="000000"/>
                <w:sz w:val="20"/>
                <w:szCs w:val="20"/>
                <w:highlight w:val="none"/>
              </w:rPr>
              <w:t>计</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一般公共预算拨款</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事业收入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其他收入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highlight w:val="none"/>
              </w:rPr>
            </w:pPr>
            <w:r>
              <w:rPr>
                <w:rFonts w:hint="eastAsia" w:ascii="仿宋_GB2312" w:eastAsia="仿宋_GB2312"/>
                <w:b/>
                <w:color w:val="000000"/>
                <w:sz w:val="18"/>
                <w:szCs w:val="18"/>
                <w:highlight w:val="none"/>
              </w:rPr>
              <w:t>单位上年结余（不包括国库集中支付额度结余）</w:t>
            </w:r>
          </w:p>
        </w:tc>
      </w:tr>
      <w:tr>
        <w:tblPrEx>
          <w:tblCellMar>
            <w:top w:w="0" w:type="dxa"/>
            <w:left w:w="108" w:type="dxa"/>
            <w:bottom w:w="0" w:type="dxa"/>
            <w:right w:w="108" w:type="dxa"/>
          </w:tblCellMar>
        </w:tblPrEx>
        <w:trPr>
          <w:trHeight w:val="1870"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类</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款</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项</w:t>
            </w:r>
          </w:p>
        </w:tc>
        <w:tc>
          <w:tcPr>
            <w:tcW w:w="21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205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01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99　</w:t>
            </w: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其他教育管理支出</w:t>
            </w:r>
          </w:p>
        </w:tc>
        <w:tc>
          <w:tcPr>
            <w:tcW w:w="82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highlight w:val="none"/>
              </w:rPr>
            </w:pPr>
            <w:r>
              <w:rPr>
                <w:rFonts w:hint="eastAsia" w:ascii="仿宋_GB2312" w:hAnsi="宋体" w:eastAsia="仿宋_GB2312" w:cs="宋体"/>
                <w:kern w:val="0"/>
                <w:sz w:val="18"/>
                <w:szCs w:val="18"/>
                <w:highlight w:val="none"/>
              </w:rPr>
              <w:t>1394.18</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highlight w:val="none"/>
              </w:rPr>
            </w:pPr>
            <w:r>
              <w:rPr>
                <w:rFonts w:hint="eastAsia" w:ascii="仿宋_GB2312" w:hAnsi="宋体" w:eastAsia="仿宋_GB2312" w:cs="宋体"/>
                <w:kern w:val="0"/>
                <w:sz w:val="18"/>
                <w:szCs w:val="18"/>
                <w:highlight w:val="none"/>
              </w:rPr>
              <w:t>1394.18</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合计</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627.18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highlight w:val="none"/>
              </w:rPr>
            </w:pPr>
            <w:r>
              <w:rPr>
                <w:rFonts w:hint="eastAsia" w:ascii="仿宋_GB2312" w:eastAsia="仿宋_GB2312"/>
                <w:color w:val="000000"/>
                <w:sz w:val="20"/>
                <w:szCs w:val="20"/>
                <w:highlight w:val="none"/>
              </w:rPr>
              <w:t>　</w:t>
            </w:r>
          </w:p>
        </w:tc>
      </w:tr>
    </w:tbl>
    <w:p>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表三：</w:t>
      </w:r>
    </w:p>
    <w:p>
      <w:pPr>
        <w:widowControl/>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部门支出总体情况表</w:t>
      </w:r>
    </w:p>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w:t>
      </w:r>
      <w:r>
        <w:rPr>
          <w:rFonts w:ascii="仿宋_GB2312" w:hAnsi="宋体" w:eastAsia="仿宋_GB2312"/>
          <w:kern w:val="0"/>
          <w:sz w:val="24"/>
          <w:highlight w:val="none"/>
        </w:rPr>
        <w:t xml:space="preserve">  </w:t>
      </w:r>
      <w:r>
        <w:rPr>
          <w:rFonts w:hint="eastAsia" w:ascii="仿宋_GB2312" w:hAnsi="宋体" w:eastAsia="仿宋_GB2312"/>
          <w:kern w:val="0"/>
          <w:sz w:val="24"/>
          <w:highlight w:val="none"/>
          <w:lang w:eastAsia="zh-CN"/>
        </w:rPr>
        <w:t>昌吉州社会主义学院</w:t>
      </w:r>
      <w:r>
        <w:rPr>
          <w:rFonts w:ascii="仿宋_GB2312" w:hAnsi="宋体" w:eastAsia="仿宋_GB2312"/>
          <w:kern w:val="0"/>
          <w:sz w:val="24"/>
          <w:highlight w:val="none"/>
        </w:rPr>
        <w:t xml:space="preserve">    </w:t>
      </w:r>
      <w:r>
        <w:rPr>
          <w:rFonts w:hint="eastAsia" w:ascii="仿宋_GB2312" w:hAnsi="宋体" w:eastAsia="仿宋_GB2312"/>
          <w:kern w:val="0"/>
          <w:sz w:val="24"/>
          <w:highlight w:val="none"/>
          <w:lang w:val="en-US" w:eastAsia="zh-CN"/>
        </w:rPr>
        <w:t xml:space="preserve">         </w:t>
      </w:r>
      <w:r>
        <w:rPr>
          <w:rFonts w:ascii="仿宋_GB2312" w:hAnsi="宋体" w:eastAsia="仿宋_GB2312"/>
          <w:kern w:val="0"/>
          <w:sz w:val="24"/>
          <w:highlight w:val="none"/>
        </w:rPr>
        <w:t xml:space="preserve">              </w:t>
      </w:r>
      <w:r>
        <w:rPr>
          <w:rFonts w:hint="eastAsia" w:ascii="仿宋_GB2312" w:hAnsi="宋体" w:eastAsia="仿宋_GB2312"/>
          <w:kern w:val="0"/>
          <w:sz w:val="24"/>
          <w:highlight w:val="none"/>
        </w:rPr>
        <w:t>单位：万元</w:t>
      </w:r>
    </w:p>
    <w:tbl>
      <w:tblPr>
        <w:tblStyle w:val="7"/>
        <w:tblW w:w="9229" w:type="dxa"/>
        <w:tblInd w:w="93" w:type="dxa"/>
        <w:tblLayout w:type="fixed"/>
        <w:tblCellMar>
          <w:top w:w="0" w:type="dxa"/>
          <w:left w:w="108" w:type="dxa"/>
          <w:bottom w:w="0" w:type="dxa"/>
          <w:right w:w="108" w:type="dxa"/>
        </w:tblCellMar>
      </w:tblPr>
      <w:tblGrid>
        <w:gridCol w:w="401"/>
        <w:gridCol w:w="400"/>
        <w:gridCol w:w="400"/>
        <w:gridCol w:w="2604"/>
        <w:gridCol w:w="1855"/>
        <w:gridCol w:w="1856"/>
        <w:gridCol w:w="1713"/>
      </w:tblGrid>
      <w:tr>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0"/>
                <w:szCs w:val="20"/>
                <w:highlight w:val="none"/>
              </w:rPr>
            </w:pPr>
            <w:r>
              <w:rPr>
                <w:rFonts w:hint="eastAsia" w:ascii="宋体" w:hAnsi="宋体" w:cs="宋体"/>
                <w:b/>
                <w:bCs/>
                <w:color w:val="000000"/>
                <w:kern w:val="0"/>
                <w:sz w:val="20"/>
                <w:szCs w:val="20"/>
                <w:highlight w:val="none"/>
              </w:rPr>
              <w:t>项目</w:t>
            </w:r>
          </w:p>
        </w:tc>
        <w:tc>
          <w:tcPr>
            <w:tcW w:w="5424" w:type="dxa"/>
            <w:gridSpan w:val="3"/>
            <w:tcBorders>
              <w:top w:val="single" w:color="auto" w:sz="4" w:space="0"/>
              <w:left w:val="nil"/>
              <w:bottom w:val="single" w:color="auto" w:sz="4" w:space="0"/>
              <w:right w:val="single" w:color="000000" w:sz="4" w:space="0"/>
            </w:tcBorders>
            <w:vAlign w:val="center"/>
          </w:tcPr>
          <w:p>
            <w:pPr>
              <w:widowControl/>
              <w:jc w:val="center"/>
              <w:rPr>
                <w:rFonts w:ascii="宋体" w:cs="宋体"/>
                <w:b/>
                <w:bCs/>
                <w:color w:val="000000"/>
                <w:kern w:val="0"/>
                <w:sz w:val="20"/>
                <w:szCs w:val="20"/>
                <w:highlight w:val="none"/>
              </w:rPr>
            </w:pPr>
            <w:r>
              <w:rPr>
                <w:rFonts w:hint="eastAsia" w:ascii="宋体" w:hAnsi="宋体" w:cs="宋体"/>
                <w:b/>
                <w:bCs/>
                <w:color w:val="000000"/>
                <w:kern w:val="0"/>
                <w:sz w:val="20"/>
                <w:szCs w:val="20"/>
                <w:highlight w:val="none"/>
              </w:rPr>
              <w:t>支出预算</w:t>
            </w:r>
          </w:p>
        </w:tc>
      </w:tr>
      <w:tr>
        <w:tblPrEx>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0"/>
                <w:szCs w:val="20"/>
                <w:highlight w:val="none"/>
              </w:rPr>
            </w:pPr>
            <w:r>
              <w:rPr>
                <w:rFonts w:hint="eastAsia" w:ascii="宋体" w:hAnsi="宋体" w:cs="宋体"/>
                <w:b/>
                <w:bCs/>
                <w:color w:val="000000"/>
                <w:kern w:val="0"/>
                <w:sz w:val="20"/>
                <w:szCs w:val="20"/>
                <w:highlight w:val="none"/>
              </w:rPr>
              <w:t>功能分类科目编码</w:t>
            </w:r>
          </w:p>
        </w:tc>
        <w:tc>
          <w:tcPr>
            <w:tcW w:w="2604"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cs="宋体"/>
                <w:b/>
                <w:bCs/>
                <w:color w:val="000000"/>
                <w:kern w:val="0"/>
                <w:sz w:val="20"/>
                <w:szCs w:val="20"/>
                <w:highlight w:val="none"/>
              </w:rPr>
            </w:pPr>
            <w:r>
              <w:rPr>
                <w:rFonts w:hint="eastAsia" w:ascii="宋体" w:hAnsi="宋体" w:cs="宋体"/>
                <w:b/>
                <w:bCs/>
                <w:color w:val="000000"/>
                <w:kern w:val="0"/>
                <w:sz w:val="20"/>
                <w:szCs w:val="20"/>
                <w:highlight w:val="none"/>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cs="宋体"/>
                <w:b/>
                <w:bCs/>
                <w:color w:val="000000"/>
                <w:kern w:val="0"/>
                <w:sz w:val="20"/>
                <w:szCs w:val="20"/>
                <w:highlight w:val="none"/>
              </w:rPr>
            </w:pPr>
            <w:r>
              <w:rPr>
                <w:rFonts w:hint="eastAsia" w:ascii="宋体" w:hAnsi="宋体" w:cs="宋体"/>
                <w:b/>
                <w:bCs/>
                <w:color w:val="000000"/>
                <w:kern w:val="0"/>
                <w:sz w:val="20"/>
                <w:szCs w:val="20"/>
                <w:highlight w:val="none"/>
              </w:rPr>
              <w:t>合计</w:t>
            </w:r>
          </w:p>
        </w:tc>
        <w:tc>
          <w:tcPr>
            <w:tcW w:w="1856"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cs="宋体"/>
                <w:b/>
                <w:bCs/>
                <w:color w:val="000000"/>
                <w:kern w:val="0"/>
                <w:sz w:val="20"/>
                <w:szCs w:val="20"/>
                <w:highlight w:val="none"/>
              </w:rPr>
            </w:pPr>
            <w:r>
              <w:rPr>
                <w:rFonts w:hint="eastAsia" w:ascii="宋体" w:hAnsi="宋体" w:cs="宋体"/>
                <w:b/>
                <w:bCs/>
                <w:color w:val="000000"/>
                <w:kern w:val="0"/>
                <w:sz w:val="20"/>
                <w:szCs w:val="20"/>
                <w:highlight w:val="none"/>
              </w:rPr>
              <w:t>基本支出</w:t>
            </w:r>
          </w:p>
        </w:tc>
        <w:tc>
          <w:tcPr>
            <w:tcW w:w="171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cs="宋体"/>
                <w:b/>
                <w:bCs/>
                <w:color w:val="000000"/>
                <w:kern w:val="0"/>
                <w:sz w:val="20"/>
                <w:szCs w:val="20"/>
                <w:highlight w:val="none"/>
              </w:rPr>
            </w:pPr>
            <w:r>
              <w:rPr>
                <w:rFonts w:hint="eastAsia" w:ascii="宋体" w:hAnsi="宋体" w:cs="宋体"/>
                <w:b/>
                <w:bCs/>
                <w:color w:val="000000"/>
                <w:kern w:val="0"/>
                <w:sz w:val="20"/>
                <w:szCs w:val="20"/>
                <w:highlight w:val="none"/>
              </w:rPr>
              <w:t>项目支出</w:t>
            </w:r>
          </w:p>
        </w:tc>
      </w:tr>
      <w:tr>
        <w:tblPrEx>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类</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款</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highlight w:val="none"/>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highlight w:val="none"/>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highlight w:val="none"/>
              </w:rPr>
            </w:pPr>
          </w:p>
        </w:tc>
        <w:tc>
          <w:tcPr>
            <w:tcW w:w="171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r>
              <w:rPr>
                <w:rFonts w:hint="eastAsia" w:ascii="宋体" w:cs="宋体"/>
                <w:b/>
                <w:bCs/>
                <w:color w:val="000000"/>
                <w:kern w:val="0"/>
                <w:sz w:val="16"/>
                <w:szCs w:val="16"/>
                <w:highlight w:val="none"/>
              </w:rPr>
              <w:t>205</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r>
              <w:rPr>
                <w:rFonts w:hint="eastAsia" w:ascii="宋体" w:cs="宋体"/>
                <w:b/>
                <w:bCs/>
                <w:color w:val="000000"/>
                <w:kern w:val="0"/>
                <w:sz w:val="16"/>
                <w:szCs w:val="16"/>
                <w:highlight w:val="none"/>
              </w:rPr>
              <w:t>01</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r>
              <w:rPr>
                <w:rFonts w:hint="eastAsia" w:ascii="宋体" w:cs="宋体"/>
                <w:b/>
                <w:bCs/>
                <w:color w:val="000000"/>
                <w:kern w:val="0"/>
                <w:sz w:val="16"/>
                <w:szCs w:val="16"/>
                <w:highlight w:val="none"/>
              </w:rPr>
              <w:t>99</w:t>
            </w:r>
          </w:p>
        </w:tc>
        <w:tc>
          <w:tcPr>
            <w:tcW w:w="26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其他教育管理支出　</w:t>
            </w: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仿宋_GB2312" w:hAnsi="宋体" w:eastAsia="仿宋_GB2312" w:cs="宋体"/>
                <w:kern w:val="0"/>
                <w:sz w:val="18"/>
                <w:szCs w:val="18"/>
                <w:highlight w:val="none"/>
              </w:rPr>
              <w:t>1394.18</w:t>
            </w: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567.18　</w:t>
            </w: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827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6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6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p>
        </w:tc>
        <w:tc>
          <w:tcPr>
            <w:tcW w:w="26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6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6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6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highlight w:val="none"/>
              </w:rPr>
            </w:pPr>
            <w:r>
              <w:rPr>
                <w:rFonts w:hint="eastAsia" w:ascii="宋体" w:hAnsi="宋体" w:cs="宋体"/>
                <w:b/>
                <w:bCs/>
                <w:color w:val="000000"/>
                <w:kern w:val="0"/>
                <w:sz w:val="16"/>
                <w:szCs w:val="16"/>
                <w:highlight w:val="none"/>
              </w:rPr>
              <w:t>　</w:t>
            </w:r>
          </w:p>
        </w:tc>
        <w:tc>
          <w:tcPr>
            <w:tcW w:w="26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noWrap/>
            <w:vAlign w:val="center"/>
          </w:tcPr>
          <w:p>
            <w:pPr>
              <w:widowControl/>
              <w:jc w:val="left"/>
              <w:rPr>
                <w:rFonts w:asci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400" w:type="dxa"/>
            <w:tcBorders>
              <w:top w:val="nil"/>
              <w:left w:val="nil"/>
              <w:bottom w:val="single" w:color="auto" w:sz="4" w:space="0"/>
              <w:right w:val="single" w:color="auto" w:sz="4" w:space="0"/>
            </w:tcBorders>
            <w:noWrap/>
            <w:vAlign w:val="center"/>
          </w:tcPr>
          <w:p>
            <w:pPr>
              <w:widowControl/>
              <w:jc w:val="left"/>
              <w:rPr>
                <w:rFonts w:asci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40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2604"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2"/>
                <w:szCs w:val="22"/>
                <w:highlight w:val="none"/>
              </w:rPr>
            </w:pPr>
            <w:r>
              <w:rPr>
                <w:rFonts w:hint="eastAsia" w:ascii="宋体" w:hAnsi="宋体" w:cs="宋体"/>
                <w:color w:val="000000"/>
                <w:kern w:val="0"/>
                <w:sz w:val="22"/>
                <w:szCs w:val="22"/>
                <w:highlight w:val="none"/>
              </w:rPr>
              <w:t>合计</w:t>
            </w:r>
          </w:p>
        </w:tc>
        <w:tc>
          <w:tcPr>
            <w:tcW w:w="1855"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仿宋_GB2312" w:hAnsi="宋体" w:eastAsia="仿宋_GB2312" w:cs="宋体"/>
                <w:kern w:val="0"/>
                <w:sz w:val="18"/>
                <w:szCs w:val="18"/>
                <w:highlight w:val="none"/>
              </w:rPr>
              <w:t>1394.18</w:t>
            </w:r>
            <w:r>
              <w:rPr>
                <w:rFonts w:hint="eastAsia" w:ascii="宋体" w:hAnsi="宋体" w:cs="宋体"/>
                <w:b/>
                <w:bCs/>
                <w:color w:val="000000"/>
                <w:kern w:val="0"/>
                <w:sz w:val="22"/>
                <w:szCs w:val="22"/>
                <w:highlight w:val="none"/>
              </w:rPr>
              <w:t>　</w:t>
            </w:r>
          </w:p>
        </w:tc>
        <w:tc>
          <w:tcPr>
            <w:tcW w:w="185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567.18　</w:t>
            </w:r>
          </w:p>
        </w:tc>
        <w:tc>
          <w:tcPr>
            <w:tcW w:w="1713"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827　</w:t>
            </w:r>
          </w:p>
        </w:tc>
      </w:tr>
    </w:tbl>
    <w:p>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outlineLvl w:val="1"/>
        <w:rPr>
          <w:rFonts w:ascii="仿宋_GB2312" w:hAnsi="宋体" w:eastAsia="仿宋_GB2312"/>
          <w:b/>
          <w:kern w:val="0"/>
          <w:sz w:val="28"/>
          <w:szCs w:val="32"/>
          <w:highlight w:val="none"/>
        </w:rPr>
      </w:pPr>
    </w:p>
    <w:p>
      <w:pPr>
        <w:widowControl/>
        <w:outlineLvl w:val="1"/>
        <w:rPr>
          <w:rFonts w:ascii="仿宋_GB2312" w:hAnsi="宋体" w:eastAsia="仿宋_GB2312"/>
          <w:b/>
          <w:kern w:val="0"/>
          <w:sz w:val="28"/>
          <w:szCs w:val="32"/>
          <w:highlight w:val="none"/>
        </w:rPr>
      </w:pPr>
    </w:p>
    <w:p>
      <w:pPr>
        <w:widowControl/>
        <w:outlineLvl w:val="1"/>
        <w:rPr>
          <w:rFonts w:ascii="仿宋_GB2312" w:hAnsi="宋体" w:eastAsia="仿宋_GB2312"/>
          <w:b/>
          <w:kern w:val="0"/>
          <w:sz w:val="28"/>
          <w:szCs w:val="32"/>
          <w:highlight w:val="none"/>
        </w:rPr>
      </w:pPr>
    </w:p>
    <w:p>
      <w:pPr>
        <w:widowControl/>
        <w:outlineLvl w:val="1"/>
        <w:rPr>
          <w:rFonts w:ascii="仿宋_GB2312" w:hAnsi="宋体" w:eastAsia="仿宋_GB2312"/>
          <w:b/>
          <w:kern w:val="0"/>
          <w:sz w:val="28"/>
          <w:szCs w:val="32"/>
          <w:highlight w:val="none"/>
        </w:rPr>
      </w:pPr>
    </w:p>
    <w:p>
      <w:pPr>
        <w:widowControl/>
        <w:outlineLvl w:val="1"/>
        <w:rPr>
          <w:rFonts w:ascii="仿宋_GB2312" w:hAnsi="宋体" w:eastAsia="仿宋_GB2312"/>
          <w:b/>
          <w:kern w:val="0"/>
          <w:sz w:val="28"/>
          <w:szCs w:val="32"/>
          <w:highlight w:val="none"/>
        </w:rPr>
      </w:pPr>
    </w:p>
    <w:p>
      <w:pPr>
        <w:widowControl/>
        <w:outlineLvl w:val="1"/>
        <w:rPr>
          <w:rFonts w:ascii="仿宋_GB2312" w:hAnsi="宋体" w:eastAsia="仿宋_GB2312"/>
          <w:b/>
          <w:kern w:val="0"/>
          <w:sz w:val="28"/>
          <w:szCs w:val="32"/>
          <w:highlight w:val="none"/>
        </w:rPr>
      </w:pPr>
    </w:p>
    <w:p>
      <w:pPr>
        <w:widowControl/>
        <w:outlineLvl w:val="1"/>
        <w:rPr>
          <w:rFonts w:ascii="仿宋_GB2312" w:hAnsi="宋体" w:eastAsia="仿宋_GB2312"/>
          <w:b/>
          <w:kern w:val="0"/>
          <w:sz w:val="28"/>
          <w:szCs w:val="32"/>
          <w:highlight w:val="none"/>
        </w:rPr>
      </w:pPr>
    </w:p>
    <w:p>
      <w:pPr>
        <w:widowControl/>
        <w:spacing w:before="120" w:beforeLines="50"/>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表四：</w:t>
      </w:r>
    </w:p>
    <w:p>
      <w:pPr>
        <w:widowControl/>
        <w:spacing w:before="120" w:beforeLines="50"/>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财政拨款收支预算总体情况表</w:t>
      </w:r>
    </w:p>
    <w:p>
      <w:pPr>
        <w:widowControl/>
        <w:spacing w:before="120" w:beforeLines="50"/>
        <w:outlineLvl w:val="1"/>
        <w:rPr>
          <w:rFonts w:ascii="仿宋_GB2312" w:hAnsi="宋体" w:eastAsia="仿宋_GB2312"/>
          <w:kern w:val="0"/>
          <w:sz w:val="28"/>
          <w:szCs w:val="28"/>
          <w:highlight w:val="none"/>
        </w:rPr>
      </w:pPr>
      <w:r>
        <w:rPr>
          <w:rFonts w:hint="eastAsia" w:ascii="仿宋_GB2312" w:hAnsi="宋体" w:eastAsia="仿宋_GB2312"/>
          <w:kern w:val="0"/>
          <w:sz w:val="28"/>
          <w:szCs w:val="28"/>
          <w:highlight w:val="none"/>
        </w:rPr>
        <w:t>编制部门：</w:t>
      </w:r>
      <w:r>
        <w:rPr>
          <w:rFonts w:hint="eastAsia" w:ascii="仿宋_GB2312" w:hAnsi="宋体" w:eastAsia="仿宋_GB2312"/>
          <w:kern w:val="0"/>
          <w:sz w:val="24"/>
          <w:highlight w:val="none"/>
          <w:lang w:eastAsia="zh-CN"/>
        </w:rPr>
        <w:t>昌吉州社会主义学院</w:t>
      </w:r>
      <w:r>
        <w:rPr>
          <w:rFonts w:ascii="仿宋_GB2312" w:hAnsi="宋体" w:eastAsia="仿宋_GB2312"/>
          <w:kern w:val="0"/>
          <w:sz w:val="24"/>
          <w:highlight w:val="none"/>
        </w:rPr>
        <w:t xml:space="preserve">    </w:t>
      </w:r>
      <w:r>
        <w:rPr>
          <w:rFonts w:hint="eastAsia" w:ascii="仿宋_GB2312" w:hAnsi="宋体" w:eastAsia="仿宋_GB2312"/>
          <w:kern w:val="0"/>
          <w:sz w:val="24"/>
          <w:highlight w:val="none"/>
          <w:lang w:val="en-US" w:eastAsia="zh-CN"/>
        </w:rPr>
        <w:t xml:space="preserve">         </w:t>
      </w:r>
      <w:r>
        <w:rPr>
          <w:rFonts w:ascii="仿宋_GB2312" w:hAnsi="宋体" w:eastAsia="仿宋_GB2312"/>
          <w:kern w:val="0"/>
          <w:sz w:val="28"/>
          <w:szCs w:val="28"/>
          <w:highlight w:val="none"/>
        </w:rPr>
        <w:t xml:space="preserve">                </w:t>
      </w:r>
      <w:r>
        <w:rPr>
          <w:rFonts w:hint="eastAsia" w:ascii="仿宋_GB2312" w:hAnsi="宋体" w:eastAsia="仿宋_GB2312"/>
          <w:kern w:val="0"/>
          <w:sz w:val="28"/>
          <w:szCs w:val="28"/>
          <w:highlight w:val="none"/>
        </w:rPr>
        <w:t>单位：万元</w:t>
      </w:r>
    </w:p>
    <w:tbl>
      <w:tblPr>
        <w:tblStyle w:val="7"/>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财政拨款收入</w:t>
            </w:r>
          </w:p>
        </w:tc>
        <w:tc>
          <w:tcPr>
            <w:tcW w:w="6379" w:type="dxa"/>
            <w:gridSpan w:val="4"/>
            <w:tcBorders>
              <w:top w:val="single" w:color="auto" w:sz="4" w:space="0"/>
              <w:left w:val="nil"/>
              <w:bottom w:val="single" w:color="auto" w:sz="4" w:space="0"/>
              <w:right w:val="single" w:color="000000" w:sz="4" w:space="0"/>
            </w:tcBorders>
            <w:noWrap/>
            <w:vAlign w:val="center"/>
          </w:tcPr>
          <w:p>
            <w:pPr>
              <w:widowControl/>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财政拨款支出</w:t>
            </w:r>
          </w:p>
        </w:tc>
      </w:tr>
      <w:tr>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项</w:t>
            </w:r>
            <w:r>
              <w:rPr>
                <w:rFonts w:ascii="仿宋_GB2312" w:hAnsi="宋体" w:eastAsia="仿宋_GB2312" w:cs="宋体"/>
                <w:b/>
                <w:kern w:val="0"/>
                <w:sz w:val="20"/>
                <w:szCs w:val="20"/>
                <w:highlight w:val="none"/>
              </w:rPr>
              <w:t xml:space="preserve">    </w:t>
            </w:r>
            <w:r>
              <w:rPr>
                <w:rFonts w:hint="eastAsia" w:ascii="仿宋_GB2312" w:hAnsi="宋体" w:eastAsia="仿宋_GB2312" w:cs="宋体"/>
                <w:b/>
                <w:kern w:val="0"/>
                <w:sz w:val="20"/>
                <w:szCs w:val="20"/>
                <w:highlight w:val="none"/>
              </w:rPr>
              <w:t>目</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合计</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功</w:t>
            </w:r>
            <w:r>
              <w:rPr>
                <w:rFonts w:ascii="仿宋_GB2312" w:hAnsi="宋体" w:eastAsia="仿宋_GB2312" w:cs="宋体"/>
                <w:b/>
                <w:kern w:val="0"/>
                <w:sz w:val="20"/>
                <w:szCs w:val="20"/>
                <w:highlight w:val="none"/>
              </w:rPr>
              <w:t xml:space="preserve">  </w:t>
            </w:r>
            <w:r>
              <w:rPr>
                <w:rFonts w:hint="eastAsia" w:ascii="仿宋_GB2312" w:hAnsi="宋体" w:eastAsia="仿宋_GB2312" w:cs="宋体"/>
                <w:b/>
                <w:kern w:val="0"/>
                <w:sz w:val="20"/>
                <w:szCs w:val="20"/>
                <w:highlight w:val="none"/>
              </w:rPr>
              <w:t>能</w:t>
            </w:r>
            <w:r>
              <w:rPr>
                <w:rFonts w:ascii="仿宋_GB2312" w:hAnsi="宋体" w:eastAsia="仿宋_GB2312" w:cs="宋体"/>
                <w:b/>
                <w:kern w:val="0"/>
                <w:sz w:val="20"/>
                <w:szCs w:val="20"/>
                <w:highlight w:val="none"/>
              </w:rPr>
              <w:t xml:space="preserve">  </w:t>
            </w:r>
            <w:r>
              <w:rPr>
                <w:rFonts w:hint="eastAsia" w:ascii="仿宋_GB2312" w:hAnsi="宋体" w:eastAsia="仿宋_GB2312" w:cs="宋体"/>
                <w:b/>
                <w:kern w:val="0"/>
                <w:sz w:val="20"/>
                <w:szCs w:val="20"/>
                <w:highlight w:val="none"/>
              </w:rPr>
              <w:t>分</w:t>
            </w:r>
            <w:r>
              <w:rPr>
                <w:rFonts w:ascii="仿宋_GB2312" w:hAnsi="宋体" w:eastAsia="仿宋_GB2312" w:cs="宋体"/>
                <w:b/>
                <w:kern w:val="0"/>
                <w:sz w:val="20"/>
                <w:szCs w:val="20"/>
                <w:highlight w:val="none"/>
              </w:rPr>
              <w:t xml:space="preserve">  </w:t>
            </w:r>
            <w:r>
              <w:rPr>
                <w:rFonts w:hint="eastAsia" w:ascii="仿宋_GB2312" w:hAnsi="宋体" w:eastAsia="仿宋_GB2312" w:cs="宋体"/>
                <w:b/>
                <w:kern w:val="0"/>
                <w:sz w:val="20"/>
                <w:szCs w:val="20"/>
                <w:highlight w:val="none"/>
              </w:rPr>
              <w:t>类</w:t>
            </w:r>
          </w:p>
        </w:tc>
        <w:tc>
          <w:tcPr>
            <w:tcW w:w="129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合计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一般公共预算</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政府性基金预算</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财政拨款（补助）</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201 </w:t>
            </w:r>
            <w:r>
              <w:rPr>
                <w:rFonts w:hint="eastAsia" w:ascii="仿宋_GB2312" w:hAnsi="宋体" w:eastAsia="仿宋_GB2312" w:cs="宋体"/>
                <w:kern w:val="0"/>
                <w:sz w:val="18"/>
                <w:szCs w:val="18"/>
                <w:highlight w:val="none"/>
              </w:rPr>
              <w:t>一般公共服务支出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color w:val="000000"/>
                <w:kern w:val="0"/>
                <w:sz w:val="18"/>
                <w:szCs w:val="18"/>
                <w:highlight w:val="none"/>
              </w:rPr>
            </w:pPr>
            <w:r>
              <w:rPr>
                <w:rFonts w:ascii="仿宋_GB2312" w:hAnsi="宋体" w:eastAsia="仿宋_GB2312" w:cs="宋体"/>
                <w:color w:val="000000"/>
                <w:kern w:val="0"/>
                <w:sz w:val="18"/>
                <w:szCs w:val="18"/>
                <w:highlight w:val="none"/>
              </w:rPr>
              <w:t xml:space="preserve"> </w:t>
            </w:r>
            <w:r>
              <w:rPr>
                <w:rFonts w:hint="eastAsia" w:ascii="仿宋_GB2312" w:hAnsi="宋体" w:eastAsia="仿宋_GB2312" w:cs="宋体"/>
                <w:color w:val="000000"/>
                <w:kern w:val="0"/>
                <w:sz w:val="18"/>
                <w:szCs w:val="18"/>
                <w:highlight w:val="none"/>
              </w:rPr>
              <w:t>一般公共预算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1394.18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202 </w:t>
            </w:r>
            <w:r>
              <w:rPr>
                <w:rFonts w:hint="eastAsia" w:ascii="仿宋_GB2312" w:hAnsi="宋体" w:eastAsia="仿宋_GB2312" w:cs="宋体"/>
                <w:kern w:val="0"/>
                <w:sz w:val="18"/>
                <w:szCs w:val="18"/>
                <w:highlight w:val="none"/>
              </w:rPr>
              <w:t>外交支出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color w:val="000000"/>
                <w:kern w:val="0"/>
                <w:sz w:val="18"/>
                <w:szCs w:val="18"/>
                <w:highlight w:val="none"/>
              </w:rPr>
            </w:pPr>
            <w:r>
              <w:rPr>
                <w:rFonts w:ascii="仿宋_GB2312" w:hAnsi="宋体" w:eastAsia="仿宋_GB2312" w:cs="宋体"/>
                <w:color w:val="000000"/>
                <w:kern w:val="0"/>
                <w:sz w:val="18"/>
                <w:szCs w:val="18"/>
                <w:highlight w:val="none"/>
              </w:rPr>
              <w:t xml:space="preserve"> </w:t>
            </w:r>
            <w:r>
              <w:rPr>
                <w:rFonts w:hint="eastAsia" w:ascii="仿宋_GB2312" w:hAnsi="宋体" w:eastAsia="仿宋_GB2312" w:cs="宋体"/>
                <w:color w:val="000000"/>
                <w:kern w:val="0"/>
                <w:sz w:val="18"/>
                <w:szCs w:val="18"/>
                <w:highlight w:val="none"/>
              </w:rPr>
              <w:t>政府性基金预算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203 </w:t>
            </w:r>
            <w:r>
              <w:rPr>
                <w:rFonts w:hint="eastAsia" w:ascii="仿宋_GB2312" w:hAnsi="宋体" w:eastAsia="仿宋_GB2312" w:cs="宋体"/>
                <w:kern w:val="0"/>
                <w:sz w:val="18"/>
                <w:szCs w:val="18"/>
                <w:highlight w:val="none"/>
              </w:rPr>
              <w:t>国防支出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204 </w:t>
            </w:r>
            <w:r>
              <w:rPr>
                <w:rFonts w:hint="eastAsia" w:ascii="仿宋_GB2312" w:hAnsi="宋体" w:eastAsia="仿宋_GB2312" w:cs="宋体"/>
                <w:kern w:val="0"/>
                <w:sz w:val="18"/>
                <w:szCs w:val="18"/>
                <w:highlight w:val="none"/>
              </w:rPr>
              <w:t>公共安全支出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205 </w:t>
            </w:r>
            <w:r>
              <w:rPr>
                <w:rFonts w:hint="eastAsia" w:ascii="仿宋_GB2312" w:hAnsi="宋体" w:eastAsia="仿宋_GB2312" w:cs="宋体"/>
                <w:kern w:val="0"/>
                <w:sz w:val="18"/>
                <w:szCs w:val="18"/>
                <w:highlight w:val="none"/>
              </w:rPr>
              <w:t>教育支出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仿宋_GB2312" w:hAnsi="宋体" w:eastAsia="仿宋_GB2312" w:cs="宋体"/>
                <w:color w:val="000000"/>
                <w:kern w:val="0"/>
                <w:sz w:val="22"/>
                <w:szCs w:val="22"/>
                <w:highlight w:val="none"/>
              </w:rPr>
              <w:t>1394.18</w:t>
            </w: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仿宋_GB2312" w:hAnsi="宋体" w:eastAsia="仿宋_GB2312" w:cs="宋体"/>
                <w:color w:val="000000"/>
                <w:kern w:val="0"/>
                <w:sz w:val="22"/>
                <w:szCs w:val="22"/>
                <w:highlight w:val="none"/>
              </w:rPr>
              <w:t>1394.18</w:t>
            </w: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206 </w:t>
            </w:r>
            <w:r>
              <w:rPr>
                <w:rFonts w:hint="eastAsia" w:ascii="仿宋_GB2312" w:hAnsi="宋体" w:eastAsia="仿宋_GB2312" w:cs="宋体"/>
                <w:kern w:val="0"/>
                <w:sz w:val="18"/>
                <w:szCs w:val="18"/>
                <w:highlight w:val="none"/>
              </w:rPr>
              <w:t>科学技术支出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207 </w:t>
            </w:r>
            <w:r>
              <w:rPr>
                <w:rFonts w:hint="eastAsia" w:ascii="仿宋_GB2312" w:hAnsi="宋体" w:eastAsia="仿宋_GB2312" w:cs="宋体"/>
                <w:kern w:val="0"/>
                <w:sz w:val="18"/>
                <w:szCs w:val="18"/>
                <w:highlight w:val="none"/>
              </w:rPr>
              <w:t>文化体育与传媒支出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208 </w:t>
            </w:r>
            <w:r>
              <w:rPr>
                <w:rFonts w:hint="eastAsia" w:ascii="仿宋_GB2312" w:hAnsi="宋体" w:eastAsia="仿宋_GB2312" w:cs="宋体"/>
                <w:kern w:val="0"/>
                <w:sz w:val="18"/>
                <w:szCs w:val="18"/>
                <w:highlight w:val="none"/>
              </w:rPr>
              <w:t>社会保障和就业支出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209 </w:t>
            </w:r>
            <w:r>
              <w:rPr>
                <w:rFonts w:hint="eastAsia" w:ascii="仿宋_GB2312" w:hAnsi="宋体" w:eastAsia="仿宋_GB2312" w:cs="宋体"/>
                <w:kern w:val="0"/>
                <w:sz w:val="18"/>
                <w:szCs w:val="18"/>
                <w:highlight w:val="none"/>
              </w:rPr>
              <w:t>社会保险基金支出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5"/>
                <w:szCs w:val="15"/>
                <w:highlight w:val="none"/>
              </w:rPr>
            </w:pPr>
            <w:r>
              <w:rPr>
                <w:rFonts w:ascii="仿宋_GB2312" w:hAnsi="宋体" w:eastAsia="仿宋_GB2312" w:cs="宋体"/>
                <w:kern w:val="0"/>
                <w:sz w:val="15"/>
                <w:szCs w:val="15"/>
                <w:highlight w:val="none"/>
              </w:rPr>
              <w:t xml:space="preserve">210 </w:t>
            </w:r>
            <w:r>
              <w:rPr>
                <w:rFonts w:hint="eastAsia" w:ascii="仿宋_GB2312" w:hAnsi="宋体" w:eastAsia="仿宋_GB2312" w:cs="宋体"/>
                <w:kern w:val="0"/>
                <w:sz w:val="15"/>
                <w:szCs w:val="15"/>
                <w:highlight w:val="none"/>
              </w:rPr>
              <w:t>医疗卫生与计划生育支出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211 </w:t>
            </w:r>
            <w:r>
              <w:rPr>
                <w:rFonts w:hint="eastAsia" w:ascii="仿宋_GB2312" w:hAnsi="宋体" w:eastAsia="仿宋_GB2312" w:cs="宋体"/>
                <w:kern w:val="0"/>
                <w:sz w:val="18"/>
                <w:szCs w:val="18"/>
                <w:highlight w:val="none"/>
              </w:rPr>
              <w:t>节能环保支出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212 </w:t>
            </w:r>
            <w:r>
              <w:rPr>
                <w:rFonts w:hint="eastAsia" w:ascii="仿宋_GB2312" w:hAnsi="宋体" w:eastAsia="仿宋_GB2312" w:cs="宋体"/>
                <w:kern w:val="0"/>
                <w:sz w:val="18"/>
                <w:szCs w:val="18"/>
                <w:highlight w:val="none"/>
              </w:rPr>
              <w:t>城乡社区支出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213 </w:t>
            </w:r>
            <w:r>
              <w:rPr>
                <w:rFonts w:hint="eastAsia" w:ascii="仿宋_GB2312" w:hAnsi="宋体" w:eastAsia="仿宋_GB2312" w:cs="宋体"/>
                <w:kern w:val="0"/>
                <w:sz w:val="18"/>
                <w:szCs w:val="18"/>
                <w:highlight w:val="none"/>
              </w:rPr>
              <w:t>农林水支出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214 </w:t>
            </w:r>
            <w:r>
              <w:rPr>
                <w:rFonts w:hint="eastAsia" w:ascii="仿宋_GB2312" w:hAnsi="宋体" w:eastAsia="仿宋_GB2312" w:cs="宋体"/>
                <w:kern w:val="0"/>
                <w:sz w:val="18"/>
                <w:szCs w:val="18"/>
                <w:highlight w:val="none"/>
              </w:rPr>
              <w:t>交通运输支出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215 </w:t>
            </w:r>
            <w:r>
              <w:rPr>
                <w:rFonts w:hint="eastAsia" w:ascii="仿宋_GB2312" w:hAnsi="宋体" w:eastAsia="仿宋_GB2312" w:cs="宋体"/>
                <w:kern w:val="0"/>
                <w:sz w:val="18"/>
                <w:szCs w:val="18"/>
                <w:highlight w:val="none"/>
              </w:rPr>
              <w:t>资源勘探信息等支出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216 </w:t>
            </w:r>
            <w:r>
              <w:rPr>
                <w:rFonts w:hint="eastAsia" w:ascii="仿宋_GB2312" w:hAnsi="宋体" w:eastAsia="仿宋_GB2312" w:cs="宋体"/>
                <w:kern w:val="0"/>
                <w:sz w:val="18"/>
                <w:szCs w:val="18"/>
                <w:highlight w:val="none"/>
              </w:rPr>
              <w:t>商业服务业等支出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217 </w:t>
            </w:r>
            <w:r>
              <w:rPr>
                <w:rFonts w:hint="eastAsia" w:ascii="仿宋_GB2312" w:hAnsi="宋体" w:eastAsia="仿宋_GB2312" w:cs="宋体"/>
                <w:kern w:val="0"/>
                <w:sz w:val="18"/>
                <w:szCs w:val="18"/>
                <w:highlight w:val="none"/>
              </w:rPr>
              <w:t>金融支出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219 </w:t>
            </w:r>
            <w:r>
              <w:rPr>
                <w:rFonts w:hint="eastAsia" w:ascii="仿宋_GB2312" w:hAnsi="宋体" w:eastAsia="仿宋_GB2312" w:cs="宋体"/>
                <w:kern w:val="0"/>
                <w:sz w:val="18"/>
                <w:szCs w:val="18"/>
                <w:highlight w:val="none"/>
              </w:rPr>
              <w:t>援助其他地区支出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220 </w:t>
            </w:r>
            <w:r>
              <w:rPr>
                <w:rFonts w:hint="eastAsia" w:ascii="仿宋_GB2312" w:hAnsi="宋体" w:eastAsia="仿宋_GB2312" w:cs="宋体"/>
                <w:kern w:val="0"/>
                <w:sz w:val="18"/>
                <w:szCs w:val="18"/>
                <w:highlight w:val="none"/>
              </w:rPr>
              <w:t>国土资源气象等支出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221 </w:t>
            </w:r>
            <w:r>
              <w:rPr>
                <w:rFonts w:hint="eastAsia" w:ascii="仿宋_GB2312" w:hAnsi="宋体" w:eastAsia="仿宋_GB2312" w:cs="宋体"/>
                <w:kern w:val="0"/>
                <w:sz w:val="18"/>
                <w:szCs w:val="18"/>
                <w:highlight w:val="none"/>
              </w:rPr>
              <w:t>住房保障支出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222 </w:t>
            </w:r>
            <w:r>
              <w:rPr>
                <w:rFonts w:hint="eastAsia" w:ascii="仿宋_GB2312" w:hAnsi="宋体" w:eastAsia="仿宋_GB2312" w:cs="宋体"/>
                <w:kern w:val="0"/>
                <w:sz w:val="18"/>
                <w:szCs w:val="18"/>
                <w:highlight w:val="none"/>
              </w:rPr>
              <w:t>粮油物资管理支出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5"/>
                <w:szCs w:val="15"/>
                <w:highlight w:val="none"/>
              </w:rPr>
            </w:pPr>
            <w:r>
              <w:rPr>
                <w:rFonts w:ascii="仿宋_GB2312" w:hAnsi="宋体" w:eastAsia="仿宋_GB2312" w:cs="宋体"/>
                <w:kern w:val="0"/>
                <w:sz w:val="15"/>
                <w:szCs w:val="15"/>
                <w:highlight w:val="none"/>
              </w:rPr>
              <w:t>2</w:t>
            </w:r>
            <w:r>
              <w:rPr>
                <w:rFonts w:ascii="仿宋_GB2312" w:hAnsi="宋体" w:eastAsia="仿宋_GB2312" w:cs="宋体"/>
                <w:color w:val="000000"/>
                <w:kern w:val="0"/>
                <w:sz w:val="15"/>
                <w:szCs w:val="15"/>
                <w:highlight w:val="none"/>
              </w:rPr>
              <w:t xml:space="preserve">23 </w:t>
            </w:r>
            <w:r>
              <w:rPr>
                <w:rFonts w:hint="eastAsia" w:ascii="仿宋_GB2312" w:hAnsi="宋体" w:eastAsia="仿宋_GB2312" w:cs="宋体"/>
                <w:color w:val="000000"/>
                <w:kern w:val="0"/>
                <w:sz w:val="15"/>
                <w:szCs w:val="15"/>
                <w:highlight w:val="none"/>
              </w:rPr>
              <w:t>国有资本经营预算支出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227 </w:t>
            </w:r>
            <w:r>
              <w:rPr>
                <w:rFonts w:hint="eastAsia" w:ascii="仿宋_GB2312" w:hAnsi="宋体" w:eastAsia="仿宋_GB2312" w:cs="宋体"/>
                <w:kern w:val="0"/>
                <w:sz w:val="18"/>
                <w:szCs w:val="18"/>
                <w:highlight w:val="none"/>
              </w:rPr>
              <w:t>预备费</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229 </w:t>
            </w:r>
            <w:r>
              <w:rPr>
                <w:rFonts w:hint="eastAsia" w:ascii="仿宋_GB2312" w:hAnsi="宋体" w:eastAsia="仿宋_GB2312" w:cs="宋体"/>
                <w:kern w:val="0"/>
                <w:sz w:val="18"/>
                <w:szCs w:val="18"/>
                <w:highlight w:val="none"/>
              </w:rPr>
              <w:t>其他支出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2</w:t>
            </w:r>
            <w:r>
              <w:rPr>
                <w:rFonts w:ascii="仿宋_GB2312" w:hAnsi="宋体" w:eastAsia="仿宋_GB2312" w:cs="宋体"/>
                <w:color w:val="000000"/>
                <w:kern w:val="0"/>
                <w:sz w:val="18"/>
                <w:szCs w:val="18"/>
                <w:highlight w:val="none"/>
              </w:rPr>
              <w:t xml:space="preserve">31 </w:t>
            </w:r>
            <w:r>
              <w:rPr>
                <w:rFonts w:hint="eastAsia" w:ascii="仿宋_GB2312" w:hAnsi="宋体" w:eastAsia="仿宋_GB2312" w:cs="宋体"/>
                <w:color w:val="000000"/>
                <w:kern w:val="0"/>
                <w:sz w:val="18"/>
                <w:szCs w:val="18"/>
                <w:highlight w:val="none"/>
              </w:rPr>
              <w:t>债务还本支出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highlight w:val="none"/>
              </w:rPr>
            </w:pPr>
            <w:r>
              <w:rPr>
                <w:rFonts w:hint="eastAsia" w:ascii="宋体" w:hAnsi="宋体" w:cs="宋体"/>
                <w:color w:val="000000"/>
                <w:kern w:val="0"/>
                <w:sz w:val="22"/>
                <w:szCs w:val="22"/>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2</w:t>
            </w:r>
            <w:r>
              <w:rPr>
                <w:rFonts w:ascii="仿宋_GB2312" w:hAnsi="宋体" w:eastAsia="仿宋_GB2312" w:cs="宋体"/>
                <w:color w:val="000000"/>
                <w:kern w:val="0"/>
                <w:sz w:val="18"/>
                <w:szCs w:val="18"/>
                <w:highlight w:val="none"/>
              </w:rPr>
              <w:t xml:space="preserve">32 </w:t>
            </w:r>
            <w:r>
              <w:rPr>
                <w:rFonts w:hint="eastAsia" w:ascii="仿宋_GB2312" w:hAnsi="宋体" w:eastAsia="仿宋_GB2312" w:cs="宋体"/>
                <w:color w:val="000000"/>
                <w:kern w:val="0"/>
                <w:sz w:val="18"/>
                <w:szCs w:val="18"/>
                <w:highlight w:val="none"/>
              </w:rPr>
              <w:t>债务付息支出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highlight w:val="none"/>
              </w:rPr>
            </w:pPr>
            <w:r>
              <w:rPr>
                <w:rFonts w:hint="eastAsia" w:ascii="宋体" w:hAnsi="宋体" w:cs="宋体"/>
                <w:color w:val="000000"/>
                <w:kern w:val="0"/>
                <w:sz w:val="22"/>
                <w:szCs w:val="22"/>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highlight w:val="none"/>
              </w:rPr>
            </w:pPr>
            <w:r>
              <w:rPr>
                <w:rFonts w:hint="eastAsia" w:ascii="宋体" w:hAnsi="宋体" w:cs="宋体"/>
                <w:color w:val="000000"/>
                <w:kern w:val="0"/>
                <w:sz w:val="22"/>
                <w:szCs w:val="22"/>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233</w:t>
            </w:r>
            <w:r>
              <w:rPr>
                <w:rFonts w:ascii="仿宋_GB2312" w:hAnsi="宋体" w:eastAsia="仿宋_GB2312" w:cs="宋体"/>
                <w:color w:val="000000"/>
                <w:kern w:val="0"/>
                <w:sz w:val="18"/>
                <w:szCs w:val="18"/>
                <w:highlight w:val="none"/>
              </w:rPr>
              <w:t xml:space="preserve"> </w:t>
            </w:r>
            <w:r>
              <w:rPr>
                <w:rFonts w:hint="eastAsia" w:ascii="仿宋_GB2312" w:hAnsi="宋体" w:eastAsia="仿宋_GB2312" w:cs="宋体"/>
                <w:color w:val="000000"/>
                <w:kern w:val="0"/>
                <w:sz w:val="18"/>
                <w:szCs w:val="18"/>
                <w:highlight w:val="none"/>
              </w:rPr>
              <w:t>债务发行费支出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kern w:val="0"/>
                <w:sz w:val="20"/>
                <w:szCs w:val="20"/>
                <w:highlight w:val="none"/>
              </w:rPr>
              <w:t>小</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计</w:t>
            </w:r>
          </w:p>
        </w:tc>
        <w:tc>
          <w:tcPr>
            <w:tcW w:w="123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1394.18</w:t>
            </w:r>
          </w:p>
          <w:p>
            <w:pPr>
              <w:widowControl/>
              <w:jc w:val="lef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1394.181313131394.181394.18</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highlight w:val="none"/>
              </w:rPr>
            </w:pPr>
            <w:r>
              <w:rPr>
                <w:rFonts w:hint="eastAsia" w:ascii="仿宋_GB2312" w:hAnsi="宋体" w:eastAsia="仿宋_GB2312" w:cs="宋体"/>
                <w:kern w:val="0"/>
                <w:sz w:val="20"/>
                <w:szCs w:val="20"/>
                <w:highlight w:val="none"/>
              </w:rPr>
              <w:t>小</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计</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仿宋_GB2312" w:hAnsi="宋体" w:eastAsia="仿宋_GB2312" w:cs="宋体"/>
                <w:color w:val="000000"/>
                <w:kern w:val="0"/>
                <w:sz w:val="22"/>
                <w:szCs w:val="22"/>
                <w:highlight w:val="none"/>
              </w:rPr>
              <w:t>1394.18</w:t>
            </w:r>
            <w:r>
              <w:rPr>
                <w:rFonts w:hint="eastAsia" w:ascii="宋体" w:hAnsi="宋体" w:cs="宋体"/>
                <w:color w:val="000000"/>
                <w:kern w:val="0"/>
                <w:sz w:val="22"/>
                <w:szCs w:val="22"/>
                <w:highlight w:val="none"/>
              </w:rPr>
              <w:t>　</w:t>
            </w:r>
          </w:p>
        </w:tc>
        <w:tc>
          <w:tcPr>
            <w:tcW w:w="1418" w:type="dxa"/>
            <w:tcBorders>
              <w:top w:val="nil"/>
              <w:left w:val="nil"/>
              <w:bottom w:val="single" w:color="auto" w:sz="4" w:space="0"/>
              <w:right w:val="single" w:color="auto" w:sz="4" w:space="0"/>
            </w:tcBorders>
            <w:noWrap/>
            <w:vAlign w:val="center"/>
          </w:tcPr>
          <w:p>
            <w:pPr>
              <w:widowControl/>
              <w:jc w:val="right"/>
              <w:rPr>
                <w:rFonts w:ascii="宋体" w:cs="宋体"/>
                <w:kern w:val="0"/>
                <w:sz w:val="18"/>
                <w:szCs w:val="18"/>
                <w:highlight w:val="none"/>
              </w:rPr>
            </w:pPr>
            <w:r>
              <w:rPr>
                <w:rFonts w:hint="eastAsia" w:ascii="仿宋_GB2312" w:hAnsi="宋体" w:eastAsia="仿宋_GB2312" w:cs="宋体"/>
                <w:color w:val="000000"/>
                <w:kern w:val="0"/>
                <w:sz w:val="22"/>
                <w:szCs w:val="22"/>
                <w:highlight w:val="none"/>
              </w:rPr>
              <w:t>1394.18</w:t>
            </w:r>
            <w:r>
              <w:rPr>
                <w:rFonts w:hint="eastAsia" w:ascii="宋体" w:hAnsi="宋体" w:cs="宋体"/>
                <w:color w:val="000000"/>
                <w:kern w:val="0"/>
                <w:sz w:val="22"/>
                <w:szCs w:val="22"/>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　</w:t>
            </w:r>
          </w:p>
        </w:tc>
        <w:tc>
          <w:tcPr>
            <w:tcW w:w="1230" w:type="dxa"/>
            <w:tcBorders>
              <w:top w:val="nil"/>
              <w:left w:val="nil"/>
              <w:bottom w:val="single" w:color="auto" w:sz="4" w:space="0"/>
              <w:right w:val="single" w:color="auto" w:sz="4" w:space="0"/>
            </w:tcBorders>
            <w:noWrap/>
            <w:vAlign w:val="center"/>
          </w:tcPr>
          <w:p>
            <w:pPr>
              <w:widowControl/>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0"/>
                <w:szCs w:val="20"/>
                <w:highlight w:val="none"/>
              </w:rPr>
            </w:pPr>
            <w:r>
              <w:rPr>
                <w:rFonts w:ascii="仿宋_GB2312" w:hAnsi="宋体" w:eastAsia="仿宋_GB2312" w:cs="宋体"/>
                <w:kern w:val="0"/>
                <w:sz w:val="20"/>
                <w:szCs w:val="20"/>
                <w:highlight w:val="none"/>
              </w:rPr>
              <w:t xml:space="preserve">230 </w:t>
            </w:r>
            <w:r>
              <w:rPr>
                <w:rFonts w:hint="eastAsia" w:ascii="仿宋_GB2312" w:hAnsi="宋体" w:eastAsia="仿宋_GB2312" w:cs="宋体"/>
                <w:kern w:val="0"/>
                <w:sz w:val="20"/>
                <w:szCs w:val="20"/>
                <w:highlight w:val="none"/>
              </w:rPr>
              <w:t>转移性支出</w:t>
            </w:r>
          </w:p>
        </w:tc>
        <w:tc>
          <w:tcPr>
            <w:tcW w:w="1294"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highlight w:val="none"/>
              </w:rPr>
            </w:pPr>
            <w:r>
              <w:rPr>
                <w:rFonts w:hint="eastAsia" w:ascii="宋体" w:hAnsi="宋体"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highlight w:val="none"/>
              </w:rPr>
            </w:pPr>
            <w:r>
              <w:rPr>
                <w:rFonts w:hint="eastAsia" w:ascii="宋体" w:hAnsi="宋体"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收</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入</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总</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计</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支</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出</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总</w:t>
            </w:r>
            <w:r>
              <w:rPr>
                <w:rFonts w:ascii="仿宋_GB2312" w:hAnsi="宋体" w:eastAsia="仿宋_GB2312" w:cs="宋体"/>
                <w:kern w:val="0"/>
                <w:sz w:val="20"/>
                <w:szCs w:val="20"/>
                <w:highlight w:val="none"/>
              </w:rPr>
              <w:t xml:space="preserve">  </w:t>
            </w:r>
            <w:r>
              <w:rPr>
                <w:rFonts w:hint="eastAsia" w:ascii="仿宋_GB2312" w:hAnsi="宋体" w:eastAsia="仿宋_GB2312" w:cs="宋体"/>
                <w:kern w:val="0"/>
                <w:sz w:val="20"/>
                <w:szCs w:val="20"/>
                <w:highlight w:val="none"/>
              </w:rPr>
              <w:t>计</w:t>
            </w:r>
          </w:p>
        </w:tc>
        <w:tc>
          <w:tcPr>
            <w:tcW w:w="1294"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color w:val="000000"/>
                <w:kern w:val="0"/>
                <w:sz w:val="22"/>
                <w:szCs w:val="22"/>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color w:val="000000"/>
                <w:kern w:val="0"/>
                <w:sz w:val="22"/>
                <w:szCs w:val="22"/>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cs="宋体"/>
                <w:kern w:val="0"/>
                <w:sz w:val="18"/>
                <w:szCs w:val="18"/>
                <w:highlight w:val="none"/>
              </w:rPr>
            </w:pPr>
            <w:r>
              <w:rPr>
                <w:rFonts w:hint="eastAsia" w:ascii="宋体" w:hAnsi="宋体" w:cs="宋体"/>
                <w:kern w:val="0"/>
                <w:sz w:val="18"/>
                <w:szCs w:val="18"/>
                <w:highlight w:val="none"/>
              </w:rPr>
              <w:t>　</w:t>
            </w:r>
          </w:p>
        </w:tc>
      </w:tr>
    </w:tbl>
    <w:p>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outlineLvl w:val="1"/>
        <w:rPr>
          <w:rFonts w:ascii="仿宋_GB2312" w:hAnsi="宋体" w:eastAsia="仿宋_GB2312"/>
          <w:b/>
          <w:kern w:val="0"/>
          <w:sz w:val="28"/>
          <w:szCs w:val="32"/>
          <w:highlight w:val="none"/>
        </w:rPr>
      </w:pPr>
    </w:p>
    <w:p>
      <w:pPr>
        <w:widowControl/>
        <w:outlineLvl w:val="1"/>
        <w:rPr>
          <w:rFonts w:ascii="仿宋_GB2312" w:hAnsi="宋体" w:eastAsia="仿宋_GB2312"/>
          <w:b/>
          <w:kern w:val="0"/>
          <w:sz w:val="28"/>
          <w:szCs w:val="32"/>
          <w:highlight w:val="none"/>
        </w:rPr>
      </w:pPr>
    </w:p>
    <w:p>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表五：</w:t>
      </w:r>
    </w:p>
    <w:tbl>
      <w:tblPr>
        <w:tblStyle w:val="7"/>
        <w:tblW w:w="9087" w:type="dxa"/>
        <w:tblInd w:w="93" w:type="dxa"/>
        <w:tblLayout w:type="fixed"/>
        <w:tblCellMar>
          <w:top w:w="0" w:type="dxa"/>
          <w:left w:w="108" w:type="dxa"/>
          <w:bottom w:w="0" w:type="dxa"/>
          <w:right w:w="108" w:type="dxa"/>
        </w:tblCellMar>
      </w:tblPr>
      <w:tblGrid>
        <w:gridCol w:w="441"/>
        <w:gridCol w:w="492"/>
        <w:gridCol w:w="417"/>
        <w:gridCol w:w="2510"/>
        <w:gridCol w:w="660"/>
        <w:gridCol w:w="1024"/>
        <w:gridCol w:w="216"/>
        <w:gridCol w:w="1626"/>
        <w:gridCol w:w="1701"/>
      </w:tblGrid>
      <w:tr>
        <w:tblPrEx>
          <w:tblCellMar>
            <w:top w:w="0" w:type="dxa"/>
            <w:left w:w="108" w:type="dxa"/>
            <w:bottom w:w="0" w:type="dxa"/>
            <w:right w:w="108" w:type="dxa"/>
          </w:tblCellMar>
        </w:tblPrEx>
        <w:trPr>
          <w:trHeight w:val="450" w:hRule="atLeast"/>
        </w:trPr>
        <w:tc>
          <w:tcPr>
            <w:tcW w:w="9087" w:type="dxa"/>
            <w:gridSpan w:val="9"/>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一般公共预算支出情况表</w:t>
            </w:r>
          </w:p>
        </w:tc>
      </w:tr>
      <w:tr>
        <w:tblPrEx>
          <w:tblCellMar>
            <w:top w:w="0" w:type="dxa"/>
            <w:left w:w="108" w:type="dxa"/>
            <w:bottom w:w="0" w:type="dxa"/>
            <w:right w:w="108" w:type="dxa"/>
          </w:tblCellMar>
        </w:tblPrEx>
        <w:trPr>
          <w:trHeight w:val="285" w:hRule="atLeast"/>
        </w:trPr>
        <w:tc>
          <w:tcPr>
            <w:tcW w:w="3860" w:type="dxa"/>
            <w:gridSpan w:val="4"/>
            <w:tcBorders>
              <w:top w:val="nil"/>
              <w:left w:val="nil"/>
              <w:bottom w:val="nil"/>
              <w:right w:val="nil"/>
            </w:tcBorders>
            <w:noWrap/>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编制部门：</w:t>
            </w:r>
            <w:r>
              <w:rPr>
                <w:rFonts w:hint="eastAsia" w:ascii="仿宋_GB2312" w:hAnsi="宋体" w:eastAsia="仿宋_GB2312"/>
                <w:kern w:val="0"/>
                <w:sz w:val="24"/>
                <w:highlight w:val="none"/>
                <w:lang w:eastAsia="zh-CN"/>
              </w:rPr>
              <w:t>昌吉州社会主义学院</w:t>
            </w:r>
            <w:r>
              <w:rPr>
                <w:rFonts w:ascii="仿宋_GB2312" w:hAnsi="宋体" w:eastAsia="仿宋_GB2312"/>
                <w:kern w:val="0"/>
                <w:sz w:val="24"/>
                <w:highlight w:val="none"/>
              </w:rPr>
              <w:t xml:space="preserve">    </w:t>
            </w:r>
            <w:r>
              <w:rPr>
                <w:rFonts w:hint="eastAsia" w:ascii="仿宋_GB2312" w:hAnsi="宋体" w:eastAsia="仿宋_GB2312"/>
                <w:kern w:val="0"/>
                <w:sz w:val="24"/>
                <w:highlight w:val="none"/>
                <w:lang w:val="en-US" w:eastAsia="zh-CN"/>
              </w:rPr>
              <w:t xml:space="preserve">         </w:t>
            </w:r>
          </w:p>
        </w:tc>
        <w:tc>
          <w:tcPr>
            <w:tcW w:w="660" w:type="dxa"/>
            <w:tcBorders>
              <w:top w:val="nil"/>
              <w:left w:val="nil"/>
              <w:bottom w:val="nil"/>
              <w:right w:val="nil"/>
            </w:tcBorders>
            <w:noWrap/>
            <w:vAlign w:val="center"/>
          </w:tcPr>
          <w:p>
            <w:pPr>
              <w:widowControl/>
              <w:jc w:val="left"/>
              <w:rPr>
                <w:rFonts w:ascii="仿宋_GB2312" w:hAnsi="宋体" w:eastAsia="仿宋_GB2312" w:cs="宋体"/>
                <w:color w:val="000000"/>
                <w:kern w:val="0"/>
                <w:sz w:val="24"/>
                <w:highlight w:val="none"/>
              </w:rPr>
            </w:pPr>
          </w:p>
        </w:tc>
        <w:tc>
          <w:tcPr>
            <w:tcW w:w="1240"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highlight w:val="none"/>
              </w:rPr>
            </w:pPr>
            <w:r>
              <w:rPr>
                <w:rFonts w:ascii="仿宋_GB2312" w:hAnsi="宋体" w:eastAsia="仿宋_GB2312" w:cs="宋体"/>
                <w:color w:val="000000"/>
                <w:kern w:val="0"/>
                <w:sz w:val="24"/>
                <w:highlight w:val="none"/>
              </w:rPr>
              <w:t xml:space="preserve">  </w:t>
            </w:r>
          </w:p>
        </w:tc>
        <w:tc>
          <w:tcPr>
            <w:tcW w:w="3327" w:type="dxa"/>
            <w:gridSpan w:val="2"/>
            <w:tcBorders>
              <w:top w:val="nil"/>
              <w:left w:val="nil"/>
              <w:bottom w:val="nil"/>
              <w:right w:val="nil"/>
            </w:tcBorders>
            <w:noWrap/>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单位：万元</w:t>
            </w:r>
          </w:p>
        </w:tc>
      </w:tr>
      <w:tr>
        <w:tblPrEx>
          <w:tblCellMar>
            <w:top w:w="0" w:type="dxa"/>
            <w:left w:w="108" w:type="dxa"/>
            <w:bottom w:w="0" w:type="dxa"/>
            <w:right w:w="108" w:type="dxa"/>
          </w:tblCellMar>
        </w:tblPrEx>
        <w:trPr>
          <w:trHeight w:val="405" w:hRule="atLeast"/>
        </w:trPr>
        <w:tc>
          <w:tcPr>
            <w:tcW w:w="3860"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项目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一般公共预算支出</w:t>
            </w:r>
          </w:p>
        </w:tc>
      </w:tr>
      <w:tr>
        <w:tblPrEx>
          <w:tblCellMar>
            <w:top w:w="0" w:type="dxa"/>
            <w:left w:w="108" w:type="dxa"/>
            <w:bottom w:w="0" w:type="dxa"/>
            <w:right w:w="108" w:type="dxa"/>
          </w:tblCellMar>
        </w:tblPrEx>
        <w:trPr>
          <w:trHeight w:val="465" w:hRule="atLeast"/>
        </w:trPr>
        <w:tc>
          <w:tcPr>
            <w:tcW w:w="1350"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小计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项目支出</w:t>
            </w:r>
          </w:p>
        </w:tc>
      </w:tr>
      <w:tr>
        <w:tblPrEx>
          <w:tblCellMar>
            <w:top w:w="0" w:type="dxa"/>
            <w:left w:w="108" w:type="dxa"/>
            <w:bottom w:w="0" w:type="dxa"/>
            <w:right w:w="108" w:type="dxa"/>
          </w:tblCellMar>
        </w:tblPrEx>
        <w:trPr>
          <w:trHeight w:val="30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205</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01</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99</w:t>
            </w:r>
          </w:p>
        </w:tc>
        <w:tc>
          <w:tcPr>
            <w:tcW w:w="251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其他教育管理事务支出</w:t>
            </w: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highlight w:val="none"/>
              </w:rPr>
            </w:pPr>
            <w:r>
              <w:rPr>
                <w:rFonts w:hint="eastAsia" w:ascii="仿宋_GB2312" w:hAnsi="宋体" w:eastAsia="仿宋_GB2312" w:cs="宋体"/>
                <w:color w:val="000000"/>
                <w:kern w:val="0"/>
                <w:sz w:val="22"/>
                <w:szCs w:val="22"/>
                <w:highlight w:val="none"/>
              </w:rPr>
              <w:t>1394.18</w:t>
            </w: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　567.18</w:t>
            </w: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highlight w:val="none"/>
              </w:rPr>
            </w:pPr>
            <w:r>
              <w:rPr>
                <w:rFonts w:hint="eastAsia" w:ascii="仿宋_GB2312" w:hAnsi="宋体" w:eastAsia="仿宋_GB2312" w:cs="宋体"/>
                <w:b/>
                <w:color w:val="000000"/>
                <w:kern w:val="0"/>
                <w:sz w:val="20"/>
                <w:szCs w:val="20"/>
                <w:highlight w:val="none"/>
              </w:rPr>
              <w:t>　827</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c>
          <w:tcPr>
            <w:tcW w:w="2510"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highlight w:val="none"/>
              </w:rPr>
            </w:pPr>
            <w:r>
              <w:rPr>
                <w:rFonts w:hint="eastAsia" w:ascii="宋体" w:hAnsi="宋体" w:cs="宋体"/>
                <w:color w:val="000000"/>
                <w:kern w:val="0"/>
                <w:sz w:val="20"/>
                <w:szCs w:val="20"/>
                <w:highlight w:val="none"/>
              </w:rPr>
              <w:t>合计</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r>
    </w:tbl>
    <w:p>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outlineLvl w:val="1"/>
        <w:rPr>
          <w:rFonts w:ascii="仿宋_GB2312" w:hAnsi="宋体" w:eastAsia="仿宋_GB2312"/>
          <w:b/>
          <w:kern w:val="0"/>
          <w:sz w:val="28"/>
          <w:szCs w:val="32"/>
          <w:highlight w:val="none"/>
        </w:rPr>
      </w:pPr>
    </w:p>
    <w:p>
      <w:pPr>
        <w:widowControl/>
        <w:outlineLvl w:val="1"/>
        <w:rPr>
          <w:rFonts w:ascii="仿宋_GB2312" w:hAnsi="宋体" w:eastAsia="仿宋_GB2312"/>
          <w:b/>
          <w:kern w:val="0"/>
          <w:sz w:val="28"/>
          <w:szCs w:val="32"/>
          <w:highlight w:val="none"/>
        </w:rPr>
      </w:pPr>
    </w:p>
    <w:p>
      <w:pPr>
        <w:widowControl/>
        <w:outlineLvl w:val="1"/>
        <w:rPr>
          <w:rFonts w:ascii="仿宋_GB2312" w:hAnsi="宋体" w:eastAsia="仿宋_GB2312"/>
          <w:b/>
          <w:kern w:val="0"/>
          <w:sz w:val="28"/>
          <w:szCs w:val="32"/>
          <w:highlight w:val="none"/>
        </w:rPr>
      </w:pPr>
    </w:p>
    <w:p>
      <w:pPr>
        <w:widowControl/>
        <w:outlineLvl w:val="1"/>
        <w:rPr>
          <w:rFonts w:ascii="仿宋_GB2312" w:hAnsi="宋体" w:eastAsia="仿宋_GB2312"/>
          <w:b/>
          <w:kern w:val="0"/>
          <w:sz w:val="28"/>
          <w:szCs w:val="32"/>
          <w:highlight w:val="none"/>
        </w:rPr>
      </w:pPr>
    </w:p>
    <w:p>
      <w:pPr>
        <w:widowControl/>
        <w:outlineLvl w:val="1"/>
        <w:rPr>
          <w:rFonts w:ascii="仿宋_GB2312" w:hAnsi="宋体" w:eastAsia="仿宋_GB2312"/>
          <w:b/>
          <w:kern w:val="0"/>
          <w:sz w:val="28"/>
          <w:szCs w:val="32"/>
          <w:highlight w:val="none"/>
        </w:rPr>
      </w:pPr>
    </w:p>
    <w:p>
      <w:pPr>
        <w:widowControl/>
        <w:outlineLvl w:val="1"/>
        <w:rPr>
          <w:rFonts w:ascii="仿宋_GB2312" w:hAnsi="宋体" w:eastAsia="仿宋_GB2312"/>
          <w:b/>
          <w:kern w:val="0"/>
          <w:sz w:val="28"/>
          <w:szCs w:val="32"/>
          <w:highlight w:val="none"/>
        </w:rPr>
      </w:pPr>
    </w:p>
    <w:p>
      <w:pPr>
        <w:widowControl/>
        <w:outlineLvl w:val="1"/>
        <w:rPr>
          <w:rFonts w:ascii="仿宋_GB2312" w:hAnsi="宋体" w:eastAsia="仿宋_GB2312"/>
          <w:b/>
          <w:kern w:val="0"/>
          <w:sz w:val="28"/>
          <w:szCs w:val="32"/>
          <w:highlight w:val="none"/>
        </w:rPr>
      </w:pPr>
    </w:p>
    <w:p>
      <w:pPr>
        <w:widowControl/>
        <w:outlineLvl w:val="1"/>
        <w:rPr>
          <w:rFonts w:ascii="仿宋_GB2312" w:hAnsi="宋体" w:eastAsia="仿宋_GB2312"/>
          <w:b/>
          <w:kern w:val="0"/>
          <w:sz w:val="28"/>
          <w:szCs w:val="32"/>
          <w:highlight w:val="none"/>
        </w:rPr>
      </w:pPr>
    </w:p>
    <w:p>
      <w:pPr>
        <w:widowControl/>
        <w:outlineLvl w:val="1"/>
        <w:rPr>
          <w:rFonts w:ascii="仿宋_GB2312" w:hAnsi="宋体" w:eastAsia="仿宋_GB2312"/>
          <w:b/>
          <w:kern w:val="0"/>
          <w:sz w:val="28"/>
          <w:szCs w:val="32"/>
          <w:highlight w:val="none"/>
        </w:rPr>
      </w:pPr>
    </w:p>
    <w:p>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表六：</w:t>
      </w:r>
    </w:p>
    <w:tbl>
      <w:tblPr>
        <w:tblStyle w:val="7"/>
        <w:tblW w:w="9087" w:type="dxa"/>
        <w:tblInd w:w="93" w:type="dxa"/>
        <w:tblLayout w:type="fixed"/>
        <w:tblCellMar>
          <w:top w:w="0" w:type="dxa"/>
          <w:left w:w="108" w:type="dxa"/>
          <w:bottom w:w="0" w:type="dxa"/>
          <w:right w:w="108" w:type="dxa"/>
        </w:tblCellMar>
      </w:tblPr>
      <w:tblGrid>
        <w:gridCol w:w="516"/>
        <w:gridCol w:w="577"/>
        <w:gridCol w:w="2891"/>
        <w:gridCol w:w="995"/>
        <w:gridCol w:w="706"/>
        <w:gridCol w:w="976"/>
        <w:gridCol w:w="725"/>
        <w:gridCol w:w="1701"/>
      </w:tblGrid>
      <w:tr>
        <w:tblPrEx>
          <w:tblCellMar>
            <w:top w:w="0" w:type="dxa"/>
            <w:left w:w="108" w:type="dxa"/>
            <w:bottom w:w="0" w:type="dxa"/>
            <w:right w:w="108" w:type="dxa"/>
          </w:tblCellMar>
        </w:tblPrEx>
        <w:trPr>
          <w:trHeight w:val="375" w:hRule="atLeast"/>
        </w:trPr>
        <w:tc>
          <w:tcPr>
            <w:tcW w:w="9087" w:type="dxa"/>
            <w:gridSpan w:val="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一般公共预算基本支出情况表</w:t>
            </w:r>
          </w:p>
        </w:tc>
      </w:tr>
      <w:tr>
        <w:tblPrEx>
          <w:tblCellMar>
            <w:top w:w="0" w:type="dxa"/>
            <w:left w:w="108" w:type="dxa"/>
            <w:bottom w:w="0" w:type="dxa"/>
            <w:right w:w="108" w:type="dxa"/>
          </w:tblCellMar>
        </w:tblPrEx>
        <w:trPr>
          <w:trHeight w:val="405" w:hRule="atLeast"/>
        </w:trPr>
        <w:tc>
          <w:tcPr>
            <w:tcW w:w="3984"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编制部门：</w:t>
            </w:r>
            <w:r>
              <w:rPr>
                <w:rFonts w:hint="eastAsia" w:ascii="仿宋_GB2312" w:hAnsi="宋体" w:eastAsia="仿宋_GB2312"/>
                <w:kern w:val="0"/>
                <w:sz w:val="24"/>
                <w:highlight w:val="none"/>
                <w:lang w:eastAsia="zh-CN"/>
              </w:rPr>
              <w:t>昌吉州社会主义学院</w:t>
            </w:r>
            <w:r>
              <w:rPr>
                <w:rFonts w:ascii="仿宋_GB2312" w:hAnsi="宋体" w:eastAsia="仿宋_GB2312"/>
                <w:kern w:val="0"/>
                <w:sz w:val="24"/>
                <w:highlight w:val="none"/>
              </w:rPr>
              <w:t xml:space="preserve">    </w:t>
            </w:r>
            <w:r>
              <w:rPr>
                <w:rFonts w:hint="eastAsia" w:ascii="仿宋_GB2312" w:hAnsi="宋体" w:eastAsia="仿宋_GB2312"/>
                <w:kern w:val="0"/>
                <w:sz w:val="24"/>
                <w:highlight w:val="none"/>
                <w:lang w:val="en-US" w:eastAsia="zh-CN"/>
              </w:rPr>
              <w:t xml:space="preserve">         </w:t>
            </w:r>
          </w:p>
        </w:tc>
        <w:tc>
          <w:tcPr>
            <w:tcW w:w="995" w:type="dxa"/>
            <w:tcBorders>
              <w:top w:val="nil"/>
              <w:left w:val="nil"/>
              <w:bottom w:val="nil"/>
              <w:right w:val="nil"/>
            </w:tcBorders>
            <w:noWrap/>
            <w:vAlign w:val="center"/>
          </w:tcPr>
          <w:p>
            <w:pPr>
              <w:widowControl/>
              <w:jc w:val="left"/>
              <w:rPr>
                <w:rFonts w:ascii="仿宋_GB2312" w:hAnsi="宋体" w:eastAsia="仿宋_GB2312" w:cs="宋体"/>
                <w:color w:val="000000"/>
                <w:kern w:val="0"/>
                <w:sz w:val="24"/>
                <w:highlight w:val="none"/>
              </w:rPr>
            </w:pPr>
          </w:p>
        </w:tc>
        <w:tc>
          <w:tcPr>
            <w:tcW w:w="1682"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highlight w:val="none"/>
              </w:rPr>
            </w:pPr>
            <w:r>
              <w:rPr>
                <w:rFonts w:ascii="仿宋_GB2312" w:hAnsi="宋体" w:eastAsia="仿宋_GB2312" w:cs="宋体"/>
                <w:color w:val="000000"/>
                <w:kern w:val="0"/>
                <w:sz w:val="24"/>
                <w:highlight w:val="none"/>
              </w:rPr>
              <w:t xml:space="preserve">          </w:t>
            </w:r>
          </w:p>
        </w:tc>
        <w:tc>
          <w:tcPr>
            <w:tcW w:w="2426" w:type="dxa"/>
            <w:gridSpan w:val="2"/>
            <w:tcBorders>
              <w:top w:val="nil"/>
              <w:left w:val="nil"/>
              <w:bottom w:val="nil"/>
              <w:right w:val="nil"/>
            </w:tcBorders>
            <w:noWrap/>
            <w:vAlign w:val="center"/>
          </w:tcPr>
          <w:p>
            <w:pPr>
              <w:widowControl/>
              <w:ind w:firstLine="720" w:firstLineChars="300"/>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单位：万元</w:t>
            </w:r>
          </w:p>
        </w:tc>
      </w:tr>
      <w:tr>
        <w:tblPrEx>
          <w:tblCellMar>
            <w:top w:w="0" w:type="dxa"/>
            <w:left w:w="108" w:type="dxa"/>
            <w:bottom w:w="0" w:type="dxa"/>
            <w:right w:w="108" w:type="dxa"/>
          </w:tblCellMar>
        </w:tblPrEx>
        <w:trPr>
          <w:trHeight w:val="390" w:hRule="atLeast"/>
        </w:trPr>
        <w:tc>
          <w:tcPr>
            <w:tcW w:w="3984"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一般公共预算基本支出</w:t>
            </w:r>
          </w:p>
        </w:tc>
      </w:tr>
      <w:tr>
        <w:tblPrEx>
          <w:tblCellMar>
            <w:top w:w="0" w:type="dxa"/>
            <w:left w:w="108" w:type="dxa"/>
            <w:bottom w:w="0" w:type="dxa"/>
            <w:right w:w="108" w:type="dxa"/>
          </w:tblCellMar>
        </w:tblPrEx>
        <w:trPr>
          <w:trHeight w:val="495" w:hRule="atLeast"/>
        </w:trPr>
        <w:tc>
          <w:tcPr>
            <w:tcW w:w="1093"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小计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公用经费</w:t>
            </w:r>
          </w:p>
        </w:tc>
      </w:tr>
      <w:tr>
        <w:tblPrEx>
          <w:tblCellMar>
            <w:top w:w="0" w:type="dxa"/>
            <w:left w:w="108" w:type="dxa"/>
            <w:bottom w:w="0" w:type="dxa"/>
            <w:right w:w="108" w:type="dxa"/>
          </w:tblCellMar>
        </w:tblPrEx>
        <w:trPr>
          <w:trHeight w:val="270"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highlight w:val="none"/>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highlight w:val="none"/>
              </w:rPr>
            </w:pPr>
          </w:p>
        </w:tc>
      </w:tr>
      <w:tr>
        <w:tblPrEx>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highlight w:val="none"/>
              </w:rPr>
            </w:pPr>
            <w:r>
              <w:rPr>
                <w:rFonts w:hint="eastAsia" w:ascii="仿宋_GB2312" w:hAnsi="宋体" w:eastAsia="仿宋_GB2312" w:cs="宋体"/>
                <w:color w:val="000000"/>
                <w:kern w:val="0"/>
                <w:sz w:val="20"/>
                <w:szCs w:val="20"/>
                <w:highlight w:val="none"/>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highlight w:val="none"/>
              </w:rPr>
            </w:pPr>
            <w:r>
              <w:rPr>
                <w:rFonts w:hint="eastAsia" w:ascii="仿宋_GB2312" w:hAnsi="宋体" w:eastAsia="仿宋_GB2312" w:cs="宋体"/>
                <w:color w:val="000000"/>
                <w:kern w:val="0"/>
                <w:sz w:val="20"/>
                <w:szCs w:val="20"/>
                <w:highlight w:val="none"/>
              </w:rPr>
              <w:t>01</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highlight w:val="none"/>
              </w:rPr>
            </w:pPr>
            <w:r>
              <w:rPr>
                <w:rFonts w:hint="eastAsia" w:ascii="仿宋_GB2312" w:hAnsi="宋体" w:eastAsia="仿宋_GB2312" w:cs="宋体"/>
                <w:color w:val="000000"/>
                <w:kern w:val="0"/>
                <w:sz w:val="20"/>
                <w:szCs w:val="20"/>
                <w:highlight w:val="none"/>
              </w:rPr>
              <w:t>基本工资</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91.64</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tabs>
                <w:tab w:val="left" w:pos="272"/>
              </w:tabs>
              <w:jc w:val="center"/>
              <w:rPr>
                <w:rFonts w:ascii="仿宋_GB2312" w:hAnsi="宋体" w:eastAsia="仿宋_GB2312" w:cs="宋体"/>
                <w:color w:val="000000"/>
                <w:kern w:val="0"/>
                <w:sz w:val="20"/>
                <w:szCs w:val="20"/>
                <w:highlight w:val="none"/>
              </w:rPr>
            </w:pPr>
            <w:r>
              <w:rPr>
                <w:rFonts w:hint="eastAsia" w:ascii="仿宋_GB2312" w:hAnsi="宋体" w:eastAsia="仿宋_GB2312" w:cs="宋体"/>
                <w:color w:val="000000"/>
                <w:kern w:val="0"/>
                <w:sz w:val="20"/>
                <w:szCs w:val="20"/>
                <w:highlight w:val="none"/>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highlight w:val="none"/>
              </w:rPr>
            </w:pPr>
            <w:r>
              <w:rPr>
                <w:rFonts w:hint="eastAsia" w:ascii="仿宋_GB2312" w:hAnsi="宋体" w:eastAsia="仿宋_GB2312" w:cs="宋体"/>
                <w:color w:val="000000"/>
                <w:kern w:val="0"/>
                <w:sz w:val="20"/>
                <w:szCs w:val="20"/>
                <w:highlight w:val="none"/>
              </w:rPr>
              <w:t>02</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highlight w:val="none"/>
              </w:rPr>
            </w:pPr>
            <w:r>
              <w:rPr>
                <w:rFonts w:hint="eastAsia" w:ascii="仿宋_GB2312" w:hAnsi="宋体" w:eastAsia="仿宋_GB2312" w:cs="宋体"/>
                <w:color w:val="000000"/>
                <w:kern w:val="0"/>
                <w:sz w:val="20"/>
                <w:szCs w:val="20"/>
                <w:highlight w:val="none"/>
              </w:rPr>
              <w:t>津贴补贴</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18.58</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highlight w:val="none"/>
              </w:rPr>
            </w:pPr>
            <w:r>
              <w:rPr>
                <w:rFonts w:hint="eastAsia" w:ascii="宋体" w:cs="宋体"/>
                <w:color w:val="000000"/>
                <w:kern w:val="0"/>
                <w:sz w:val="20"/>
                <w:szCs w:val="20"/>
                <w:highlight w:val="none"/>
              </w:rPr>
              <w:t>301</w:t>
            </w:r>
          </w:p>
        </w:tc>
        <w:tc>
          <w:tcPr>
            <w:tcW w:w="57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highlight w:val="none"/>
              </w:rPr>
            </w:pPr>
            <w:r>
              <w:rPr>
                <w:rFonts w:hint="eastAsia" w:ascii="宋体" w:hAnsi="宋体" w:cs="宋体"/>
                <w:color w:val="000000"/>
                <w:kern w:val="0"/>
                <w:sz w:val="20"/>
                <w:szCs w:val="20"/>
                <w:highlight w:val="none"/>
              </w:rPr>
              <w:t>03</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highlight w:val="none"/>
              </w:rPr>
            </w:pPr>
            <w:r>
              <w:rPr>
                <w:rFonts w:hint="eastAsia" w:ascii="仿宋_GB2312" w:hAnsi="宋体" w:eastAsia="仿宋_GB2312" w:cs="宋体"/>
                <w:color w:val="000000"/>
                <w:kern w:val="0"/>
                <w:sz w:val="20"/>
                <w:szCs w:val="20"/>
                <w:highlight w:val="none"/>
              </w:rPr>
              <w:t>奖金</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gridSpan w:val="2"/>
            <w:tcBorders>
              <w:top w:val="nil"/>
              <w:left w:val="nil"/>
              <w:bottom w:val="single" w:color="auto" w:sz="4" w:space="0"/>
              <w:right w:val="single" w:color="auto" w:sz="4" w:space="0"/>
            </w:tcBorders>
            <w:vAlign w:val="center"/>
          </w:tcPr>
          <w:p>
            <w:pPr>
              <w:widowControl/>
              <w:ind w:right="147" w:rightChars="70"/>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6.09</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highlight w:val="none"/>
              </w:rPr>
            </w:pPr>
            <w:r>
              <w:rPr>
                <w:rFonts w:hint="eastAsia" w:ascii="宋体" w:hAnsi="宋体" w:cs="宋体"/>
                <w:color w:val="000000"/>
                <w:kern w:val="0"/>
                <w:sz w:val="20"/>
                <w:szCs w:val="20"/>
                <w:highlight w:val="none"/>
              </w:rPr>
              <w:t>301</w:t>
            </w:r>
          </w:p>
        </w:tc>
        <w:tc>
          <w:tcPr>
            <w:tcW w:w="57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highlight w:val="none"/>
              </w:rPr>
            </w:pPr>
            <w:r>
              <w:rPr>
                <w:rFonts w:hint="eastAsia" w:ascii="宋体" w:hAnsi="宋体" w:cs="宋体"/>
                <w:color w:val="000000"/>
                <w:kern w:val="0"/>
                <w:sz w:val="20"/>
                <w:szCs w:val="20"/>
                <w:highlight w:val="none"/>
              </w:rPr>
              <w:t>06</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highlight w:val="none"/>
              </w:rPr>
            </w:pPr>
            <w:r>
              <w:rPr>
                <w:rFonts w:hint="eastAsia" w:ascii="仿宋_GB2312" w:hAnsi="宋体" w:eastAsia="仿宋_GB2312" w:cs="宋体"/>
                <w:color w:val="000000"/>
                <w:kern w:val="0"/>
                <w:sz w:val="20"/>
                <w:szCs w:val="20"/>
                <w:highlight w:val="none"/>
              </w:rPr>
              <w:t>伙食补助</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21.42</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highlight w:val="none"/>
              </w:rPr>
            </w:pPr>
            <w:r>
              <w:rPr>
                <w:rFonts w:hint="eastAsia" w:ascii="宋体" w:hAnsi="宋体" w:cs="宋体"/>
                <w:color w:val="000000"/>
                <w:kern w:val="0"/>
                <w:sz w:val="20"/>
                <w:szCs w:val="20"/>
                <w:highlight w:val="none"/>
              </w:rPr>
              <w:t>301</w:t>
            </w:r>
          </w:p>
        </w:tc>
        <w:tc>
          <w:tcPr>
            <w:tcW w:w="57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highlight w:val="none"/>
              </w:rPr>
            </w:pPr>
            <w:r>
              <w:rPr>
                <w:rFonts w:hint="eastAsia" w:ascii="宋体" w:hAnsi="宋体" w:cs="宋体"/>
                <w:color w:val="000000"/>
                <w:kern w:val="0"/>
                <w:sz w:val="20"/>
                <w:szCs w:val="20"/>
                <w:highlight w:val="none"/>
              </w:rPr>
              <w:t>13</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highlight w:val="none"/>
              </w:rPr>
            </w:pPr>
            <w:r>
              <w:rPr>
                <w:rFonts w:hint="eastAsia" w:ascii="仿宋_GB2312" w:hAnsi="宋体" w:eastAsia="仿宋_GB2312" w:cs="宋体"/>
                <w:color w:val="000000"/>
                <w:kern w:val="0"/>
                <w:sz w:val="20"/>
                <w:szCs w:val="20"/>
                <w:highlight w:val="none"/>
              </w:rPr>
              <w:t>住房公积金</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17.66</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highlight w:val="none"/>
              </w:rPr>
            </w:pPr>
            <w:r>
              <w:rPr>
                <w:rFonts w:hint="eastAsia" w:ascii="宋体" w:hAnsi="宋体" w:cs="宋体"/>
                <w:color w:val="000000"/>
                <w:kern w:val="0"/>
                <w:sz w:val="20"/>
                <w:szCs w:val="20"/>
                <w:highlight w:val="none"/>
              </w:rPr>
              <w:t>301</w:t>
            </w:r>
          </w:p>
        </w:tc>
        <w:tc>
          <w:tcPr>
            <w:tcW w:w="57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highlight w:val="none"/>
              </w:rPr>
            </w:pPr>
            <w:r>
              <w:rPr>
                <w:rFonts w:hint="eastAsia" w:ascii="宋体" w:hAnsi="宋体" w:cs="宋体"/>
                <w:color w:val="000000"/>
                <w:kern w:val="0"/>
                <w:sz w:val="20"/>
                <w:szCs w:val="20"/>
                <w:highlight w:val="none"/>
              </w:rPr>
              <w:t>07</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highlight w:val="none"/>
              </w:rPr>
            </w:pPr>
            <w:r>
              <w:rPr>
                <w:rFonts w:hint="eastAsia" w:ascii="仿宋_GB2312" w:hAnsi="宋体" w:eastAsia="仿宋_GB2312" w:cs="宋体"/>
                <w:color w:val="000000"/>
                <w:kern w:val="0"/>
                <w:sz w:val="20"/>
                <w:szCs w:val="20"/>
                <w:highlight w:val="none"/>
              </w:rPr>
              <w:t>基础性绩效工资</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19.44</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highlight w:val="none"/>
              </w:rPr>
            </w:pPr>
            <w:r>
              <w:rPr>
                <w:rFonts w:hint="eastAsia" w:ascii="宋体" w:hAnsi="宋体" w:cs="宋体"/>
                <w:color w:val="000000"/>
                <w:kern w:val="0"/>
                <w:sz w:val="20"/>
                <w:szCs w:val="20"/>
                <w:highlight w:val="none"/>
              </w:rPr>
              <w:t>301</w:t>
            </w:r>
          </w:p>
        </w:tc>
        <w:tc>
          <w:tcPr>
            <w:tcW w:w="57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highlight w:val="none"/>
              </w:rPr>
            </w:pPr>
            <w:r>
              <w:rPr>
                <w:rFonts w:hint="eastAsia" w:ascii="宋体" w:hAnsi="宋体" w:cs="宋体"/>
                <w:color w:val="000000"/>
                <w:kern w:val="0"/>
                <w:sz w:val="20"/>
                <w:szCs w:val="20"/>
                <w:highlight w:val="none"/>
              </w:rPr>
              <w:t>07</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highlight w:val="none"/>
              </w:rPr>
            </w:pPr>
            <w:r>
              <w:rPr>
                <w:rFonts w:hint="eastAsia" w:ascii="仿宋_GB2312" w:hAnsi="宋体" w:eastAsia="仿宋_GB2312" w:cs="宋体"/>
                <w:color w:val="000000"/>
                <w:kern w:val="0"/>
                <w:sz w:val="20"/>
                <w:szCs w:val="20"/>
                <w:highlight w:val="none"/>
              </w:rPr>
              <w:t>奖励性绩效工资</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11.39</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highlight w:val="none"/>
              </w:rPr>
            </w:pPr>
            <w:r>
              <w:rPr>
                <w:rFonts w:hint="eastAsia" w:ascii="宋体" w:hAnsi="宋体" w:cs="宋体"/>
                <w:color w:val="000000"/>
                <w:kern w:val="0"/>
                <w:sz w:val="20"/>
                <w:szCs w:val="20"/>
                <w:highlight w:val="none"/>
              </w:rPr>
              <w:t>301</w:t>
            </w:r>
          </w:p>
        </w:tc>
        <w:tc>
          <w:tcPr>
            <w:tcW w:w="57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highlight w:val="none"/>
              </w:rPr>
            </w:pPr>
            <w:r>
              <w:rPr>
                <w:rFonts w:hint="eastAsia" w:ascii="宋体" w:hAnsi="宋体" w:cs="宋体"/>
                <w:color w:val="000000"/>
                <w:kern w:val="0"/>
                <w:sz w:val="20"/>
                <w:szCs w:val="20"/>
                <w:highlight w:val="none"/>
              </w:rPr>
              <w:t>99</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highlight w:val="none"/>
              </w:rPr>
            </w:pPr>
            <w:r>
              <w:rPr>
                <w:rFonts w:hint="eastAsia" w:ascii="仿宋_GB2312" w:hAnsi="宋体" w:eastAsia="仿宋_GB2312" w:cs="宋体"/>
                <w:color w:val="000000"/>
                <w:kern w:val="0"/>
                <w:sz w:val="20"/>
                <w:szCs w:val="20"/>
                <w:highlight w:val="none"/>
              </w:rPr>
              <w:t>员额控制人员经费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26.34</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highlight w:val="none"/>
              </w:rPr>
            </w:pPr>
            <w:r>
              <w:rPr>
                <w:rFonts w:hint="eastAsia" w:ascii="宋体" w:hAnsi="宋体" w:cs="宋体"/>
                <w:color w:val="000000"/>
                <w:kern w:val="0"/>
                <w:sz w:val="20"/>
                <w:szCs w:val="20"/>
                <w:highlight w:val="none"/>
              </w:rPr>
              <w:t>301</w:t>
            </w:r>
          </w:p>
        </w:tc>
        <w:tc>
          <w:tcPr>
            <w:tcW w:w="57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highlight w:val="none"/>
              </w:rPr>
            </w:pPr>
            <w:r>
              <w:rPr>
                <w:rFonts w:hint="eastAsia" w:ascii="宋体" w:hAnsi="宋体" w:cs="宋体"/>
                <w:color w:val="000000"/>
                <w:kern w:val="0"/>
                <w:sz w:val="20"/>
                <w:szCs w:val="20"/>
                <w:highlight w:val="none"/>
              </w:rPr>
              <w:t>08</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highlight w:val="none"/>
              </w:rPr>
            </w:pPr>
            <w:r>
              <w:rPr>
                <w:rFonts w:hint="eastAsia" w:ascii="仿宋_GB2312" w:hAnsi="宋体" w:eastAsia="仿宋_GB2312" w:cs="宋体"/>
                <w:color w:val="000000"/>
                <w:kern w:val="0"/>
                <w:sz w:val="20"/>
                <w:szCs w:val="20"/>
                <w:highlight w:val="none"/>
              </w:rPr>
              <w:t>机关事业单位基本养老保险</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29.43</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highlight w:val="none"/>
              </w:rPr>
            </w:pPr>
            <w:r>
              <w:rPr>
                <w:rFonts w:hint="eastAsia" w:ascii="宋体" w:hAnsi="宋体" w:cs="宋体"/>
                <w:color w:val="000000"/>
                <w:kern w:val="0"/>
                <w:sz w:val="20"/>
                <w:szCs w:val="20"/>
                <w:highlight w:val="none"/>
              </w:rPr>
              <w:t>301</w:t>
            </w:r>
          </w:p>
        </w:tc>
        <w:tc>
          <w:tcPr>
            <w:tcW w:w="57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highlight w:val="none"/>
              </w:rPr>
            </w:pPr>
            <w:r>
              <w:rPr>
                <w:rFonts w:hint="eastAsia" w:ascii="宋体" w:hAnsi="宋体" w:cs="宋体"/>
                <w:color w:val="000000"/>
                <w:kern w:val="0"/>
                <w:sz w:val="20"/>
                <w:szCs w:val="20"/>
                <w:highlight w:val="none"/>
              </w:rPr>
              <w:t>10</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highlight w:val="none"/>
              </w:rPr>
            </w:pPr>
            <w:r>
              <w:rPr>
                <w:rFonts w:hint="eastAsia" w:ascii="仿宋_GB2312" w:hAnsi="宋体" w:eastAsia="仿宋_GB2312" w:cs="宋体"/>
                <w:color w:val="000000"/>
                <w:kern w:val="0"/>
                <w:sz w:val="20"/>
                <w:szCs w:val="20"/>
                <w:highlight w:val="none"/>
              </w:rPr>
              <w:t>职工基本医疗保险</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24.87</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highlight w:val="none"/>
              </w:rPr>
            </w:pPr>
            <w:r>
              <w:rPr>
                <w:rFonts w:hint="eastAsia" w:ascii="宋体" w:hAnsi="宋体" w:cs="宋体"/>
                <w:color w:val="000000"/>
                <w:kern w:val="0"/>
                <w:sz w:val="20"/>
                <w:szCs w:val="20"/>
                <w:highlight w:val="none"/>
              </w:rPr>
              <w:t>301</w:t>
            </w:r>
          </w:p>
        </w:tc>
        <w:tc>
          <w:tcPr>
            <w:tcW w:w="57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highlight w:val="none"/>
              </w:rPr>
            </w:pPr>
            <w:r>
              <w:rPr>
                <w:rFonts w:hint="eastAsia" w:ascii="宋体" w:hAnsi="宋体" w:cs="宋体"/>
                <w:color w:val="000000"/>
                <w:kern w:val="0"/>
                <w:sz w:val="20"/>
                <w:szCs w:val="20"/>
                <w:highlight w:val="none"/>
              </w:rPr>
              <w:t>11</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highlight w:val="none"/>
              </w:rPr>
            </w:pPr>
            <w:r>
              <w:rPr>
                <w:rFonts w:hint="eastAsia" w:ascii="仿宋_GB2312" w:hAnsi="宋体" w:eastAsia="仿宋_GB2312" w:cs="宋体"/>
                <w:color w:val="000000"/>
                <w:kern w:val="0"/>
                <w:sz w:val="20"/>
                <w:szCs w:val="20"/>
                <w:highlight w:val="none"/>
              </w:rPr>
              <w:t>公务员医疗补助</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19.34</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highlight w:val="none"/>
              </w:rPr>
            </w:pPr>
            <w:r>
              <w:rPr>
                <w:rFonts w:hint="eastAsia" w:ascii="宋体" w:hAnsi="宋体" w:cs="宋体"/>
                <w:color w:val="000000"/>
                <w:kern w:val="0"/>
                <w:sz w:val="20"/>
                <w:szCs w:val="20"/>
                <w:highlight w:val="none"/>
              </w:rPr>
              <w:t>301</w:t>
            </w:r>
          </w:p>
        </w:tc>
        <w:tc>
          <w:tcPr>
            <w:tcW w:w="57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highlight w:val="none"/>
              </w:rPr>
            </w:pPr>
            <w:r>
              <w:rPr>
                <w:rFonts w:hint="eastAsia" w:ascii="宋体" w:hAnsi="宋体" w:cs="宋体"/>
                <w:color w:val="000000"/>
                <w:kern w:val="0"/>
                <w:sz w:val="20"/>
                <w:szCs w:val="20"/>
                <w:highlight w:val="none"/>
              </w:rPr>
              <w:t>12</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highlight w:val="none"/>
              </w:rPr>
            </w:pPr>
            <w:r>
              <w:rPr>
                <w:rFonts w:hint="eastAsia" w:ascii="仿宋_GB2312" w:hAnsi="宋体" w:eastAsia="仿宋_GB2312" w:cs="宋体"/>
                <w:color w:val="000000"/>
                <w:kern w:val="0"/>
                <w:sz w:val="20"/>
                <w:szCs w:val="20"/>
                <w:highlight w:val="none"/>
              </w:rPr>
              <w:t>失业保险</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0.3</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highlight w:val="none"/>
              </w:rPr>
            </w:pPr>
            <w:r>
              <w:rPr>
                <w:rFonts w:hint="eastAsia" w:ascii="宋体" w:hAnsi="宋体" w:cs="宋体"/>
                <w:color w:val="000000"/>
                <w:kern w:val="0"/>
                <w:sz w:val="20"/>
                <w:szCs w:val="20"/>
                <w:highlight w:val="none"/>
              </w:rPr>
              <w:t>301</w:t>
            </w:r>
          </w:p>
        </w:tc>
        <w:tc>
          <w:tcPr>
            <w:tcW w:w="57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highlight w:val="none"/>
              </w:rPr>
            </w:pPr>
            <w:r>
              <w:rPr>
                <w:rFonts w:hint="eastAsia" w:ascii="宋体" w:hAnsi="宋体" w:cs="宋体"/>
                <w:color w:val="000000"/>
                <w:kern w:val="0"/>
                <w:sz w:val="20"/>
                <w:szCs w:val="20"/>
                <w:highlight w:val="none"/>
              </w:rPr>
              <w:t>12</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highlight w:val="none"/>
              </w:rPr>
            </w:pPr>
            <w:r>
              <w:rPr>
                <w:rFonts w:hint="eastAsia" w:ascii="仿宋_GB2312" w:hAnsi="宋体" w:eastAsia="仿宋_GB2312" w:cs="宋体"/>
                <w:color w:val="000000"/>
                <w:kern w:val="0"/>
                <w:sz w:val="20"/>
                <w:szCs w:val="20"/>
                <w:highlight w:val="none"/>
              </w:rPr>
              <w:t>工伤保险</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0.12</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highlight w:val="none"/>
              </w:rPr>
            </w:pPr>
            <w:r>
              <w:rPr>
                <w:rFonts w:hint="eastAsia" w:ascii="宋体" w:hAnsi="宋体" w:cs="宋体"/>
                <w:color w:val="000000"/>
                <w:kern w:val="0"/>
                <w:sz w:val="20"/>
                <w:szCs w:val="20"/>
                <w:highlight w:val="none"/>
              </w:rPr>
              <w:t>301</w:t>
            </w:r>
          </w:p>
        </w:tc>
        <w:tc>
          <w:tcPr>
            <w:tcW w:w="57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highlight w:val="none"/>
              </w:rPr>
            </w:pPr>
            <w:r>
              <w:rPr>
                <w:rFonts w:hint="eastAsia" w:ascii="宋体" w:hAnsi="宋体" w:cs="宋体"/>
                <w:color w:val="000000"/>
                <w:kern w:val="0"/>
                <w:sz w:val="20"/>
                <w:szCs w:val="20"/>
                <w:highlight w:val="none"/>
              </w:rPr>
              <w:t>12</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highlight w:val="none"/>
              </w:rPr>
            </w:pPr>
            <w:r>
              <w:rPr>
                <w:rFonts w:hint="eastAsia" w:ascii="仿宋_GB2312" w:hAnsi="宋体" w:eastAsia="仿宋_GB2312" w:cs="宋体"/>
                <w:color w:val="000000"/>
                <w:kern w:val="0"/>
                <w:sz w:val="20"/>
                <w:szCs w:val="20"/>
                <w:highlight w:val="none"/>
              </w:rPr>
              <w:t>生育保险</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0.49</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highlight w:val="none"/>
              </w:rPr>
            </w:pPr>
            <w:r>
              <w:rPr>
                <w:rFonts w:hint="eastAsia" w:ascii="宋体" w:hAnsi="宋体" w:cs="宋体"/>
                <w:color w:val="000000"/>
                <w:kern w:val="0"/>
                <w:sz w:val="20"/>
                <w:szCs w:val="20"/>
                <w:highlight w:val="none"/>
              </w:rPr>
              <w:t>303</w:t>
            </w:r>
          </w:p>
        </w:tc>
        <w:tc>
          <w:tcPr>
            <w:tcW w:w="57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highlight w:val="none"/>
              </w:rPr>
            </w:pPr>
            <w:r>
              <w:rPr>
                <w:rFonts w:hint="eastAsia" w:ascii="宋体" w:hAnsi="宋体" w:cs="宋体"/>
                <w:color w:val="000000"/>
                <w:kern w:val="0"/>
                <w:sz w:val="20"/>
                <w:szCs w:val="20"/>
                <w:highlight w:val="none"/>
              </w:rPr>
              <w:t>01</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highlight w:val="none"/>
              </w:rPr>
            </w:pPr>
            <w:r>
              <w:rPr>
                <w:rFonts w:hint="eastAsia" w:ascii="仿宋_GB2312" w:hAnsi="宋体" w:eastAsia="仿宋_GB2312" w:cs="宋体"/>
                <w:color w:val="000000"/>
                <w:kern w:val="0"/>
                <w:sz w:val="20"/>
                <w:szCs w:val="20"/>
                <w:highlight w:val="none"/>
              </w:rPr>
              <w:t>离休人员生活补贴</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0.44</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highlight w:val="none"/>
              </w:rPr>
            </w:pPr>
            <w:r>
              <w:rPr>
                <w:rFonts w:hint="eastAsia" w:ascii="宋体" w:cs="宋体"/>
                <w:color w:val="000000"/>
                <w:kern w:val="0"/>
                <w:sz w:val="20"/>
                <w:szCs w:val="20"/>
                <w:highlight w:val="none"/>
              </w:rPr>
              <w:t>303</w:t>
            </w:r>
          </w:p>
        </w:tc>
        <w:tc>
          <w:tcPr>
            <w:tcW w:w="57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highlight w:val="none"/>
              </w:rPr>
            </w:pPr>
            <w:r>
              <w:rPr>
                <w:rFonts w:hint="eastAsia" w:ascii="宋体" w:cs="宋体"/>
                <w:color w:val="000000"/>
                <w:kern w:val="0"/>
                <w:sz w:val="20"/>
                <w:szCs w:val="20"/>
                <w:highlight w:val="none"/>
              </w:rPr>
              <w:t>01</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highlight w:val="none"/>
              </w:rPr>
            </w:pPr>
            <w:r>
              <w:rPr>
                <w:rFonts w:hint="eastAsia" w:ascii="仿宋_GB2312" w:hAnsi="宋体" w:eastAsia="仿宋_GB2312" w:cs="宋体"/>
                <w:color w:val="000000"/>
                <w:kern w:val="0"/>
                <w:sz w:val="20"/>
                <w:szCs w:val="20"/>
                <w:highlight w:val="none"/>
              </w:rPr>
              <w:t>护理费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cs="宋体"/>
                <w:color w:val="000000"/>
                <w:kern w:val="0"/>
                <w:sz w:val="20"/>
                <w:szCs w:val="20"/>
                <w:highlight w:val="none"/>
              </w:rPr>
              <w:t>0.72</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r>
      <w:tr>
        <w:tblPrEx>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highlight w:val="none"/>
              </w:rPr>
            </w:pPr>
            <w:r>
              <w:rPr>
                <w:rFonts w:hint="eastAsia" w:ascii="宋体" w:cs="宋体"/>
                <w:color w:val="000000"/>
                <w:kern w:val="0"/>
                <w:sz w:val="20"/>
                <w:szCs w:val="20"/>
                <w:highlight w:val="none"/>
              </w:rPr>
              <w:t>303</w:t>
            </w:r>
          </w:p>
        </w:tc>
        <w:tc>
          <w:tcPr>
            <w:tcW w:w="57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highlight w:val="none"/>
              </w:rPr>
            </w:pPr>
            <w:r>
              <w:rPr>
                <w:rFonts w:hint="eastAsia" w:ascii="宋体" w:cs="宋体"/>
                <w:color w:val="000000"/>
                <w:kern w:val="0"/>
                <w:sz w:val="20"/>
                <w:szCs w:val="20"/>
                <w:highlight w:val="none"/>
              </w:rPr>
              <w:t>05</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highlight w:val="none"/>
              </w:rPr>
            </w:pPr>
            <w:r>
              <w:rPr>
                <w:rFonts w:hint="eastAsia" w:ascii="仿宋_GB2312" w:hAnsi="宋体" w:eastAsia="仿宋_GB2312" w:cs="宋体"/>
                <w:color w:val="000000"/>
                <w:kern w:val="0"/>
                <w:sz w:val="20"/>
                <w:szCs w:val="20"/>
                <w:highlight w:val="none"/>
              </w:rPr>
              <w:t>遗属生活费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cs="宋体"/>
                <w:color w:val="000000"/>
                <w:kern w:val="0"/>
                <w:sz w:val="20"/>
                <w:szCs w:val="20"/>
                <w:highlight w:val="none"/>
              </w:rPr>
              <w:t>0.44</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r>
      <w:tr>
        <w:tblPrEx>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highlight w:val="none"/>
              </w:rPr>
            </w:pPr>
            <w:r>
              <w:rPr>
                <w:rFonts w:hint="eastAsia" w:ascii="宋体" w:cs="宋体"/>
                <w:color w:val="000000"/>
                <w:kern w:val="0"/>
                <w:sz w:val="20"/>
                <w:szCs w:val="20"/>
                <w:highlight w:val="none"/>
              </w:rPr>
              <w:t>303</w:t>
            </w:r>
          </w:p>
        </w:tc>
        <w:tc>
          <w:tcPr>
            <w:tcW w:w="57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highlight w:val="none"/>
              </w:rPr>
            </w:pPr>
            <w:r>
              <w:rPr>
                <w:rFonts w:hint="eastAsia" w:ascii="宋体" w:cs="宋体"/>
                <w:color w:val="000000"/>
                <w:kern w:val="0"/>
                <w:sz w:val="20"/>
                <w:szCs w:val="20"/>
                <w:highlight w:val="none"/>
              </w:rPr>
              <w:t>09</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highlight w:val="none"/>
              </w:rPr>
            </w:pPr>
            <w:r>
              <w:rPr>
                <w:rFonts w:hint="eastAsia" w:ascii="仿宋_GB2312" w:hAnsi="宋体" w:eastAsia="仿宋_GB2312" w:cs="宋体"/>
                <w:color w:val="000000"/>
                <w:kern w:val="0"/>
                <w:sz w:val="20"/>
                <w:szCs w:val="20"/>
                <w:highlight w:val="none"/>
              </w:rPr>
              <w:t>独生子女奖励金</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cs="宋体"/>
                <w:color w:val="000000"/>
                <w:kern w:val="0"/>
                <w:sz w:val="20"/>
                <w:szCs w:val="20"/>
                <w:highlight w:val="none"/>
              </w:rPr>
              <w:t>1.24</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r>
      <w:tr>
        <w:tblPrEx>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highlight w:val="none"/>
              </w:rPr>
            </w:pPr>
            <w:r>
              <w:rPr>
                <w:rFonts w:hint="eastAsia" w:ascii="宋体" w:cs="宋体"/>
                <w:color w:val="000000"/>
                <w:kern w:val="0"/>
                <w:sz w:val="20"/>
                <w:szCs w:val="20"/>
                <w:highlight w:val="none"/>
              </w:rPr>
              <w:t>303</w:t>
            </w:r>
          </w:p>
        </w:tc>
        <w:tc>
          <w:tcPr>
            <w:tcW w:w="57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highlight w:val="none"/>
              </w:rPr>
            </w:pPr>
            <w:r>
              <w:rPr>
                <w:rFonts w:hint="eastAsia" w:ascii="宋体" w:cs="宋体"/>
                <w:color w:val="000000"/>
                <w:kern w:val="0"/>
                <w:sz w:val="20"/>
                <w:szCs w:val="20"/>
                <w:highlight w:val="none"/>
              </w:rPr>
              <w:t>14</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highlight w:val="none"/>
              </w:rPr>
            </w:pPr>
            <w:r>
              <w:rPr>
                <w:rFonts w:hint="eastAsia" w:ascii="仿宋_GB2312" w:hAnsi="宋体" w:eastAsia="仿宋_GB2312" w:cs="宋体"/>
                <w:color w:val="000000"/>
                <w:kern w:val="0"/>
                <w:sz w:val="20"/>
                <w:szCs w:val="20"/>
                <w:highlight w:val="none"/>
              </w:rPr>
              <w:t>职工住宅取暖费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cs="宋体"/>
                <w:color w:val="000000"/>
                <w:kern w:val="0"/>
                <w:sz w:val="20"/>
                <w:szCs w:val="20"/>
                <w:highlight w:val="none"/>
              </w:rPr>
              <w:t>3.6</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r>
      <w:tr>
        <w:tblPrEx>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highlight w:val="none"/>
              </w:rPr>
            </w:pPr>
            <w:r>
              <w:rPr>
                <w:rFonts w:hint="eastAsia" w:ascii="宋体" w:cs="宋体"/>
                <w:color w:val="000000"/>
                <w:kern w:val="0"/>
                <w:sz w:val="20"/>
                <w:szCs w:val="20"/>
                <w:highlight w:val="none"/>
              </w:rPr>
              <w:t>302</w:t>
            </w:r>
          </w:p>
        </w:tc>
        <w:tc>
          <w:tcPr>
            <w:tcW w:w="57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highlight w:val="none"/>
              </w:rPr>
            </w:pPr>
            <w:r>
              <w:rPr>
                <w:rFonts w:hint="eastAsia" w:ascii="宋体" w:cs="宋体"/>
                <w:color w:val="000000"/>
                <w:kern w:val="0"/>
                <w:sz w:val="20"/>
                <w:szCs w:val="20"/>
                <w:highlight w:val="none"/>
              </w:rPr>
              <w:t>99</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highlight w:val="none"/>
              </w:rPr>
            </w:pPr>
            <w:r>
              <w:rPr>
                <w:rFonts w:hint="eastAsia" w:ascii="仿宋_GB2312" w:hAnsi="宋体" w:eastAsia="仿宋_GB2312" w:cs="宋体"/>
                <w:color w:val="000000"/>
                <w:kern w:val="0"/>
                <w:sz w:val="20"/>
                <w:szCs w:val="20"/>
                <w:highlight w:val="none"/>
              </w:rPr>
              <w:t>离退休人员活动费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cs="宋体"/>
                <w:color w:val="000000"/>
                <w:kern w:val="0"/>
                <w:sz w:val="20"/>
                <w:szCs w:val="20"/>
                <w:highlight w:val="none"/>
              </w:rPr>
              <w:t>1.34</w:t>
            </w:r>
          </w:p>
        </w:tc>
      </w:tr>
      <w:tr>
        <w:tblPrEx>
          <w:tblCellMar>
            <w:top w:w="0" w:type="dxa"/>
            <w:left w:w="108" w:type="dxa"/>
            <w:bottom w:w="0" w:type="dxa"/>
            <w:right w:w="108" w:type="dxa"/>
          </w:tblCellMar>
        </w:tblPrEx>
        <w:trPr>
          <w:trHeight w:val="284"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highlight w:val="none"/>
              </w:rPr>
            </w:pPr>
            <w:r>
              <w:rPr>
                <w:rFonts w:hint="eastAsia" w:ascii="宋体" w:cs="宋体"/>
                <w:color w:val="000000"/>
                <w:kern w:val="0"/>
                <w:sz w:val="20"/>
                <w:szCs w:val="20"/>
                <w:highlight w:val="none"/>
              </w:rPr>
              <w:t>302</w:t>
            </w:r>
          </w:p>
        </w:tc>
        <w:tc>
          <w:tcPr>
            <w:tcW w:w="57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highlight w:val="none"/>
              </w:rPr>
            </w:pPr>
            <w:r>
              <w:rPr>
                <w:rFonts w:hint="eastAsia" w:ascii="宋体" w:cs="宋体"/>
                <w:color w:val="000000"/>
                <w:kern w:val="0"/>
                <w:sz w:val="20"/>
                <w:szCs w:val="20"/>
                <w:highlight w:val="none"/>
              </w:rPr>
              <w:t>99</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highlight w:val="none"/>
              </w:rPr>
            </w:pPr>
            <w:r>
              <w:rPr>
                <w:rFonts w:hint="eastAsia" w:ascii="仿宋_GB2312" w:hAnsi="宋体" w:eastAsia="仿宋_GB2312" w:cs="宋体"/>
                <w:color w:val="000000"/>
                <w:kern w:val="0"/>
                <w:sz w:val="20"/>
                <w:szCs w:val="20"/>
                <w:highlight w:val="none"/>
              </w:rPr>
              <w:t>基层党组织活动费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cs="宋体"/>
                <w:color w:val="000000"/>
                <w:kern w:val="0"/>
                <w:sz w:val="20"/>
                <w:szCs w:val="20"/>
                <w:highlight w:val="none"/>
              </w:rPr>
              <w:t>3.49</w:t>
            </w:r>
          </w:p>
        </w:tc>
      </w:tr>
      <w:tr>
        <w:tblPrEx>
          <w:tblCellMar>
            <w:top w:w="0" w:type="dxa"/>
            <w:left w:w="108" w:type="dxa"/>
            <w:bottom w:w="0" w:type="dxa"/>
            <w:right w:w="108" w:type="dxa"/>
          </w:tblCellMar>
        </w:tblPrEx>
        <w:trPr>
          <w:trHeight w:val="284" w:hRule="atLeast"/>
        </w:trPr>
        <w:tc>
          <w:tcPr>
            <w:tcW w:w="51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highlight w:val="none"/>
              </w:rPr>
            </w:pPr>
            <w:r>
              <w:rPr>
                <w:rFonts w:hint="eastAsia" w:ascii="宋体" w:hAnsi="宋体" w:cs="宋体"/>
                <w:color w:val="000000"/>
                <w:kern w:val="0"/>
                <w:sz w:val="20"/>
                <w:szCs w:val="20"/>
                <w:highlight w:val="none"/>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highlight w:val="none"/>
              </w:rPr>
            </w:pPr>
            <w:r>
              <w:rPr>
                <w:rFonts w:hint="eastAsia" w:ascii="宋体" w:hAnsi="宋体" w:cs="宋体"/>
                <w:color w:val="000000"/>
                <w:kern w:val="0"/>
                <w:sz w:val="20"/>
                <w:szCs w:val="20"/>
                <w:highlight w:val="none"/>
              </w:rPr>
              <w:t>01</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highlight w:val="none"/>
              </w:rPr>
            </w:pPr>
            <w:r>
              <w:rPr>
                <w:rFonts w:hint="eastAsia" w:ascii="仿宋_GB2312" w:hAnsi="宋体" w:eastAsia="仿宋_GB2312" w:cs="宋体"/>
                <w:color w:val="000000"/>
                <w:kern w:val="0"/>
                <w:sz w:val="20"/>
                <w:szCs w:val="20"/>
                <w:highlight w:val="none"/>
              </w:rPr>
              <w:t>办公费</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6.67</w:t>
            </w:r>
          </w:p>
        </w:tc>
      </w:tr>
      <w:tr>
        <w:tblPrEx>
          <w:tblCellMar>
            <w:top w:w="0" w:type="dxa"/>
            <w:left w:w="108" w:type="dxa"/>
            <w:bottom w:w="0" w:type="dxa"/>
            <w:right w:w="108" w:type="dxa"/>
          </w:tblCellMar>
        </w:tblPrEx>
        <w:trPr>
          <w:trHeight w:val="284" w:hRule="atLeast"/>
        </w:trPr>
        <w:tc>
          <w:tcPr>
            <w:tcW w:w="51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highlight w:val="none"/>
              </w:rPr>
            </w:pPr>
            <w:r>
              <w:rPr>
                <w:rFonts w:hint="eastAsia" w:ascii="宋体" w:hAnsi="宋体" w:cs="宋体"/>
                <w:color w:val="000000"/>
                <w:kern w:val="0"/>
                <w:sz w:val="20"/>
                <w:szCs w:val="20"/>
                <w:highlight w:val="none"/>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highlight w:val="none"/>
              </w:rPr>
            </w:pPr>
            <w:r>
              <w:rPr>
                <w:rFonts w:hint="eastAsia" w:ascii="宋体" w:hAnsi="宋体" w:cs="宋体"/>
                <w:color w:val="000000"/>
                <w:kern w:val="0"/>
                <w:sz w:val="20"/>
                <w:szCs w:val="20"/>
                <w:highlight w:val="none"/>
              </w:rPr>
              <w:t>02</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highlight w:val="none"/>
              </w:rPr>
            </w:pPr>
            <w:r>
              <w:rPr>
                <w:rFonts w:hint="eastAsia" w:ascii="仿宋_GB2312" w:hAnsi="宋体" w:eastAsia="仿宋_GB2312" w:cs="宋体"/>
                <w:color w:val="000000"/>
                <w:kern w:val="0"/>
                <w:sz w:val="20"/>
                <w:szCs w:val="20"/>
                <w:highlight w:val="none"/>
              </w:rPr>
              <w:t>印刷费</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2.19</w:t>
            </w:r>
          </w:p>
        </w:tc>
      </w:tr>
      <w:tr>
        <w:tblPrEx>
          <w:tblCellMar>
            <w:top w:w="0" w:type="dxa"/>
            <w:left w:w="108" w:type="dxa"/>
            <w:bottom w:w="0" w:type="dxa"/>
            <w:right w:w="108" w:type="dxa"/>
          </w:tblCellMar>
        </w:tblPrEx>
        <w:trPr>
          <w:trHeight w:val="284" w:hRule="atLeast"/>
        </w:trPr>
        <w:tc>
          <w:tcPr>
            <w:tcW w:w="51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highlight w:val="none"/>
              </w:rPr>
            </w:pPr>
            <w:r>
              <w:rPr>
                <w:rFonts w:hint="eastAsia" w:ascii="宋体" w:hAnsi="宋体" w:cs="宋体"/>
                <w:color w:val="000000"/>
                <w:kern w:val="0"/>
                <w:sz w:val="20"/>
                <w:szCs w:val="20"/>
                <w:highlight w:val="none"/>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highlight w:val="none"/>
              </w:rPr>
            </w:pPr>
            <w:r>
              <w:rPr>
                <w:rFonts w:hint="eastAsia" w:ascii="宋体" w:hAnsi="宋体" w:cs="宋体"/>
                <w:color w:val="000000"/>
                <w:kern w:val="0"/>
                <w:sz w:val="20"/>
                <w:szCs w:val="20"/>
                <w:highlight w:val="none"/>
              </w:rPr>
              <w:t>99</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highlight w:val="none"/>
              </w:rPr>
            </w:pPr>
            <w:r>
              <w:rPr>
                <w:rFonts w:hint="eastAsia" w:ascii="仿宋_GB2312" w:hAnsi="宋体" w:eastAsia="仿宋_GB2312" w:cs="宋体"/>
                <w:color w:val="000000"/>
                <w:kern w:val="0"/>
                <w:sz w:val="20"/>
                <w:szCs w:val="20"/>
                <w:highlight w:val="none"/>
              </w:rPr>
              <w:t>其他商品服务支出</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highlight w:val="none"/>
              </w:rPr>
            </w:pPr>
            <w:r>
              <w:rPr>
                <w:rFonts w:hint="eastAsia" w:ascii="宋体" w:hAnsi="宋体" w:cs="宋体"/>
                <w:color w:val="000000"/>
                <w:kern w:val="0"/>
                <w:sz w:val="20"/>
                <w:szCs w:val="20"/>
                <w:highlight w:val="none"/>
              </w:rPr>
              <w:t>　206.9</w:t>
            </w:r>
          </w:p>
        </w:tc>
      </w:tr>
      <w:tr>
        <w:tblPrEx>
          <w:tblCellMar>
            <w:top w:w="0" w:type="dxa"/>
            <w:left w:w="108" w:type="dxa"/>
            <w:bottom w:w="0" w:type="dxa"/>
            <w:right w:w="108" w:type="dxa"/>
          </w:tblCellMar>
        </w:tblPrEx>
        <w:trPr>
          <w:trHeight w:val="284" w:hRule="atLeast"/>
        </w:trPr>
        <w:tc>
          <w:tcPr>
            <w:tcW w:w="51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07</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highlight w:val="none"/>
              </w:rPr>
            </w:pPr>
            <w:r>
              <w:rPr>
                <w:rFonts w:hint="eastAsia" w:ascii="仿宋_GB2312" w:hAnsi="宋体" w:eastAsia="仿宋_GB2312" w:cs="宋体"/>
                <w:color w:val="000000"/>
                <w:kern w:val="0"/>
                <w:sz w:val="20"/>
                <w:szCs w:val="20"/>
                <w:highlight w:val="none"/>
              </w:rPr>
              <w:t>邮电费</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0.6</w:t>
            </w:r>
          </w:p>
        </w:tc>
      </w:tr>
      <w:tr>
        <w:tblPrEx>
          <w:tblCellMar>
            <w:top w:w="0" w:type="dxa"/>
            <w:left w:w="108" w:type="dxa"/>
            <w:bottom w:w="0" w:type="dxa"/>
            <w:right w:w="108" w:type="dxa"/>
          </w:tblCellMar>
        </w:tblPrEx>
        <w:trPr>
          <w:trHeight w:val="284" w:hRule="atLeast"/>
        </w:trPr>
        <w:tc>
          <w:tcPr>
            <w:tcW w:w="51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08</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取暖费</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38</w:t>
            </w:r>
          </w:p>
        </w:tc>
      </w:tr>
      <w:tr>
        <w:tblPrEx>
          <w:tblCellMar>
            <w:top w:w="0" w:type="dxa"/>
            <w:left w:w="108" w:type="dxa"/>
            <w:bottom w:w="0" w:type="dxa"/>
            <w:right w:w="108" w:type="dxa"/>
          </w:tblCellMar>
        </w:tblPrEx>
        <w:trPr>
          <w:trHeight w:val="284" w:hRule="atLeast"/>
        </w:trPr>
        <w:tc>
          <w:tcPr>
            <w:tcW w:w="51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09</w:t>
            </w:r>
          </w:p>
        </w:tc>
        <w:tc>
          <w:tcPr>
            <w:tcW w:w="2891" w:type="dxa"/>
            <w:tcBorders>
              <w:top w:val="single" w:color="auto" w:sz="4" w:space="0"/>
              <w:left w:val="single" w:color="auto" w:sz="4" w:space="0"/>
              <w:bottom w:val="single" w:color="auto" w:sz="4" w:space="0"/>
              <w:right w:val="single" w:color="auto" w:sz="4" w:space="0"/>
            </w:tcBorders>
            <w:vAlign w:val="center"/>
          </w:tcPr>
          <w:p>
            <w:pPr>
              <w:jc w:val="left"/>
              <w:rPr>
                <w:highlight w:val="none"/>
              </w:rPr>
            </w:pPr>
            <w:r>
              <w:rPr>
                <w:rFonts w:hint="eastAsia"/>
                <w:highlight w:val="none"/>
              </w:rPr>
              <w:t>物业管理费</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4.23</w:t>
            </w:r>
          </w:p>
        </w:tc>
      </w:tr>
      <w:tr>
        <w:tblPrEx>
          <w:tblCellMar>
            <w:top w:w="0" w:type="dxa"/>
            <w:left w:w="108" w:type="dxa"/>
            <w:bottom w:w="0" w:type="dxa"/>
            <w:right w:w="108" w:type="dxa"/>
          </w:tblCellMar>
        </w:tblPrEx>
        <w:trPr>
          <w:trHeight w:val="284" w:hRule="atLeast"/>
        </w:trPr>
        <w:tc>
          <w:tcPr>
            <w:tcW w:w="51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11</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差旅费</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1.5</w:t>
            </w:r>
          </w:p>
        </w:tc>
      </w:tr>
      <w:tr>
        <w:tblPrEx>
          <w:tblCellMar>
            <w:top w:w="0" w:type="dxa"/>
            <w:left w:w="108" w:type="dxa"/>
            <w:bottom w:w="0" w:type="dxa"/>
            <w:right w:w="108" w:type="dxa"/>
          </w:tblCellMar>
        </w:tblPrEx>
        <w:trPr>
          <w:trHeight w:val="284" w:hRule="atLeast"/>
        </w:trPr>
        <w:tc>
          <w:tcPr>
            <w:tcW w:w="51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26</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劳务费</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2</w:t>
            </w:r>
          </w:p>
        </w:tc>
      </w:tr>
      <w:tr>
        <w:tblPrEx>
          <w:tblCellMar>
            <w:top w:w="0" w:type="dxa"/>
            <w:left w:w="108" w:type="dxa"/>
            <w:bottom w:w="0" w:type="dxa"/>
            <w:right w:w="108" w:type="dxa"/>
          </w:tblCellMar>
        </w:tblPrEx>
        <w:trPr>
          <w:trHeight w:val="284" w:hRule="atLeast"/>
        </w:trPr>
        <w:tc>
          <w:tcPr>
            <w:tcW w:w="51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27</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委托业务费</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60</w:t>
            </w:r>
          </w:p>
        </w:tc>
      </w:tr>
      <w:tr>
        <w:tblPrEx>
          <w:tblCellMar>
            <w:top w:w="0" w:type="dxa"/>
            <w:left w:w="108" w:type="dxa"/>
            <w:bottom w:w="0" w:type="dxa"/>
            <w:right w:w="108" w:type="dxa"/>
          </w:tblCellMar>
        </w:tblPrEx>
        <w:trPr>
          <w:trHeight w:val="284" w:hRule="atLeast"/>
        </w:trPr>
        <w:tc>
          <w:tcPr>
            <w:tcW w:w="51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28</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工会经费</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1.83</w:t>
            </w:r>
          </w:p>
        </w:tc>
      </w:tr>
      <w:tr>
        <w:tblPrEx>
          <w:tblCellMar>
            <w:top w:w="0" w:type="dxa"/>
            <w:left w:w="108" w:type="dxa"/>
            <w:bottom w:w="0" w:type="dxa"/>
            <w:right w:w="108" w:type="dxa"/>
          </w:tblCellMar>
        </w:tblPrEx>
        <w:trPr>
          <w:trHeight w:val="284" w:hRule="atLeast"/>
        </w:trPr>
        <w:tc>
          <w:tcPr>
            <w:tcW w:w="51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29</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福利费</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3.5</w:t>
            </w:r>
          </w:p>
        </w:tc>
      </w:tr>
      <w:tr>
        <w:tblPrEx>
          <w:tblCellMar>
            <w:top w:w="0" w:type="dxa"/>
            <w:left w:w="108" w:type="dxa"/>
            <w:bottom w:w="0" w:type="dxa"/>
            <w:right w:w="108" w:type="dxa"/>
          </w:tblCellMar>
        </w:tblPrEx>
        <w:trPr>
          <w:trHeight w:val="284" w:hRule="atLeast"/>
        </w:trPr>
        <w:tc>
          <w:tcPr>
            <w:tcW w:w="51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31</w:t>
            </w: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公车运行维护费</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1.38</w:t>
            </w:r>
          </w:p>
        </w:tc>
      </w:tr>
      <w:tr>
        <w:tblPrEx>
          <w:tblCellMar>
            <w:top w:w="0" w:type="dxa"/>
            <w:left w:w="108" w:type="dxa"/>
            <w:bottom w:w="0" w:type="dxa"/>
            <w:right w:w="108" w:type="dxa"/>
          </w:tblCellMar>
        </w:tblPrEx>
        <w:trPr>
          <w:trHeight w:val="402" w:hRule="atLeast"/>
        </w:trPr>
        <w:tc>
          <w:tcPr>
            <w:tcW w:w="516"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合计</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567.18</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293.55</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273.63</w:t>
            </w:r>
          </w:p>
        </w:tc>
      </w:tr>
    </w:tbl>
    <w:p>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表七：</w:t>
      </w:r>
    </w:p>
    <w:tbl>
      <w:tblPr>
        <w:tblStyle w:val="7"/>
        <w:tblW w:w="9469" w:type="dxa"/>
        <w:tblInd w:w="93"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868"/>
        <w:gridCol w:w="320"/>
        <w:gridCol w:w="652"/>
        <w:gridCol w:w="378"/>
        <w:gridCol w:w="200"/>
        <w:gridCol w:w="419"/>
        <w:gridCol w:w="578"/>
        <w:gridCol w:w="420"/>
        <w:gridCol w:w="420"/>
        <w:gridCol w:w="389"/>
        <w:gridCol w:w="8"/>
      </w:tblGrid>
      <w:tr>
        <w:tblPrEx>
          <w:tblCellMar>
            <w:top w:w="0" w:type="dxa"/>
            <w:left w:w="108" w:type="dxa"/>
            <w:bottom w:w="0" w:type="dxa"/>
            <w:right w:w="108" w:type="dxa"/>
          </w:tblCellMar>
        </w:tblPrEx>
        <w:trPr>
          <w:gridBefore w:val="1"/>
          <w:gridAfter w:val="1"/>
          <w:wBefore w:w="8" w:type="dxa"/>
          <w:wAfter w:w="8" w:type="dxa"/>
          <w:trHeight w:val="375" w:hRule="atLeast"/>
        </w:trPr>
        <w:tc>
          <w:tcPr>
            <w:tcW w:w="9453" w:type="dxa"/>
            <w:gridSpan w:val="1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项目支出情况表</w:t>
            </w:r>
          </w:p>
        </w:tc>
      </w:tr>
      <w:tr>
        <w:tblPrEx>
          <w:tblCellMar>
            <w:top w:w="0" w:type="dxa"/>
            <w:left w:w="108" w:type="dxa"/>
            <w:bottom w:w="0" w:type="dxa"/>
            <w:right w:w="108" w:type="dxa"/>
          </w:tblCellMar>
        </w:tblPrEx>
        <w:trPr>
          <w:gridBefore w:val="1"/>
          <w:gridAfter w:val="1"/>
          <w:wBefore w:w="8" w:type="dxa"/>
          <w:wAfter w:w="8" w:type="dxa"/>
          <w:trHeight w:val="405" w:hRule="atLeast"/>
        </w:trPr>
        <w:tc>
          <w:tcPr>
            <w:tcW w:w="4350" w:type="dxa"/>
            <w:gridSpan w:val="7"/>
            <w:tcBorders>
              <w:top w:val="nil"/>
              <w:left w:val="nil"/>
              <w:bottom w:val="nil"/>
              <w:right w:val="nil"/>
            </w:tcBorders>
            <w:noWrap/>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编制部门：</w:t>
            </w:r>
            <w:r>
              <w:rPr>
                <w:rFonts w:hint="eastAsia" w:ascii="仿宋_GB2312" w:hAnsi="宋体" w:eastAsia="仿宋_GB2312"/>
                <w:kern w:val="0"/>
                <w:sz w:val="24"/>
                <w:highlight w:val="none"/>
                <w:lang w:eastAsia="zh-CN"/>
              </w:rPr>
              <w:t>昌吉州社会主义学院</w:t>
            </w:r>
            <w:r>
              <w:rPr>
                <w:rFonts w:ascii="仿宋_GB2312" w:hAnsi="宋体" w:eastAsia="仿宋_GB2312"/>
                <w:kern w:val="0"/>
                <w:sz w:val="24"/>
                <w:highlight w:val="none"/>
              </w:rPr>
              <w:t xml:space="preserve">    </w:t>
            </w:r>
            <w:r>
              <w:rPr>
                <w:rFonts w:hint="eastAsia" w:ascii="仿宋_GB2312" w:hAnsi="宋体" w:eastAsia="仿宋_GB2312"/>
                <w:kern w:val="0"/>
                <w:sz w:val="24"/>
                <w:highlight w:val="none"/>
                <w:lang w:val="en-US" w:eastAsia="zh-CN"/>
              </w:rPr>
              <w:t xml:space="preserve">         </w:t>
            </w:r>
          </w:p>
        </w:tc>
        <w:tc>
          <w:tcPr>
            <w:tcW w:w="1327"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highlight w:val="none"/>
              </w:rPr>
            </w:pPr>
          </w:p>
        </w:tc>
        <w:tc>
          <w:tcPr>
            <w:tcW w:w="1350"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highlight w:val="none"/>
              </w:rPr>
            </w:pPr>
            <w:r>
              <w:rPr>
                <w:rFonts w:ascii="仿宋_GB2312" w:hAnsi="宋体" w:eastAsia="仿宋_GB2312" w:cs="宋体"/>
                <w:color w:val="000000"/>
                <w:kern w:val="0"/>
                <w:sz w:val="24"/>
                <w:highlight w:val="none"/>
              </w:rPr>
              <w:t xml:space="preserve">      </w:t>
            </w:r>
          </w:p>
        </w:tc>
        <w:tc>
          <w:tcPr>
            <w:tcW w:w="2426" w:type="dxa"/>
            <w:gridSpan w:val="6"/>
            <w:tcBorders>
              <w:top w:val="nil"/>
              <w:left w:val="nil"/>
              <w:bottom w:val="nil"/>
              <w:right w:val="nil"/>
            </w:tcBorders>
            <w:noWrap/>
            <w:vAlign w:val="center"/>
          </w:tcPr>
          <w:p>
            <w:pPr>
              <w:widowControl/>
              <w:ind w:firstLine="960" w:firstLineChars="400"/>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noWrap/>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科</w:t>
            </w:r>
            <w:r>
              <w:rPr>
                <w:rFonts w:ascii="仿宋_GB2312" w:hAnsi="宋体" w:eastAsia="仿宋_GB2312"/>
                <w:b/>
                <w:kern w:val="0"/>
                <w:sz w:val="18"/>
                <w:szCs w:val="18"/>
                <w:highlight w:val="none"/>
              </w:rPr>
              <w:t xml:space="preserve"> </w:t>
            </w:r>
            <w:r>
              <w:rPr>
                <w:rFonts w:hint="eastAsia" w:ascii="仿宋_GB2312" w:hAnsi="宋体" w:eastAsia="仿宋_GB2312"/>
                <w:b/>
                <w:kern w:val="0"/>
                <w:sz w:val="18"/>
                <w:szCs w:val="18"/>
                <w:highlight w:val="none"/>
              </w:rPr>
              <w:t>目</w:t>
            </w:r>
            <w:r>
              <w:rPr>
                <w:rFonts w:ascii="仿宋_GB2312" w:hAnsi="宋体" w:eastAsia="仿宋_GB2312"/>
                <w:b/>
                <w:kern w:val="0"/>
                <w:sz w:val="18"/>
                <w:szCs w:val="18"/>
                <w:highlight w:val="none"/>
              </w:rPr>
              <w:t xml:space="preserve"> </w:t>
            </w:r>
            <w:r>
              <w:rPr>
                <w:rFonts w:hint="eastAsia" w:ascii="仿宋_GB2312" w:hAnsi="宋体" w:eastAsia="仿宋_GB2312"/>
                <w:b/>
                <w:kern w:val="0"/>
                <w:sz w:val="18"/>
                <w:szCs w:val="18"/>
                <w:highlight w:val="none"/>
              </w:rPr>
              <w:t>编</w:t>
            </w:r>
            <w:r>
              <w:rPr>
                <w:rFonts w:ascii="仿宋_GB2312" w:hAnsi="宋体" w:eastAsia="仿宋_GB2312"/>
                <w:b/>
                <w:kern w:val="0"/>
                <w:sz w:val="18"/>
                <w:szCs w:val="18"/>
                <w:highlight w:val="none"/>
              </w:rPr>
              <w:t xml:space="preserve"> </w:t>
            </w:r>
            <w:r>
              <w:rPr>
                <w:rFonts w:hint="eastAsia" w:ascii="仿宋_GB2312" w:hAnsi="宋体" w:eastAsia="仿宋_GB2312"/>
                <w:b/>
                <w:kern w:val="0"/>
                <w:sz w:val="18"/>
                <w:szCs w:val="18"/>
                <w:highlight w:val="none"/>
              </w:rPr>
              <w:t>码</w:t>
            </w:r>
          </w:p>
        </w:tc>
        <w:tc>
          <w:tcPr>
            <w:tcW w:w="851" w:type="dxa"/>
            <w:vMerge w:val="restart"/>
            <w:noWrap/>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科目</w:t>
            </w:r>
          </w:p>
        </w:tc>
        <w:tc>
          <w:tcPr>
            <w:tcW w:w="1456" w:type="dxa"/>
            <w:vMerge w:val="restart"/>
            <w:noWrap/>
            <w:vAlign w:val="center"/>
          </w:tcPr>
          <w:p>
            <w:pPr>
              <w:jc w:val="center"/>
              <w:rPr>
                <w:rFonts w:ascii="Calibri" w:hAnsi="Calibri"/>
                <w:sz w:val="24"/>
                <w:highlight w:val="none"/>
              </w:rPr>
            </w:pPr>
            <w:r>
              <w:rPr>
                <w:rFonts w:hint="eastAsia" w:ascii="仿宋_GB2312" w:hAnsi="宋体" w:eastAsia="仿宋_GB2312"/>
                <w:b/>
                <w:kern w:val="0"/>
                <w:sz w:val="24"/>
                <w:highlight w:val="none"/>
              </w:rPr>
              <w:t>项目名称</w:t>
            </w:r>
          </w:p>
        </w:tc>
        <w:tc>
          <w:tcPr>
            <w:tcW w:w="750"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工资福利支出</w:t>
            </w:r>
          </w:p>
        </w:tc>
        <w:tc>
          <w:tcPr>
            <w:tcW w:w="868"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商品和服务支出</w:t>
            </w:r>
          </w:p>
        </w:tc>
        <w:tc>
          <w:tcPr>
            <w:tcW w:w="320"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资本性支出</w:t>
            </w:r>
          </w:p>
        </w:tc>
        <w:tc>
          <w:tcPr>
            <w:tcW w:w="578"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对企业补助</w:t>
            </w:r>
          </w:p>
        </w:tc>
        <w:tc>
          <w:tcPr>
            <w:tcW w:w="420"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对社会保障基金补助</w:t>
            </w:r>
          </w:p>
        </w:tc>
        <w:tc>
          <w:tcPr>
            <w:tcW w:w="397" w:type="dxa"/>
            <w:gridSpan w:val="2"/>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noWrap/>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类</w:t>
            </w:r>
          </w:p>
        </w:tc>
        <w:tc>
          <w:tcPr>
            <w:tcW w:w="397" w:type="dxa"/>
            <w:noWrap/>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款</w:t>
            </w:r>
          </w:p>
        </w:tc>
        <w:tc>
          <w:tcPr>
            <w:tcW w:w="397" w:type="dxa"/>
            <w:noWrap/>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项</w:t>
            </w:r>
          </w:p>
        </w:tc>
        <w:tc>
          <w:tcPr>
            <w:tcW w:w="851" w:type="dxa"/>
            <w:vMerge w:val="continue"/>
            <w:vAlign w:val="center"/>
          </w:tcPr>
          <w:p>
            <w:pPr>
              <w:widowControl/>
              <w:jc w:val="left"/>
              <w:outlineLvl w:val="1"/>
              <w:rPr>
                <w:rFonts w:ascii="仿宋_GB2312" w:hAnsi="宋体" w:eastAsia="仿宋_GB2312"/>
                <w:b/>
                <w:kern w:val="0"/>
                <w:sz w:val="18"/>
                <w:szCs w:val="18"/>
                <w:highlight w:val="none"/>
              </w:rPr>
            </w:pPr>
          </w:p>
        </w:tc>
        <w:tc>
          <w:tcPr>
            <w:tcW w:w="1456" w:type="dxa"/>
            <w:vMerge w:val="continue"/>
          </w:tcPr>
          <w:p>
            <w:pPr>
              <w:widowControl/>
              <w:jc w:val="left"/>
              <w:outlineLvl w:val="1"/>
              <w:rPr>
                <w:rFonts w:ascii="仿宋_GB2312" w:hAnsi="宋体" w:eastAsia="仿宋_GB2312"/>
                <w:b/>
                <w:kern w:val="0"/>
                <w:sz w:val="18"/>
                <w:szCs w:val="18"/>
                <w:highlight w:val="none"/>
              </w:rPr>
            </w:pPr>
          </w:p>
        </w:tc>
        <w:tc>
          <w:tcPr>
            <w:tcW w:w="750" w:type="dxa"/>
            <w:vMerge w:val="continue"/>
          </w:tcPr>
          <w:p>
            <w:pPr>
              <w:widowControl/>
              <w:jc w:val="left"/>
              <w:outlineLvl w:val="1"/>
              <w:rPr>
                <w:rFonts w:ascii="仿宋_GB2312" w:hAnsi="宋体" w:eastAsia="仿宋_GB2312"/>
                <w:b/>
                <w:kern w:val="0"/>
                <w:sz w:val="18"/>
                <w:szCs w:val="18"/>
                <w:highlight w:val="none"/>
              </w:rPr>
            </w:pPr>
          </w:p>
        </w:tc>
        <w:tc>
          <w:tcPr>
            <w:tcW w:w="569" w:type="dxa"/>
            <w:gridSpan w:val="2"/>
            <w:vMerge w:val="continue"/>
          </w:tcPr>
          <w:p>
            <w:pPr>
              <w:widowControl/>
              <w:jc w:val="left"/>
              <w:outlineLvl w:val="1"/>
              <w:rPr>
                <w:rFonts w:ascii="仿宋_GB2312" w:hAnsi="宋体" w:eastAsia="仿宋_GB2312"/>
                <w:b/>
                <w:kern w:val="0"/>
                <w:sz w:val="18"/>
                <w:szCs w:val="18"/>
                <w:highlight w:val="none"/>
              </w:rPr>
            </w:pPr>
          </w:p>
        </w:tc>
        <w:tc>
          <w:tcPr>
            <w:tcW w:w="868" w:type="dxa"/>
            <w:vMerge w:val="continue"/>
          </w:tcPr>
          <w:p>
            <w:pPr>
              <w:widowControl/>
              <w:jc w:val="left"/>
              <w:outlineLvl w:val="1"/>
              <w:rPr>
                <w:rFonts w:ascii="仿宋_GB2312" w:hAnsi="宋体" w:eastAsia="仿宋_GB2312"/>
                <w:b/>
                <w:kern w:val="0"/>
                <w:sz w:val="18"/>
                <w:szCs w:val="18"/>
                <w:highlight w:val="none"/>
              </w:rPr>
            </w:pPr>
          </w:p>
        </w:tc>
        <w:tc>
          <w:tcPr>
            <w:tcW w:w="320" w:type="dxa"/>
            <w:vMerge w:val="continue"/>
          </w:tcPr>
          <w:p>
            <w:pPr>
              <w:widowControl/>
              <w:jc w:val="left"/>
              <w:outlineLvl w:val="1"/>
              <w:rPr>
                <w:rFonts w:ascii="仿宋_GB2312" w:hAnsi="宋体" w:eastAsia="仿宋_GB2312"/>
                <w:b/>
                <w:kern w:val="0"/>
                <w:sz w:val="18"/>
                <w:szCs w:val="18"/>
                <w:highlight w:val="none"/>
              </w:rPr>
            </w:pPr>
          </w:p>
        </w:tc>
        <w:tc>
          <w:tcPr>
            <w:tcW w:w="652" w:type="dxa"/>
            <w:vMerge w:val="continue"/>
          </w:tcPr>
          <w:p>
            <w:pPr>
              <w:widowControl/>
              <w:jc w:val="left"/>
              <w:outlineLvl w:val="1"/>
              <w:rPr>
                <w:rFonts w:ascii="仿宋_GB2312" w:hAnsi="宋体" w:eastAsia="仿宋_GB2312"/>
                <w:b/>
                <w:kern w:val="0"/>
                <w:sz w:val="18"/>
                <w:szCs w:val="18"/>
                <w:highlight w:val="none"/>
              </w:rPr>
            </w:pPr>
          </w:p>
        </w:tc>
        <w:tc>
          <w:tcPr>
            <w:tcW w:w="578" w:type="dxa"/>
            <w:gridSpan w:val="2"/>
            <w:vMerge w:val="continue"/>
          </w:tcPr>
          <w:p>
            <w:pPr>
              <w:widowControl/>
              <w:jc w:val="left"/>
              <w:outlineLvl w:val="1"/>
              <w:rPr>
                <w:rFonts w:ascii="仿宋_GB2312" w:hAnsi="宋体" w:eastAsia="仿宋_GB2312"/>
                <w:b/>
                <w:kern w:val="0"/>
                <w:sz w:val="18"/>
                <w:szCs w:val="18"/>
                <w:highlight w:val="none"/>
              </w:rPr>
            </w:pPr>
          </w:p>
        </w:tc>
        <w:tc>
          <w:tcPr>
            <w:tcW w:w="419" w:type="dxa"/>
            <w:vMerge w:val="continue"/>
          </w:tcPr>
          <w:p>
            <w:pPr>
              <w:widowControl/>
              <w:jc w:val="left"/>
              <w:outlineLvl w:val="1"/>
              <w:rPr>
                <w:rFonts w:ascii="仿宋_GB2312" w:hAnsi="宋体" w:eastAsia="仿宋_GB2312"/>
                <w:b/>
                <w:kern w:val="0"/>
                <w:sz w:val="18"/>
                <w:szCs w:val="18"/>
                <w:highlight w:val="none"/>
              </w:rPr>
            </w:pPr>
          </w:p>
        </w:tc>
        <w:tc>
          <w:tcPr>
            <w:tcW w:w="578" w:type="dxa"/>
            <w:vMerge w:val="continue"/>
          </w:tcPr>
          <w:p>
            <w:pPr>
              <w:widowControl/>
              <w:jc w:val="left"/>
              <w:outlineLvl w:val="1"/>
              <w:rPr>
                <w:rFonts w:ascii="仿宋_GB2312" w:hAnsi="宋体" w:eastAsia="仿宋_GB2312"/>
                <w:b/>
                <w:kern w:val="0"/>
                <w:sz w:val="18"/>
                <w:szCs w:val="18"/>
                <w:highlight w:val="none"/>
              </w:rPr>
            </w:pPr>
          </w:p>
        </w:tc>
        <w:tc>
          <w:tcPr>
            <w:tcW w:w="420" w:type="dxa"/>
            <w:vMerge w:val="continue"/>
          </w:tcPr>
          <w:p>
            <w:pPr>
              <w:widowControl/>
              <w:jc w:val="left"/>
              <w:outlineLvl w:val="1"/>
              <w:rPr>
                <w:rFonts w:ascii="仿宋_GB2312" w:hAnsi="宋体" w:eastAsia="仿宋_GB2312"/>
                <w:b/>
                <w:kern w:val="0"/>
                <w:sz w:val="18"/>
                <w:szCs w:val="18"/>
                <w:highlight w:val="none"/>
              </w:rPr>
            </w:pPr>
          </w:p>
        </w:tc>
        <w:tc>
          <w:tcPr>
            <w:tcW w:w="420" w:type="dxa"/>
            <w:vMerge w:val="continue"/>
          </w:tcPr>
          <w:p>
            <w:pPr>
              <w:widowControl/>
              <w:jc w:val="left"/>
              <w:outlineLvl w:val="1"/>
              <w:rPr>
                <w:rFonts w:ascii="仿宋_GB2312" w:hAnsi="宋体" w:eastAsia="仿宋_GB2312"/>
                <w:b/>
                <w:kern w:val="0"/>
                <w:sz w:val="18"/>
                <w:szCs w:val="18"/>
                <w:highlight w:val="none"/>
              </w:rPr>
            </w:pPr>
          </w:p>
        </w:tc>
        <w:tc>
          <w:tcPr>
            <w:tcW w:w="397" w:type="dxa"/>
            <w:gridSpan w:val="2"/>
            <w:vMerge w:val="continue"/>
          </w:tcPr>
          <w:p>
            <w:pPr>
              <w:widowControl/>
              <w:jc w:val="left"/>
              <w:outlineLvl w:val="1"/>
              <w:rPr>
                <w:rFonts w:ascii="仿宋_GB2312" w:hAnsi="宋体" w:eastAsia="仿宋_GB2312"/>
                <w:b/>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22"/>
                <w:szCs w:val="22"/>
                <w:highlight w:val="none"/>
              </w:rPr>
            </w:pPr>
            <w:r>
              <w:rPr>
                <w:rFonts w:hint="eastAsia" w:ascii="仿宋_GB2312" w:hAnsi="宋体" w:eastAsia="仿宋_GB2312"/>
                <w:kern w:val="0"/>
                <w:sz w:val="22"/>
                <w:szCs w:val="22"/>
                <w:highlight w:val="none"/>
              </w:rPr>
              <w:t>205　</w:t>
            </w:r>
          </w:p>
        </w:tc>
        <w:tc>
          <w:tcPr>
            <w:tcW w:w="397" w:type="dxa"/>
          </w:tcPr>
          <w:p>
            <w:pPr>
              <w:widowControl/>
              <w:jc w:val="left"/>
              <w:outlineLvl w:val="1"/>
              <w:rPr>
                <w:rFonts w:ascii="仿宋_GB2312" w:hAnsi="宋体" w:eastAsia="仿宋_GB2312"/>
                <w:kern w:val="0"/>
                <w:sz w:val="22"/>
                <w:szCs w:val="22"/>
                <w:highlight w:val="none"/>
              </w:rPr>
            </w:pPr>
            <w:r>
              <w:rPr>
                <w:rFonts w:hint="eastAsia" w:ascii="仿宋_GB2312" w:hAnsi="宋体" w:eastAsia="仿宋_GB2312"/>
                <w:kern w:val="0"/>
                <w:sz w:val="22"/>
                <w:szCs w:val="22"/>
                <w:highlight w:val="none"/>
              </w:rPr>
              <w:t>01　</w:t>
            </w:r>
          </w:p>
        </w:tc>
        <w:tc>
          <w:tcPr>
            <w:tcW w:w="397" w:type="dxa"/>
          </w:tcPr>
          <w:p>
            <w:pPr>
              <w:widowControl/>
              <w:jc w:val="left"/>
              <w:outlineLvl w:val="1"/>
              <w:rPr>
                <w:rFonts w:ascii="仿宋_GB2312" w:hAnsi="宋体" w:eastAsia="仿宋_GB2312"/>
                <w:kern w:val="0"/>
                <w:sz w:val="22"/>
                <w:szCs w:val="22"/>
                <w:highlight w:val="none"/>
              </w:rPr>
            </w:pPr>
            <w:r>
              <w:rPr>
                <w:rFonts w:hint="eastAsia" w:ascii="仿宋_GB2312" w:hAnsi="宋体" w:eastAsia="仿宋_GB2312"/>
                <w:kern w:val="0"/>
                <w:sz w:val="22"/>
                <w:szCs w:val="22"/>
                <w:highlight w:val="none"/>
              </w:rPr>
              <w:t>99　</w:t>
            </w:r>
          </w:p>
        </w:tc>
        <w:tc>
          <w:tcPr>
            <w:tcW w:w="851" w:type="dxa"/>
          </w:tcPr>
          <w:p>
            <w:pPr>
              <w:widowControl/>
              <w:jc w:val="left"/>
              <w:outlineLvl w:val="1"/>
              <w:rPr>
                <w:rFonts w:ascii="仿宋_GB2312" w:hAnsi="宋体" w:eastAsia="仿宋_GB2312"/>
                <w:kern w:val="0"/>
                <w:sz w:val="22"/>
                <w:szCs w:val="22"/>
                <w:highlight w:val="none"/>
              </w:rPr>
            </w:pPr>
            <w:r>
              <w:rPr>
                <w:rFonts w:hint="eastAsia" w:ascii="仿宋_GB2312" w:hAnsi="宋体" w:eastAsia="仿宋_GB2312"/>
                <w:kern w:val="0"/>
                <w:sz w:val="22"/>
                <w:szCs w:val="22"/>
                <w:highlight w:val="none"/>
              </w:rPr>
              <w:t>　</w:t>
            </w:r>
            <w:r>
              <w:rPr>
                <w:rFonts w:hint="eastAsia" w:ascii="仿宋_GB2312" w:hAnsi="宋体" w:eastAsia="仿宋_GB2312" w:cs="宋体"/>
                <w:b/>
                <w:color w:val="000000"/>
                <w:kern w:val="0"/>
                <w:sz w:val="20"/>
                <w:szCs w:val="20"/>
                <w:highlight w:val="none"/>
              </w:rPr>
              <w:t>其他教育管理事务支出</w:t>
            </w:r>
          </w:p>
        </w:tc>
        <w:tc>
          <w:tcPr>
            <w:tcW w:w="1456" w:type="dxa"/>
          </w:tcPr>
          <w:p>
            <w:pPr>
              <w:widowControl/>
              <w:jc w:val="left"/>
              <w:outlineLvl w:val="1"/>
              <w:rPr>
                <w:rFonts w:ascii="仿宋_GB2312" w:hAnsi="宋体" w:eastAsia="仿宋_GB2312"/>
                <w:kern w:val="0"/>
                <w:sz w:val="22"/>
                <w:szCs w:val="22"/>
                <w:highlight w:val="none"/>
              </w:rPr>
            </w:pPr>
            <w:r>
              <w:rPr>
                <w:rFonts w:hint="eastAsia" w:ascii="仿宋_GB2312" w:hAnsi="宋体" w:eastAsia="仿宋_GB2312"/>
                <w:kern w:val="0"/>
                <w:sz w:val="22"/>
                <w:szCs w:val="22"/>
                <w:highlight w:val="none"/>
              </w:rPr>
              <w:t>　　宗教人士培训费</w:t>
            </w:r>
          </w:p>
        </w:tc>
        <w:tc>
          <w:tcPr>
            <w:tcW w:w="750" w:type="dxa"/>
          </w:tcPr>
          <w:p>
            <w:pPr>
              <w:widowControl/>
              <w:jc w:val="left"/>
              <w:outlineLvl w:val="1"/>
              <w:rPr>
                <w:rFonts w:ascii="仿宋_GB2312" w:hAnsi="宋体" w:eastAsia="仿宋_GB2312"/>
                <w:kern w:val="0"/>
                <w:sz w:val="22"/>
                <w:szCs w:val="22"/>
                <w:highlight w:val="none"/>
              </w:rPr>
            </w:pPr>
            <w:r>
              <w:rPr>
                <w:rFonts w:hint="eastAsia" w:ascii="仿宋_GB2312" w:hAnsi="宋体" w:eastAsia="仿宋_GB2312"/>
                <w:kern w:val="0"/>
                <w:sz w:val="22"/>
                <w:szCs w:val="22"/>
                <w:highlight w:val="none"/>
              </w:rPr>
              <w:t>　827</w:t>
            </w:r>
          </w:p>
        </w:tc>
        <w:tc>
          <w:tcPr>
            <w:tcW w:w="569" w:type="dxa"/>
            <w:gridSpan w:val="2"/>
          </w:tcPr>
          <w:p>
            <w:pPr>
              <w:widowControl/>
              <w:jc w:val="left"/>
              <w:outlineLvl w:val="1"/>
              <w:rPr>
                <w:rFonts w:ascii="仿宋_GB2312" w:hAnsi="宋体" w:eastAsia="仿宋_GB2312"/>
                <w:kern w:val="0"/>
                <w:sz w:val="22"/>
                <w:szCs w:val="22"/>
                <w:highlight w:val="none"/>
              </w:rPr>
            </w:pPr>
            <w:r>
              <w:rPr>
                <w:rFonts w:hint="eastAsia" w:ascii="仿宋_GB2312" w:hAnsi="宋体" w:eastAsia="仿宋_GB2312"/>
                <w:kern w:val="0"/>
                <w:sz w:val="22"/>
                <w:szCs w:val="22"/>
                <w:highlight w:val="none"/>
              </w:rPr>
              <w:t>　</w:t>
            </w:r>
          </w:p>
        </w:tc>
        <w:tc>
          <w:tcPr>
            <w:tcW w:w="868" w:type="dxa"/>
          </w:tcPr>
          <w:p>
            <w:pPr>
              <w:widowControl/>
              <w:jc w:val="left"/>
              <w:outlineLvl w:val="1"/>
              <w:rPr>
                <w:rFonts w:ascii="仿宋_GB2312" w:hAnsi="宋体" w:eastAsia="仿宋_GB2312"/>
                <w:kern w:val="0"/>
                <w:sz w:val="22"/>
                <w:szCs w:val="22"/>
                <w:highlight w:val="none"/>
              </w:rPr>
            </w:pPr>
            <w:r>
              <w:rPr>
                <w:rFonts w:hint="eastAsia" w:ascii="仿宋_GB2312" w:hAnsi="宋体" w:eastAsia="仿宋_GB2312"/>
                <w:kern w:val="0"/>
                <w:sz w:val="22"/>
                <w:szCs w:val="22"/>
                <w:highlight w:val="none"/>
              </w:rPr>
              <w:t>827　</w:t>
            </w:r>
          </w:p>
        </w:tc>
        <w:tc>
          <w:tcPr>
            <w:tcW w:w="320" w:type="dxa"/>
          </w:tcPr>
          <w:p>
            <w:pPr>
              <w:widowControl/>
              <w:jc w:val="left"/>
              <w:outlineLvl w:val="1"/>
              <w:rPr>
                <w:rFonts w:ascii="仿宋_GB2312" w:hAnsi="宋体" w:eastAsia="仿宋_GB2312"/>
                <w:kern w:val="0"/>
                <w:sz w:val="22"/>
                <w:szCs w:val="22"/>
                <w:highlight w:val="none"/>
              </w:rPr>
            </w:pPr>
            <w:r>
              <w:rPr>
                <w:rFonts w:hint="eastAsia" w:ascii="仿宋_GB2312" w:hAnsi="宋体" w:eastAsia="仿宋_GB2312"/>
                <w:kern w:val="0"/>
                <w:sz w:val="22"/>
                <w:szCs w:val="22"/>
                <w:highlight w:val="none"/>
              </w:rPr>
              <w:t>　</w:t>
            </w:r>
          </w:p>
        </w:tc>
        <w:tc>
          <w:tcPr>
            <w:tcW w:w="652" w:type="dxa"/>
          </w:tcPr>
          <w:p>
            <w:pPr>
              <w:widowControl/>
              <w:jc w:val="left"/>
              <w:outlineLvl w:val="1"/>
              <w:rPr>
                <w:rFonts w:ascii="仿宋_GB2312" w:hAnsi="宋体" w:eastAsia="仿宋_GB2312"/>
                <w:kern w:val="0"/>
                <w:sz w:val="22"/>
                <w:szCs w:val="22"/>
                <w:highlight w:val="none"/>
              </w:rPr>
            </w:pPr>
            <w:r>
              <w:rPr>
                <w:rFonts w:hint="eastAsia" w:ascii="仿宋_GB2312" w:hAnsi="宋体" w:eastAsia="仿宋_GB2312"/>
                <w:kern w:val="0"/>
                <w:sz w:val="22"/>
                <w:szCs w:val="22"/>
                <w:highlight w:val="none"/>
              </w:rPr>
              <w:t>　</w:t>
            </w:r>
          </w:p>
        </w:tc>
        <w:tc>
          <w:tcPr>
            <w:tcW w:w="578" w:type="dxa"/>
            <w:gridSpan w:val="2"/>
          </w:tcPr>
          <w:p>
            <w:pPr>
              <w:widowControl/>
              <w:jc w:val="left"/>
              <w:outlineLvl w:val="1"/>
              <w:rPr>
                <w:rFonts w:ascii="仿宋_GB2312" w:hAnsi="宋体" w:eastAsia="仿宋_GB2312"/>
                <w:kern w:val="0"/>
                <w:sz w:val="22"/>
                <w:szCs w:val="22"/>
                <w:highlight w:val="none"/>
              </w:rPr>
            </w:pPr>
            <w:r>
              <w:rPr>
                <w:rFonts w:hint="eastAsia" w:ascii="仿宋_GB2312" w:hAnsi="宋体" w:eastAsia="仿宋_GB2312"/>
                <w:kern w:val="0"/>
                <w:sz w:val="22"/>
                <w:szCs w:val="22"/>
                <w:highlight w:val="none"/>
              </w:rPr>
              <w:t>　</w:t>
            </w:r>
          </w:p>
        </w:tc>
        <w:tc>
          <w:tcPr>
            <w:tcW w:w="419" w:type="dxa"/>
          </w:tcPr>
          <w:p>
            <w:pPr>
              <w:widowControl/>
              <w:jc w:val="left"/>
              <w:outlineLvl w:val="1"/>
              <w:rPr>
                <w:rFonts w:ascii="仿宋_GB2312" w:hAnsi="宋体" w:eastAsia="仿宋_GB2312"/>
                <w:kern w:val="0"/>
                <w:sz w:val="22"/>
                <w:szCs w:val="22"/>
                <w:highlight w:val="none"/>
              </w:rPr>
            </w:pPr>
            <w:r>
              <w:rPr>
                <w:rFonts w:hint="eastAsia" w:ascii="仿宋_GB2312" w:hAnsi="宋体" w:eastAsia="仿宋_GB2312"/>
                <w:kern w:val="0"/>
                <w:sz w:val="22"/>
                <w:szCs w:val="22"/>
                <w:highlight w:val="none"/>
              </w:rPr>
              <w:t>　</w:t>
            </w:r>
          </w:p>
        </w:tc>
        <w:tc>
          <w:tcPr>
            <w:tcW w:w="578" w:type="dxa"/>
          </w:tcPr>
          <w:p>
            <w:pPr>
              <w:widowControl/>
              <w:jc w:val="left"/>
              <w:outlineLvl w:val="1"/>
              <w:rPr>
                <w:rFonts w:ascii="仿宋_GB2312" w:hAnsi="宋体" w:eastAsia="仿宋_GB2312"/>
                <w:kern w:val="0"/>
                <w:sz w:val="22"/>
                <w:szCs w:val="22"/>
                <w:highlight w:val="none"/>
              </w:rPr>
            </w:pPr>
            <w:r>
              <w:rPr>
                <w:rFonts w:hint="eastAsia" w:ascii="仿宋_GB2312" w:hAnsi="宋体" w:eastAsia="仿宋_GB2312"/>
                <w:kern w:val="0"/>
                <w:sz w:val="22"/>
                <w:szCs w:val="22"/>
                <w:highlight w:val="none"/>
              </w:rPr>
              <w:t>　</w:t>
            </w:r>
          </w:p>
        </w:tc>
        <w:tc>
          <w:tcPr>
            <w:tcW w:w="420" w:type="dxa"/>
          </w:tcPr>
          <w:p>
            <w:pPr>
              <w:widowControl/>
              <w:jc w:val="left"/>
              <w:outlineLvl w:val="1"/>
              <w:rPr>
                <w:rFonts w:ascii="仿宋_GB2312" w:hAnsi="宋体" w:eastAsia="仿宋_GB2312"/>
                <w:kern w:val="0"/>
                <w:sz w:val="22"/>
                <w:szCs w:val="22"/>
                <w:highlight w:val="none"/>
              </w:rPr>
            </w:pPr>
            <w:r>
              <w:rPr>
                <w:rFonts w:hint="eastAsia" w:ascii="仿宋_GB2312" w:hAnsi="宋体" w:eastAsia="仿宋_GB2312"/>
                <w:kern w:val="0"/>
                <w:sz w:val="22"/>
                <w:szCs w:val="22"/>
                <w:highlight w:val="none"/>
              </w:rPr>
              <w:t>　</w:t>
            </w:r>
          </w:p>
        </w:tc>
        <w:tc>
          <w:tcPr>
            <w:tcW w:w="420" w:type="dxa"/>
          </w:tcPr>
          <w:p>
            <w:pPr>
              <w:widowControl/>
              <w:jc w:val="left"/>
              <w:outlineLvl w:val="1"/>
              <w:rPr>
                <w:rFonts w:ascii="仿宋_GB2312" w:hAnsi="宋体" w:eastAsia="仿宋_GB2312"/>
                <w:kern w:val="0"/>
                <w:sz w:val="22"/>
                <w:szCs w:val="22"/>
                <w:highlight w:val="none"/>
              </w:rPr>
            </w:pPr>
            <w:r>
              <w:rPr>
                <w:rFonts w:hint="eastAsia" w:ascii="仿宋_GB2312" w:hAnsi="宋体" w:eastAsia="仿宋_GB2312"/>
                <w:kern w:val="0"/>
                <w:sz w:val="22"/>
                <w:szCs w:val="22"/>
                <w:highlight w:val="none"/>
              </w:rPr>
              <w:t>　</w:t>
            </w:r>
          </w:p>
        </w:tc>
        <w:tc>
          <w:tcPr>
            <w:tcW w:w="397" w:type="dxa"/>
            <w:gridSpan w:val="2"/>
          </w:tcPr>
          <w:p>
            <w:pPr>
              <w:widowControl/>
              <w:jc w:val="left"/>
              <w:outlineLvl w:val="1"/>
              <w:rPr>
                <w:rFonts w:ascii="仿宋_GB2312" w:hAnsi="宋体" w:eastAsia="仿宋_GB2312"/>
                <w:kern w:val="0"/>
                <w:sz w:val="22"/>
                <w:szCs w:val="22"/>
                <w:highlight w:val="none"/>
              </w:rPr>
            </w:pPr>
            <w:r>
              <w:rPr>
                <w:rFonts w:hint="eastAsia" w:ascii="仿宋_GB2312" w:hAnsi="宋体" w:eastAsia="仿宋_GB2312"/>
                <w:kern w:val="0"/>
                <w:sz w:val="22"/>
                <w:szCs w:val="2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51"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456"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75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69"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6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51"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456"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75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69"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6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51"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456"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75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69"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6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51"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456"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75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69"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6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51"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456"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75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69"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6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51"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456"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75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69"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6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51"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456"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75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69"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6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51"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456"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75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69"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6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51"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456"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75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69"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6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51"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456"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75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69"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6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51"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1456" w:type="dxa"/>
            <w:vAlign w:val="center"/>
          </w:tcPr>
          <w:p>
            <w:pPr>
              <w:widowControl/>
              <w:jc w:val="center"/>
              <w:outlineLvl w:val="1"/>
              <w:rPr>
                <w:rFonts w:ascii="仿宋_GB2312" w:hAnsi="宋体" w:eastAsia="仿宋_GB2312"/>
                <w:kern w:val="0"/>
                <w:sz w:val="32"/>
                <w:szCs w:val="32"/>
                <w:highlight w:val="none"/>
              </w:rPr>
            </w:pPr>
            <w:r>
              <w:rPr>
                <w:rFonts w:hint="eastAsia" w:ascii="仿宋_GB2312" w:hAnsi="宋体" w:eastAsia="仿宋_GB2312"/>
                <w:kern w:val="0"/>
                <w:szCs w:val="21"/>
                <w:highlight w:val="none"/>
              </w:rPr>
              <w:t>合计</w:t>
            </w:r>
          </w:p>
        </w:tc>
        <w:tc>
          <w:tcPr>
            <w:tcW w:w="750" w:type="dxa"/>
            <w:vAlign w:val="center"/>
          </w:tcPr>
          <w:p>
            <w:pPr>
              <w:widowControl/>
              <w:jc w:val="center"/>
              <w:outlineLvl w:val="1"/>
              <w:rPr>
                <w:rFonts w:ascii="仿宋_GB2312" w:hAnsi="宋体" w:eastAsia="仿宋_GB2312"/>
                <w:kern w:val="0"/>
                <w:szCs w:val="21"/>
                <w:highlight w:val="none"/>
              </w:rPr>
            </w:pPr>
            <w:r>
              <w:rPr>
                <w:rFonts w:hint="eastAsia" w:ascii="仿宋_GB2312" w:hAnsi="宋体" w:eastAsia="仿宋_GB2312"/>
                <w:kern w:val="0"/>
                <w:szCs w:val="21"/>
                <w:highlight w:val="none"/>
              </w:rPr>
              <w:t>827</w:t>
            </w:r>
          </w:p>
        </w:tc>
        <w:tc>
          <w:tcPr>
            <w:tcW w:w="569"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868" w:type="dxa"/>
          </w:tcPr>
          <w:p>
            <w:pPr>
              <w:widowControl/>
              <w:jc w:val="center"/>
              <w:outlineLvl w:val="1"/>
              <w:rPr>
                <w:rFonts w:ascii="仿宋_GB2312" w:hAnsi="宋体" w:eastAsia="仿宋_GB2312"/>
                <w:kern w:val="0"/>
                <w:szCs w:val="21"/>
                <w:highlight w:val="none"/>
              </w:rPr>
            </w:pPr>
            <w:r>
              <w:rPr>
                <w:rFonts w:hint="eastAsia" w:ascii="仿宋_GB2312" w:hAnsi="宋体" w:eastAsia="仿宋_GB2312"/>
                <w:kern w:val="0"/>
                <w:szCs w:val="21"/>
                <w:highlight w:val="none"/>
              </w:rPr>
              <w:t>827</w:t>
            </w:r>
          </w:p>
        </w:tc>
        <w:tc>
          <w:tcPr>
            <w:tcW w:w="3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652"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19"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578"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420" w:type="dxa"/>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c>
          <w:tcPr>
            <w:tcW w:w="397" w:type="dxa"/>
            <w:gridSpan w:val="2"/>
          </w:tcPr>
          <w:p>
            <w:pPr>
              <w:widowControl/>
              <w:jc w:val="lef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　</w:t>
            </w:r>
          </w:p>
        </w:tc>
      </w:tr>
    </w:tbl>
    <w:p>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outlineLvl w:val="1"/>
        <w:rPr>
          <w:rFonts w:ascii="仿宋_GB2312" w:hAnsi="宋体" w:eastAsia="仿宋_GB2312"/>
          <w:b/>
          <w:kern w:val="0"/>
          <w:sz w:val="28"/>
          <w:szCs w:val="32"/>
          <w:highlight w:val="none"/>
        </w:rPr>
      </w:pPr>
    </w:p>
    <w:p>
      <w:pPr>
        <w:widowControl/>
        <w:outlineLvl w:val="1"/>
        <w:rPr>
          <w:rFonts w:ascii="仿宋_GB2312" w:hAnsi="宋体" w:eastAsia="仿宋_GB2312"/>
          <w:b/>
          <w:kern w:val="0"/>
          <w:sz w:val="28"/>
          <w:szCs w:val="32"/>
          <w:highlight w:val="none"/>
        </w:rPr>
      </w:pPr>
    </w:p>
    <w:p>
      <w:pPr>
        <w:widowControl/>
        <w:outlineLvl w:val="1"/>
        <w:rPr>
          <w:rFonts w:ascii="仿宋_GB2312" w:hAnsi="宋体" w:eastAsia="仿宋_GB2312"/>
          <w:b/>
          <w:kern w:val="0"/>
          <w:sz w:val="28"/>
          <w:szCs w:val="32"/>
          <w:highlight w:val="none"/>
        </w:rPr>
      </w:pPr>
    </w:p>
    <w:p>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表八：</w:t>
      </w:r>
    </w:p>
    <w:p>
      <w:pPr>
        <w:widowControl/>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一般公共预算“三公”经费支出情况表</w:t>
      </w:r>
    </w:p>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编制单位：</w:t>
      </w:r>
      <w:r>
        <w:rPr>
          <w:rFonts w:hint="eastAsia" w:ascii="仿宋_GB2312" w:hAnsi="宋体" w:eastAsia="仿宋_GB2312"/>
          <w:kern w:val="0"/>
          <w:sz w:val="24"/>
          <w:highlight w:val="none"/>
          <w:lang w:eastAsia="zh-CN"/>
        </w:rPr>
        <w:t>昌吉州社会主义学院</w:t>
      </w:r>
      <w:r>
        <w:rPr>
          <w:rFonts w:ascii="仿宋_GB2312" w:hAnsi="宋体" w:eastAsia="仿宋_GB2312"/>
          <w:kern w:val="0"/>
          <w:sz w:val="24"/>
          <w:highlight w:val="none"/>
        </w:rPr>
        <w:t xml:space="preserve">                                </w:t>
      </w:r>
      <w:r>
        <w:rPr>
          <w:rFonts w:hint="eastAsia" w:ascii="仿宋_GB2312" w:hAnsi="宋体" w:eastAsia="仿宋_GB2312"/>
          <w:kern w:val="0"/>
          <w:sz w:val="24"/>
          <w:highlight w:val="none"/>
        </w:rPr>
        <w:t>单位：万元</w:t>
      </w:r>
    </w:p>
    <w:tbl>
      <w:tblPr>
        <w:tblStyle w:val="7"/>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2"/>
                <w:szCs w:val="22"/>
                <w:highlight w:val="none"/>
              </w:rPr>
            </w:pPr>
            <w:r>
              <w:rPr>
                <w:rFonts w:hint="eastAsia" w:ascii="宋体" w:hAnsi="宋体" w:cs="宋体"/>
                <w:b/>
                <w:bCs/>
                <w:color w:val="000000"/>
                <w:kern w:val="0"/>
                <w:sz w:val="22"/>
                <w:szCs w:val="22"/>
                <w:highlight w:val="none"/>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highlight w:val="none"/>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highlight w:val="none"/>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小计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b/>
                <w:bCs/>
                <w:color w:val="000000"/>
                <w:kern w:val="0"/>
                <w:sz w:val="22"/>
                <w:szCs w:val="22"/>
                <w:highlight w:val="none"/>
              </w:rPr>
            </w:pP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1.38</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1.38</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1.38</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r>
    </w:tbl>
    <w:p>
      <w:pPr>
        <w:widowControl/>
        <w:outlineLvl w:val="1"/>
        <w:rPr>
          <w:rFonts w:ascii="仿宋_GB2312" w:hAnsi="宋体" w:eastAsia="仿宋_GB2312"/>
          <w:b/>
          <w:kern w:val="0"/>
          <w:sz w:val="32"/>
          <w:szCs w:val="32"/>
          <w:highlight w:val="none"/>
        </w:rPr>
      </w:pPr>
      <w:r>
        <w:rPr>
          <w:rFonts w:hint="eastAsia" w:ascii="仿宋_GB2312" w:hAnsi="宋体" w:eastAsia="仿宋_GB2312"/>
          <w:b/>
          <w:kern w:val="0"/>
          <w:sz w:val="28"/>
          <w:szCs w:val="32"/>
          <w:highlight w:val="none"/>
        </w:rPr>
        <w:t>备注：无内容应公开空表并说明情况。</w:t>
      </w:r>
    </w:p>
    <w:p>
      <w:pPr>
        <w:widowControl/>
        <w:outlineLvl w:val="1"/>
        <w:rPr>
          <w:rFonts w:ascii="仿宋_GB2312" w:hAnsi="宋体" w:eastAsia="仿宋_GB2312"/>
          <w:kern w:val="0"/>
          <w:sz w:val="32"/>
          <w:szCs w:val="32"/>
          <w:highlight w:val="none"/>
        </w:rPr>
      </w:pPr>
    </w:p>
    <w:p>
      <w:pPr>
        <w:widowControl/>
        <w:outlineLvl w:val="1"/>
        <w:rPr>
          <w:rFonts w:ascii="仿宋_GB2312" w:hAnsi="宋体" w:eastAsia="仿宋_GB2312"/>
          <w:kern w:val="0"/>
          <w:sz w:val="32"/>
          <w:szCs w:val="32"/>
          <w:highlight w:val="none"/>
        </w:rPr>
      </w:pPr>
    </w:p>
    <w:p>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表九：</w:t>
      </w:r>
    </w:p>
    <w:p>
      <w:pPr>
        <w:widowControl/>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政府性基金预算支出情况表</w:t>
      </w:r>
    </w:p>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编制单位</w:t>
      </w:r>
      <w:r>
        <w:rPr>
          <w:rFonts w:ascii="仿宋_GB2312" w:hAnsi="宋体" w:eastAsia="仿宋_GB2312"/>
          <w:kern w:val="0"/>
          <w:sz w:val="24"/>
          <w:highlight w:val="none"/>
        </w:rPr>
        <w:t xml:space="preserve"> </w:t>
      </w:r>
      <w:r>
        <w:rPr>
          <w:rFonts w:hint="eastAsia" w:ascii="仿宋_GB2312" w:hAnsi="宋体" w:eastAsia="仿宋_GB2312"/>
          <w:kern w:val="0"/>
          <w:sz w:val="24"/>
          <w:highlight w:val="none"/>
          <w:lang w:eastAsia="zh-CN"/>
        </w:rPr>
        <w:t>昌吉州社会主义学院</w:t>
      </w:r>
      <w:r>
        <w:rPr>
          <w:rFonts w:ascii="仿宋_GB2312" w:hAnsi="宋体" w:eastAsia="仿宋_GB2312"/>
          <w:kern w:val="0"/>
          <w:sz w:val="24"/>
          <w:highlight w:val="none"/>
        </w:rPr>
        <w:t xml:space="preserve">    </w:t>
      </w:r>
      <w:r>
        <w:rPr>
          <w:rFonts w:hint="eastAsia" w:ascii="仿宋_GB2312" w:hAnsi="宋体" w:eastAsia="仿宋_GB2312"/>
          <w:kern w:val="0"/>
          <w:sz w:val="24"/>
          <w:highlight w:val="none"/>
          <w:lang w:val="en-US" w:eastAsia="zh-CN"/>
        </w:rPr>
        <w:t xml:space="preserve">                                </w:t>
      </w:r>
      <w:r>
        <w:rPr>
          <w:rFonts w:hint="eastAsia" w:ascii="仿宋_GB2312" w:hAnsi="宋体" w:eastAsia="仿宋_GB2312"/>
          <w:kern w:val="0"/>
          <w:sz w:val="24"/>
          <w:highlight w:val="none"/>
        </w:rPr>
        <w:t>单位：万元</w:t>
      </w:r>
    </w:p>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lang w:val="en-US" w:eastAsia="zh-CN"/>
        </w:rPr>
        <w:t xml:space="preserve">        </w:t>
      </w:r>
      <w:r>
        <w:rPr>
          <w:rFonts w:ascii="仿宋_GB2312" w:hAnsi="宋体" w:eastAsia="仿宋_GB2312"/>
          <w:kern w:val="0"/>
          <w:sz w:val="24"/>
          <w:highlight w:val="none"/>
        </w:rPr>
        <w:t xml:space="preserve">                                              </w:t>
      </w:r>
    </w:p>
    <w:tbl>
      <w:tblPr>
        <w:tblStyle w:val="7"/>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w:t>
            </w:r>
            <w:r>
              <w:rPr>
                <w:rFonts w:ascii="仿宋_GB2312" w:hAnsi="宋体" w:eastAsia="仿宋_GB2312" w:cs="宋体"/>
                <w:b/>
                <w:bCs/>
                <w:color w:val="000000"/>
                <w:kern w:val="0"/>
                <w:sz w:val="24"/>
                <w:highlight w:val="none"/>
              </w:rPr>
              <w:t xml:space="preserve">  </w:t>
            </w:r>
            <w:r>
              <w:rPr>
                <w:rFonts w:hint="eastAsia" w:ascii="仿宋_GB2312" w:hAnsi="宋体" w:eastAsia="仿宋_GB2312" w:cs="宋体"/>
                <w:b/>
                <w:bCs/>
                <w:color w:val="000000"/>
                <w:kern w:val="0"/>
                <w:sz w:val="24"/>
                <w:highlight w:val="none"/>
              </w:rPr>
              <w:t>目</w:t>
            </w:r>
          </w:p>
        </w:tc>
        <w:tc>
          <w:tcPr>
            <w:tcW w:w="4819"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政府性基金预算支出</w:t>
            </w:r>
          </w:p>
        </w:tc>
      </w:tr>
      <w:tr>
        <w:tblPrEx>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b/>
                <w:bCs/>
                <w:color w:val="000000"/>
                <w:kern w:val="0"/>
                <w:sz w:val="18"/>
                <w:szCs w:val="18"/>
                <w:highlight w:val="none"/>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小计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项目支出</w:t>
            </w:r>
          </w:p>
        </w:tc>
      </w:tr>
      <w:tr>
        <w:tblPrEx>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类</w:t>
            </w:r>
          </w:p>
        </w:tc>
        <w:tc>
          <w:tcPr>
            <w:tcW w:w="457"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款</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highlight w:val="none"/>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highlight w:val="none"/>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highlight w:val="none"/>
              </w:rPr>
            </w:pP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noWrap/>
            <w:vAlign w:val="center"/>
          </w:tcPr>
          <w:p>
            <w:pPr>
              <w:widowControl/>
              <w:jc w:val="left"/>
              <w:rPr>
                <w:rFonts w:asci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合计</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r>
    </w:tbl>
    <w:p>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备注：本单位无政府性基金预算。</w:t>
      </w:r>
    </w:p>
    <w:p>
      <w:pPr>
        <w:widowControl/>
        <w:jc w:val="left"/>
        <w:outlineLvl w:val="1"/>
        <w:rPr>
          <w:rFonts w:ascii="仿宋_GB2312" w:hAnsi="宋体" w:eastAsia="仿宋_GB2312"/>
          <w:kern w:val="0"/>
          <w:sz w:val="32"/>
          <w:szCs w:val="32"/>
          <w:highlight w:val="none"/>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widowControl/>
        <w:spacing w:before="156" w:beforeLines="50"/>
        <w:jc w:val="center"/>
        <w:outlineLvl w:val="1"/>
        <w:rPr>
          <w:rFonts w:ascii="黑体" w:hAnsi="黑体" w:eastAsia="黑体"/>
          <w:kern w:val="0"/>
          <w:sz w:val="32"/>
          <w:szCs w:val="32"/>
          <w:highlight w:val="none"/>
        </w:rPr>
      </w:pPr>
      <w:r>
        <w:rPr>
          <w:rFonts w:hint="eastAsia" w:ascii="黑体" w:hAnsi="黑体" w:eastAsia="黑体"/>
          <w:kern w:val="0"/>
          <w:sz w:val="32"/>
          <w:szCs w:val="32"/>
          <w:highlight w:val="none"/>
        </w:rPr>
        <w:t>第三部分</w:t>
      </w:r>
      <w:r>
        <w:rPr>
          <w:rFonts w:ascii="黑体" w:hAnsi="黑体" w:eastAsia="黑体"/>
          <w:kern w:val="0"/>
          <w:sz w:val="32"/>
          <w:szCs w:val="32"/>
          <w:highlight w:val="none"/>
        </w:rPr>
        <w:t xml:space="preserve">  </w:t>
      </w:r>
      <w:r>
        <w:rPr>
          <w:rFonts w:hint="eastAsia" w:ascii="黑体" w:hAnsi="黑体" w:eastAsia="黑体"/>
          <w:kern w:val="0"/>
          <w:sz w:val="32"/>
          <w:szCs w:val="32"/>
          <w:highlight w:val="none"/>
        </w:rPr>
        <w:t>2019年部门预算情况说明</w:t>
      </w:r>
    </w:p>
    <w:p>
      <w:pPr>
        <w:widowControl/>
        <w:spacing w:line="580" w:lineRule="exact"/>
        <w:ind w:firstLine="640"/>
        <w:jc w:val="left"/>
        <w:rPr>
          <w:rFonts w:ascii="黑体" w:hAnsi="宋体" w:eastAsia="黑体" w:cs="宋体"/>
          <w:kern w:val="0"/>
          <w:sz w:val="32"/>
          <w:szCs w:val="32"/>
          <w:highlight w:val="none"/>
        </w:rPr>
      </w:pPr>
      <w:r>
        <w:rPr>
          <w:rFonts w:hint="eastAsia" w:ascii="黑体" w:hAnsi="黑体" w:eastAsia="黑体" w:cs="宋体"/>
          <w:bCs/>
          <w:kern w:val="0"/>
          <w:sz w:val="32"/>
          <w:szCs w:val="32"/>
          <w:highlight w:val="none"/>
        </w:rPr>
        <w:t>一、</w:t>
      </w:r>
      <w:r>
        <w:rPr>
          <w:rFonts w:hint="eastAsia" w:ascii="黑体" w:hAnsi="宋体" w:eastAsia="黑体" w:cs="宋体"/>
          <w:kern w:val="0"/>
          <w:sz w:val="32"/>
          <w:szCs w:val="32"/>
          <w:highlight w:val="none"/>
        </w:rPr>
        <w:t>关于社会主义学院2019年收支预算情况的总体说明</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按照全口径预算的原则，社会主义学院2019年所有收入和支出均纳入部门预算管理。收支总预算1394.18万元。</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收入预算包括：一般公共预算1394.18万元。</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支出预算包括：</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教育</w:t>
      </w:r>
      <w:r>
        <w:rPr>
          <w:rFonts w:hint="eastAsia" w:ascii="仿宋_GB2312" w:hAnsi="宋体" w:eastAsia="仿宋_GB2312" w:cs="宋体"/>
          <w:kern w:val="0"/>
          <w:sz w:val="32"/>
          <w:szCs w:val="32"/>
          <w:highlight w:val="none"/>
        </w:rPr>
        <w:t>支出1394.18万元。</w:t>
      </w:r>
    </w:p>
    <w:p>
      <w:pPr>
        <w:widowControl/>
        <w:spacing w:line="580" w:lineRule="exact"/>
        <w:ind w:firstLine="640"/>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二、关于社会主义学院2019收入预算情况说明</w:t>
      </w:r>
    </w:p>
    <w:p>
      <w:pPr>
        <w:widowControl/>
        <w:spacing w:line="580" w:lineRule="exact"/>
        <w:ind w:firstLine="640"/>
        <w:jc w:val="left"/>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昌吉州社会主义学院</w:t>
      </w:r>
      <w:r>
        <w:rPr>
          <w:rFonts w:hint="eastAsia" w:ascii="仿宋_GB2312" w:hAnsi="宋体" w:eastAsia="仿宋_GB2312" w:cs="宋体"/>
          <w:kern w:val="0"/>
          <w:sz w:val="32"/>
          <w:szCs w:val="32"/>
          <w:highlight w:val="none"/>
        </w:rPr>
        <w:t>收入预算</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1394.18万元，其中：</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一般公共预算1394.18万元，占</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100</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，比上年增加687万元，主要原因是增加培训班次以及增加培训人员；</w:t>
      </w:r>
      <w:r>
        <w:rPr>
          <w:rFonts w:ascii="仿宋_GB2312" w:hAnsi="宋体" w:eastAsia="仿宋_GB2312" w:cs="宋体"/>
          <w:kern w:val="0"/>
          <w:sz w:val="32"/>
          <w:szCs w:val="32"/>
          <w:highlight w:val="none"/>
        </w:rPr>
        <w:t xml:space="preserve">    </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政府性基金预算未安排，占0%，比上年增加（减少）0万元，主要原因是未安排此项经费支出。</w:t>
      </w:r>
    </w:p>
    <w:p>
      <w:pPr>
        <w:widowControl/>
        <w:spacing w:line="580" w:lineRule="exact"/>
        <w:ind w:firstLine="640"/>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三、关于社会主义学院2019年支出预算情况说明</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支出预算</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1394.18万元，其中：</w:t>
      </w:r>
    </w:p>
    <w:p>
      <w:pPr>
        <w:widowControl/>
        <w:spacing w:line="580" w:lineRule="exact"/>
        <w:ind w:firstLine="640"/>
        <w:jc w:val="left"/>
        <w:rPr>
          <w:rFonts w:ascii="仿宋_GB2312" w:hAnsi="宋体" w:eastAsia="仿宋_GB2312" w:cs="宋体"/>
          <w:b/>
          <w:kern w:val="0"/>
          <w:sz w:val="32"/>
          <w:szCs w:val="32"/>
          <w:highlight w:val="none"/>
        </w:rPr>
      </w:pPr>
      <w:r>
        <w:rPr>
          <w:rFonts w:hint="eastAsia" w:ascii="仿宋_GB2312" w:hAnsi="宋体" w:eastAsia="仿宋_GB2312" w:cs="宋体"/>
          <w:kern w:val="0"/>
          <w:sz w:val="32"/>
          <w:szCs w:val="32"/>
          <w:highlight w:val="none"/>
        </w:rPr>
        <w:t>基本支出567.18万元，占41</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，比上年增加84万元，主要原因是搬迁新校址面积增大费用增加。</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项目支出827万元，占59</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，比上年增加603万元，主要原因是</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经文学院学历班及爱国宗教人士教育培训班。</w:t>
      </w:r>
    </w:p>
    <w:p>
      <w:pPr>
        <w:widowControl/>
        <w:spacing w:line="580" w:lineRule="exact"/>
        <w:ind w:firstLine="640"/>
        <w:jc w:val="left"/>
        <w:rPr>
          <w:rFonts w:ascii="黑体" w:hAnsi="黑体" w:eastAsia="黑体" w:cs="宋体"/>
          <w:bCs/>
          <w:kern w:val="0"/>
          <w:sz w:val="32"/>
          <w:szCs w:val="32"/>
          <w:highlight w:val="none"/>
        </w:rPr>
      </w:pPr>
      <w:r>
        <w:rPr>
          <w:rFonts w:hint="eastAsia" w:ascii="黑体" w:hAnsi="黑体" w:eastAsia="黑体" w:cs="宋体"/>
          <w:bCs/>
          <w:kern w:val="0"/>
          <w:sz w:val="32"/>
          <w:szCs w:val="32"/>
          <w:highlight w:val="none"/>
        </w:rPr>
        <w:t>四、关于财政拨款</w:t>
      </w:r>
      <w:r>
        <w:rPr>
          <w:rFonts w:hint="eastAsia" w:ascii="黑体" w:hAnsi="宋体" w:eastAsia="黑体" w:cs="宋体"/>
          <w:kern w:val="0"/>
          <w:sz w:val="32"/>
          <w:szCs w:val="32"/>
          <w:highlight w:val="none"/>
        </w:rPr>
        <w:t>社会主义学院2019</w:t>
      </w:r>
      <w:r>
        <w:rPr>
          <w:rFonts w:hint="eastAsia" w:ascii="黑体" w:hAnsi="黑体" w:eastAsia="黑体" w:cs="宋体"/>
          <w:bCs/>
          <w:kern w:val="0"/>
          <w:sz w:val="32"/>
          <w:szCs w:val="32"/>
          <w:highlight w:val="none"/>
        </w:rPr>
        <w:t>收支预算情况的总体说明</w:t>
      </w:r>
    </w:p>
    <w:p>
      <w:pPr>
        <w:spacing w:line="580" w:lineRule="exact"/>
        <w:ind w:firstLine="640"/>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201</w:t>
      </w:r>
      <w:r>
        <w:rPr>
          <w:rFonts w:hint="eastAsia" w:ascii="仿宋_GB2312" w:hAnsi="宋体" w:eastAsia="仿宋_GB2312" w:cs="宋体"/>
          <w:kern w:val="0"/>
          <w:sz w:val="32"/>
          <w:szCs w:val="32"/>
          <w:highlight w:val="none"/>
        </w:rPr>
        <w:t>9年财政拨款收支总预算</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1394.18</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万元。</w:t>
      </w:r>
    </w:p>
    <w:p>
      <w:pPr>
        <w:spacing w:line="580" w:lineRule="exact"/>
        <w:ind w:firstLine="64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收入全部为一般公共预算拨款，无政府性基金预算拨款。</w:t>
      </w:r>
    </w:p>
    <w:p>
      <w:pPr>
        <w:spacing w:line="580" w:lineRule="exact"/>
        <w:ind w:firstLine="64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支出预算包括：</w:t>
      </w:r>
      <w:r>
        <w:rPr>
          <w:rFonts w:hint="eastAsia" w:ascii="仿宋_GB2312" w:hAnsi="宋体" w:eastAsia="仿宋_GB2312" w:cs="宋体"/>
          <w:kern w:val="0"/>
          <w:sz w:val="32"/>
          <w:szCs w:val="32"/>
        </w:rPr>
        <w:t>教育</w:t>
      </w:r>
      <w:r>
        <w:rPr>
          <w:rFonts w:hint="eastAsia" w:ascii="仿宋_GB2312" w:hAnsi="宋体" w:eastAsia="仿宋_GB2312" w:cs="宋体"/>
          <w:kern w:val="0"/>
          <w:sz w:val="32"/>
          <w:szCs w:val="32"/>
          <w:highlight w:val="none"/>
        </w:rPr>
        <w:t>支出</w:t>
      </w:r>
      <w:r>
        <w:rPr>
          <w:rFonts w:hint="eastAsia" w:ascii="仿宋_GB2312" w:hAnsi="宋体" w:eastAsia="仿宋_GB2312" w:cs="宋体"/>
          <w:kern w:val="0"/>
          <w:sz w:val="32"/>
          <w:szCs w:val="32"/>
          <w:highlight w:val="none"/>
          <w:lang w:val="en-US" w:eastAsia="zh-CN"/>
        </w:rPr>
        <w:t>1394.18</w:t>
      </w:r>
      <w:r>
        <w:rPr>
          <w:rFonts w:hint="eastAsia" w:ascii="仿宋_GB2312" w:hAnsi="宋体" w:eastAsia="仿宋_GB2312" w:cs="宋体"/>
          <w:kern w:val="0"/>
          <w:sz w:val="32"/>
          <w:szCs w:val="32"/>
          <w:highlight w:val="none"/>
        </w:rPr>
        <w:t>万元，主要用于人员经费</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日常公用经费</w:t>
      </w:r>
      <w:r>
        <w:rPr>
          <w:rFonts w:hint="eastAsia" w:ascii="仿宋_GB2312" w:hAnsi="宋体" w:eastAsia="仿宋_GB2312" w:cs="宋体"/>
          <w:kern w:val="0"/>
          <w:sz w:val="32"/>
          <w:szCs w:val="32"/>
          <w:highlight w:val="none"/>
          <w:lang w:eastAsia="zh-CN"/>
        </w:rPr>
        <w:t>及开展教育培训工作支出</w:t>
      </w:r>
      <w:r>
        <w:rPr>
          <w:rFonts w:hint="eastAsia" w:ascii="仿宋_GB2312" w:hAnsi="宋体" w:eastAsia="仿宋_GB2312" w:cs="宋体"/>
          <w:kern w:val="0"/>
          <w:sz w:val="32"/>
          <w:szCs w:val="32"/>
          <w:highlight w:val="none"/>
        </w:rPr>
        <w:t>。</w:t>
      </w:r>
    </w:p>
    <w:p>
      <w:pPr>
        <w:spacing w:line="580" w:lineRule="exact"/>
        <w:ind w:firstLine="640"/>
        <w:rPr>
          <w:rFonts w:hint="eastAsia" w:ascii="仿宋_GB2312" w:hAnsi="宋体" w:eastAsia="仿宋_GB2312" w:cs="宋体"/>
          <w:kern w:val="0"/>
          <w:sz w:val="32"/>
          <w:szCs w:val="32"/>
          <w:highlight w:val="none"/>
        </w:rPr>
      </w:pPr>
    </w:p>
    <w:p>
      <w:pPr>
        <w:widowControl/>
        <w:spacing w:line="580" w:lineRule="exact"/>
        <w:ind w:firstLine="640"/>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五、关于社会主义学院2019年一般公共预算当年拨款情况说明</w:t>
      </w:r>
    </w:p>
    <w:p>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（一）一般公用预算当年拨款规模变化情况</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社会主义学院2019年一般公共预算拨款基本支出 1394.18万元，比上年执行数增加687万元，增长（下降）</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97</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。主要原因是：搬迁新校址人员经费及基本费用公用经费增加</w:t>
      </w:r>
      <w:r>
        <w:rPr>
          <w:rFonts w:ascii="仿宋_GB2312" w:hAnsi="宋体" w:eastAsia="仿宋_GB2312" w:cs="宋体"/>
          <w:kern w:val="0"/>
          <w:sz w:val="32"/>
          <w:szCs w:val="32"/>
          <w:highlight w:val="none"/>
        </w:rPr>
        <w:t xml:space="preserve">     </w:t>
      </w:r>
    </w:p>
    <w:p>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（二）一般公共预算当年拨款结构情况</w:t>
      </w:r>
    </w:p>
    <w:p>
      <w:pPr>
        <w:spacing w:line="580" w:lineRule="exact"/>
        <w:ind w:firstLine="640"/>
        <w:rPr>
          <w:rFonts w:ascii="仿宋_GB2312" w:hAnsi="宋体" w:eastAsia="仿宋_GB2312" w:cs="宋体"/>
          <w:kern w:val="0"/>
          <w:sz w:val="32"/>
          <w:szCs w:val="32"/>
          <w:highlight w:val="none"/>
        </w:rPr>
      </w:pPr>
      <w:r>
        <w:rPr>
          <w:rFonts w:ascii="仿宋_GB2312" w:eastAsia="仿宋_GB2312"/>
          <w:sz w:val="32"/>
          <w:szCs w:val="32"/>
          <w:highlight w:val="none"/>
        </w:rPr>
        <w:t>1.</w:t>
      </w:r>
      <w:r>
        <w:rPr>
          <w:rFonts w:hint="eastAsia" w:ascii="仿宋_GB2312" w:hAnsi="宋体" w:eastAsia="仿宋_GB2312"/>
          <w:kern w:val="0"/>
          <w:sz w:val="22"/>
          <w:szCs w:val="22"/>
          <w:highlight w:val="none"/>
        </w:rPr>
        <w:t>　</w:t>
      </w:r>
      <w:r>
        <w:rPr>
          <w:rFonts w:hint="eastAsia" w:ascii="仿宋" w:hAnsi="仿宋" w:eastAsia="仿宋" w:cs="仿宋"/>
          <w:color w:val="auto"/>
          <w:kern w:val="0"/>
          <w:sz w:val="32"/>
          <w:szCs w:val="32"/>
          <w:highlight w:val="none"/>
        </w:rPr>
        <w:t>教育支出</w:t>
      </w: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205</w:t>
      </w:r>
      <w:r>
        <w:rPr>
          <w:rFonts w:hint="eastAsia" w:ascii="仿宋_GB2312" w:eastAsia="仿宋_GB2312"/>
          <w:sz w:val="32"/>
          <w:szCs w:val="32"/>
          <w:highlight w:val="none"/>
        </w:rPr>
        <w:t>）</w:t>
      </w:r>
      <w:r>
        <w:rPr>
          <w:rFonts w:hint="eastAsia" w:ascii="仿宋_GB2312" w:hAnsi="宋体" w:eastAsia="仿宋_GB2312" w:cs="宋体"/>
          <w:kern w:val="0"/>
          <w:sz w:val="32"/>
          <w:szCs w:val="32"/>
          <w:highlight w:val="none"/>
        </w:rPr>
        <w:t>1394.18万元，占100</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w:t>
      </w:r>
    </w:p>
    <w:p>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（三）一般公共预算当年拨款具体使用情况</w:t>
      </w:r>
    </w:p>
    <w:p>
      <w:pPr>
        <w:widowControl/>
        <w:spacing w:line="580" w:lineRule="exact"/>
        <w:ind w:firstLine="640"/>
        <w:jc w:val="left"/>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1.</w:t>
      </w:r>
      <w:r>
        <w:rPr>
          <w:rFonts w:hint="eastAsia" w:ascii="仿宋_GB2312" w:hAnsi="宋体" w:eastAsia="仿宋_GB2312" w:cs="宋体"/>
          <w:kern w:val="0"/>
          <w:sz w:val="32"/>
          <w:szCs w:val="32"/>
          <w:highlight w:val="none"/>
        </w:rPr>
        <w:t xml:space="preserve"> 教育支出（</w:t>
      </w:r>
      <w:r>
        <w:rPr>
          <w:rFonts w:hint="eastAsia" w:ascii="仿宋_GB2312" w:hAnsi="宋体" w:eastAsia="仿宋_GB2312" w:cs="宋体"/>
          <w:kern w:val="0"/>
          <w:sz w:val="32"/>
          <w:szCs w:val="32"/>
          <w:highlight w:val="none"/>
          <w:lang w:val="en-US" w:eastAsia="zh-CN"/>
        </w:rPr>
        <w:t>205</w:t>
      </w:r>
      <w:r>
        <w:rPr>
          <w:rFonts w:hint="eastAsia" w:ascii="仿宋_GB2312" w:hAnsi="宋体" w:eastAsia="仿宋_GB2312" w:cs="宋体"/>
          <w:kern w:val="0"/>
          <w:sz w:val="32"/>
          <w:szCs w:val="32"/>
          <w:highlight w:val="none"/>
        </w:rPr>
        <w:t>）教育管理事务（</w:t>
      </w:r>
      <w:r>
        <w:rPr>
          <w:rFonts w:hint="eastAsia" w:ascii="仿宋_GB2312" w:hAnsi="宋体" w:eastAsia="仿宋_GB2312" w:cs="宋体"/>
          <w:kern w:val="0"/>
          <w:sz w:val="32"/>
          <w:szCs w:val="32"/>
          <w:highlight w:val="none"/>
          <w:lang w:val="en-US" w:eastAsia="zh-CN"/>
        </w:rPr>
        <w:t>01</w:t>
      </w:r>
      <w:r>
        <w:rPr>
          <w:rFonts w:hint="eastAsia" w:ascii="仿宋_GB2312" w:hAnsi="宋体" w:eastAsia="仿宋_GB2312" w:cs="宋体"/>
          <w:kern w:val="0"/>
          <w:sz w:val="32"/>
          <w:szCs w:val="32"/>
          <w:highlight w:val="none"/>
        </w:rPr>
        <w:t>）其他教育管理事务（</w:t>
      </w:r>
      <w:r>
        <w:rPr>
          <w:rFonts w:hint="eastAsia" w:ascii="仿宋_GB2312" w:hAnsi="宋体" w:eastAsia="仿宋_GB2312" w:cs="宋体"/>
          <w:kern w:val="0"/>
          <w:sz w:val="32"/>
          <w:szCs w:val="32"/>
          <w:highlight w:val="none"/>
          <w:lang w:val="en-US" w:eastAsia="zh-CN"/>
        </w:rPr>
        <w:t>99</w:t>
      </w:r>
      <w:r>
        <w:rPr>
          <w:rFonts w:hint="eastAsia" w:ascii="仿宋_GB2312" w:hAnsi="宋体" w:eastAsia="仿宋_GB2312" w:cs="宋体"/>
          <w:kern w:val="0"/>
          <w:sz w:val="32"/>
          <w:szCs w:val="32"/>
          <w:highlight w:val="none"/>
        </w:rPr>
        <w:t>）</w:t>
      </w:r>
      <w:r>
        <w:rPr>
          <w:rFonts w:ascii="仿宋_GB2312" w:hAnsi="宋体" w:eastAsia="仿宋_GB2312" w:cs="宋体"/>
          <w:kern w:val="0"/>
          <w:sz w:val="32"/>
          <w:szCs w:val="32"/>
          <w:highlight w:val="none"/>
        </w:rPr>
        <w:t>:2019年</w:t>
      </w:r>
      <w:r>
        <w:rPr>
          <w:rFonts w:hint="eastAsia" w:ascii="仿宋_GB2312" w:hAnsi="宋体" w:eastAsia="仿宋_GB2312" w:cs="宋体"/>
          <w:kern w:val="0"/>
          <w:sz w:val="32"/>
          <w:szCs w:val="32"/>
          <w:highlight w:val="none"/>
        </w:rPr>
        <w:t>预算数为543.9万元，比上年执行数增加850.28万元，增长156.33</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，主要原因是：搬迁新校址人员经费及基本费用公用经费增加</w:t>
      </w:r>
      <w:r>
        <w:rPr>
          <w:rFonts w:hint="eastAsia" w:ascii="仿宋_GB2312" w:hAnsi="宋体" w:eastAsia="仿宋_GB2312" w:cs="宋体"/>
          <w:kern w:val="0"/>
          <w:sz w:val="32"/>
          <w:szCs w:val="32"/>
          <w:highlight w:val="none"/>
          <w:lang w:eastAsia="zh-CN"/>
        </w:rPr>
        <w:t>。</w:t>
      </w:r>
      <w:r>
        <w:rPr>
          <w:rFonts w:ascii="仿宋_GB2312" w:hAnsi="宋体" w:eastAsia="仿宋_GB2312" w:cs="宋体"/>
          <w:kern w:val="0"/>
          <w:sz w:val="32"/>
          <w:szCs w:val="32"/>
          <w:highlight w:val="none"/>
        </w:rPr>
        <w:t xml:space="preserve">    </w:t>
      </w:r>
    </w:p>
    <w:p>
      <w:pPr>
        <w:widowControl/>
        <w:spacing w:line="580" w:lineRule="exact"/>
        <w:ind w:firstLine="640"/>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六、关于社会主义学院2019一般公共预算基本支出情况说明</w:t>
      </w:r>
    </w:p>
    <w:p>
      <w:pPr>
        <w:widowControl/>
        <w:spacing w:line="580" w:lineRule="exact"/>
        <w:ind w:firstLine="640"/>
        <w:jc w:val="left"/>
        <w:rPr>
          <w:rFonts w:hint="eastAsia" w:ascii="仿宋" w:hAnsi="仿宋" w:eastAsia="仿宋" w:cs="仿宋"/>
          <w:kern w:val="0"/>
          <w:sz w:val="32"/>
          <w:szCs w:val="32"/>
          <w:highlight w:val="none"/>
        </w:rPr>
      </w:pPr>
      <w:r>
        <w:rPr>
          <w:rFonts w:hint="eastAsia" w:ascii="黑体" w:hAnsi="宋体" w:eastAsia="黑体" w:cs="宋体"/>
          <w:kern w:val="0"/>
          <w:sz w:val="32"/>
          <w:szCs w:val="32"/>
          <w:highlight w:val="none"/>
        </w:rPr>
        <w:t>社会主义学院2019</w:t>
      </w:r>
      <w:r>
        <w:rPr>
          <w:rFonts w:hint="eastAsia" w:ascii="仿宋_GB2312" w:hAnsi="宋体" w:eastAsia="仿宋_GB2312" w:cs="宋体"/>
          <w:kern w:val="0"/>
          <w:sz w:val="32"/>
          <w:szCs w:val="32"/>
          <w:highlight w:val="none"/>
        </w:rPr>
        <w:t>年一般公共预算基本支出</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567.18</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万</w:t>
      </w:r>
      <w:r>
        <w:rPr>
          <w:rFonts w:hint="eastAsia" w:ascii="仿宋" w:hAnsi="仿宋" w:eastAsia="仿宋" w:cs="仿宋"/>
          <w:kern w:val="0"/>
          <w:sz w:val="32"/>
          <w:szCs w:val="32"/>
          <w:highlight w:val="none"/>
        </w:rPr>
        <w:t>元， 其中：</w:t>
      </w:r>
    </w:p>
    <w:p>
      <w:pPr>
        <w:widowControl/>
        <w:spacing w:line="580" w:lineRule="exact"/>
        <w:ind w:firstLine="640"/>
        <w:jc w:val="left"/>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人员经费  293.55万元，主要包括：基本工资、津贴补贴、奖金、伙食补助费、</w:t>
      </w:r>
      <w:r>
        <w:rPr>
          <w:rFonts w:hint="eastAsia" w:ascii="仿宋" w:hAnsi="仿宋" w:eastAsia="仿宋" w:cs="仿宋"/>
          <w:color w:val="000000"/>
          <w:kern w:val="0"/>
          <w:sz w:val="32"/>
          <w:szCs w:val="32"/>
          <w:highlight w:val="none"/>
        </w:rPr>
        <w:t>基础性绩效工资</w:t>
      </w:r>
      <w:r>
        <w:rPr>
          <w:rFonts w:hint="eastAsia" w:ascii="仿宋" w:hAnsi="仿宋" w:eastAsia="仿宋" w:cs="仿宋"/>
          <w:color w:val="000000"/>
          <w:kern w:val="0"/>
          <w:sz w:val="32"/>
          <w:szCs w:val="32"/>
          <w:highlight w:val="none"/>
          <w:lang w:eastAsia="zh-CN"/>
        </w:rPr>
        <w:t>、奖励性</w:t>
      </w:r>
      <w:r>
        <w:rPr>
          <w:rFonts w:hint="eastAsia" w:ascii="仿宋" w:hAnsi="仿宋" w:eastAsia="仿宋" w:cs="仿宋"/>
          <w:kern w:val="0"/>
          <w:sz w:val="32"/>
          <w:szCs w:val="32"/>
          <w:highlight w:val="none"/>
        </w:rPr>
        <w:t>绩效工资、</w:t>
      </w:r>
      <w:r>
        <w:rPr>
          <w:rFonts w:hint="eastAsia" w:ascii="仿宋" w:hAnsi="仿宋" w:eastAsia="仿宋" w:cs="仿宋"/>
          <w:color w:val="000000"/>
          <w:kern w:val="0"/>
          <w:sz w:val="32"/>
          <w:szCs w:val="32"/>
          <w:highlight w:val="none"/>
        </w:rPr>
        <w:t>员额控制人员经费</w:t>
      </w:r>
      <w:r>
        <w:rPr>
          <w:rFonts w:hint="eastAsia" w:ascii="仿宋" w:hAnsi="仿宋" w:eastAsia="仿宋" w:cs="仿宋"/>
          <w:color w:val="000000"/>
          <w:kern w:val="0"/>
          <w:sz w:val="32"/>
          <w:szCs w:val="32"/>
          <w:highlight w:val="none"/>
          <w:lang w:eastAsia="zh-CN"/>
        </w:rPr>
        <w:t>、</w:t>
      </w:r>
      <w:r>
        <w:rPr>
          <w:rFonts w:hint="eastAsia" w:ascii="仿宋" w:hAnsi="仿宋" w:eastAsia="仿宋" w:cs="仿宋"/>
          <w:kern w:val="0"/>
          <w:sz w:val="32"/>
          <w:szCs w:val="32"/>
          <w:highlight w:val="none"/>
        </w:rPr>
        <w:t>机关事业单位基本养老保险缴费、职工基本医疗保险缴费、公务员医疗补助缴费、其他社会保障缴费、</w:t>
      </w:r>
      <w:r>
        <w:rPr>
          <w:rFonts w:hint="eastAsia" w:ascii="仿宋" w:hAnsi="仿宋" w:eastAsia="仿宋" w:cs="仿宋"/>
          <w:color w:val="000000"/>
          <w:kern w:val="0"/>
          <w:sz w:val="32"/>
          <w:szCs w:val="32"/>
          <w:highlight w:val="none"/>
        </w:rPr>
        <w:t>失业保险</w:t>
      </w:r>
      <w:r>
        <w:rPr>
          <w:rFonts w:hint="eastAsia" w:ascii="仿宋" w:hAnsi="仿宋" w:eastAsia="仿宋" w:cs="仿宋"/>
          <w:color w:val="000000"/>
          <w:kern w:val="0"/>
          <w:sz w:val="32"/>
          <w:szCs w:val="32"/>
          <w:highlight w:val="none"/>
          <w:lang w:eastAsia="zh-CN"/>
        </w:rPr>
        <w:t>、</w:t>
      </w:r>
      <w:r>
        <w:rPr>
          <w:rFonts w:hint="eastAsia" w:ascii="仿宋" w:hAnsi="仿宋" w:eastAsia="仿宋" w:cs="仿宋"/>
          <w:color w:val="000000"/>
          <w:kern w:val="0"/>
          <w:sz w:val="32"/>
          <w:szCs w:val="32"/>
          <w:highlight w:val="none"/>
        </w:rPr>
        <w:t>工伤保险</w:t>
      </w:r>
      <w:r>
        <w:rPr>
          <w:rFonts w:hint="eastAsia" w:ascii="仿宋" w:hAnsi="仿宋" w:eastAsia="仿宋" w:cs="仿宋"/>
          <w:color w:val="000000"/>
          <w:kern w:val="0"/>
          <w:sz w:val="32"/>
          <w:szCs w:val="32"/>
          <w:highlight w:val="none"/>
          <w:lang w:eastAsia="zh-CN"/>
        </w:rPr>
        <w:t>、</w:t>
      </w:r>
      <w:r>
        <w:rPr>
          <w:rFonts w:hint="eastAsia" w:ascii="仿宋" w:hAnsi="仿宋" w:eastAsia="仿宋" w:cs="仿宋"/>
          <w:color w:val="000000"/>
          <w:kern w:val="0"/>
          <w:sz w:val="32"/>
          <w:szCs w:val="32"/>
          <w:highlight w:val="none"/>
        </w:rPr>
        <w:t>生育保险</w:t>
      </w:r>
      <w:r>
        <w:rPr>
          <w:rFonts w:hint="eastAsia" w:ascii="仿宋" w:hAnsi="仿宋" w:eastAsia="仿宋" w:cs="仿宋"/>
          <w:color w:val="000000"/>
          <w:kern w:val="0"/>
          <w:sz w:val="32"/>
          <w:szCs w:val="32"/>
          <w:highlight w:val="none"/>
          <w:lang w:eastAsia="zh-CN"/>
        </w:rPr>
        <w:t>、</w:t>
      </w:r>
      <w:r>
        <w:rPr>
          <w:rFonts w:hint="eastAsia" w:ascii="仿宋" w:hAnsi="仿宋" w:eastAsia="仿宋" w:cs="仿宋"/>
          <w:kern w:val="0"/>
          <w:sz w:val="32"/>
          <w:szCs w:val="32"/>
          <w:highlight w:val="none"/>
        </w:rPr>
        <w:t>住房公积金、医疗费、生活补助、</w:t>
      </w:r>
      <w:r>
        <w:rPr>
          <w:rFonts w:hint="eastAsia" w:ascii="仿宋" w:hAnsi="仿宋" w:eastAsia="仿宋" w:cs="仿宋"/>
          <w:kern w:val="0"/>
          <w:sz w:val="32"/>
          <w:szCs w:val="32"/>
          <w:highlight w:val="none"/>
          <w:lang w:eastAsia="zh-CN"/>
        </w:rPr>
        <w:t>护理费、遗属生活费</w:t>
      </w:r>
      <w:r>
        <w:rPr>
          <w:rFonts w:hint="eastAsia" w:ascii="仿宋" w:hAnsi="仿宋" w:eastAsia="仿宋" w:cs="仿宋"/>
          <w:kern w:val="0"/>
          <w:sz w:val="32"/>
          <w:szCs w:val="32"/>
          <w:highlight w:val="none"/>
        </w:rPr>
        <w:t>、</w:t>
      </w:r>
      <w:r>
        <w:rPr>
          <w:rFonts w:hint="eastAsia" w:ascii="仿宋" w:hAnsi="仿宋" w:eastAsia="仿宋" w:cs="仿宋"/>
          <w:color w:val="000000"/>
          <w:kern w:val="0"/>
          <w:sz w:val="32"/>
          <w:szCs w:val="32"/>
          <w:highlight w:val="none"/>
        </w:rPr>
        <w:t>离休人员生活补贴</w:t>
      </w:r>
      <w:r>
        <w:rPr>
          <w:rFonts w:hint="eastAsia" w:ascii="仿宋" w:hAnsi="仿宋" w:eastAsia="仿宋" w:cs="仿宋"/>
          <w:color w:val="000000"/>
          <w:kern w:val="0"/>
          <w:sz w:val="32"/>
          <w:szCs w:val="32"/>
          <w:highlight w:val="none"/>
          <w:lang w:eastAsia="zh-CN"/>
        </w:rPr>
        <w:t>、</w:t>
      </w:r>
      <w:r>
        <w:rPr>
          <w:rFonts w:hint="eastAsia" w:ascii="仿宋" w:hAnsi="仿宋" w:eastAsia="仿宋" w:cs="仿宋"/>
          <w:color w:val="000000"/>
          <w:kern w:val="0"/>
          <w:sz w:val="32"/>
          <w:szCs w:val="32"/>
          <w:highlight w:val="none"/>
        </w:rPr>
        <w:t>独生子女奖励金</w:t>
      </w:r>
      <w:r>
        <w:rPr>
          <w:rFonts w:hint="eastAsia" w:ascii="仿宋" w:hAnsi="仿宋" w:eastAsia="仿宋" w:cs="仿宋"/>
          <w:color w:val="000000"/>
          <w:kern w:val="0"/>
          <w:sz w:val="32"/>
          <w:szCs w:val="32"/>
          <w:highlight w:val="none"/>
          <w:lang w:eastAsia="zh-CN"/>
        </w:rPr>
        <w:t>、</w:t>
      </w:r>
      <w:r>
        <w:rPr>
          <w:rFonts w:hint="eastAsia" w:ascii="仿宋" w:hAnsi="仿宋" w:eastAsia="仿宋" w:cs="仿宋"/>
          <w:color w:val="000000"/>
          <w:kern w:val="0"/>
          <w:sz w:val="32"/>
          <w:szCs w:val="32"/>
          <w:highlight w:val="none"/>
        </w:rPr>
        <w:t>离退休人员活动费</w:t>
      </w:r>
      <w:r>
        <w:rPr>
          <w:rFonts w:hint="eastAsia" w:ascii="仿宋" w:hAnsi="仿宋" w:eastAsia="仿宋" w:cs="仿宋"/>
          <w:kern w:val="0"/>
          <w:sz w:val="32"/>
          <w:szCs w:val="32"/>
          <w:highlight w:val="none"/>
        </w:rPr>
        <w:t>助学金、奖励金、个人农业生产补贴、其他对个人和家庭的补助等。</w:t>
      </w:r>
      <w:r>
        <w:rPr>
          <w:rFonts w:hint="eastAsia" w:ascii="仿宋" w:hAnsi="仿宋" w:eastAsia="仿宋" w:cs="仿宋"/>
          <w:color w:val="000000"/>
          <w:kern w:val="0"/>
          <w:sz w:val="32"/>
          <w:szCs w:val="32"/>
          <w:highlight w:val="none"/>
        </w:rPr>
        <w:t>基层</w:t>
      </w:r>
    </w:p>
    <w:p>
      <w:pPr>
        <w:widowControl/>
        <w:spacing w:line="580" w:lineRule="exact"/>
        <w:ind w:firstLine="640"/>
        <w:jc w:val="left"/>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公用经费273.63 万元，主要包括：办公费、印刷费、邮电费、取暖费、物业管理费、差旅费、劳务费、委托业务费、工会经费、福利费、公务用车运行维护费</w:t>
      </w:r>
      <w:r>
        <w:rPr>
          <w:rFonts w:hint="eastAsia" w:ascii="仿宋" w:hAnsi="仿宋" w:eastAsia="仿宋" w:cs="仿宋"/>
          <w:kern w:val="0"/>
          <w:sz w:val="32"/>
          <w:szCs w:val="32"/>
          <w:highlight w:val="none"/>
          <w:lang w:eastAsia="zh-CN"/>
        </w:rPr>
        <w:t>、其他商品和服务支出</w:t>
      </w:r>
      <w:r>
        <w:rPr>
          <w:rFonts w:hint="eastAsia" w:ascii="仿宋" w:hAnsi="仿宋" w:eastAsia="仿宋" w:cs="仿宋"/>
          <w:kern w:val="0"/>
          <w:sz w:val="32"/>
          <w:szCs w:val="32"/>
          <w:highlight w:val="none"/>
        </w:rPr>
        <w:t>等。</w:t>
      </w:r>
    </w:p>
    <w:p>
      <w:pPr>
        <w:widowControl/>
        <w:spacing w:line="580" w:lineRule="exact"/>
        <w:ind w:firstLine="640"/>
        <w:jc w:val="left"/>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七、关于社会主义学院2019年项目支出情况说明</w:t>
      </w:r>
    </w:p>
    <w:p>
      <w:pPr>
        <w:widowControl/>
        <w:spacing w:line="580" w:lineRule="exact"/>
        <w:ind w:firstLine="640"/>
        <w:jc w:val="left"/>
        <w:rPr>
          <w:rFonts w:ascii="仿宋_GB2312" w:hAnsi="黑体" w:eastAsia="仿宋_GB2312"/>
          <w:sz w:val="32"/>
          <w:szCs w:val="32"/>
          <w:highlight w:val="none"/>
        </w:rPr>
      </w:pPr>
      <w:r>
        <w:rPr>
          <w:rFonts w:hint="eastAsia" w:ascii="仿宋_GB2312" w:hAnsi="黑体" w:eastAsia="仿宋_GB2312"/>
          <w:sz w:val="32"/>
          <w:szCs w:val="32"/>
          <w:highlight w:val="none"/>
        </w:rPr>
        <w:t>项目名称：宗教人士培训</w:t>
      </w:r>
    </w:p>
    <w:p>
      <w:pPr>
        <w:widowControl/>
        <w:spacing w:line="580" w:lineRule="exact"/>
        <w:ind w:firstLine="640"/>
        <w:jc w:val="left"/>
        <w:rPr>
          <w:rFonts w:ascii="仿宋_GB2312" w:hAnsi="黑体" w:eastAsia="仿宋_GB2312"/>
          <w:sz w:val="32"/>
          <w:szCs w:val="32"/>
          <w:highlight w:val="none"/>
        </w:rPr>
      </w:pPr>
      <w:r>
        <w:rPr>
          <w:rFonts w:hint="eastAsia" w:ascii="仿宋_GB2312" w:hAnsi="黑体" w:eastAsia="仿宋_GB2312"/>
          <w:sz w:val="32"/>
          <w:szCs w:val="32"/>
          <w:highlight w:val="none"/>
        </w:rPr>
        <w:t>设立的政策依据：自治区党委统战部.自治区民委关于伊斯兰教爱国宗教人士集中培训方案</w:t>
      </w:r>
    </w:p>
    <w:p>
      <w:pPr>
        <w:widowControl/>
        <w:spacing w:line="580" w:lineRule="exact"/>
        <w:ind w:firstLine="640"/>
        <w:jc w:val="left"/>
        <w:rPr>
          <w:rFonts w:ascii="仿宋_GB2312" w:hAnsi="黑体" w:eastAsia="仿宋_GB2312"/>
          <w:sz w:val="32"/>
          <w:szCs w:val="32"/>
          <w:highlight w:val="none"/>
        </w:rPr>
      </w:pPr>
      <w:r>
        <w:rPr>
          <w:rFonts w:hint="eastAsia" w:ascii="仿宋_GB2312" w:hAnsi="黑体" w:eastAsia="仿宋_GB2312"/>
          <w:sz w:val="32"/>
          <w:szCs w:val="32"/>
          <w:highlight w:val="none"/>
        </w:rPr>
        <w:t>预算安排规模：全日制大.中专班2期集中培训班半年制2期驻村管寺干部培训班2期</w:t>
      </w:r>
    </w:p>
    <w:p>
      <w:pPr>
        <w:widowControl/>
        <w:spacing w:line="580" w:lineRule="exact"/>
        <w:ind w:firstLine="640"/>
        <w:jc w:val="left"/>
        <w:rPr>
          <w:rFonts w:ascii="仿宋_GB2312" w:hAnsi="黑体" w:eastAsia="仿宋_GB2312"/>
          <w:sz w:val="32"/>
          <w:szCs w:val="32"/>
          <w:highlight w:val="none"/>
        </w:rPr>
      </w:pPr>
      <w:r>
        <w:rPr>
          <w:rFonts w:hint="eastAsia" w:ascii="仿宋_GB2312" w:hAnsi="黑体" w:eastAsia="仿宋_GB2312"/>
          <w:sz w:val="32"/>
          <w:szCs w:val="32"/>
          <w:highlight w:val="none"/>
        </w:rPr>
        <w:t>项目承担单位：昌吉回族自治州社会主义学院.经文学院</w:t>
      </w:r>
    </w:p>
    <w:p>
      <w:pPr>
        <w:widowControl/>
        <w:spacing w:line="580" w:lineRule="exact"/>
        <w:ind w:firstLine="640"/>
        <w:jc w:val="left"/>
        <w:rPr>
          <w:rFonts w:ascii="仿宋_GB2312" w:hAnsi="黑体" w:eastAsia="仿宋_GB2312"/>
          <w:sz w:val="32"/>
          <w:szCs w:val="32"/>
          <w:highlight w:val="none"/>
        </w:rPr>
      </w:pPr>
      <w:r>
        <w:rPr>
          <w:rFonts w:hint="eastAsia" w:ascii="仿宋_GB2312" w:hAnsi="黑体" w:eastAsia="仿宋_GB2312"/>
          <w:sz w:val="32"/>
          <w:szCs w:val="32"/>
          <w:highlight w:val="none"/>
        </w:rPr>
        <w:t>资金分配情况：集中班272万元</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全日制555万元</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黑体" w:eastAsia="仿宋_GB2312"/>
          <w:sz w:val="32"/>
          <w:szCs w:val="32"/>
          <w:highlight w:val="none"/>
        </w:rPr>
        <w:t xml:space="preserve">资金执行时间：2019年5月学习班开班开始执行      </w:t>
      </w:r>
    </w:p>
    <w:p>
      <w:pPr>
        <w:widowControl/>
        <w:spacing w:line="580" w:lineRule="exact"/>
        <w:ind w:firstLine="642"/>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八、关于社会主义学院2019年一般公共预算“三公”经费预算情况说明</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 w:hAnsi="仿宋" w:eastAsia="仿宋" w:cs="仿宋"/>
          <w:b w:val="0"/>
          <w:bCs w:val="0"/>
          <w:kern w:val="0"/>
          <w:sz w:val="32"/>
          <w:szCs w:val="32"/>
          <w:highlight w:val="none"/>
        </w:rPr>
        <w:t>社会主义学院2019年“</w:t>
      </w:r>
      <w:r>
        <w:rPr>
          <w:rFonts w:hint="eastAsia" w:ascii="仿宋_GB2312" w:hAnsi="宋体" w:eastAsia="仿宋_GB2312" w:cs="宋体"/>
          <w:kern w:val="0"/>
          <w:sz w:val="32"/>
          <w:szCs w:val="32"/>
          <w:highlight w:val="none"/>
        </w:rPr>
        <w:t>三公”经费财政拨款预算数为</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1.38万元，其中：因公出国（境）费</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0</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万元，公务用车购置</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0</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万元，公务用车运行费1.38</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万元，公务接待费</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0</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万元。</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2019年“三公”经费财政拨款预算比上年增加（减少）</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0.51万元，其中：因公出国（境）费增加（减少）</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万元，主要原因是未安排</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；公务用车购置费为</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未安排预算；公务用车运行费增加（减少）万元0.02，主要原因是主要原因是进一步严格落实中央八项规定，压缩公务车运行支出；公务接待费增加（减少）万元0.49，主要原因是进一步严格落实中央八项规定，压缩公务接待支出 。</w:t>
      </w:r>
    </w:p>
    <w:p>
      <w:pPr>
        <w:widowControl/>
        <w:spacing w:line="580" w:lineRule="exact"/>
        <w:ind w:firstLine="642"/>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九、关于社会主义学院2019年政府性基金预算拨款情况说明</w:t>
      </w:r>
    </w:p>
    <w:p>
      <w:pPr>
        <w:widowControl/>
        <w:spacing w:line="580" w:lineRule="exact"/>
        <w:ind w:firstLine="640"/>
        <w:jc w:val="left"/>
        <w:rPr>
          <w:rFonts w:ascii="仿宋_GB2312" w:hAnsi="宋体" w:eastAsia="仿宋_GB2312" w:cs="宋体"/>
          <w:kern w:val="0"/>
          <w:sz w:val="32"/>
          <w:szCs w:val="32"/>
          <w:highlight w:val="none"/>
        </w:rPr>
      </w:pPr>
      <w:r>
        <w:rPr>
          <w:rFonts w:hint="eastAsia" w:ascii="黑体" w:hAnsi="宋体" w:eastAsia="黑体" w:cs="宋体"/>
          <w:kern w:val="0"/>
          <w:sz w:val="32"/>
          <w:szCs w:val="32"/>
          <w:highlight w:val="none"/>
        </w:rPr>
        <w:t>社会主义学院2019</w:t>
      </w:r>
      <w:r>
        <w:rPr>
          <w:rFonts w:hint="eastAsia" w:ascii="仿宋_GB2312" w:hAnsi="宋体" w:eastAsia="仿宋_GB2312" w:cs="宋体"/>
          <w:kern w:val="0"/>
          <w:sz w:val="32"/>
          <w:szCs w:val="32"/>
          <w:highlight w:val="none"/>
        </w:rPr>
        <w:t>年没有使用政府性基金预算拨款安排的支出，政府性基金预算支出情况表为空表。</w:t>
      </w:r>
    </w:p>
    <w:p>
      <w:pPr>
        <w:widowControl/>
        <w:spacing w:line="580" w:lineRule="exact"/>
        <w:ind w:firstLine="640"/>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十、其他重要事项的情况说明</w:t>
      </w:r>
    </w:p>
    <w:p>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（一）机关运行经费情况</w:t>
      </w:r>
    </w:p>
    <w:p>
      <w:pPr>
        <w:widowControl/>
        <w:spacing w:line="580" w:lineRule="exact"/>
        <w:ind w:firstLine="640"/>
        <w:jc w:val="left"/>
        <w:rPr>
          <w:rFonts w:ascii="仿宋_GB2312" w:hAnsi="宋体" w:eastAsia="仿宋_GB2312" w:cs="宋体"/>
          <w:kern w:val="0"/>
          <w:sz w:val="32"/>
          <w:szCs w:val="32"/>
          <w:highlight w:val="none"/>
        </w:rPr>
      </w:pPr>
      <w:r>
        <w:rPr>
          <w:rFonts w:hint="eastAsia" w:ascii="黑体" w:hAnsi="宋体" w:eastAsia="黑体" w:cs="宋体"/>
          <w:kern w:val="0"/>
          <w:sz w:val="32"/>
          <w:szCs w:val="32"/>
          <w:highlight w:val="none"/>
        </w:rPr>
        <w:t>社会主义学院2019</w:t>
      </w:r>
      <w:r>
        <w:rPr>
          <w:rFonts w:hint="eastAsia" w:ascii="仿宋_GB2312" w:hAnsi="宋体" w:eastAsia="仿宋_GB2312" w:cs="宋体"/>
          <w:kern w:val="0"/>
          <w:sz w:val="32"/>
          <w:szCs w:val="32"/>
          <w:highlight w:val="none"/>
        </w:rPr>
        <w:t>本级及下属</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0</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家行政单位、0家参公管理事业单位和1家事业单位的机关运行经费财政拨款预算</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61.9万元，比上年预算增加35.31万元，增长132</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。主要原因是：搬迁新校址人员经费及基本费用公用经费增加。</w:t>
      </w:r>
    </w:p>
    <w:p>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（二）政府采购情况</w:t>
      </w:r>
    </w:p>
    <w:p>
      <w:pPr>
        <w:widowControl/>
        <w:spacing w:line="580" w:lineRule="exact"/>
        <w:ind w:firstLine="640"/>
        <w:jc w:val="left"/>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2019年</w:t>
      </w:r>
      <w:r>
        <w:rPr>
          <w:rFonts w:hint="eastAsia" w:ascii="仿宋_GB2312" w:hAnsi="宋体" w:eastAsia="仿宋_GB2312" w:cs="宋体"/>
          <w:kern w:val="0"/>
          <w:sz w:val="32"/>
          <w:szCs w:val="32"/>
          <w:highlight w:val="none"/>
        </w:rPr>
        <w:t>，</w:t>
      </w:r>
      <w:r>
        <w:rPr>
          <w:rFonts w:ascii="仿宋_GB2312" w:hAnsi="宋体" w:eastAsia="仿宋_GB2312" w:cs="宋体"/>
          <w:kern w:val="0"/>
          <w:sz w:val="32"/>
          <w:szCs w:val="32"/>
          <w:highlight w:val="none"/>
        </w:rPr>
        <w:t>昌吉州社会主义学院</w:t>
      </w:r>
      <w:r>
        <w:rPr>
          <w:rFonts w:hint="eastAsia" w:ascii="仿宋_GB2312" w:hAnsi="宋体" w:eastAsia="仿宋_GB2312" w:cs="宋体"/>
          <w:kern w:val="0"/>
          <w:sz w:val="32"/>
          <w:szCs w:val="32"/>
          <w:highlight w:val="none"/>
        </w:rPr>
        <w:t>及下属单位政府采购预算</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600</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万元，其中：政府采购货物预算600万元，政府采购工程预算0万元，政府采购服务预算0万元。</w:t>
      </w:r>
    </w:p>
    <w:p>
      <w:pPr>
        <w:widowControl/>
        <w:spacing w:line="580" w:lineRule="exact"/>
        <w:ind w:firstLine="640"/>
        <w:jc w:val="left"/>
        <w:rPr>
          <w:rFonts w:ascii="仿宋_GB2312" w:hAnsi="宋体" w:eastAsia="仿宋_GB2312" w:cs="宋体"/>
          <w:kern w:val="0"/>
          <w:sz w:val="32"/>
          <w:szCs w:val="32"/>
          <w:highlight w:val="none"/>
        </w:rPr>
      </w:pPr>
      <w:r>
        <w:rPr>
          <w:rFonts w:hint="eastAsia" w:ascii="黑体" w:hAnsi="宋体" w:eastAsia="黑体" w:cs="宋体"/>
          <w:kern w:val="0"/>
          <w:sz w:val="32"/>
          <w:szCs w:val="32"/>
          <w:highlight w:val="none"/>
        </w:rPr>
        <w:t>社会主义学院2019</w:t>
      </w:r>
      <w:r>
        <w:rPr>
          <w:rFonts w:hint="eastAsia" w:ascii="仿宋_GB2312" w:hAnsi="仿宋_GB2312" w:eastAsia="仿宋_GB2312"/>
          <w:sz w:val="32"/>
          <w:highlight w:val="none"/>
        </w:rPr>
        <w:t>年度本部门面向中小企业预留政府采购项目预算金额</w:t>
      </w:r>
      <w:r>
        <w:rPr>
          <w:rFonts w:ascii="仿宋_GB2312" w:hAnsi="仿宋_GB2312" w:eastAsia="仿宋_GB2312"/>
          <w:sz w:val="32"/>
          <w:highlight w:val="none"/>
        </w:rPr>
        <w:t xml:space="preserve"> </w:t>
      </w:r>
      <w:r>
        <w:rPr>
          <w:rFonts w:hint="eastAsia" w:ascii="仿宋_GB2312" w:hAnsi="仿宋_GB2312" w:eastAsia="仿宋_GB2312"/>
          <w:sz w:val="32"/>
          <w:highlight w:val="none"/>
        </w:rPr>
        <w:t>600</w:t>
      </w:r>
      <w:r>
        <w:rPr>
          <w:rFonts w:ascii="仿宋_GB2312" w:hAnsi="仿宋_GB2312" w:eastAsia="仿宋_GB2312"/>
          <w:sz w:val="32"/>
          <w:highlight w:val="none"/>
        </w:rPr>
        <w:t xml:space="preserve">  </w:t>
      </w:r>
      <w:r>
        <w:rPr>
          <w:rFonts w:hint="eastAsia" w:ascii="仿宋_GB2312" w:hAnsi="仿宋_GB2312" w:eastAsia="仿宋_GB2312"/>
          <w:sz w:val="32"/>
          <w:highlight w:val="none"/>
        </w:rPr>
        <w:t>万元，其中：面向小微企业预留政府采购项目预算金额0万元。</w:t>
      </w:r>
    </w:p>
    <w:p>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（三）国有资产占用使用情况</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截至2018年底，</w:t>
      </w:r>
      <w:r>
        <w:rPr>
          <w:rFonts w:hint="eastAsia" w:ascii="仿宋_GB2312" w:hAnsi="宋体" w:eastAsia="仿宋_GB2312" w:cs="宋体"/>
          <w:kern w:val="0"/>
          <w:sz w:val="32"/>
          <w:szCs w:val="32"/>
          <w:highlight w:val="none"/>
          <w:lang w:eastAsia="zh-CN"/>
        </w:rPr>
        <w:t>昌吉州社会主义学院</w:t>
      </w:r>
      <w:r>
        <w:rPr>
          <w:rFonts w:hint="eastAsia" w:ascii="仿宋_GB2312" w:hAnsi="宋体" w:eastAsia="仿宋_GB2312" w:cs="宋体"/>
          <w:kern w:val="0"/>
          <w:sz w:val="32"/>
          <w:szCs w:val="32"/>
          <w:highlight w:val="none"/>
        </w:rPr>
        <w:t>及下属各预算单位占用使用国有资产总体情况为</w:t>
      </w:r>
    </w:p>
    <w:p>
      <w:pPr>
        <w:widowControl/>
        <w:spacing w:line="580" w:lineRule="exact"/>
        <w:ind w:firstLine="640"/>
        <w:jc w:val="left"/>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1.</w:t>
      </w:r>
      <w:r>
        <w:rPr>
          <w:rFonts w:hint="eastAsia" w:ascii="仿宋_GB2312" w:hAnsi="宋体" w:eastAsia="仿宋_GB2312" w:cs="宋体"/>
          <w:kern w:val="0"/>
          <w:sz w:val="32"/>
          <w:szCs w:val="32"/>
          <w:highlight w:val="none"/>
        </w:rPr>
        <w:t>房屋</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2022.79</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平方米，价值</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182</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万元。</w:t>
      </w:r>
    </w:p>
    <w:p>
      <w:pPr>
        <w:widowControl/>
        <w:spacing w:line="580" w:lineRule="exact"/>
        <w:ind w:firstLine="640"/>
        <w:jc w:val="left"/>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2.</w:t>
      </w:r>
      <w:r>
        <w:rPr>
          <w:rFonts w:hint="eastAsia" w:ascii="仿宋_GB2312" w:hAnsi="宋体" w:eastAsia="仿宋_GB2312" w:cs="宋体"/>
          <w:kern w:val="0"/>
          <w:sz w:val="32"/>
          <w:szCs w:val="32"/>
          <w:highlight w:val="none"/>
        </w:rPr>
        <w:t>车辆</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1</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辆，价值</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19</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万元；其中：一般公务用车</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1辆，价值19万元。</w:t>
      </w:r>
    </w:p>
    <w:p>
      <w:pPr>
        <w:widowControl/>
        <w:spacing w:line="580" w:lineRule="exact"/>
        <w:ind w:firstLine="640"/>
        <w:jc w:val="left"/>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3.</w:t>
      </w:r>
      <w:r>
        <w:rPr>
          <w:rFonts w:hint="eastAsia" w:ascii="仿宋_GB2312" w:hAnsi="宋体" w:eastAsia="仿宋_GB2312" w:cs="宋体"/>
          <w:kern w:val="0"/>
          <w:sz w:val="32"/>
          <w:szCs w:val="32"/>
          <w:highlight w:val="none"/>
        </w:rPr>
        <w:t>办公家具价值0万元。</w:t>
      </w:r>
    </w:p>
    <w:p>
      <w:pPr>
        <w:widowControl/>
        <w:spacing w:line="580" w:lineRule="exact"/>
        <w:ind w:firstLine="640"/>
        <w:jc w:val="left"/>
        <w:rPr>
          <w:rFonts w:ascii="仿宋_GB2312" w:hAnsi="宋体" w:eastAsia="仿宋_GB2312" w:cs="宋体"/>
          <w:kern w:val="0"/>
          <w:sz w:val="32"/>
          <w:szCs w:val="32"/>
          <w:highlight w:val="none"/>
        </w:rPr>
      </w:pPr>
      <w:r>
        <w:rPr>
          <w:rFonts w:ascii="仿宋_GB2312" w:hAnsi="宋体" w:eastAsia="仿宋_GB2312" w:cs="宋体"/>
          <w:kern w:val="0"/>
          <w:sz w:val="32"/>
          <w:szCs w:val="32"/>
          <w:highlight w:val="none"/>
        </w:rPr>
        <w:t>4.</w:t>
      </w:r>
      <w:r>
        <w:rPr>
          <w:rFonts w:hint="eastAsia" w:ascii="仿宋_GB2312" w:hAnsi="宋体" w:eastAsia="仿宋_GB2312" w:cs="宋体"/>
          <w:kern w:val="0"/>
          <w:sz w:val="32"/>
          <w:szCs w:val="32"/>
          <w:highlight w:val="none"/>
        </w:rPr>
        <w:t>其他资产价值</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136</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万元。</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单位价值</w:t>
      </w:r>
      <w:r>
        <w:rPr>
          <w:rFonts w:ascii="仿宋_GB2312" w:hAnsi="宋体" w:eastAsia="仿宋_GB2312" w:cs="宋体"/>
          <w:kern w:val="0"/>
          <w:sz w:val="32"/>
          <w:szCs w:val="32"/>
          <w:highlight w:val="none"/>
        </w:rPr>
        <w:t>50</w:t>
      </w:r>
      <w:r>
        <w:rPr>
          <w:rFonts w:hint="eastAsia" w:ascii="仿宋_GB2312" w:hAnsi="宋体" w:eastAsia="仿宋_GB2312" w:cs="宋体"/>
          <w:kern w:val="0"/>
          <w:sz w:val="32"/>
          <w:szCs w:val="32"/>
          <w:highlight w:val="none"/>
        </w:rPr>
        <w:t>万元以上大型设备0台（套），单位价值</w:t>
      </w:r>
      <w:r>
        <w:rPr>
          <w:rFonts w:ascii="仿宋_GB2312" w:hAnsi="宋体" w:eastAsia="仿宋_GB2312" w:cs="宋体"/>
          <w:kern w:val="0"/>
          <w:sz w:val="32"/>
          <w:szCs w:val="32"/>
          <w:highlight w:val="none"/>
        </w:rPr>
        <w:t>100</w:t>
      </w:r>
      <w:r>
        <w:rPr>
          <w:rFonts w:hint="eastAsia" w:ascii="仿宋_GB2312" w:hAnsi="宋体" w:eastAsia="仿宋_GB2312" w:cs="宋体"/>
          <w:kern w:val="0"/>
          <w:sz w:val="32"/>
          <w:szCs w:val="32"/>
          <w:highlight w:val="none"/>
        </w:rPr>
        <w:t>万元以上大型设备0台（套）。</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 w:hAnsi="仿宋" w:eastAsia="仿宋" w:cs="仿宋"/>
          <w:kern w:val="0"/>
          <w:sz w:val="32"/>
          <w:szCs w:val="32"/>
          <w:highlight w:val="none"/>
        </w:rPr>
        <w:t>201</w:t>
      </w:r>
      <w:r>
        <w:rPr>
          <w:rFonts w:hint="eastAsia" w:ascii="黑体" w:hAnsi="宋体" w:eastAsia="黑体" w:cs="宋体"/>
          <w:kern w:val="0"/>
          <w:sz w:val="32"/>
          <w:szCs w:val="32"/>
          <w:highlight w:val="none"/>
        </w:rPr>
        <w:t>9</w:t>
      </w:r>
      <w:r>
        <w:rPr>
          <w:rFonts w:hint="eastAsia" w:ascii="仿宋_GB2312" w:hAnsi="宋体" w:eastAsia="仿宋_GB2312" w:cs="宋体"/>
          <w:kern w:val="0"/>
          <w:sz w:val="32"/>
          <w:szCs w:val="32"/>
          <w:highlight w:val="none"/>
        </w:rPr>
        <w:t>年部门预算未安排购置车辆经费（或安排购置车辆经费0万元），安排购置</w:t>
      </w:r>
      <w:r>
        <w:rPr>
          <w:rFonts w:ascii="仿宋_GB2312" w:hAnsi="宋体" w:eastAsia="仿宋_GB2312" w:cs="宋体"/>
          <w:kern w:val="0"/>
          <w:sz w:val="32"/>
          <w:szCs w:val="32"/>
          <w:highlight w:val="none"/>
        </w:rPr>
        <w:t>50</w:t>
      </w:r>
      <w:r>
        <w:rPr>
          <w:rFonts w:hint="eastAsia" w:ascii="仿宋_GB2312" w:hAnsi="宋体" w:eastAsia="仿宋_GB2312" w:cs="宋体"/>
          <w:kern w:val="0"/>
          <w:sz w:val="32"/>
          <w:szCs w:val="32"/>
          <w:highlight w:val="none"/>
        </w:rPr>
        <w:t>万元以上大型设备0台（套），单位价值</w:t>
      </w:r>
      <w:r>
        <w:rPr>
          <w:rFonts w:ascii="仿宋_GB2312" w:hAnsi="宋体" w:eastAsia="仿宋_GB2312" w:cs="宋体"/>
          <w:kern w:val="0"/>
          <w:sz w:val="32"/>
          <w:szCs w:val="32"/>
          <w:highlight w:val="none"/>
        </w:rPr>
        <w:t>100</w:t>
      </w:r>
      <w:r>
        <w:rPr>
          <w:rFonts w:hint="eastAsia" w:ascii="仿宋_GB2312" w:hAnsi="宋体" w:eastAsia="仿宋_GB2312" w:cs="宋体"/>
          <w:kern w:val="0"/>
          <w:sz w:val="32"/>
          <w:szCs w:val="32"/>
          <w:highlight w:val="none"/>
        </w:rPr>
        <w:t>万元以上大型设备0台（套）。</w:t>
      </w:r>
    </w:p>
    <w:p>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（四）预算绩效情况</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2019年度，本年度实行绩效管理的项目</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1</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个，涉及预算金额</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827</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万元。具体情况见下表（按项目分别填报）：</w:t>
      </w: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noWrap/>
            <w:vAlign w:val="bottom"/>
          </w:tcPr>
          <w:p>
            <w:pPr>
              <w:widowControl/>
              <w:jc w:val="center"/>
              <w:outlineLvl w:val="1"/>
              <w:rPr>
                <w:rFonts w:ascii="宋体" w:cs="宋体"/>
                <w:b/>
                <w:bCs/>
                <w:kern w:val="0"/>
                <w:sz w:val="32"/>
                <w:szCs w:val="32"/>
              </w:rPr>
            </w:pPr>
            <w:r>
              <w:rPr>
                <w:rFonts w:hint="eastAsia" w:ascii="仿宋_GB2312" w:hAnsi="宋体" w:eastAsia="仿宋_GB2312"/>
                <w:b/>
                <w:kern w:val="0"/>
                <w:sz w:val="32"/>
                <w:szCs w:val="32"/>
              </w:rPr>
              <w:t>项</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目</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支</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出</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绩</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效</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目</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标</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表</w:t>
            </w:r>
          </w:p>
        </w:tc>
      </w:tr>
      <w:tr>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noWrap/>
            <w:vAlign w:val="bottom"/>
          </w:tcPr>
          <w:p>
            <w:pPr>
              <w:widowControl/>
              <w:jc w:val="left"/>
              <w:rPr>
                <w:rFonts w:ascii="宋体" w:cs="宋体"/>
                <w:color w:val="000000"/>
                <w:kern w:val="0"/>
                <w:sz w:val="22"/>
              </w:rPr>
            </w:pPr>
          </w:p>
        </w:tc>
        <w:tc>
          <w:tcPr>
            <w:tcW w:w="1857" w:type="dxa"/>
            <w:tcBorders>
              <w:top w:val="nil"/>
              <w:left w:val="nil"/>
              <w:bottom w:val="nil"/>
              <w:right w:val="nil"/>
            </w:tcBorders>
            <w:noWrap/>
            <w:vAlign w:val="bottom"/>
          </w:tcPr>
          <w:p>
            <w:pPr>
              <w:widowControl/>
              <w:jc w:val="left"/>
              <w:rPr>
                <w:rFonts w:ascii="宋体" w:cs="宋体"/>
                <w:color w:val="000000"/>
                <w:kern w:val="0"/>
                <w:sz w:val="22"/>
              </w:rPr>
            </w:pPr>
          </w:p>
        </w:tc>
        <w:tc>
          <w:tcPr>
            <w:tcW w:w="1664" w:type="dxa"/>
            <w:tcBorders>
              <w:top w:val="nil"/>
              <w:left w:val="nil"/>
              <w:bottom w:val="nil"/>
              <w:right w:val="nil"/>
            </w:tcBorders>
            <w:noWrap/>
            <w:vAlign w:val="bottom"/>
          </w:tcPr>
          <w:p>
            <w:pPr>
              <w:widowControl/>
              <w:jc w:val="left"/>
              <w:rPr>
                <w:rFonts w:ascii="宋体" w:cs="宋体"/>
                <w:color w:val="000000"/>
                <w:kern w:val="0"/>
                <w:sz w:val="22"/>
              </w:rPr>
            </w:pPr>
          </w:p>
        </w:tc>
        <w:tc>
          <w:tcPr>
            <w:tcW w:w="1664" w:type="dxa"/>
            <w:gridSpan w:val="2"/>
            <w:tcBorders>
              <w:top w:val="nil"/>
              <w:left w:val="nil"/>
              <w:bottom w:val="nil"/>
              <w:right w:val="nil"/>
            </w:tcBorders>
            <w:noWrap/>
            <w:vAlign w:val="bottom"/>
          </w:tcPr>
          <w:p>
            <w:pPr>
              <w:widowControl/>
              <w:jc w:val="left"/>
              <w:rPr>
                <w:rFonts w:ascii="宋体" w:cs="宋体"/>
                <w:color w:val="000000"/>
                <w:kern w:val="0"/>
                <w:sz w:val="22"/>
              </w:rPr>
            </w:pPr>
          </w:p>
        </w:tc>
        <w:tc>
          <w:tcPr>
            <w:tcW w:w="323" w:type="dxa"/>
            <w:tcBorders>
              <w:top w:val="nil"/>
              <w:left w:val="nil"/>
              <w:bottom w:val="nil"/>
              <w:right w:val="nil"/>
            </w:tcBorders>
            <w:noWrap/>
            <w:vAlign w:val="bottom"/>
          </w:tcPr>
          <w:p>
            <w:pPr>
              <w:widowControl/>
              <w:jc w:val="left"/>
              <w:rPr>
                <w:rFonts w:ascii="宋体" w:cs="宋体"/>
                <w:color w:val="000000"/>
                <w:kern w:val="0"/>
                <w:sz w:val="22"/>
              </w:rPr>
            </w:pPr>
          </w:p>
        </w:tc>
        <w:tc>
          <w:tcPr>
            <w:tcW w:w="323" w:type="dxa"/>
            <w:tcBorders>
              <w:top w:val="nil"/>
              <w:left w:val="nil"/>
              <w:bottom w:val="nil"/>
              <w:right w:val="nil"/>
            </w:tcBorders>
            <w:noWrap/>
            <w:vAlign w:val="bottom"/>
          </w:tcPr>
          <w:p>
            <w:pPr>
              <w:widowControl/>
              <w:jc w:val="left"/>
              <w:rPr>
                <w:rFonts w:ascii="宋体" w:cs="宋体"/>
                <w:color w:val="000000"/>
                <w:kern w:val="0"/>
                <w:sz w:val="22"/>
              </w:rPr>
            </w:pPr>
          </w:p>
        </w:tc>
        <w:tc>
          <w:tcPr>
            <w:tcW w:w="1925" w:type="dxa"/>
            <w:tcBorders>
              <w:top w:val="nil"/>
              <w:left w:val="nil"/>
              <w:bottom w:val="nil"/>
              <w:right w:val="nil"/>
            </w:tcBorders>
            <w:noWrap/>
            <w:vAlign w:val="bottom"/>
          </w:tcPr>
          <w:p>
            <w:pPr>
              <w:widowControl/>
              <w:jc w:val="left"/>
              <w:rPr>
                <w:rFonts w:ascii="宋体" w:cs="宋体"/>
                <w:color w:val="000000"/>
                <w:kern w:val="0"/>
                <w:sz w:val="22"/>
              </w:rPr>
            </w:pPr>
          </w:p>
        </w:tc>
        <w:tc>
          <w:tcPr>
            <w:tcW w:w="249" w:type="dxa"/>
            <w:tcBorders>
              <w:top w:val="nil"/>
              <w:left w:val="nil"/>
              <w:bottom w:val="nil"/>
              <w:right w:val="nil"/>
            </w:tcBorders>
            <w:noWrap/>
            <w:vAlign w:val="bottom"/>
          </w:tcPr>
          <w:p>
            <w:pPr>
              <w:widowControl/>
              <w:jc w:val="left"/>
              <w:rPr>
                <w:rFonts w:ascii="宋体" w:cs="宋体"/>
                <w:color w:val="000000"/>
                <w:kern w:val="0"/>
                <w:sz w:val="22"/>
              </w:rPr>
            </w:pPr>
          </w:p>
        </w:tc>
        <w:tc>
          <w:tcPr>
            <w:tcW w:w="3275" w:type="dxa"/>
            <w:gridSpan w:val="2"/>
            <w:tcBorders>
              <w:top w:val="nil"/>
              <w:left w:val="nil"/>
              <w:bottom w:val="nil"/>
              <w:right w:val="nil"/>
            </w:tcBorders>
            <w:noWrap/>
            <w:vAlign w:val="bottom"/>
          </w:tcPr>
          <w:p>
            <w:pPr>
              <w:widowControl/>
              <w:jc w:val="left"/>
              <w:rPr>
                <w:rFonts w:ascii="宋体" w:cs="宋体"/>
                <w:color w:val="000000"/>
                <w:kern w:val="0"/>
                <w:sz w:val="22"/>
              </w:rPr>
            </w:pPr>
          </w:p>
        </w:tc>
        <w:tc>
          <w:tcPr>
            <w:tcW w:w="249" w:type="dxa"/>
            <w:tcBorders>
              <w:top w:val="nil"/>
              <w:left w:val="nil"/>
              <w:bottom w:val="nil"/>
              <w:right w:val="nil"/>
            </w:tcBorders>
            <w:noWrap/>
            <w:vAlign w:val="bottom"/>
          </w:tcPr>
          <w:p>
            <w:pPr>
              <w:widowControl/>
              <w:jc w:val="left"/>
              <w:rPr>
                <w:rFonts w:ascii="宋体" w:cs="宋体"/>
                <w:color w:val="000000"/>
                <w:kern w:val="0"/>
                <w:sz w:val="22"/>
              </w:rPr>
            </w:pPr>
          </w:p>
        </w:tc>
        <w:tc>
          <w:tcPr>
            <w:tcW w:w="249" w:type="dxa"/>
            <w:tcBorders>
              <w:top w:val="nil"/>
              <w:left w:val="nil"/>
              <w:bottom w:val="nil"/>
              <w:right w:val="nil"/>
            </w:tcBorders>
            <w:noWrap/>
            <w:vAlign w:val="bottom"/>
          </w:tcPr>
          <w:p>
            <w:pPr>
              <w:widowControl/>
              <w:jc w:val="left"/>
              <w:rPr>
                <w:rFonts w:ascii="宋体" w:cs="宋体"/>
                <w:color w:val="000000"/>
                <w:kern w:val="0"/>
                <w:sz w:val="22"/>
              </w:rPr>
            </w:pP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昌吉州社会主义学院单位</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cs="宋体"/>
                <w:kern w:val="0"/>
                <w:sz w:val="18"/>
                <w:szCs w:val="18"/>
              </w:rPr>
              <w:t>宗教人士培训</w:t>
            </w:r>
          </w:p>
        </w:tc>
      </w:tr>
      <w:tr>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827　</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827　</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pPr>
              <w:widowControl/>
              <w:jc w:val="left"/>
              <w:rPr>
                <w:rFonts w:ascii="宋体" w:cs="宋体"/>
                <w:kern w:val="0"/>
                <w:sz w:val="18"/>
                <w:szCs w:val="18"/>
              </w:rPr>
            </w:pPr>
            <w:r>
              <w:rPr>
                <w:rFonts w:hint="eastAsia" w:ascii="宋体" w:hAnsi="宋体" w:cs="宋体"/>
                <w:kern w:val="0"/>
                <w:sz w:val="18"/>
                <w:szCs w:val="18"/>
              </w:rPr>
              <w:t>　对昌吉州统战干部，爱国宗教人士民主党派教育培训，以及自治区经文学院承担全疆国语系宗教人士及后备力量全日制学历教育，顺利推进培训工作将为自治州社会稳定经济发展民族团结发挥积极作用。</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827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全区国语系宗教人士培训</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200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驻村管寺干部培训</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200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2017大专班培训</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35</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2019新生中专班</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100</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2019新生大专班</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10</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宗教人士培训项目</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全州覆盖率95%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驻村管寺培训项目</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全州覆盖率95%　</w:t>
            </w:r>
          </w:p>
        </w:tc>
      </w:tr>
      <w:tr>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宗教人士培训项目</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为社会稳定长治久安总目标做好迎领作用，全面提高政治素质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驻村管寺培训项目</w:t>
            </w:r>
          </w:p>
        </w:tc>
        <w:tc>
          <w:tcPr>
            <w:tcW w:w="3773" w:type="dxa"/>
            <w:gridSpan w:val="4"/>
            <w:tcBorders>
              <w:top w:val="single" w:color="000000" w:sz="4" w:space="0"/>
              <w:left w:val="nil"/>
              <w:bottom w:val="single" w:color="000000" w:sz="4" w:space="0"/>
              <w:right w:val="single" w:color="000000" w:sz="4" w:space="0"/>
            </w:tcBorders>
            <w:vAlign w:val="center"/>
          </w:tcPr>
          <w:p>
            <w:pPr>
              <w:widowControl/>
              <w:rPr>
                <w:rFonts w:ascii="宋体" w:cs="宋体"/>
                <w:kern w:val="0"/>
                <w:sz w:val="18"/>
                <w:szCs w:val="18"/>
              </w:rPr>
            </w:pPr>
            <w:r>
              <w:rPr>
                <w:rFonts w:hint="eastAsia" w:ascii="宋体" w:cs="宋体"/>
                <w:kern w:val="0"/>
                <w:sz w:val="18"/>
                <w:szCs w:val="18"/>
              </w:rPr>
              <w:t>落实总目标，学习提供管理水平</w:t>
            </w: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cols w:space="425" w:num="1"/>
          <w:docGrid w:type="lines" w:linePitch="312" w:charSpace="0"/>
        </w:sectPr>
      </w:pPr>
    </w:p>
    <w:p>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60" w:lineRule="exact"/>
        <w:ind w:firstLine="960" w:firstLineChars="300"/>
        <w:jc w:val="left"/>
        <w:rPr>
          <w:rFonts w:ascii="仿宋_GB2312" w:hAnsi="宋体" w:eastAsia="仿宋_GB2312" w:cs="宋体"/>
          <w:kern w:val="0"/>
          <w:sz w:val="32"/>
          <w:szCs w:val="32"/>
        </w:rPr>
      </w:pPr>
      <w:bookmarkStart w:id="0" w:name="_GoBack"/>
      <w:bookmarkEnd w:id="0"/>
      <w:r>
        <w:rPr>
          <w:rFonts w:hint="eastAsia" w:ascii="仿宋_GB2312" w:hAnsi="宋体" w:eastAsia="仿宋_GB2312" w:cs="宋体"/>
          <w:kern w:val="0"/>
          <w:sz w:val="32"/>
          <w:szCs w:val="32"/>
          <w:lang w:eastAsia="zh-CN"/>
        </w:rPr>
        <w:t>无</w:t>
      </w:r>
      <w:r>
        <w:rPr>
          <w:rFonts w:ascii="仿宋_GB2312" w:hAnsi="宋体" w:eastAsia="仿宋_GB2312" w:cs="宋体"/>
          <w:kern w:val="0"/>
          <w:sz w:val="32"/>
          <w:szCs w:val="32"/>
        </w:rPr>
        <w:t xml:space="preserve">     </w:t>
      </w: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w:t>
      </w:r>
      <w:r>
        <w:rPr>
          <w:rFonts w:ascii="黑体" w:hAnsi="黑体" w:eastAsia="黑体"/>
          <w:kern w:val="0"/>
          <w:sz w:val="32"/>
          <w:szCs w:val="32"/>
        </w:rPr>
        <w:t xml:space="preserve">  </w:t>
      </w:r>
      <w:r>
        <w:rPr>
          <w:rFonts w:hint="eastAsia" w:ascii="黑体" w:hAnsi="黑体" w:eastAsia="黑体"/>
          <w:kern w:val="0"/>
          <w:sz w:val="32"/>
          <w:szCs w:val="32"/>
        </w:rPr>
        <w:t>名词解释</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昌吉州社会主义学院</w:t>
      </w:r>
    </w:p>
    <w:p>
      <w:pPr>
        <w:widowControl/>
        <w:spacing w:line="560" w:lineRule="exact"/>
        <w:jc w:val="left"/>
      </w:pP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 xml:space="preserve">    </w:t>
      </w:r>
      <w:r>
        <w:rPr>
          <w:rFonts w:ascii="仿宋_GB2312" w:hAnsi="宋体" w:eastAsia="仿宋_GB2312" w:cs="宋体"/>
          <w:kern w:val="0"/>
          <w:sz w:val="32"/>
          <w:szCs w:val="32"/>
        </w:rPr>
        <w:t xml:space="preserve"> 2019年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31</w:t>
      </w:r>
      <w:r>
        <w:rPr>
          <w:rFonts w:ascii="仿宋_GB2312" w:hAnsi="宋体" w:eastAsia="仿宋_GB2312" w:cs="宋体"/>
          <w:kern w:val="0"/>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altName w:val="SimSun-ExtB"/>
    <w:panose1 w:val="00000000000000000000"/>
    <w:charset w:val="86"/>
    <w:family w:val="script"/>
    <w:pitch w:val="default"/>
    <w:sig w:usb0="00000000" w:usb1="00000000" w:usb2="00000010" w:usb3="00000000" w:csb0="00040000" w:csb1="00000000"/>
  </w:font>
  <w:font w:name="方正小标宋简体">
    <w:altName w:val="微软雅黑"/>
    <w:panose1 w:val="00000000000000000000"/>
    <w:charset w:val="86"/>
    <w:family w:val="auto"/>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SimSun-ExtB">
    <w:panose1 w:val="02010609060101010101"/>
    <w:charset w:val="86"/>
    <w:family w:val="auto"/>
    <w:pitch w:val="default"/>
    <w:sig w:usb0="00000001" w:usb1="02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3 -</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B5144"/>
    <w:rsid w:val="00013696"/>
    <w:rsid w:val="00026EDE"/>
    <w:rsid w:val="00045265"/>
    <w:rsid w:val="000825F5"/>
    <w:rsid w:val="000A1739"/>
    <w:rsid w:val="00111CB3"/>
    <w:rsid w:val="001833B0"/>
    <w:rsid w:val="001D2022"/>
    <w:rsid w:val="002221D7"/>
    <w:rsid w:val="0023522E"/>
    <w:rsid w:val="002B5144"/>
    <w:rsid w:val="002C1114"/>
    <w:rsid w:val="002C2E1A"/>
    <w:rsid w:val="00305D05"/>
    <w:rsid w:val="00325B17"/>
    <w:rsid w:val="00360F66"/>
    <w:rsid w:val="003E6B67"/>
    <w:rsid w:val="004003C7"/>
    <w:rsid w:val="00407C14"/>
    <w:rsid w:val="004450A6"/>
    <w:rsid w:val="00464FC7"/>
    <w:rsid w:val="00514286"/>
    <w:rsid w:val="00520867"/>
    <w:rsid w:val="005B563D"/>
    <w:rsid w:val="005D0A66"/>
    <w:rsid w:val="00613F3A"/>
    <w:rsid w:val="00623908"/>
    <w:rsid w:val="006407E1"/>
    <w:rsid w:val="00643145"/>
    <w:rsid w:val="0066704E"/>
    <w:rsid w:val="00757310"/>
    <w:rsid w:val="007D261F"/>
    <w:rsid w:val="00807797"/>
    <w:rsid w:val="00841512"/>
    <w:rsid w:val="008E7BE4"/>
    <w:rsid w:val="009764CC"/>
    <w:rsid w:val="00994640"/>
    <w:rsid w:val="009A4CB8"/>
    <w:rsid w:val="009B0358"/>
    <w:rsid w:val="009F0E35"/>
    <w:rsid w:val="00A1151A"/>
    <w:rsid w:val="00A1285B"/>
    <w:rsid w:val="00A156AC"/>
    <w:rsid w:val="00A655D4"/>
    <w:rsid w:val="00AD721E"/>
    <w:rsid w:val="00B1647A"/>
    <w:rsid w:val="00B55249"/>
    <w:rsid w:val="00C609E2"/>
    <w:rsid w:val="00CB67B7"/>
    <w:rsid w:val="00D038E2"/>
    <w:rsid w:val="00D95B2F"/>
    <w:rsid w:val="00DA6C62"/>
    <w:rsid w:val="00DB3CDA"/>
    <w:rsid w:val="00DE3A06"/>
    <w:rsid w:val="00E4145E"/>
    <w:rsid w:val="00E72099"/>
    <w:rsid w:val="00EE458B"/>
    <w:rsid w:val="00F3541B"/>
    <w:rsid w:val="00F457EC"/>
    <w:rsid w:val="00FB6C9D"/>
    <w:rsid w:val="00FC6ABD"/>
    <w:rsid w:val="14E20487"/>
    <w:rsid w:val="182F04B1"/>
    <w:rsid w:val="1B3A7DA8"/>
    <w:rsid w:val="1DC45530"/>
    <w:rsid w:val="43FA4403"/>
    <w:rsid w:val="5E8020DE"/>
    <w:rsid w:val="7171742A"/>
    <w:rsid w:val="750804C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99" w:semiHidden="0"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alloon Text"/>
    <w:basedOn w:val="1"/>
    <w:link w:val="14"/>
    <w:semiHidden/>
    <w:qFormat/>
    <w:uiPriority w:val="99"/>
    <w:rPr>
      <w:sz w:val="18"/>
      <w:szCs w:val="18"/>
    </w:rPr>
  </w:style>
  <w:style w:type="paragraph" w:styleId="3">
    <w:name w:val="footer"/>
    <w:basedOn w:val="1"/>
    <w:link w:val="12"/>
    <w:qFormat/>
    <w:uiPriority w:val="99"/>
    <w:pPr>
      <w:tabs>
        <w:tab w:val="center" w:pos="4153"/>
        <w:tab w:val="right" w:pos="8306"/>
      </w:tabs>
      <w:snapToGrid w:val="0"/>
      <w:jc w:val="left"/>
    </w:pPr>
    <w:rPr>
      <w:rFonts w:eastAsia="黑体"/>
      <w:kern w:val="0"/>
      <w:sz w:val="18"/>
      <w:szCs w:val="18"/>
    </w:rPr>
  </w:style>
  <w:style w:type="paragraph" w:styleId="4">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16"/>
    <w:qFormat/>
    <w:uiPriority w:val="99"/>
    <w:pPr>
      <w:pBdr>
        <w:top w:val="single" w:color="auto" w:sz="12" w:space="1"/>
        <w:bottom w:val="single" w:color="auto" w:sz="12" w:space="1"/>
      </w:pBdr>
      <w:spacing w:line="600" w:lineRule="exact"/>
      <w:ind w:left="1280" w:hanging="1280" w:hangingChars="400"/>
    </w:pPr>
    <w:rPr>
      <w:rFonts w:eastAsia="仿宋_GB2312"/>
      <w:sz w:val="32"/>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99"/>
    <w:rPr>
      <w:rFonts w:cs="Times New Roman"/>
      <w:b/>
    </w:rPr>
  </w:style>
  <w:style w:type="character" w:styleId="11">
    <w:name w:val="page number"/>
    <w:qFormat/>
    <w:uiPriority w:val="99"/>
    <w:rPr>
      <w:rFonts w:cs="Times New Roman"/>
    </w:rPr>
  </w:style>
  <w:style w:type="character" w:customStyle="1" w:styleId="12">
    <w:name w:val="页脚 字符"/>
    <w:link w:val="3"/>
    <w:qFormat/>
    <w:locked/>
    <w:uiPriority w:val="99"/>
    <w:rPr>
      <w:rFonts w:ascii="Times New Roman" w:hAnsi="Times New Roman" w:eastAsia="黑体" w:cs="Times New Roman"/>
      <w:snapToGrid w:val="0"/>
      <w:kern w:val="0"/>
      <w:sz w:val="18"/>
      <w:szCs w:val="18"/>
    </w:rPr>
  </w:style>
  <w:style w:type="paragraph" w:customStyle="1" w:styleId="13">
    <w:name w:val="f1"/>
    <w:basedOn w:val="1"/>
    <w:qFormat/>
    <w:uiPriority w:val="99"/>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4">
    <w:name w:val="批注框文本 字符"/>
    <w:link w:val="2"/>
    <w:semiHidden/>
    <w:qFormat/>
    <w:locked/>
    <w:uiPriority w:val="99"/>
    <w:rPr>
      <w:rFonts w:ascii="Times New Roman" w:hAnsi="Times New Roman" w:eastAsia="宋体" w:cs="Times New Roman"/>
      <w:sz w:val="18"/>
      <w:szCs w:val="18"/>
    </w:rPr>
  </w:style>
  <w:style w:type="character" w:customStyle="1" w:styleId="15">
    <w:name w:val="页眉 字符"/>
    <w:link w:val="4"/>
    <w:qFormat/>
    <w:locked/>
    <w:uiPriority w:val="99"/>
    <w:rPr>
      <w:rFonts w:ascii="Times New Roman" w:hAnsi="Times New Roman" w:eastAsia="宋体" w:cs="Times New Roman"/>
      <w:sz w:val="18"/>
      <w:szCs w:val="18"/>
    </w:rPr>
  </w:style>
  <w:style w:type="character" w:customStyle="1" w:styleId="16">
    <w:name w:val="正文文本缩进 3 字符"/>
    <w:link w:val="5"/>
    <w:qFormat/>
    <w:locked/>
    <w:uiPriority w:val="99"/>
    <w:rPr>
      <w:rFonts w:ascii="Times New Roman" w:hAnsi="Times New Roman" w:eastAsia="仿宋_GB2312" w:cs="Times New Roman"/>
      <w:sz w:val="24"/>
      <w:szCs w:val="24"/>
    </w:rPr>
  </w:style>
  <w:style w:type="paragraph" w:styleId="17">
    <w:name w:val="List Paragraph"/>
    <w:basedOn w:val="1"/>
    <w:qFormat/>
    <w:uiPriority w:val="99"/>
    <w:pPr>
      <w:ind w:firstLine="420" w:firstLineChars="200"/>
    </w:pPr>
    <w:rPr>
      <w:rFonts w:ascii="Calibri" w:hAnsi="Calibri"/>
      <w:szCs w:val="22"/>
    </w:rPr>
  </w:style>
  <w:style w:type="paragraph" w:customStyle="1" w:styleId="18">
    <w:name w:val="普通(网站)1"/>
    <w:basedOn w:val="1"/>
    <w:qFormat/>
    <w:uiPriority w:val="99"/>
    <w:rPr>
      <w:rFonts w:ascii="Calibri" w:hAnsi="Calibri" w:cs="黑体"/>
      <w:sz w:val="24"/>
    </w:rPr>
  </w:style>
  <w:style w:type="paragraph" w:customStyle="1" w:styleId="19">
    <w:name w:val="普通(网站)2"/>
    <w:basedOn w:val="1"/>
    <w:qFormat/>
    <w:uiPriority w:val="99"/>
    <w:rPr>
      <w:rFonts w:ascii="Calibri" w:hAnsi="Calibri" w:cs="黑体"/>
      <w:sz w:val="24"/>
    </w:rPr>
  </w:style>
  <w:style w:type="paragraph" w:customStyle="1" w:styleId="20">
    <w:name w:val="普通(网站)3"/>
    <w:basedOn w:val="1"/>
    <w:qFormat/>
    <w:uiPriority w:val="99"/>
    <w:rPr>
      <w:rFonts w:ascii="Calibri" w:hAnsi="Calibri" w:cs="黑体"/>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1454</Words>
  <Characters>8290</Characters>
  <Lines>69</Lines>
  <Paragraphs>19</Paragraphs>
  <TotalTime>0</TotalTime>
  <ScaleCrop>false</ScaleCrop>
  <LinksUpToDate>false</LinksUpToDate>
  <CharactersWithSpaces>9725</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2019-04-16T04:51:00Z</dcterms:created>
  <dc:creator>王怡</dc:creator>
  <cp:lastModifiedBy>Administrator</cp:lastModifiedBy>
  <dcterms:modified xsi:type="dcterms:W3CDTF">2021-05-27T08:23:56Z</dcterms:modified>
  <dc:title>附件：</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