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bookmarkStart w:id="0" w:name="_GoBack"/>
      <w:bookmarkEnd w:id="0"/>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黑体" w:hAnsi="黑体" w:eastAsia="黑体" w:cs="黑体"/>
          <w:kern w:val="0"/>
          <w:sz w:val="44"/>
          <w:szCs w:val="44"/>
        </w:rPr>
      </w:pPr>
      <w:r>
        <w:rPr>
          <w:rFonts w:hint="eastAsia" w:ascii="黑体" w:hAnsi="黑体" w:eastAsia="黑体" w:cs="黑体"/>
          <w:kern w:val="0"/>
          <w:sz w:val="44"/>
          <w:szCs w:val="44"/>
        </w:rPr>
        <w:t>昌吉回族自治州畜牧兽医执法支队2019年部门预算公开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昌吉州畜牧兽医执法支队单位概况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一、关于昌吉州畜牧兽医执法支队2019年收支预算情况的总体说明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二、关于昌吉州畜牧兽医执法支队保密局预算情况说明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三、关于昌吉州畜牧兽医执法支队预算情况说明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四、关于昌吉州畜牧兽医执法支队2019年财政拨款收支预算情况的总体说明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五、关于昌吉州畜牧兽医执法支队2019年一般公共预算当年拨款情况说明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六、关于昌吉州畜牧兽医执法支队2019年一般公共预算基本支出情况说明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七、关于昌吉州畜牧兽医执法支队2019年项目支出情况说明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w:t>
      </w:r>
      <w:r>
        <w:rPr>
          <w:rFonts w:hint="eastAsia" w:ascii="仿宋_GB2312" w:hAnsi="宋体" w:eastAsia="仿宋_GB2312"/>
          <w:b/>
          <w:bCs/>
          <w:kern w:val="0"/>
          <w:sz w:val="32"/>
          <w:szCs w:val="32"/>
        </w:rPr>
        <w:t>于昌吉州畜牧兽医执法支队2019年一般公共预算“三公”经费预算情况</w:t>
      </w:r>
      <w:r>
        <w:rPr>
          <w:rFonts w:hint="eastAsia" w:ascii="仿宋_GB2312" w:hAnsi="宋体" w:eastAsia="仿宋_GB2312"/>
          <w:kern w:val="0"/>
          <w:sz w:val="32"/>
          <w:szCs w:val="32"/>
        </w:rPr>
        <w:t>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九、关于昌吉州畜牧兽医执法支队2019年政府性基金预算拨款情况说明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321" w:firstLineChars="1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numPr>
          <w:ilvl w:val="0"/>
          <w:numId w:val="1"/>
        </w:numPr>
        <w:ind w:firstLine="640" w:firstLineChars="200"/>
        <w:outlineLvl w:val="1"/>
        <w:rPr>
          <w:rFonts w:ascii="黑体" w:hAnsi="黑体" w:eastAsia="黑体"/>
          <w:kern w:val="0"/>
          <w:sz w:val="32"/>
          <w:szCs w:val="32"/>
        </w:rPr>
      </w:pPr>
      <w:r>
        <w:rPr>
          <w:rFonts w:hint="eastAsia" w:ascii="黑体" w:hAnsi="黑体" w:eastAsia="黑体"/>
          <w:kern w:val="0"/>
          <w:sz w:val="32"/>
          <w:szCs w:val="32"/>
        </w:rPr>
        <w:t xml:space="preserve">  昌吉州畜牧兽医执法支队单位概况</w:t>
      </w:r>
    </w:p>
    <w:p>
      <w:pPr>
        <w:widowControl/>
        <w:outlineLvl w:val="1"/>
        <w:rPr>
          <w:rFonts w:ascii="黑体" w:hAnsi="黑体" w:eastAsia="黑体"/>
          <w:kern w:val="0"/>
          <w:sz w:val="32"/>
          <w:szCs w:val="32"/>
        </w:rPr>
      </w:pPr>
    </w:p>
    <w:p>
      <w:pPr>
        <w:spacing w:line="480" w:lineRule="exact"/>
        <w:ind w:firstLine="640" w:firstLineChars="200"/>
        <w:jc w:val="left"/>
        <w:rPr>
          <w:rFonts w:ascii="仿宋_GB2312" w:hAnsi="宋体" w:eastAsia="仿宋_GB2312"/>
          <w:kern w:val="0"/>
          <w:sz w:val="32"/>
          <w:szCs w:val="32"/>
        </w:rPr>
      </w:pPr>
      <w:r>
        <w:rPr>
          <w:rFonts w:hint="eastAsia" w:ascii="黑体" w:hAnsi="黑体" w:eastAsia="黑体" w:cs="宋体"/>
          <w:bCs/>
          <w:kern w:val="0"/>
          <w:sz w:val="32"/>
          <w:szCs w:val="32"/>
        </w:rPr>
        <w:t>主要职能：</w:t>
      </w:r>
      <w:r>
        <w:rPr>
          <w:rFonts w:hint="eastAsia" w:ascii="仿宋_GB2312" w:hAnsi="仿宋_GB2312" w:eastAsia="仿宋_GB2312" w:cs="仿宋_GB2312"/>
          <w:color w:val="2B2B2B"/>
          <w:sz w:val="32"/>
          <w:szCs w:val="32"/>
          <w:shd w:val="clear" w:color="auto" w:fill="FFFFFF"/>
        </w:rPr>
        <w:t>（一）负责动物及动物产品的检疫，负责草原、动物卫生法律法规和技术规范执行情况的监督检查；负责动物诊疗和执业兽医、乡村兽医的监督管理；负责动物卫生监督证章标志的监督检查；负责畜禽标识和养殖档案的监督检查；负责兽药、饲料的生产、经营和使用等环节监督检查工作；负责生鲜乳生产、收购、运输等环节监督管理工作；承担畜禽屠宰监督管理工作；承担畜产品质量监督检查工作；承担本州内预防草原火灾的具体管理工作，依法查处草原火灾案件；负责草原野生植物资源保护管理和合理开发利用的监督检查；指导和监督全州草畜平衡工作，组织核定草原载畜量；协调和处理跨县（市）的草原所有权、使用权争议。</w:t>
      </w:r>
    </w:p>
    <w:p>
      <w:pPr>
        <w:widowControl/>
        <w:spacing w:before="120" w:beforeLines="50"/>
        <w:ind w:firstLine="640" w:firstLineChars="200"/>
        <w:jc w:val="left"/>
        <w:outlineLvl w:val="1"/>
        <w:rPr>
          <w:rFonts w:hint="eastAsia" w:ascii="黑体" w:hAnsi="黑体" w:eastAsia="黑体" w:cs="宋体"/>
          <w:bCs/>
          <w:kern w:val="0"/>
          <w:sz w:val="32"/>
          <w:szCs w:val="32"/>
          <w:highlight w:val="none"/>
        </w:rPr>
      </w:pPr>
      <w:r>
        <w:rPr>
          <w:rFonts w:hint="eastAsia" w:ascii="黑体" w:hAnsi="黑体" w:eastAsia="黑体" w:cs="宋体"/>
          <w:bCs/>
          <w:kern w:val="0"/>
          <w:sz w:val="32"/>
          <w:szCs w:val="32"/>
          <w:highlight w:val="none"/>
        </w:rPr>
        <w:t>内设机构设置及人员情况：</w:t>
      </w:r>
    </w:p>
    <w:p>
      <w:pPr>
        <w:widowControl/>
        <w:spacing w:before="120" w:beforeLines="50"/>
        <w:ind w:firstLine="640" w:firstLineChars="200"/>
        <w:jc w:val="left"/>
        <w:outlineLvl w:val="1"/>
        <w:rPr>
          <w:rFonts w:hint="eastAsia" w:ascii="仿宋_GB2312" w:hAnsi="仿宋_GB2312" w:eastAsia="仿宋_GB2312" w:cs="仿宋_GB2312"/>
          <w:color w:val="2B2B2B"/>
          <w:sz w:val="32"/>
          <w:szCs w:val="32"/>
          <w:highlight w:val="none"/>
          <w:shd w:val="clear" w:color="auto" w:fill="FFFFFF"/>
        </w:rPr>
      </w:pPr>
      <w:r>
        <w:rPr>
          <w:rFonts w:hint="eastAsia" w:ascii="仿宋_GB2312" w:hAnsi="仿宋_GB2312" w:eastAsia="仿宋_GB2312" w:cs="仿宋_GB2312"/>
          <w:b w:val="0"/>
          <w:bCs w:val="0"/>
          <w:kern w:val="0"/>
          <w:sz w:val="32"/>
          <w:szCs w:val="32"/>
          <w:highlight w:val="none"/>
        </w:rPr>
        <w:t>州畜牧兽医执法支队</w:t>
      </w:r>
      <w:r>
        <w:rPr>
          <w:rFonts w:hint="eastAsia" w:ascii="仿宋_GB2312" w:hAnsi="黑体" w:eastAsia="仿宋_GB2312" w:cs="宋体"/>
          <w:bCs/>
          <w:kern w:val="0"/>
          <w:sz w:val="32"/>
          <w:szCs w:val="32"/>
          <w:highlight w:val="none"/>
        </w:rPr>
        <w:t>无下属预算单位，下设</w:t>
      </w:r>
      <w:r>
        <w:rPr>
          <w:rFonts w:hint="eastAsia" w:ascii="仿宋_GB2312" w:hAnsi="黑体" w:eastAsia="仿宋_GB2312" w:cs="宋体"/>
          <w:bCs/>
          <w:kern w:val="0"/>
          <w:sz w:val="32"/>
          <w:szCs w:val="32"/>
          <w:highlight w:val="none"/>
          <w:lang w:val="en-US" w:eastAsia="zh-CN"/>
        </w:rPr>
        <w:t>6</w:t>
      </w:r>
      <w:r>
        <w:rPr>
          <w:rFonts w:hint="eastAsia" w:ascii="仿宋_GB2312" w:hAnsi="黑体" w:eastAsia="仿宋_GB2312" w:cs="宋体"/>
          <w:bCs/>
          <w:kern w:val="0"/>
          <w:sz w:val="32"/>
          <w:szCs w:val="32"/>
          <w:highlight w:val="none"/>
        </w:rPr>
        <w:t>个处室，分别是：</w:t>
      </w:r>
      <w:r>
        <w:rPr>
          <w:rFonts w:hint="eastAsia" w:ascii="仿宋_GB2312" w:hAnsi="仿宋_GB2312" w:eastAsia="仿宋_GB2312" w:cs="仿宋_GB2312"/>
          <w:color w:val="2B2B2B"/>
          <w:sz w:val="32"/>
          <w:szCs w:val="32"/>
          <w:highlight w:val="none"/>
          <w:shd w:val="clear" w:color="auto" w:fill="FFFFFF"/>
        </w:rPr>
        <w:t>办公室、动物卫生监督科、畜产品质量监管科、草原监理科、草原使用科（州草原防火办）、管理与法规科，</w:t>
      </w:r>
    </w:p>
    <w:p>
      <w:pPr>
        <w:widowControl/>
        <w:spacing w:before="120" w:beforeLines="50"/>
        <w:ind w:firstLine="640" w:firstLineChars="200"/>
        <w:jc w:val="left"/>
        <w:outlineLvl w:val="1"/>
        <w:rPr>
          <w:rFonts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b w:val="0"/>
          <w:bCs w:val="0"/>
          <w:kern w:val="0"/>
          <w:sz w:val="32"/>
          <w:szCs w:val="32"/>
          <w:highlight w:val="none"/>
        </w:rPr>
        <w:t>州畜牧兽医执法支队</w:t>
      </w:r>
      <w:r>
        <w:rPr>
          <w:rFonts w:hint="eastAsia" w:ascii="仿宋_GB2312" w:hAnsi="宋体" w:eastAsia="仿宋_GB2312" w:cs="宋体"/>
          <w:kern w:val="0"/>
          <w:sz w:val="32"/>
          <w:szCs w:val="32"/>
        </w:rPr>
        <w:t>单位编制数</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名，</w:t>
      </w:r>
      <w:r>
        <w:rPr>
          <w:rFonts w:hint="eastAsia" w:ascii="仿宋_GB2312" w:hAnsi="仿宋_GB2312" w:eastAsia="仿宋_GB2312" w:cs="仿宋_GB2312"/>
          <w:color w:val="2B2B2B"/>
          <w:sz w:val="32"/>
          <w:szCs w:val="32"/>
          <w:highlight w:val="none"/>
          <w:shd w:val="clear" w:color="auto" w:fill="FFFFFF"/>
        </w:rPr>
        <w:t>其中领导职数3名，（书记 支队长、副支队长各一名），内设机构领导职数6名。</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3人，增加或减少0人； 退休</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人，增加或减少0人；离休0人，增加或减少0人。</w:t>
      </w:r>
    </w:p>
    <w:p>
      <w:pPr>
        <w:widowControl/>
        <w:spacing w:before="120" w:beforeLines="50"/>
        <w:ind w:firstLine="640" w:firstLineChars="200"/>
        <w:jc w:val="left"/>
        <w:outlineLvl w:val="1"/>
        <w:rPr>
          <w:rFonts w:ascii="仿宋_GB2312" w:hAnsi="仿宋_GB2312" w:eastAsia="仿宋_GB2312" w:cs="仿宋_GB2312"/>
          <w:color w:val="2B2B2B"/>
          <w:sz w:val="32"/>
          <w:szCs w:val="32"/>
          <w:shd w:val="clear" w:color="auto" w:fill="FFFFFF"/>
        </w:rPr>
      </w:pPr>
      <w:r>
        <w:rPr>
          <w:rFonts w:hint="eastAsia" w:ascii="黑体" w:hAnsi="黑体" w:eastAsia="黑体" w:cs="宋体"/>
          <w:bCs/>
          <w:kern w:val="0"/>
          <w:sz w:val="32"/>
          <w:szCs w:val="32"/>
        </w:rPr>
        <w:t>经费形式</w:t>
      </w:r>
      <w:r>
        <w:rPr>
          <w:rFonts w:hint="eastAsia" w:ascii="仿宋_GB2312" w:hAnsi="仿宋_GB2312" w:eastAsia="仿宋_GB2312" w:cs="仿宋_GB2312"/>
          <w:color w:val="2B2B2B"/>
          <w:sz w:val="32"/>
          <w:szCs w:val="32"/>
          <w:shd w:val="clear" w:color="auto" w:fill="FFFFFF"/>
        </w:rPr>
        <w:t>：财政全额预算管理</w:t>
      </w:r>
    </w:p>
    <w:p>
      <w:pPr>
        <w:widowControl/>
        <w:spacing w:before="120" w:beforeLines="50"/>
        <w:ind w:firstLine="640" w:firstLineChars="200"/>
        <w:jc w:val="left"/>
        <w:outlineLvl w:val="1"/>
        <w:rPr>
          <w:rFonts w:ascii="仿宋_GB2312" w:hAnsi="仿宋_GB2312" w:eastAsia="仿宋_GB2312" w:cs="仿宋_GB2312"/>
          <w:color w:val="2B2B2B"/>
          <w:sz w:val="32"/>
          <w:szCs w:val="32"/>
          <w:shd w:val="clear" w:color="auto" w:fill="FFFFFF"/>
        </w:rPr>
      </w:pPr>
    </w:p>
    <w:p>
      <w:pPr>
        <w:widowControl/>
        <w:spacing w:before="120" w:beforeLines="50"/>
        <w:jc w:val="center"/>
        <w:outlineLvl w:val="1"/>
        <w:rPr>
          <w:rFonts w:ascii="仿宋_GB2312" w:hAnsi="仿宋_GB2312" w:eastAsia="仿宋_GB2312" w:cs="仿宋_GB2312"/>
          <w:color w:val="2B2B2B"/>
          <w:sz w:val="32"/>
          <w:szCs w:val="32"/>
          <w:shd w:val="clear" w:color="auto" w:fill="FFFFFF"/>
        </w:rPr>
      </w:pPr>
    </w:p>
    <w:p>
      <w:pPr>
        <w:widowControl/>
        <w:spacing w:before="120" w:beforeLines="50"/>
        <w:jc w:val="center"/>
        <w:outlineLvl w:val="1"/>
        <w:rPr>
          <w:rFonts w:ascii="仿宋_GB2312" w:hAnsi="仿宋_GB2312" w:eastAsia="仿宋_GB2312" w:cs="仿宋_GB2312"/>
          <w:color w:val="2B2B2B"/>
          <w:sz w:val="32"/>
          <w:szCs w:val="32"/>
          <w:shd w:val="clear" w:color="auto" w:fill="FFFFFF"/>
        </w:rPr>
      </w:pPr>
    </w:p>
    <w:p>
      <w:pPr>
        <w:widowControl/>
        <w:spacing w:before="120" w:beforeLines="50"/>
        <w:jc w:val="center"/>
        <w:outlineLvl w:val="1"/>
        <w:rPr>
          <w:rFonts w:ascii="仿宋_GB2312" w:hAnsi="仿宋_GB2312" w:eastAsia="仿宋_GB2312" w:cs="仿宋_GB2312"/>
          <w:color w:val="2B2B2B"/>
          <w:sz w:val="32"/>
          <w:szCs w:val="32"/>
          <w:shd w:val="clear" w:color="auto" w:fill="FFFFFF"/>
        </w:rPr>
      </w:pPr>
    </w:p>
    <w:p>
      <w:pPr>
        <w:widowControl/>
        <w:spacing w:before="120" w:beforeLines="50"/>
        <w:jc w:val="center"/>
        <w:outlineLvl w:val="1"/>
        <w:rPr>
          <w:rFonts w:ascii="仿宋_GB2312" w:hAnsi="仿宋_GB2312" w:eastAsia="仿宋_GB2312" w:cs="仿宋_GB2312"/>
          <w:color w:val="2B2B2B"/>
          <w:sz w:val="32"/>
          <w:szCs w:val="32"/>
          <w:shd w:val="clear" w:color="auto" w:fill="FFFFFF"/>
        </w:rPr>
      </w:pPr>
    </w:p>
    <w:p>
      <w:pPr>
        <w:widowControl/>
        <w:spacing w:before="120" w:beforeLines="50"/>
        <w:jc w:val="center"/>
        <w:outlineLvl w:val="1"/>
        <w:rPr>
          <w:rFonts w:ascii="仿宋_GB2312" w:hAnsi="仿宋_GB2312" w:eastAsia="仿宋_GB2312" w:cs="仿宋_GB2312"/>
          <w:color w:val="2B2B2B"/>
          <w:sz w:val="32"/>
          <w:szCs w:val="32"/>
          <w:shd w:val="clear" w:color="auto" w:fill="FFFFFF"/>
        </w:rPr>
      </w:pPr>
    </w:p>
    <w:p>
      <w:pPr>
        <w:widowControl/>
        <w:spacing w:before="120" w:beforeLines="50"/>
        <w:jc w:val="center"/>
        <w:outlineLvl w:val="1"/>
        <w:rPr>
          <w:rFonts w:ascii="仿宋_GB2312" w:hAnsi="仿宋_GB2312" w:eastAsia="仿宋_GB2312" w:cs="仿宋_GB2312"/>
          <w:color w:val="2B2B2B"/>
          <w:sz w:val="32"/>
          <w:szCs w:val="32"/>
          <w:shd w:val="clear" w:color="auto" w:fill="FFFFFF"/>
        </w:rPr>
      </w:pPr>
    </w:p>
    <w:p>
      <w:pPr>
        <w:widowControl/>
        <w:spacing w:before="120" w:beforeLines="50"/>
        <w:jc w:val="center"/>
        <w:outlineLvl w:val="1"/>
        <w:rPr>
          <w:rFonts w:ascii="仿宋_GB2312" w:hAnsi="仿宋_GB2312" w:eastAsia="仿宋_GB2312" w:cs="仿宋_GB2312"/>
          <w:color w:val="2B2B2B"/>
          <w:sz w:val="32"/>
          <w:szCs w:val="32"/>
          <w:shd w:val="clear" w:color="auto" w:fill="FFFFFF"/>
        </w:rPr>
      </w:pPr>
    </w:p>
    <w:p>
      <w:pPr>
        <w:widowControl/>
        <w:spacing w:before="120" w:beforeLines="50"/>
        <w:jc w:val="center"/>
        <w:outlineLvl w:val="1"/>
        <w:rPr>
          <w:rFonts w:ascii="黑体" w:hAnsi="黑体" w:eastAsia="黑体"/>
          <w:kern w:val="0"/>
          <w:sz w:val="32"/>
          <w:szCs w:val="32"/>
        </w:rPr>
      </w:pPr>
      <w:r>
        <w:rPr>
          <w:rFonts w:hint="eastAsia" w:ascii="仿宋_GB2312" w:hAnsi="仿宋_GB2312" w:eastAsia="仿宋_GB2312" w:cs="仿宋_GB2312"/>
          <w:color w:val="2B2B2B"/>
          <w:sz w:val="32"/>
          <w:szCs w:val="32"/>
          <w:shd w:val="clear" w:color="auto" w:fill="FFFFFF"/>
        </w:rPr>
        <w:t>　</w:t>
      </w:r>
      <w:r>
        <w:rPr>
          <w:rFonts w:hint="eastAsia" w:ascii="黑体" w:hAnsi="黑体" w:eastAsia="黑体"/>
          <w:kern w:val="0"/>
          <w:sz w:val="32"/>
          <w:szCs w:val="32"/>
        </w:rPr>
        <w:t>第二部分  2018年部门预算情况说明</w:t>
      </w:r>
    </w:p>
    <w:p>
      <w:pPr>
        <w:widowControl/>
        <w:spacing w:before="120" w:beforeLines="50"/>
        <w:ind w:firstLine="160" w:firstLineChars="50"/>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编制部门：昌吉州畜牧兽医执法支队        单位：万元</w:t>
      </w:r>
    </w:p>
    <w:tbl>
      <w:tblPr>
        <w:tblStyle w:val="5"/>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285.93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tabs>
                <w:tab w:val="left" w:pos="293"/>
                <w:tab w:val="right" w:pos="1785"/>
              </w:tabs>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285.93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285.93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285.93</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285.93</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ind w:right="540"/>
              <w:rPr>
                <w:rFonts w:ascii="仿宋_GB2312" w:hAnsi="宋体" w:eastAsia="仿宋_GB2312" w:cs="宋体"/>
                <w:kern w:val="0"/>
                <w:sz w:val="18"/>
                <w:szCs w:val="18"/>
              </w:rPr>
            </w:pPr>
            <w:r>
              <w:rPr>
                <w:rFonts w:hint="eastAsia" w:ascii="仿宋_GB2312" w:hAnsi="宋体" w:eastAsia="仿宋_GB2312" w:cs="宋体"/>
                <w:kern w:val="0"/>
                <w:sz w:val="18"/>
                <w:szCs w:val="18"/>
              </w:rPr>
              <w:t>285.93</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285.93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昌吉州畜牧兽医执法支队                        单位：万元</w:t>
      </w:r>
    </w:p>
    <w:tbl>
      <w:tblPr>
        <w:tblStyle w:val="5"/>
        <w:tblW w:w="9654" w:type="dxa"/>
        <w:tblInd w:w="93" w:type="dxa"/>
        <w:tblLayout w:type="fixed"/>
        <w:tblCellMar>
          <w:top w:w="0" w:type="dxa"/>
          <w:left w:w="108" w:type="dxa"/>
          <w:bottom w:w="0" w:type="dxa"/>
          <w:right w:w="108" w:type="dxa"/>
        </w:tblCellMar>
      </w:tblPr>
      <w:tblGrid>
        <w:gridCol w:w="582"/>
        <w:gridCol w:w="567"/>
        <w:gridCol w:w="567"/>
        <w:gridCol w:w="1680"/>
        <w:gridCol w:w="1155"/>
        <w:gridCol w:w="1073"/>
        <w:gridCol w:w="345"/>
        <w:gridCol w:w="567"/>
        <w:gridCol w:w="567"/>
        <w:gridCol w:w="513"/>
        <w:gridCol w:w="680"/>
        <w:gridCol w:w="680"/>
        <w:gridCol w:w="678"/>
      </w:tblGrid>
      <w:tr>
        <w:tblPrEx>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7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7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213</w:t>
            </w:r>
          </w:p>
        </w:tc>
        <w:tc>
          <w:tcPr>
            <w:tcW w:w="56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01</w:t>
            </w:r>
          </w:p>
        </w:tc>
        <w:tc>
          <w:tcPr>
            <w:tcW w:w="56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04</w:t>
            </w:r>
          </w:p>
        </w:tc>
        <w:tc>
          <w:tcPr>
            <w:tcW w:w="168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事业运行</w:t>
            </w:r>
          </w:p>
        </w:tc>
        <w:tc>
          <w:tcPr>
            <w:tcW w:w="1155"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eastAsia="仿宋_GB2312"/>
                <w:color w:val="000000"/>
                <w:sz w:val="20"/>
                <w:szCs w:val="20"/>
              </w:rPr>
            </w:pPr>
            <w:r>
              <w:rPr>
                <w:rFonts w:ascii="Dialog" w:hAnsi="Dialog" w:eastAsia="Dialog" w:cs="Dialog"/>
                <w:color w:val="000000"/>
                <w:kern w:val="0"/>
                <w:sz w:val="24"/>
                <w:lang w:bidi="ar"/>
              </w:rPr>
              <w:t>270.93</w:t>
            </w:r>
          </w:p>
        </w:tc>
        <w:tc>
          <w:tcPr>
            <w:tcW w:w="1073"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eastAsia="仿宋_GB2312"/>
                <w:color w:val="000000"/>
                <w:sz w:val="20"/>
                <w:szCs w:val="20"/>
              </w:rPr>
            </w:pPr>
            <w:r>
              <w:rPr>
                <w:rFonts w:ascii="Dialog" w:hAnsi="Dialog" w:eastAsia="Dialog" w:cs="Dialog"/>
                <w:color w:val="000000"/>
                <w:kern w:val="0"/>
                <w:sz w:val="24"/>
                <w:lang w:bidi="ar"/>
              </w:rPr>
              <w:t>270.93</w:t>
            </w:r>
          </w:p>
        </w:tc>
        <w:tc>
          <w:tcPr>
            <w:tcW w:w="34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213</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01</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08</w:t>
            </w:r>
          </w:p>
        </w:tc>
        <w:tc>
          <w:tcPr>
            <w:tcW w:w="168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病虫害控制</w:t>
            </w:r>
          </w:p>
        </w:tc>
        <w:tc>
          <w:tcPr>
            <w:tcW w:w="11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4</w:t>
            </w:r>
          </w:p>
        </w:tc>
        <w:tc>
          <w:tcPr>
            <w:tcW w:w="1073"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4</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213</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01</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09</w:t>
            </w:r>
          </w:p>
        </w:tc>
        <w:tc>
          <w:tcPr>
            <w:tcW w:w="168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农产品质量安全</w:t>
            </w:r>
          </w:p>
        </w:tc>
        <w:tc>
          <w:tcPr>
            <w:tcW w:w="11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5</w:t>
            </w:r>
          </w:p>
        </w:tc>
        <w:tc>
          <w:tcPr>
            <w:tcW w:w="1073"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5</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213</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01</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10</w:t>
            </w:r>
          </w:p>
        </w:tc>
        <w:tc>
          <w:tcPr>
            <w:tcW w:w="168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执法监管</w:t>
            </w:r>
          </w:p>
        </w:tc>
        <w:tc>
          <w:tcPr>
            <w:tcW w:w="11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6</w:t>
            </w:r>
          </w:p>
        </w:tc>
        <w:tc>
          <w:tcPr>
            <w:tcW w:w="1073"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6</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5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285.93</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285.93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编制部门：昌吉州畜牧兽医执法支队            单位：万元</w:t>
      </w:r>
    </w:p>
    <w:tbl>
      <w:tblPr>
        <w:tblStyle w:val="5"/>
        <w:tblW w:w="9229" w:type="dxa"/>
        <w:tblInd w:w="93" w:type="dxa"/>
        <w:tblLayout w:type="fixed"/>
        <w:tblCellMar>
          <w:top w:w="0" w:type="dxa"/>
          <w:left w:w="108" w:type="dxa"/>
          <w:bottom w:w="0" w:type="dxa"/>
          <w:right w:w="108" w:type="dxa"/>
        </w:tblCellMar>
      </w:tblPr>
      <w:tblGrid>
        <w:gridCol w:w="582"/>
        <w:gridCol w:w="611"/>
        <w:gridCol w:w="494"/>
        <w:gridCol w:w="2118"/>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68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1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11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213</w:t>
            </w: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01</w:t>
            </w: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04</w:t>
            </w: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事业运行</w:t>
            </w: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270.93</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270.93</w:t>
            </w: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213</w:t>
            </w: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01</w:t>
            </w: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08</w:t>
            </w: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病虫害控制</w:t>
            </w: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4</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0</w:t>
            </w: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4</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213</w:t>
            </w: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01</w:t>
            </w: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09</w:t>
            </w: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农产品质量安全</w:t>
            </w: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5</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0</w:t>
            </w: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5</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213</w:t>
            </w: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01</w:t>
            </w: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10</w:t>
            </w: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执法监管</w:t>
            </w: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6</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0</w:t>
            </w: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6</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61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285.93</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Dialog" w:hAnsi="Dialog" w:eastAsia="Dialog" w:cs="Dialog"/>
                <w:color w:val="000000"/>
                <w:kern w:val="0"/>
                <w:sz w:val="24"/>
                <w:lang w:bidi="ar"/>
              </w:rPr>
              <w:t>270.93</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昌吉州畜牧兽医执法支队</w:t>
      </w:r>
      <w:r>
        <w:rPr>
          <w:rFonts w:hint="eastAsia" w:ascii="仿宋_GB2312" w:hAnsi="宋体" w:eastAsia="仿宋_GB2312"/>
          <w:kern w:val="0"/>
          <w:sz w:val="28"/>
          <w:szCs w:val="28"/>
        </w:rPr>
        <w:t xml:space="preserve">       单位：万元</w:t>
      </w:r>
    </w:p>
    <w:tbl>
      <w:tblPr>
        <w:tblStyle w:val="5"/>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rPr>
            </w:pPr>
            <w:r>
              <w:rPr>
                <w:rFonts w:ascii="Dialog" w:hAnsi="Dialog" w:eastAsia="Dialog" w:cs="Dialog"/>
                <w:color w:val="000000"/>
                <w:kern w:val="0"/>
                <w:sz w:val="24"/>
                <w:lang w:bidi="ar"/>
              </w:rPr>
              <w:t>285.93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tabs>
                <w:tab w:val="center" w:pos="539"/>
                <w:tab w:val="right" w:pos="137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tabs>
                <w:tab w:val="center" w:pos="601"/>
                <w:tab w:val="right" w:pos="1502"/>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rPr>
            </w:pPr>
            <w:r>
              <w:rPr>
                <w:rFonts w:ascii="Dialog" w:hAnsi="Dialog" w:eastAsia="Dialog" w:cs="Dialog"/>
                <w:color w:val="000000"/>
                <w:kern w:val="0"/>
                <w:sz w:val="24"/>
                <w:lang w:bidi="ar"/>
              </w:rPr>
              <w:t>285.93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285.93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285.93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ind w:firstLine="240" w:firstLineChars="100"/>
              <w:jc w:val="left"/>
              <w:rPr>
                <w:rFonts w:ascii="仿宋_GB2312" w:hAnsi="宋体" w:eastAsia="仿宋_GB2312" w:cs="宋体"/>
                <w:color w:val="000000"/>
                <w:kern w:val="0"/>
                <w:sz w:val="22"/>
                <w:szCs w:val="22"/>
              </w:rPr>
            </w:pPr>
            <w:r>
              <w:rPr>
                <w:rFonts w:ascii="Dialog" w:hAnsi="Dialog" w:eastAsia="Dialog" w:cs="Dialog"/>
                <w:color w:val="000000"/>
                <w:kern w:val="0"/>
                <w:sz w:val="24"/>
                <w:lang w:bidi="ar"/>
              </w:rPr>
              <w:t>285.93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285.93</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285.93</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ind w:right="220"/>
              <w:jc w:val="right"/>
              <w:rPr>
                <w:rFonts w:ascii="仿宋_GB2312" w:hAnsi="宋体" w:eastAsia="仿宋_GB2312" w:cs="宋体"/>
                <w:color w:val="000000"/>
                <w:kern w:val="0"/>
                <w:sz w:val="22"/>
                <w:szCs w:val="22"/>
              </w:rPr>
            </w:pPr>
            <w:r>
              <w:rPr>
                <w:rFonts w:ascii="Dialog" w:hAnsi="Dialog" w:eastAsia="Dialog" w:cs="Dialog"/>
                <w:color w:val="000000"/>
                <w:kern w:val="0"/>
                <w:sz w:val="24"/>
                <w:lang w:bidi="ar"/>
              </w:rPr>
              <w:t>285.93</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285.93</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285.93</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5"/>
        <w:tblW w:w="9087" w:type="dxa"/>
        <w:tblInd w:w="93" w:type="dxa"/>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昌吉州畜牧兽医执法支队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213</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04</w:t>
            </w:r>
          </w:p>
        </w:tc>
        <w:tc>
          <w:tcPr>
            <w:tcW w:w="200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事业运行</w:t>
            </w: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270.93</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270.93</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213</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08</w:t>
            </w:r>
          </w:p>
        </w:tc>
        <w:tc>
          <w:tcPr>
            <w:tcW w:w="200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病虫害控制</w:t>
            </w: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4</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4</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213</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09</w:t>
            </w:r>
          </w:p>
        </w:tc>
        <w:tc>
          <w:tcPr>
            <w:tcW w:w="2002"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农产品质量安全</w:t>
            </w: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5</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5</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213</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10</w:t>
            </w:r>
          </w:p>
        </w:tc>
        <w:tc>
          <w:tcPr>
            <w:tcW w:w="2002"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执法监管</w:t>
            </w: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6</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6</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285.93</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270.93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5"/>
        <w:tblW w:w="9087" w:type="dxa"/>
        <w:tblInd w:w="93" w:type="dxa"/>
        <w:tblLayout w:type="fixed"/>
        <w:tblCellMar>
          <w:top w:w="0" w:type="dxa"/>
          <w:left w:w="108" w:type="dxa"/>
          <w:bottom w:w="0" w:type="dxa"/>
          <w:right w:w="108" w:type="dxa"/>
        </w:tblCellMar>
      </w:tblPr>
      <w:tblGrid>
        <w:gridCol w:w="582"/>
        <w:gridCol w:w="851"/>
        <w:gridCol w:w="3260"/>
        <w:gridCol w:w="286"/>
        <w:gridCol w:w="1273"/>
        <w:gridCol w:w="409"/>
        <w:gridCol w:w="1009"/>
        <w:gridCol w:w="1417"/>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69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昌吉州畜牧兽医执法支队</w:t>
            </w:r>
          </w:p>
        </w:tc>
        <w:tc>
          <w:tcPr>
            <w:tcW w:w="28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41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基本工资</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75.78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75.78</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02</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津贴补贴</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35.49</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35.49</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03</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奖金</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5.05</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5.05</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伙食补助费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22.68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22.68</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绩效工资</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13.05</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13.05</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08</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机关事业单位基本养老保险缴费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25.88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25.88</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职工基本医疗保险缴费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19.15</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19.15</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公务员医疗补助缴费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14.89</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14.89</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12</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其他社会保障缴费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0.53</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0.53</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13</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住房公积金</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15.52</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15.52</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办公费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1.99</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1.99</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02</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印刷费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0.75</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0.75</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05</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1.08</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电费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1.08</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邮电费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1.08</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08</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取暖费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6.16</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6.16</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差旅费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10.8</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培训费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公务招待费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0.81</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0.81</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28</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工会经费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1.52</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1.52</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福利费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0.88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0.88</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公务车运行维护费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7.44</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7.44</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99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其他商品和服务支出</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3.3</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3.3</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303</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奖励金</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1.02</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1.02</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303</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14</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职工住宅取暖费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r>
      <w:tr>
        <w:tblPrEx>
          <w:tblCellMar>
            <w:top w:w="0" w:type="dxa"/>
            <w:left w:w="108" w:type="dxa"/>
            <w:bottom w:w="0" w:type="dxa"/>
            <w:right w:w="108" w:type="dxa"/>
          </w:tblCellMar>
        </w:tblPrEx>
        <w:trPr>
          <w:trHeight w:val="427"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nil"/>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260" w:type="dxa"/>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9" w:type="dxa"/>
            <w:gridSpan w:val="2"/>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rPr>
              <w:t>270.93</w:t>
            </w:r>
          </w:p>
        </w:tc>
        <w:tc>
          <w:tcPr>
            <w:tcW w:w="1418" w:type="dxa"/>
            <w:gridSpan w:val="2"/>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rPr>
              <w:t>232.04</w:t>
            </w:r>
          </w:p>
        </w:tc>
        <w:tc>
          <w:tcPr>
            <w:tcW w:w="1417" w:type="dxa"/>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38.89</w:t>
            </w:r>
          </w:p>
        </w:tc>
      </w:tr>
      <w:tr>
        <w:tblPrEx>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5"/>
        <w:tblW w:w="9469" w:type="dxa"/>
        <w:tblInd w:w="93" w:type="dxa"/>
        <w:tblLayout w:type="fixed"/>
        <w:tblCellMar>
          <w:top w:w="0" w:type="dxa"/>
          <w:left w:w="108" w:type="dxa"/>
          <w:bottom w:w="0" w:type="dxa"/>
          <w:right w:w="108" w:type="dxa"/>
        </w:tblCellMar>
      </w:tblPr>
      <w:tblGrid>
        <w:gridCol w:w="8"/>
        <w:gridCol w:w="679"/>
        <w:gridCol w:w="537"/>
        <w:gridCol w:w="578"/>
        <w:gridCol w:w="1110"/>
        <w:gridCol w:w="1050"/>
        <w:gridCol w:w="396"/>
        <w:gridCol w:w="391"/>
        <w:gridCol w:w="300"/>
        <w:gridCol w:w="525"/>
        <w:gridCol w:w="431"/>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昌吉州畜牧兽医执法支队</w:t>
            </w:r>
          </w:p>
        </w:tc>
        <w:tc>
          <w:tcPr>
            <w:tcW w:w="1216"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61"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802"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1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50"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8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0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68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7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1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0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8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0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3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213</w:t>
            </w:r>
          </w:p>
        </w:tc>
        <w:tc>
          <w:tcPr>
            <w:tcW w:w="537"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01</w:t>
            </w:r>
          </w:p>
        </w:tc>
        <w:tc>
          <w:tcPr>
            <w:tcW w:w="578"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08</w:t>
            </w:r>
          </w:p>
        </w:tc>
        <w:tc>
          <w:tcPr>
            <w:tcW w:w="1110"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2130108</w:t>
            </w:r>
          </w:p>
        </w:tc>
        <w:tc>
          <w:tcPr>
            <w:tcW w:w="1050"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病虫害控制</w:t>
            </w:r>
          </w:p>
        </w:tc>
        <w:tc>
          <w:tcPr>
            <w:tcW w:w="787" w:type="dxa"/>
            <w:gridSpan w:val="2"/>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4</w:t>
            </w:r>
          </w:p>
        </w:tc>
        <w:tc>
          <w:tcPr>
            <w:tcW w:w="300" w:type="dxa"/>
            <w:vAlign w:val="center"/>
          </w:tcPr>
          <w:p>
            <w:pPr>
              <w:widowControl/>
              <w:jc w:val="right"/>
              <w:textAlignment w:val="center"/>
              <w:rPr>
                <w:rFonts w:ascii="仿宋_GB2312" w:hAnsi="宋体" w:eastAsia="仿宋_GB2312"/>
                <w:kern w:val="0"/>
                <w:sz w:val="32"/>
                <w:szCs w:val="32"/>
              </w:rPr>
            </w:pPr>
          </w:p>
        </w:tc>
        <w:tc>
          <w:tcPr>
            <w:tcW w:w="525" w:type="dxa"/>
            <w:vAlign w:val="center"/>
          </w:tcPr>
          <w:p>
            <w:pPr>
              <w:widowControl/>
              <w:jc w:val="right"/>
              <w:textAlignment w:val="center"/>
              <w:rPr>
                <w:rFonts w:ascii="仿宋_GB2312" w:hAnsi="宋体" w:eastAsia="仿宋_GB2312"/>
                <w:kern w:val="0"/>
                <w:sz w:val="24"/>
              </w:rPr>
            </w:pPr>
            <w:r>
              <w:rPr>
                <w:rFonts w:ascii="Dialog" w:hAnsi="Dialog" w:eastAsia="Dialog" w:cs="Dialog"/>
                <w:color w:val="000000"/>
                <w:kern w:val="0"/>
                <w:sz w:val="24"/>
                <w:lang w:bidi="ar"/>
              </w:rPr>
              <w:t>4</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213</w:t>
            </w:r>
          </w:p>
        </w:tc>
        <w:tc>
          <w:tcPr>
            <w:tcW w:w="537"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01</w:t>
            </w:r>
          </w:p>
        </w:tc>
        <w:tc>
          <w:tcPr>
            <w:tcW w:w="578"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09</w:t>
            </w:r>
          </w:p>
        </w:tc>
        <w:tc>
          <w:tcPr>
            <w:tcW w:w="1110"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2130109</w:t>
            </w:r>
          </w:p>
        </w:tc>
        <w:tc>
          <w:tcPr>
            <w:tcW w:w="1050"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农产品质量安全</w:t>
            </w:r>
          </w:p>
        </w:tc>
        <w:tc>
          <w:tcPr>
            <w:tcW w:w="787" w:type="dxa"/>
            <w:gridSpan w:val="2"/>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5</w:t>
            </w:r>
          </w:p>
        </w:tc>
        <w:tc>
          <w:tcPr>
            <w:tcW w:w="3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5</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213</w:t>
            </w:r>
          </w:p>
        </w:tc>
        <w:tc>
          <w:tcPr>
            <w:tcW w:w="537"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01</w:t>
            </w:r>
          </w:p>
        </w:tc>
        <w:tc>
          <w:tcPr>
            <w:tcW w:w="578"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10</w:t>
            </w:r>
          </w:p>
        </w:tc>
        <w:tc>
          <w:tcPr>
            <w:tcW w:w="1110"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2130110</w:t>
            </w:r>
          </w:p>
        </w:tc>
        <w:tc>
          <w:tcPr>
            <w:tcW w:w="1050"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执法监管</w:t>
            </w:r>
          </w:p>
        </w:tc>
        <w:tc>
          <w:tcPr>
            <w:tcW w:w="787" w:type="dxa"/>
            <w:gridSpan w:val="2"/>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6</w:t>
            </w:r>
          </w:p>
        </w:tc>
        <w:tc>
          <w:tcPr>
            <w:tcW w:w="3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6</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vAlign w:val="center"/>
          </w:tcPr>
          <w:p>
            <w:pPr>
              <w:widowControl/>
              <w:jc w:val="right"/>
              <w:textAlignment w:val="center"/>
              <w:rPr>
                <w:rFonts w:ascii="仿宋_GB2312" w:hAnsi="宋体" w:eastAsia="仿宋_GB2312"/>
                <w:kern w:val="0"/>
                <w:sz w:val="32"/>
                <w:szCs w:val="32"/>
              </w:rPr>
            </w:pPr>
          </w:p>
        </w:tc>
        <w:tc>
          <w:tcPr>
            <w:tcW w:w="537" w:type="dxa"/>
            <w:vAlign w:val="center"/>
          </w:tcPr>
          <w:p>
            <w:pPr>
              <w:widowControl/>
              <w:jc w:val="right"/>
              <w:textAlignment w:val="center"/>
              <w:rPr>
                <w:rFonts w:ascii="仿宋_GB2312" w:hAnsi="宋体" w:eastAsia="仿宋_GB2312"/>
                <w:kern w:val="0"/>
                <w:sz w:val="32"/>
                <w:szCs w:val="32"/>
              </w:rPr>
            </w:pPr>
          </w:p>
        </w:tc>
        <w:tc>
          <w:tcPr>
            <w:tcW w:w="578" w:type="dxa"/>
            <w:vAlign w:val="center"/>
          </w:tcPr>
          <w:p>
            <w:pPr>
              <w:widowControl/>
              <w:jc w:val="right"/>
              <w:textAlignment w:val="center"/>
              <w:rPr>
                <w:rFonts w:ascii="仿宋_GB2312" w:hAnsi="宋体" w:eastAsia="仿宋_GB2312"/>
                <w:kern w:val="0"/>
                <w:sz w:val="32"/>
                <w:szCs w:val="32"/>
              </w:rPr>
            </w:pPr>
          </w:p>
        </w:tc>
        <w:tc>
          <w:tcPr>
            <w:tcW w:w="1110" w:type="dxa"/>
            <w:vAlign w:val="center"/>
          </w:tcPr>
          <w:p>
            <w:pPr>
              <w:widowControl/>
              <w:jc w:val="right"/>
              <w:textAlignment w:val="center"/>
              <w:rPr>
                <w:rFonts w:ascii="仿宋_GB2312" w:hAnsi="宋体" w:eastAsia="仿宋_GB2312"/>
                <w:kern w:val="0"/>
                <w:sz w:val="32"/>
                <w:szCs w:val="32"/>
              </w:rPr>
            </w:pPr>
          </w:p>
        </w:tc>
        <w:tc>
          <w:tcPr>
            <w:tcW w:w="1050" w:type="dxa"/>
            <w:vAlign w:val="center"/>
          </w:tcPr>
          <w:p>
            <w:pPr>
              <w:widowControl/>
              <w:jc w:val="right"/>
              <w:textAlignment w:val="center"/>
              <w:rPr>
                <w:rFonts w:ascii="仿宋_GB2312" w:hAnsi="宋体" w:eastAsia="仿宋_GB2312"/>
                <w:kern w:val="0"/>
                <w:sz w:val="32"/>
                <w:szCs w:val="32"/>
              </w:rPr>
            </w:pPr>
          </w:p>
        </w:tc>
        <w:tc>
          <w:tcPr>
            <w:tcW w:w="787" w:type="dxa"/>
            <w:gridSpan w:val="2"/>
            <w:vAlign w:val="center"/>
          </w:tcPr>
          <w:p>
            <w:pPr>
              <w:widowControl/>
              <w:jc w:val="right"/>
              <w:textAlignment w:val="center"/>
              <w:rPr>
                <w:rFonts w:ascii="仿宋_GB2312" w:hAnsi="宋体" w:eastAsia="仿宋_GB2312"/>
                <w:kern w:val="0"/>
                <w:sz w:val="32"/>
                <w:szCs w:val="32"/>
              </w:rPr>
            </w:pPr>
          </w:p>
        </w:tc>
        <w:tc>
          <w:tcPr>
            <w:tcW w:w="300" w:type="dxa"/>
          </w:tcPr>
          <w:p>
            <w:pPr>
              <w:widowControl/>
              <w:jc w:val="left"/>
              <w:outlineLvl w:val="1"/>
              <w:rPr>
                <w:rFonts w:ascii="仿宋_GB2312" w:hAnsi="宋体" w:eastAsia="仿宋_GB2312"/>
                <w:kern w:val="0"/>
                <w:sz w:val="32"/>
                <w:szCs w:val="32"/>
              </w:rPr>
            </w:pP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87" w:type="dxa"/>
            <w:gridSpan w:val="2"/>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15</w:t>
            </w:r>
          </w:p>
        </w:tc>
        <w:tc>
          <w:tcPr>
            <w:tcW w:w="3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4"/>
              </w:rPr>
              <w:t>15</w:t>
            </w: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备注：无内容应公开空表并说明情况：我单位2019年预算中无项目支出情况。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编制单位：昌吉州畜牧兽医执法支队         单位：万元</w:t>
      </w:r>
    </w:p>
    <w:tbl>
      <w:tblPr>
        <w:tblStyle w:val="5"/>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8.25</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7.44</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7.44</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0.81</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编制单位：昌吉州畜牧兽医执法支队               单位：万元</w:t>
      </w:r>
    </w:p>
    <w:tbl>
      <w:tblPr>
        <w:tblStyle w:val="5"/>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备注：无内容应公开空表并说明情况：我单位2019年预算无政府性基金预算部分。</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关于昌吉州畜牧兽医执法支队2019年收支预算情况的总体说明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按照全口径预算的原则，昌吉州畜牧兽医执法支队20</w:t>
      </w:r>
      <w:r>
        <w:rPr>
          <w:rFonts w:hint="eastAsia" w:ascii="黑体" w:hAnsi="宋体" w:eastAsia="黑体" w:cs="宋体"/>
          <w:kern w:val="0"/>
          <w:sz w:val="32"/>
          <w:szCs w:val="32"/>
        </w:rPr>
        <w:t>19</w:t>
      </w:r>
      <w:r>
        <w:rPr>
          <w:rFonts w:hint="eastAsia" w:ascii="仿宋_GB2312" w:hAnsi="宋体" w:eastAsia="仿宋_GB2312" w:cs="宋体"/>
          <w:kern w:val="0"/>
          <w:sz w:val="32"/>
          <w:szCs w:val="32"/>
        </w:rPr>
        <w:t>年所有收入和支出均纳入部门预算管理。收支总预算285.93万元。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二、关于昌吉州畜牧兽医执法支队2019年收入预算情况说明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昌吉州畜牧兽医执法支队收入预算285.93万元，其中：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一般公共预算285.93万元，占100%，比上年增加83.84万元，主要原因是：</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基本支出较上年增加83.84万元，根据机构改革原草原监理站与动物卫生监督所合并，草原监理站4人合并到动物卫生监督所所以人员经费较上年增加79.24万元，其中影响较大的的是基本工资因标准上调导致费用增加，社保基数上调导致社保费用增加79.24万元；二、公用经费整体较上年增长4.6万元，主要原因是办公费增加1.10万元，维修（护）费增加0.10万元，差旅费增加2.4万元，工会经费增加0.5万元，培训费增加0.21万元，福利费增加0.29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政府性基金预算未安排。0万元， 占 0%，比上年增加（减少）0万元，主要原因是无；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财政专户管理资金0万元，占0%，比上年增加（减少）   0万元，主要原因是无；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事业收入0万元，占0%，比上年增加（减少）0万元，主要原因是无；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事业单位经营收入0万元，占0%，比上年增加（减少）   0万元，主要原因是无；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其他收入0万元，占0%，比上年增加（减少）0万元，主要原因是无；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用事业基金弥补收支差额0万元，占0%，比上年增加（减少）0万元，主要原因是无。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单位上年结余（不包括国库集中支付额度结余）0万元，占0%，比上年增加（减少）0万元，主要原因是无。</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三、关于昌吉州畜牧兽医执法支队2019年支出预算情况说明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昌吉州畜牧兽医执法支队2019年支出预算285.93万元比上年增加83.84万元，其中：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270.93万元，2130104事业运行费，占2019年支出预算的94.75%，比上年增加83.84万元，主要原因是一、基本支出较上年增加83.84万元，根据机构改革原草原监理站与动物卫生监督所合并，草原监理站4人合并到动物卫生监督所所以人员经费较上年增加79.24万元，其中影响较大的的是基本工资因标准上调导致费用增加，社保基数上调导致社保费用增加79.24万元；二、公用经费整体较上年增长4.6万元，主要原因是办公费增加1.10万元，维修（护）费增加0.10万元，差旅费增加2.4万元，工会经费增加0.5万元，培训费增加0.21万元，福利费增加0.29万元。</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项目支出15万元，占2019年支出预算的5.25%，与上年持平。其中：2130108款病虫害控制4万元、2130109款农产品质量安全5万元 、2130110款执法监管6万元。</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四、关于昌吉州畜牧兽医执法支队2019年财政拨款收支预算情况的总体说明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2019年财政拨款收支总预算285.93万元。</w:t>
      </w:r>
    </w:p>
    <w:p>
      <w:pPr>
        <w:spacing w:line="580" w:lineRule="exact"/>
        <w:ind w:firstLine="642"/>
        <w:rPr>
          <w:rFonts w:ascii="仿宋_GB2312" w:hAnsi="宋体" w:eastAsia="仿宋_GB2312" w:cs="宋体"/>
          <w:spacing w:val="-4"/>
          <w:kern w:val="0"/>
          <w:sz w:val="32"/>
          <w:szCs w:val="32"/>
        </w:rPr>
      </w:pPr>
      <w:r>
        <w:rPr>
          <w:rFonts w:hint="eastAsia" w:ascii="仿宋_GB2312" w:hAnsi="宋体" w:eastAsia="仿宋_GB2312" w:cs="宋体"/>
          <w:b/>
          <w:spacing w:val="-4"/>
          <w:kern w:val="0"/>
          <w:sz w:val="32"/>
          <w:szCs w:val="32"/>
        </w:rPr>
        <w:t>情况一：无政府性基金预算拨款的部门单位按以下格式填写。</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五、关于昌吉州畜牧兽医执法支队2019年一般公共预算当年拨款情况说明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执法支队2019年一般公共预算拨款285.93万元，其中：基本支出270.93万元，比上年增加83.84万元，增长30.95%。主要原因是一、基本支出较上年增加83.84万元，根据机构改革原草原监理站与动物卫生监督所合并，草原监理站4人合并到动物卫生监督所所以人员经费较上年增加79.24万元，其中影响较大的的是基本工资因标准上调导致费用增加，社保基数上调导致社保费用增加79.24万元；二、公用经费整体较上年增长4.6万元，主要原因是办公费增加1.10万元，维修（护）费增加0.10万元，差旅费增加2.4万元，工会经费增加0.5万元，培训费增加0.21万元，福利费增加0.29万元。</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项目支出15万元，占2019年支出预算的5.25%，与上年持平。其中：2130108款病虫害控制4万元、2130109款农产品质量安全5万元 、2130110款执法监管6万元。</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kern w:val="0"/>
          <w:sz w:val="32"/>
          <w:szCs w:val="32"/>
        </w:rPr>
        <w:t>农林水支出</w:t>
      </w:r>
      <w:r>
        <w:rPr>
          <w:rFonts w:hint="eastAsia" w:ascii="仿宋_GB2312" w:eastAsia="仿宋_GB2312"/>
          <w:sz w:val="32"/>
          <w:szCs w:val="32"/>
        </w:rPr>
        <w:t>（类）</w:t>
      </w:r>
      <w:r>
        <w:rPr>
          <w:rFonts w:hint="eastAsia" w:ascii="仿宋_GB2312" w:hAnsi="宋体" w:eastAsia="仿宋_GB2312" w:cs="宋体"/>
          <w:kern w:val="0"/>
          <w:sz w:val="32"/>
          <w:szCs w:val="32"/>
        </w:rPr>
        <w:t>285.93万元，占100 %。其中：</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2130104事业运行费，占2019年支出预算的94.75%，项目支出15万元，占2019年支出预算的5.25%，与上年持平。其中：2130108款病虫害控制4万元、2130109款农产品质量安全5万元 、2130110款执法监管6万元。</w:t>
      </w:r>
    </w:p>
    <w:p>
      <w:pPr>
        <w:widowControl/>
        <w:spacing w:line="5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基本支出：基本支出270.93万元，2130104事业运行费，占2019年支出预算的94.75%，比上年增加83.84万元，增长30.95%。主要原因是一、基本支出较上年增加83.84万元，根据机构改革原草原监理站与动物卫生监督所合并，草原监理站4人合并到动物卫生监督所所以人员经费较上年增加79.24万元，其中影响较大的的是基本工资因标准上调导致费用增加，社保基数上调导致社保费用增加79.24万元；二、公用经费整体较上年增长4.6万元，主要原因是办公费增加1.10万元，维修（护）费增加0.10万元，差旅费增加2.4万元，工会经费增加0.5万元，培训费增加0.21万元，福利费增加0.29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2、项目支出15万元，占2019年支出预算的5.25%，与上年持平。其中：2130108款病虫害控制4万元、2130109款农产品质量安全5万元 、2130110款执法监管6万元。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六、关于昌吉州畜牧兽医执法支队2019年一般公共预算基本支出情况说明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昌吉州畜牧兽医执法支队 2019年一般公共预算基本支出270.93万元，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232.04万元，主要包括：基本工资75.78万元、津贴补贴35.49万元、奖金5.05万元、伙食补助费22.68万元、绩效工资13.05万元、机关事业单位基本养老保险缴费25.88万元、职工基本医疗保险缴费19.15万元、公务员医疗补助缴费14.89万元、其他社会保障缴费0.53万元、住房公积金15.52万元、奖励金1.02万元、职工住宅取暖费、职工住宅取暖费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38.89万元，主要包括：办公费1.99万元、印刷费0.75万元、水费1.08万元、电费1.08万元、邮电费1.08万元、差旅费10.8万元、维修（护）费、培训费2万元、公务接待费0.81万元、工会经费1.52万元、福利费0.88万元、公务用车运行维护费7.4万元、其他商品和服务支出3.3万元、取暖费6.16取暖费、。</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七、关于昌吉州畜牧兽医执法支队2019年项目支出情况说明</w:t>
      </w:r>
    </w:p>
    <w:p>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动物疫病防控业务经费</w:t>
      </w:r>
    </w:p>
    <w:p>
      <w:pPr>
        <w:widowControl/>
        <w:spacing w:line="580" w:lineRule="exact"/>
        <w:ind w:left="630" w:leftChars="300"/>
        <w:jc w:val="left"/>
        <w:rPr>
          <w:rFonts w:ascii="仿宋_GB2312" w:hAnsi="黑体" w:eastAsia="仿宋_GB2312"/>
          <w:sz w:val="32"/>
          <w:szCs w:val="32"/>
        </w:rPr>
      </w:pPr>
      <w:r>
        <w:rPr>
          <w:rFonts w:hint="eastAsia" w:ascii="仿宋_GB2312" w:hAnsi="宋体" w:eastAsia="仿宋_GB2312" w:cs="宋体"/>
          <w:kern w:val="0"/>
          <w:sz w:val="32"/>
          <w:szCs w:val="32"/>
        </w:rPr>
        <w:t>设立的政策依据：昌州财农（2019）27号文件</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昌吉回族自治州畜牧兽医执法支队</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通过此项目以期达到全州对全州年均800余万头牲畜、近1亿羽家禽出栏的检疫监督；451家养殖场、21家屠宰场及各类活畜交易市场、农贸市场， 107家动物诊所以及动物产品生产、加工、经营、贮藏各环节的重大动物疫病防控等工作</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宋体" w:eastAsia="仿宋_GB2312" w:cs="宋体"/>
          <w:kern w:val="0"/>
          <w:sz w:val="32"/>
          <w:szCs w:val="32"/>
        </w:rPr>
        <w:t>：畜产品质量安全监管项目业务经费</w:t>
      </w:r>
    </w:p>
    <w:p>
      <w:pPr>
        <w:widowControl/>
        <w:spacing w:line="580" w:lineRule="exact"/>
        <w:ind w:left="630" w:leftChars="300"/>
        <w:jc w:val="left"/>
        <w:rPr>
          <w:rFonts w:ascii="仿宋_GB2312" w:hAnsi="黑体" w:eastAsia="仿宋_GB2312"/>
          <w:sz w:val="32"/>
          <w:szCs w:val="32"/>
        </w:rPr>
      </w:pPr>
      <w:r>
        <w:rPr>
          <w:rFonts w:hint="eastAsia" w:ascii="仿宋_GB2312" w:hAnsi="宋体" w:eastAsia="仿宋_GB2312" w:cs="宋体"/>
          <w:kern w:val="0"/>
          <w:sz w:val="32"/>
          <w:szCs w:val="32"/>
        </w:rPr>
        <w:t>设立的政策依据：昌州财农（2019）27号文件</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昌吉回族自治州畜牧兽医执法支队</w:t>
      </w:r>
    </w:p>
    <w:p>
      <w:pPr>
        <w:spacing w:line="52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承担着全州兽药、饲料行业、生鲜乳及畜产品质量安全监督工作。承担动物在养殖环节和屠宰环节“瘦肉精”的监管监测等。承担全州动物源性食品的安全监管，保证我州人民群众吃上放心安全动物产品。</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3、项目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动物卫生监督行政执法监管业务经费</w:t>
      </w:r>
    </w:p>
    <w:p>
      <w:pPr>
        <w:widowControl/>
        <w:spacing w:line="580" w:lineRule="exact"/>
        <w:ind w:left="630" w:leftChars="300"/>
        <w:jc w:val="left"/>
        <w:rPr>
          <w:rFonts w:ascii="仿宋_GB2312" w:hAnsi="黑体" w:eastAsia="仿宋_GB2312"/>
          <w:sz w:val="32"/>
          <w:szCs w:val="32"/>
        </w:rPr>
      </w:pPr>
      <w:r>
        <w:rPr>
          <w:rFonts w:hint="eastAsia" w:ascii="仿宋_GB2312" w:hAnsi="宋体" w:eastAsia="仿宋_GB2312" w:cs="宋体"/>
          <w:kern w:val="0"/>
          <w:sz w:val="32"/>
          <w:szCs w:val="32"/>
        </w:rPr>
        <w:t>设立的政策依据：昌州财农（2019）27号文件</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昌吉回族自治州畜牧兽医执法支队</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对昌吉州有关单位和个人执行《动物防疫法及有关动物卫生法律规范的技术规范的情况进行监督检查；纠正和处理违反动物卫生法律、法规和规章的行为；决定动物卫生行政处理、处罚；负责动物诊疗和执业兽医的监督管理；违法使用“瘦肉精”的监管。受昌吉州畜牧兽医局委托承担着全州兽药、饲料行业、生鲜乳及畜产品质量安全监督工作　</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八、关于昌吉州畜牧兽医执法支队2019年一般公共预算“三公”经费预算情况说明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昌吉州畜牧兽医执法支队2019年“三公”经费财政拨款预算数8.25万元，其中：因公出国（境）费 0 万元，公务用车购置 0 万元，公务用车运行费7.44万元，公务接待费0.81万元。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与上年比增加3.35万元，其中：公务用车运行费增加2.54万元，公务接待费较上年增加0.81万元。主要原因一是根据机构改革原草原监理站与动物卫生监督所合并，草原监理站4人合并到动物卫生监督所所以各项经费较上年增加，二是因工作任务量大，2018年9月，按照“千名硕士进昌吉”工作要求，我单位引进五名硕士研究生，故以上两项经费有所增加。</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九、关于昌吉州畜牧兽医执法支队2019年政府性基金预算拨款情况说明</w:t>
      </w:r>
    </w:p>
    <w:p>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情况一：</w:t>
      </w:r>
      <w:r>
        <w:rPr>
          <w:rFonts w:hint="eastAsia" w:ascii="仿宋_GB2312" w:hAnsi="宋体" w:eastAsia="仿宋_GB2312" w:cs="宋体"/>
          <w:kern w:val="0"/>
          <w:sz w:val="32"/>
          <w:szCs w:val="32"/>
        </w:rPr>
        <w:t>在预算中未安排政府性基金预算的部门，必须公开空表，同时做以下说明：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昌吉州畜牧兽医执法支队2019年没有使用政府性基金预算拨款安排的支出，政府性基金预算支出情况表为空表。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十、其他重要事项的情况说明（无）</w:t>
      </w:r>
    </w:p>
    <w:p>
      <w:pPr>
        <w:widowControl/>
        <w:spacing w:line="580" w:lineRule="exact"/>
        <w:ind w:firstLine="642"/>
        <w:jc w:val="left"/>
        <w:rPr>
          <w:rFonts w:ascii="楷体_GB2312" w:hAnsi="宋体" w:eastAsia="楷体_GB2312" w:cs="宋体"/>
          <w:b/>
          <w:kern w:val="0"/>
          <w:sz w:val="32"/>
          <w:szCs w:val="32"/>
        </w:rPr>
      </w:pPr>
    </w:p>
    <w:p>
      <w:pPr>
        <w:widowControl/>
        <w:spacing w:line="580" w:lineRule="exact"/>
        <w:ind w:firstLine="642"/>
        <w:jc w:val="left"/>
        <w:rPr>
          <w:rFonts w:ascii="楷体_GB2312" w:hAnsi="宋体" w:eastAsia="楷体_GB2312" w:cs="宋体"/>
          <w:b/>
          <w:kern w:val="0"/>
          <w:sz w:val="32"/>
          <w:szCs w:val="32"/>
        </w:rPr>
      </w:pPr>
    </w:p>
    <w:p>
      <w:pPr>
        <w:widowControl/>
        <w:spacing w:line="580" w:lineRule="exact"/>
        <w:ind w:firstLine="642"/>
        <w:jc w:val="left"/>
        <w:rPr>
          <w:rFonts w:ascii="楷体_GB2312" w:hAnsi="宋体" w:eastAsia="楷体_GB2312" w:cs="宋体"/>
          <w:b/>
          <w:kern w:val="0"/>
          <w:sz w:val="32"/>
          <w:szCs w:val="32"/>
        </w:rPr>
      </w:pPr>
    </w:p>
    <w:p>
      <w:pPr>
        <w:widowControl/>
        <w:spacing w:line="580" w:lineRule="exact"/>
        <w:ind w:firstLine="642"/>
        <w:jc w:val="left"/>
        <w:rPr>
          <w:rFonts w:ascii="楷体_GB2312" w:hAnsi="宋体" w:eastAsia="楷体_GB2312" w:cs="宋体"/>
          <w:b/>
          <w:kern w:val="0"/>
          <w:sz w:val="32"/>
          <w:szCs w:val="32"/>
        </w:rPr>
      </w:pPr>
    </w:p>
    <w:p>
      <w:pPr>
        <w:widowControl/>
        <w:spacing w:line="580" w:lineRule="exact"/>
        <w:ind w:firstLine="642"/>
        <w:jc w:val="left"/>
        <w:rPr>
          <w:rFonts w:ascii="楷体_GB2312" w:hAnsi="宋体" w:eastAsia="楷体_GB2312" w:cs="宋体"/>
          <w:b/>
          <w:kern w:val="0"/>
          <w:sz w:val="32"/>
          <w:szCs w:val="32"/>
        </w:rPr>
      </w:pPr>
    </w:p>
    <w:p>
      <w:pPr>
        <w:widowControl/>
        <w:spacing w:line="580" w:lineRule="exact"/>
        <w:ind w:firstLine="642"/>
        <w:jc w:val="left"/>
        <w:rPr>
          <w:rFonts w:ascii="楷体_GB2312" w:hAnsi="宋体" w:eastAsia="楷体_GB2312" w:cs="宋体"/>
          <w:b/>
          <w:kern w:val="0"/>
          <w:sz w:val="32"/>
          <w:szCs w:val="32"/>
        </w:rPr>
      </w:pPr>
    </w:p>
    <w:p>
      <w:pPr>
        <w:widowControl/>
        <w:spacing w:line="580" w:lineRule="exact"/>
        <w:ind w:firstLine="642"/>
        <w:jc w:val="left"/>
        <w:rPr>
          <w:rFonts w:ascii="楷体_GB2312" w:hAnsi="宋体" w:eastAsia="楷体_GB2312" w:cs="宋体"/>
          <w:b/>
          <w:kern w:val="0"/>
          <w:sz w:val="32"/>
          <w:szCs w:val="32"/>
        </w:rPr>
      </w:pP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畜牧兽医执法支队本级机关运行经费财政拨款预算38.89万元，公用经费整体较上年增长4.6万元，增长11.83%，主要原因一是根据机构改革原草原监理站与动物卫生监督所合并，草原监理站4人合并到动物卫生监督所所以各项经费较上年增加，二是因工作任务量大，2018年9月，按照“硕士进昌吉”工作要求，我单位引进五名硕士研究生。其中：办公费增加1.10万元，维修（护）费增加0.10万元，差旅费增加2.4万元，工会经费增加0.5万元，培训费增加0.21万元，福利费增加0.29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2019年，昌吉州畜牧兽医执法支队政府采购预算16万元，其中：政府采购货物预算16万元，政府采购工程预算0万元，政府采购服务预算0万元。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16万元，其中：面向小微企业预留政府采购项目预算金额0万元。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截至2019年底，昌吉州畜牧兽医执法支队及下属各预算单位占用使用国有资产总体情况为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1.房屋974平方米，价值25万元。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3  辆，价值76.29万元；其中：一般公务用车2辆，价值33.02万元；执法执勤用车1辆，价值43.27万元；其他车辆0辆，价值0万元。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3.办公家具价值4.06万元。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4.其他资产价值67万元。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 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3个，涉及预算金额 15万元。具体情况见下表（按项目分别填报）：。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eastAsia="仿宋_GB2312" w:cs="宋体"/>
                <w:b/>
                <w:bCs/>
                <w:kern w:val="0"/>
                <w:sz w:val="32"/>
                <w:szCs w:val="32"/>
              </w:rPr>
            </w:pPr>
            <w:r>
              <w:rPr>
                <w:rFonts w:hint="eastAsia" w:ascii="仿宋_GB2312" w:hAnsi="宋体" w:eastAsia="仿宋_GB2312"/>
                <w:b/>
                <w:kern w:val="0"/>
                <w:sz w:val="32"/>
                <w:szCs w:val="32"/>
              </w:rPr>
              <w:t>项  目  支  出  绩  效  目  标  表1</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仿宋_GB2312" w:hAnsi="宋体" w:eastAsia="仿宋_GB2312" w:cs="宋体"/>
                <w:kern w:val="0"/>
                <w:sz w:val="18"/>
                <w:szCs w:val="18"/>
              </w:rPr>
              <w:t>昌吉州畜牧兽医执法支队</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spacing w:line="580" w:lineRule="exact"/>
              <w:ind w:firstLine="64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动物疫病防控业务经费</w:t>
            </w:r>
          </w:p>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463"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　</w:t>
            </w:r>
            <w:r>
              <w:rPr>
                <w:rFonts w:hint="eastAsia" w:ascii="仿宋_GB2312" w:hAnsi="宋体" w:eastAsia="仿宋_GB2312"/>
                <w:sz w:val="18"/>
                <w:szCs w:val="18"/>
              </w:rPr>
              <w:t>对全州年均800余万头牲畜、近1亿羽家禽出栏的检疫监督；451家养殖场、21家屠宰场及各类活畜交易市场、农贸市场， 107家动物诊所以及动物产品生产、加工、经营、贮藏各环节的重大动物疫病防控</w:t>
            </w:r>
          </w:p>
        </w:tc>
      </w:tr>
      <w:tr>
        <w:tblPrEx>
          <w:tblCellMar>
            <w:top w:w="0" w:type="dxa"/>
            <w:left w:w="108" w:type="dxa"/>
            <w:bottom w:w="0" w:type="dxa"/>
            <w:right w:w="108" w:type="dxa"/>
          </w:tblCellMar>
        </w:tblPrEx>
        <w:trPr>
          <w:trHeight w:val="350"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spacing w:line="580" w:lineRule="exact"/>
              <w:ind w:firstLine="64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动物疫病防控业务经费</w:t>
            </w:r>
          </w:p>
          <w:p>
            <w:pPr>
              <w:widowControl/>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896"/>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4</w:t>
            </w:r>
            <w:r>
              <w:rPr>
                <w:rFonts w:hint="eastAsia" w:ascii="宋体" w:hAnsi="宋体" w:cs="宋体"/>
                <w:kern w:val="0"/>
                <w:sz w:val="18"/>
                <w:szCs w:val="18"/>
              </w:rPr>
              <w:tab/>
            </w: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全州畜禽成活率提高5%预算内完成，不挤占其他资金　</w:t>
            </w:r>
          </w:p>
        </w:tc>
      </w:tr>
      <w:tr>
        <w:tblPrEx>
          <w:tblCellMar>
            <w:top w:w="0" w:type="dxa"/>
            <w:left w:w="108" w:type="dxa"/>
            <w:bottom w:w="0" w:type="dxa"/>
            <w:right w:w="108" w:type="dxa"/>
          </w:tblCellMar>
        </w:tblPrEx>
        <w:trPr>
          <w:trHeight w:val="96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项目开始时间：2019年1月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按照计划进度完成</w:t>
            </w:r>
          </w:p>
        </w:tc>
      </w:tr>
      <w:tr>
        <w:tblPrEx>
          <w:tblCellMar>
            <w:top w:w="0" w:type="dxa"/>
            <w:left w:w="108" w:type="dxa"/>
            <w:bottom w:w="0" w:type="dxa"/>
            <w:right w:w="108" w:type="dxa"/>
          </w:tblCellMar>
        </w:tblPrEx>
        <w:trPr>
          <w:trHeight w:val="338"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项目完成时间：2019年12月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按照计划进度完成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年虫害发生次数(10次)</w:t>
            </w:r>
          </w:p>
        </w:tc>
        <w:tc>
          <w:tcPr>
            <w:tcW w:w="3773" w:type="dxa"/>
            <w:gridSpan w:val="4"/>
            <w:tcBorders>
              <w:top w:val="single" w:color="000000" w:sz="4" w:space="0"/>
              <w:left w:val="nil"/>
              <w:bottom w:val="single" w:color="000000" w:sz="4" w:space="0"/>
              <w:right w:val="single" w:color="000000" w:sz="4" w:space="0"/>
            </w:tcBorders>
            <w:vAlign w:val="bottom"/>
          </w:tcPr>
          <w:p>
            <w:pPr>
              <w:widowControl/>
              <w:jc w:val="center"/>
              <w:textAlignment w:val="bottom"/>
              <w:rPr>
                <w:rFonts w:ascii="宋体" w:hAnsi="宋体" w:cs="宋体"/>
                <w:kern w:val="0"/>
                <w:sz w:val="18"/>
                <w:szCs w:val="18"/>
              </w:rPr>
            </w:pPr>
            <w:r>
              <w:rPr>
                <w:rFonts w:hint="eastAsia" w:ascii="宋体" w:hAnsi="宋体" w:cs="宋体"/>
                <w:color w:val="000000"/>
                <w:kern w:val="0"/>
                <w:sz w:val="18"/>
                <w:szCs w:val="18"/>
                <w:lang w:bidi="ar"/>
              </w:rPr>
              <w:t>每年虫害发生的次数统计10次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虫害持续时间(30天</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虫害持续天数30天</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应免动物疫病强制免疫率（80%）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应免动物疫病强制免疫量占计划强制免疫量的80%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病死猪无害化处理率（100%）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病死猪无害化处理数量占需处理量的100%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突发动植物疫情处置率（100%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处置率（%） 及时处置突发动植物疫情次数占实际发生疫情次数的100%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kern w:val="0"/>
                <w:sz w:val="18"/>
                <w:szCs w:val="18"/>
              </w:rPr>
              <w:t>全州畜禽成活率提高5%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kern w:val="0"/>
                <w:sz w:val="18"/>
                <w:szCs w:val="18"/>
              </w:rPr>
              <w:t>全州畜禽成活率提高5%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CellMar>
            <w:top w:w="0" w:type="dxa"/>
            <w:left w:w="108" w:type="dxa"/>
            <w:bottom w:w="0" w:type="dxa"/>
            <w:right w:w="108" w:type="dxa"/>
          </w:tblCellMar>
        </w:tblPrEx>
        <w:trPr>
          <w:trHeight w:val="324"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因虫害造成的损失(10万元/亩/吨)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因虫害造成的损失10万元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对社会的影响，对动物疫病的了解程度 </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43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通过长期开展各类动物疫病防治可持续影响达到100%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七种疫病在全州辖区内发生疫情的乡镇不得超过10%。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高致病性禽流感、牲畜的口蹄疫、高致病性蓝耳病、布病、猪瘟、小反刍、H7N9禽流感疫病在全州辖区内发生疫情的乡镇不得超过10%。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预期效果满意度100%</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28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调查中满意和较满意的收益群众数量占调查总人数的比率达到100%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eastAsia="仿宋_GB2312" w:cs="宋体"/>
                <w:b/>
                <w:bCs/>
                <w:kern w:val="0"/>
                <w:sz w:val="32"/>
                <w:szCs w:val="32"/>
              </w:rPr>
            </w:pPr>
            <w:r>
              <w:rPr>
                <w:rFonts w:hint="eastAsia" w:ascii="仿宋_GB2312" w:hAnsi="宋体" w:eastAsia="仿宋_GB2312"/>
                <w:b/>
                <w:kern w:val="0"/>
                <w:sz w:val="32"/>
                <w:szCs w:val="32"/>
              </w:rPr>
              <w:t>项  目  支  出  绩  效  目  标  表2</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仿宋_GB2312" w:hAnsi="宋体" w:eastAsia="仿宋_GB2312" w:cs="宋体"/>
                <w:kern w:val="0"/>
                <w:sz w:val="18"/>
                <w:szCs w:val="18"/>
              </w:rPr>
              <w:t>昌吉州畜牧兽医执法支队</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仿宋_GB2312" w:hAnsi="宋体" w:eastAsia="仿宋_GB2312" w:cs="宋体"/>
                <w:kern w:val="0"/>
                <w:sz w:val="18"/>
                <w:szCs w:val="18"/>
              </w:rPr>
              <w:t>畜产品质量安全监管</w:t>
            </w:r>
          </w:p>
        </w:tc>
      </w:tr>
      <w:tr>
        <w:tblPrEx>
          <w:tblCellMar>
            <w:top w:w="0" w:type="dxa"/>
            <w:left w:w="108" w:type="dxa"/>
            <w:bottom w:w="0" w:type="dxa"/>
            <w:right w:w="108" w:type="dxa"/>
          </w:tblCellMar>
        </w:tblPrEx>
        <w:trPr>
          <w:trHeight w:val="463"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　</w:t>
            </w:r>
            <w:r>
              <w:rPr>
                <w:rFonts w:hint="eastAsia" w:ascii="仿宋_GB2312" w:hAnsi="宋体" w:eastAsia="仿宋_GB2312"/>
                <w:sz w:val="18"/>
                <w:szCs w:val="18"/>
              </w:rPr>
              <w:t>动物在养殖环节和屠宰环节“瘦肉精”的监管监测达到100%，受昌吉州畜牧兽医局委托承担着全州兽药、饲料行业、生鲜乳及畜产品质量安全监督工作。目前我所负责全州年均800余万头牲畜、近1亿羽家禽出栏的检疫监督；451家养殖场、21家屠宰场及各类活畜交易市场、农贸市场， 107家动物诊所以及动物产品生产、加工、经营、贮藏各环节的重大动物疫病防控，承担动物在养殖环节和屠宰环节“瘦肉精”的监管监测等。承担全州动物源性食品的安全监管，保证我州人民群众吃上放心安全动物产品。</w:t>
            </w:r>
          </w:p>
        </w:tc>
      </w:tr>
      <w:tr>
        <w:tblPrEx>
          <w:tblCellMar>
            <w:top w:w="0" w:type="dxa"/>
            <w:left w:w="108" w:type="dxa"/>
            <w:bottom w:w="0" w:type="dxa"/>
            <w:right w:w="108" w:type="dxa"/>
          </w:tblCellMar>
        </w:tblPrEx>
        <w:trPr>
          <w:trHeight w:val="350"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仿宋_GB2312" w:hAnsi="宋体" w:eastAsia="仿宋_GB2312" w:cs="宋体"/>
                <w:kern w:val="0"/>
                <w:sz w:val="18"/>
                <w:szCs w:val="18"/>
              </w:rPr>
              <w:t>畜产品质量安全监管专项业务经费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896"/>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5</w:t>
            </w:r>
            <w:r>
              <w:rPr>
                <w:rFonts w:hint="eastAsia" w:ascii="宋体" w:hAnsi="宋体" w:cs="宋体"/>
                <w:kern w:val="0"/>
                <w:sz w:val="18"/>
                <w:szCs w:val="18"/>
              </w:rPr>
              <w:tab/>
            </w:r>
            <w:r>
              <w:rPr>
                <w:rFonts w:hint="eastAsia" w:ascii="宋体" w:hAnsi="宋体" w:cs="宋体"/>
                <w:kern w:val="0"/>
                <w:sz w:val="18"/>
                <w:szCs w:val="18"/>
              </w:rPr>
              <w:t>　</w:t>
            </w:r>
          </w:p>
        </w:tc>
      </w:tr>
      <w:tr>
        <w:tblPrEx>
          <w:tblCellMar>
            <w:top w:w="0" w:type="dxa"/>
            <w:left w:w="108" w:type="dxa"/>
            <w:bottom w:w="0" w:type="dxa"/>
            <w:right w:w="108" w:type="dxa"/>
          </w:tblCellMar>
        </w:tblPrEx>
        <w:trPr>
          <w:trHeight w:val="63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96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项目开始时间：2019年1月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按照计划进度完成</w:t>
            </w:r>
          </w:p>
        </w:tc>
      </w:tr>
      <w:tr>
        <w:tblPrEx>
          <w:tblCellMar>
            <w:top w:w="0" w:type="dxa"/>
            <w:left w:w="108" w:type="dxa"/>
            <w:bottom w:w="0" w:type="dxa"/>
            <w:right w:w="108" w:type="dxa"/>
          </w:tblCellMar>
        </w:tblPrEx>
        <w:trPr>
          <w:trHeight w:val="338"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项目完成时间：2019年12月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按照计划进度完成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检验产品批次(10批次)</w:t>
            </w:r>
          </w:p>
        </w:tc>
        <w:tc>
          <w:tcPr>
            <w:tcW w:w="3773" w:type="dxa"/>
            <w:gridSpan w:val="4"/>
            <w:tcBorders>
              <w:top w:val="single" w:color="000000" w:sz="4" w:space="0"/>
              <w:left w:val="nil"/>
              <w:bottom w:val="single" w:color="000000" w:sz="4" w:space="0"/>
              <w:right w:val="single" w:color="000000" w:sz="4" w:space="0"/>
            </w:tcBorders>
            <w:vAlign w:val="bottom"/>
          </w:tcPr>
          <w:p>
            <w:pPr>
              <w:widowControl/>
              <w:jc w:val="center"/>
              <w:textAlignment w:val="bottom"/>
              <w:rPr>
                <w:rFonts w:ascii="宋体" w:hAnsi="宋体" w:cs="宋体"/>
                <w:kern w:val="0"/>
                <w:sz w:val="18"/>
                <w:szCs w:val="18"/>
              </w:rPr>
            </w:pPr>
            <w:r>
              <w:rPr>
                <w:rFonts w:hint="eastAsia" w:ascii="宋体" w:hAnsi="宋体" w:cs="宋体"/>
                <w:color w:val="000000"/>
                <w:kern w:val="0"/>
                <w:sz w:val="18"/>
                <w:szCs w:val="18"/>
                <w:lang w:bidi="ar"/>
              </w:rPr>
              <w:t>检验产品的10批次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认证产品批次(10批次)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认证产品的10批次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技术评价产品批次(10批次)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技术评价产品的10批次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产品抽检率（80%）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 xml:space="preserve"> 实际检验数量占检验产品总量的80%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bottom"/>
          </w:tcPr>
          <w:p>
            <w:pPr>
              <w:widowControl/>
              <w:jc w:val="center"/>
              <w:textAlignment w:val="bottom"/>
              <w:rPr>
                <w:rFonts w:ascii="宋体" w:hAnsi="宋体" w:cs="宋体"/>
                <w:kern w:val="0"/>
                <w:sz w:val="18"/>
                <w:szCs w:val="18"/>
              </w:rPr>
            </w:pPr>
            <w:r>
              <w:rPr>
                <w:rFonts w:hint="eastAsia" w:ascii="宋体" w:hAnsi="宋体" w:cs="宋体"/>
                <w:color w:val="000000"/>
                <w:kern w:val="0"/>
                <w:sz w:val="18"/>
                <w:szCs w:val="18"/>
                <w:lang w:bidi="ar"/>
              </w:rPr>
              <w:t>检验产品的10批次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特种设备定检完成率(80％)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特种设备定检实际完成情况占应完成情况的80%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检验数据准确度(80％)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检验准确数据量占总检验数据量的80%</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抽查产品平均合格率(80％)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合格产品批次占全部抽查批次的80%</w:t>
            </w:r>
          </w:p>
        </w:tc>
      </w:tr>
      <w:tr>
        <w:tblPrEx>
          <w:tblCellMar>
            <w:top w:w="0" w:type="dxa"/>
            <w:left w:w="108" w:type="dxa"/>
            <w:bottom w:w="0" w:type="dxa"/>
            <w:right w:w="108" w:type="dxa"/>
          </w:tblCellMar>
        </w:tblPrEx>
        <w:trPr>
          <w:trHeight w:val="324"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复检合格率（80%）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复检合格的产品数量占抽检不合格产品数量的80%</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检验周期缩短率(80％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当年平均检验周期比上年平均检验周期的缩减80%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对社会的影响，对动物疫病的了解程度</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43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通过长期开展各类动物疫病防治可持续影响达到100%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产品不合格率降低率(20％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抽检产品不合格率同比降低情况率20%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预期效果满意度100%</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28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调查中满意和较满意的收益群众数量占调查总人数的比率达到100%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eastAsia="仿宋_GB2312" w:cs="宋体"/>
                <w:b/>
                <w:bCs/>
                <w:kern w:val="0"/>
                <w:sz w:val="32"/>
                <w:szCs w:val="32"/>
              </w:rPr>
            </w:pPr>
            <w:r>
              <w:rPr>
                <w:rFonts w:hint="eastAsia" w:ascii="仿宋_GB2312" w:hAnsi="宋体" w:eastAsia="仿宋_GB2312"/>
                <w:b/>
                <w:kern w:val="0"/>
                <w:sz w:val="32"/>
                <w:szCs w:val="32"/>
              </w:rPr>
              <w:t>项  目  支  出  绩  效  目  标  表3</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仿宋_GB2312" w:hAnsi="宋体" w:eastAsia="仿宋_GB2312" w:cs="宋体"/>
                <w:kern w:val="0"/>
                <w:sz w:val="18"/>
                <w:szCs w:val="18"/>
              </w:rPr>
              <w:t>昌吉州畜牧兽医执法支队</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仿宋_GB2312" w:hAnsi="宋体" w:eastAsia="仿宋_GB2312" w:cs="宋体"/>
                <w:kern w:val="0"/>
                <w:sz w:val="18"/>
                <w:szCs w:val="18"/>
              </w:rPr>
              <w:t>动物卫生监督行政执法监管</w:t>
            </w:r>
          </w:p>
        </w:tc>
      </w:tr>
      <w:tr>
        <w:tblPrEx>
          <w:tblCellMar>
            <w:top w:w="0" w:type="dxa"/>
            <w:left w:w="108" w:type="dxa"/>
            <w:bottom w:w="0" w:type="dxa"/>
            <w:right w:w="108" w:type="dxa"/>
          </w:tblCellMar>
        </w:tblPrEx>
        <w:trPr>
          <w:trHeight w:val="463"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保证我州人民群众吃上放心安全动物产品贯彻落实《动物防疫法》等相关法律法规、政策；负责动物及动物产品的检疫；负责《动物防疫法》及有关动物卫生法律法规和技术规范执行情况的监督检查；负责纠正和处理违反动物卫生法律、法规和规章的行为；负责动物诊疗和执业兽医、乡村兽医的监督管理；负责动物卫生监督证章标志的监督管理；负责畜禽标识和养殖档案的监督管理；承担兽药、饲料的生产、经营和使用等环节监督管理工作；承担生鲜乳生产、收购、运输等环节的监督管理工作；承担畜产品质量监督检查等工作</w:t>
            </w:r>
          </w:p>
        </w:tc>
      </w:tr>
      <w:tr>
        <w:tblPrEx>
          <w:tblCellMar>
            <w:top w:w="0" w:type="dxa"/>
            <w:left w:w="108" w:type="dxa"/>
            <w:bottom w:w="0" w:type="dxa"/>
            <w:right w:w="108" w:type="dxa"/>
          </w:tblCellMar>
        </w:tblPrEx>
        <w:trPr>
          <w:trHeight w:val="350"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仿宋_GB2312" w:hAnsi="宋体" w:eastAsia="仿宋_GB2312" w:cs="宋体"/>
                <w:kern w:val="0"/>
                <w:sz w:val="18"/>
                <w:szCs w:val="18"/>
              </w:rPr>
              <w:t>动物卫生监督行政执法监管</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896"/>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6</w:t>
            </w:r>
            <w:r>
              <w:rPr>
                <w:rFonts w:hint="eastAsia" w:ascii="宋体" w:hAnsi="宋体" w:cs="宋体"/>
                <w:kern w:val="0"/>
                <w:sz w:val="18"/>
                <w:szCs w:val="18"/>
              </w:rPr>
              <w:tab/>
            </w: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全州畜禽成活率提高5%预算内完成，不挤占其他资金　</w:t>
            </w:r>
          </w:p>
        </w:tc>
      </w:tr>
      <w:tr>
        <w:tblPrEx>
          <w:tblCellMar>
            <w:top w:w="0" w:type="dxa"/>
            <w:left w:w="108" w:type="dxa"/>
            <w:bottom w:w="0" w:type="dxa"/>
            <w:right w:w="108" w:type="dxa"/>
          </w:tblCellMar>
        </w:tblPrEx>
        <w:trPr>
          <w:trHeight w:val="96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项目开始时间：2019年1月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按照计划进度完成</w:t>
            </w:r>
          </w:p>
        </w:tc>
      </w:tr>
      <w:tr>
        <w:tblPrEx>
          <w:tblCellMar>
            <w:top w:w="0" w:type="dxa"/>
            <w:left w:w="108" w:type="dxa"/>
            <w:bottom w:w="0" w:type="dxa"/>
            <w:right w:w="108" w:type="dxa"/>
          </w:tblCellMar>
        </w:tblPrEx>
        <w:trPr>
          <w:trHeight w:val="338"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项目完成时间：2019年12月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按照计划进度完成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办理案件数（21个）</w:t>
            </w:r>
          </w:p>
        </w:tc>
        <w:tc>
          <w:tcPr>
            <w:tcW w:w="3773" w:type="dxa"/>
            <w:gridSpan w:val="4"/>
            <w:tcBorders>
              <w:top w:val="single" w:color="000000" w:sz="4" w:space="0"/>
              <w:left w:val="nil"/>
              <w:bottom w:val="single" w:color="000000" w:sz="4" w:space="0"/>
              <w:right w:val="single" w:color="000000" w:sz="4" w:space="0"/>
            </w:tcBorders>
            <w:vAlign w:val="bottom"/>
          </w:tcPr>
          <w:p>
            <w:pPr>
              <w:widowControl/>
              <w:jc w:val="center"/>
              <w:textAlignment w:val="bottom"/>
              <w:rPr>
                <w:rFonts w:ascii="宋体" w:hAnsi="宋体" w:cs="宋体"/>
                <w:kern w:val="0"/>
                <w:sz w:val="18"/>
                <w:szCs w:val="18"/>
              </w:rPr>
            </w:pPr>
            <w:r>
              <w:rPr>
                <w:rFonts w:hint="eastAsia" w:ascii="宋体" w:hAnsi="宋体" w:cs="宋体"/>
                <w:color w:val="000000"/>
                <w:kern w:val="0"/>
                <w:sz w:val="18"/>
                <w:szCs w:val="18"/>
                <w:lang w:bidi="ar"/>
              </w:rPr>
              <w:t>实际办理案件数量21</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执法行动次数（12次）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执法行动的次数12</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案件办结率（80%）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特种设备定检实际完成情况占应完成情况的80%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审限结案率(100%)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检验准确数据量占总检验数据量的80%</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CellMar>
            <w:top w:w="0" w:type="dxa"/>
            <w:left w:w="108" w:type="dxa"/>
            <w:bottom w:w="0" w:type="dxa"/>
            <w:right w:w="108" w:type="dxa"/>
          </w:tblCellMar>
        </w:tblPrEx>
        <w:trPr>
          <w:trHeight w:val="324"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挽回经济损失（10万元</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查处案件所挽回的经济损失金额10万元0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对社会的影响，对动物疫病的了解程度 </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43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通过长期开展各类动物疫病防治可持续影响达到100%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错案率(0%)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高致病性禽流感、牲畜的口蹄疫、高致病性蓝耳病、布病、猪瘟、小反刍、H7N9禽流感疫病在全州辖区内发生疫情的乡镇不得超过10%。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执法办案行为投诉率（10%</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28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被投诉的执法办案行为次数占执法办案总数的10%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我单位无其他需要说明的事项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ind w:left="5120" w:hanging="5120" w:hangingChars="16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昌吉州畜牧兽医执法支队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Dialog">
    <w:altName w:val="Times New Roman"/>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F628C"/>
    <w:multiLevelType w:val="singleLevel"/>
    <w:tmpl w:val="135F628C"/>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7D"/>
    <w:rsid w:val="00041FAB"/>
    <w:rsid w:val="00063AF9"/>
    <w:rsid w:val="000668AB"/>
    <w:rsid w:val="00083C41"/>
    <w:rsid w:val="000A5296"/>
    <w:rsid w:val="000B2FC1"/>
    <w:rsid w:val="00112EB6"/>
    <w:rsid w:val="00122ADB"/>
    <w:rsid w:val="00204F09"/>
    <w:rsid w:val="002D52EC"/>
    <w:rsid w:val="002F3827"/>
    <w:rsid w:val="00301826"/>
    <w:rsid w:val="00303B8D"/>
    <w:rsid w:val="0034472A"/>
    <w:rsid w:val="003A1E48"/>
    <w:rsid w:val="00422344"/>
    <w:rsid w:val="00434588"/>
    <w:rsid w:val="00435540"/>
    <w:rsid w:val="0045368F"/>
    <w:rsid w:val="005232F5"/>
    <w:rsid w:val="00527B2B"/>
    <w:rsid w:val="00537787"/>
    <w:rsid w:val="00565244"/>
    <w:rsid w:val="0056685E"/>
    <w:rsid w:val="005944A4"/>
    <w:rsid w:val="00596DC0"/>
    <w:rsid w:val="00604C80"/>
    <w:rsid w:val="00641B85"/>
    <w:rsid w:val="006E2191"/>
    <w:rsid w:val="00737EB7"/>
    <w:rsid w:val="00790251"/>
    <w:rsid w:val="007F3788"/>
    <w:rsid w:val="008458F4"/>
    <w:rsid w:val="00864B06"/>
    <w:rsid w:val="0087331D"/>
    <w:rsid w:val="008C5600"/>
    <w:rsid w:val="008E6DD6"/>
    <w:rsid w:val="009442CA"/>
    <w:rsid w:val="009A2E7A"/>
    <w:rsid w:val="009D6D4C"/>
    <w:rsid w:val="00A109A1"/>
    <w:rsid w:val="00AA2835"/>
    <w:rsid w:val="00AD5DE1"/>
    <w:rsid w:val="00AE1EC1"/>
    <w:rsid w:val="00B24032"/>
    <w:rsid w:val="00B31EC1"/>
    <w:rsid w:val="00B425AE"/>
    <w:rsid w:val="00BD2B85"/>
    <w:rsid w:val="00BF7495"/>
    <w:rsid w:val="00C66DC0"/>
    <w:rsid w:val="00CE12E7"/>
    <w:rsid w:val="00D33F3F"/>
    <w:rsid w:val="00D552E4"/>
    <w:rsid w:val="00D62C71"/>
    <w:rsid w:val="00DA1B1C"/>
    <w:rsid w:val="00DE39B0"/>
    <w:rsid w:val="00E14DBE"/>
    <w:rsid w:val="00E268CB"/>
    <w:rsid w:val="00E31AAF"/>
    <w:rsid w:val="00E904D3"/>
    <w:rsid w:val="00E925D8"/>
    <w:rsid w:val="00ED6DA1"/>
    <w:rsid w:val="00F707DC"/>
    <w:rsid w:val="00F72A7D"/>
    <w:rsid w:val="00FA2282"/>
    <w:rsid w:val="00FC0B39"/>
    <w:rsid w:val="01B271CD"/>
    <w:rsid w:val="0258774A"/>
    <w:rsid w:val="02B01BC8"/>
    <w:rsid w:val="032E18C0"/>
    <w:rsid w:val="03BA6460"/>
    <w:rsid w:val="03C2481F"/>
    <w:rsid w:val="053031F0"/>
    <w:rsid w:val="06056469"/>
    <w:rsid w:val="0714666C"/>
    <w:rsid w:val="07324CC9"/>
    <w:rsid w:val="07654F5A"/>
    <w:rsid w:val="077000F9"/>
    <w:rsid w:val="077B5785"/>
    <w:rsid w:val="08014651"/>
    <w:rsid w:val="089A6F45"/>
    <w:rsid w:val="08F92AAB"/>
    <w:rsid w:val="090F7D82"/>
    <w:rsid w:val="093B44EB"/>
    <w:rsid w:val="095C7A3D"/>
    <w:rsid w:val="09A227B8"/>
    <w:rsid w:val="0B0B6839"/>
    <w:rsid w:val="0BC9151E"/>
    <w:rsid w:val="0C241286"/>
    <w:rsid w:val="0C6B7AFA"/>
    <w:rsid w:val="0C8F65D0"/>
    <w:rsid w:val="0D0951E0"/>
    <w:rsid w:val="0D900E40"/>
    <w:rsid w:val="0DC406FC"/>
    <w:rsid w:val="0DE21802"/>
    <w:rsid w:val="0E63125B"/>
    <w:rsid w:val="0EC57BEA"/>
    <w:rsid w:val="0F1F1B57"/>
    <w:rsid w:val="10A149F4"/>
    <w:rsid w:val="10AB2B03"/>
    <w:rsid w:val="10B23626"/>
    <w:rsid w:val="11556B84"/>
    <w:rsid w:val="11876E5C"/>
    <w:rsid w:val="13593C61"/>
    <w:rsid w:val="13611706"/>
    <w:rsid w:val="13F93B37"/>
    <w:rsid w:val="143E6C5A"/>
    <w:rsid w:val="14556503"/>
    <w:rsid w:val="147C1A60"/>
    <w:rsid w:val="14C538E6"/>
    <w:rsid w:val="15306035"/>
    <w:rsid w:val="155B0427"/>
    <w:rsid w:val="15C7326D"/>
    <w:rsid w:val="15D65DF7"/>
    <w:rsid w:val="162D232A"/>
    <w:rsid w:val="16E847AC"/>
    <w:rsid w:val="17334BD6"/>
    <w:rsid w:val="178F1C46"/>
    <w:rsid w:val="17DB6B53"/>
    <w:rsid w:val="18472561"/>
    <w:rsid w:val="19737459"/>
    <w:rsid w:val="198F67D0"/>
    <w:rsid w:val="1A3C27AD"/>
    <w:rsid w:val="1A48295A"/>
    <w:rsid w:val="1A87036F"/>
    <w:rsid w:val="1AA32731"/>
    <w:rsid w:val="1BA34110"/>
    <w:rsid w:val="1C33649B"/>
    <w:rsid w:val="1D313EA4"/>
    <w:rsid w:val="1D525628"/>
    <w:rsid w:val="1D820B71"/>
    <w:rsid w:val="1DB877D1"/>
    <w:rsid w:val="1DB93A8E"/>
    <w:rsid w:val="1DE267F5"/>
    <w:rsid w:val="1E884788"/>
    <w:rsid w:val="1E97033C"/>
    <w:rsid w:val="1EDC074D"/>
    <w:rsid w:val="1F0A2C2C"/>
    <w:rsid w:val="204F574F"/>
    <w:rsid w:val="20543942"/>
    <w:rsid w:val="205F29E0"/>
    <w:rsid w:val="2090024D"/>
    <w:rsid w:val="22000CE1"/>
    <w:rsid w:val="226A62EF"/>
    <w:rsid w:val="25380804"/>
    <w:rsid w:val="27847D73"/>
    <w:rsid w:val="27AE6FD6"/>
    <w:rsid w:val="27EA51A0"/>
    <w:rsid w:val="28013BC2"/>
    <w:rsid w:val="28597B31"/>
    <w:rsid w:val="285F3C5D"/>
    <w:rsid w:val="28813851"/>
    <w:rsid w:val="28932BF1"/>
    <w:rsid w:val="289B5965"/>
    <w:rsid w:val="28AA2FC6"/>
    <w:rsid w:val="28B213E6"/>
    <w:rsid w:val="28D32CD2"/>
    <w:rsid w:val="29104764"/>
    <w:rsid w:val="292F5D16"/>
    <w:rsid w:val="29885692"/>
    <w:rsid w:val="29FE466A"/>
    <w:rsid w:val="2A2C0EFC"/>
    <w:rsid w:val="2A6977EC"/>
    <w:rsid w:val="2A792E06"/>
    <w:rsid w:val="2B926A88"/>
    <w:rsid w:val="2BE97D00"/>
    <w:rsid w:val="2D5B407F"/>
    <w:rsid w:val="2DDF32CD"/>
    <w:rsid w:val="2E483239"/>
    <w:rsid w:val="2EBC60C8"/>
    <w:rsid w:val="2F7C4E76"/>
    <w:rsid w:val="2FB023BA"/>
    <w:rsid w:val="2FE05320"/>
    <w:rsid w:val="300A1EC3"/>
    <w:rsid w:val="30203BEF"/>
    <w:rsid w:val="30DD3ECE"/>
    <w:rsid w:val="32022AC8"/>
    <w:rsid w:val="32026875"/>
    <w:rsid w:val="3208672F"/>
    <w:rsid w:val="320E0234"/>
    <w:rsid w:val="32CE02D9"/>
    <w:rsid w:val="330753F2"/>
    <w:rsid w:val="33B46CA2"/>
    <w:rsid w:val="34204926"/>
    <w:rsid w:val="34295502"/>
    <w:rsid w:val="34DD77F0"/>
    <w:rsid w:val="352A0B98"/>
    <w:rsid w:val="35874F53"/>
    <w:rsid w:val="36872075"/>
    <w:rsid w:val="371B7862"/>
    <w:rsid w:val="372A1BDA"/>
    <w:rsid w:val="37A33A7E"/>
    <w:rsid w:val="37C07D2C"/>
    <w:rsid w:val="38B84EC9"/>
    <w:rsid w:val="3AD55C0E"/>
    <w:rsid w:val="3B255052"/>
    <w:rsid w:val="3B7A5749"/>
    <w:rsid w:val="3B8A5B1A"/>
    <w:rsid w:val="3BCF3815"/>
    <w:rsid w:val="3C30589D"/>
    <w:rsid w:val="3C6173CC"/>
    <w:rsid w:val="3CAF527B"/>
    <w:rsid w:val="3D30682D"/>
    <w:rsid w:val="3D3E5A59"/>
    <w:rsid w:val="3DBA0C4A"/>
    <w:rsid w:val="3E0B3CE8"/>
    <w:rsid w:val="3E5166D0"/>
    <w:rsid w:val="3F716EF6"/>
    <w:rsid w:val="4059360D"/>
    <w:rsid w:val="412442AC"/>
    <w:rsid w:val="417F4917"/>
    <w:rsid w:val="420617E0"/>
    <w:rsid w:val="43A65B30"/>
    <w:rsid w:val="44F5365A"/>
    <w:rsid w:val="45194BCC"/>
    <w:rsid w:val="459146D2"/>
    <w:rsid w:val="459229F3"/>
    <w:rsid w:val="45B439DF"/>
    <w:rsid w:val="46E02A9F"/>
    <w:rsid w:val="477767C5"/>
    <w:rsid w:val="481519E9"/>
    <w:rsid w:val="493B4431"/>
    <w:rsid w:val="49B17C31"/>
    <w:rsid w:val="49F178E8"/>
    <w:rsid w:val="4A8F2C1B"/>
    <w:rsid w:val="4B2907D7"/>
    <w:rsid w:val="4B542055"/>
    <w:rsid w:val="4D644254"/>
    <w:rsid w:val="4DD640C6"/>
    <w:rsid w:val="4F4D4E8E"/>
    <w:rsid w:val="4F765792"/>
    <w:rsid w:val="4FFE5605"/>
    <w:rsid w:val="507D7BD9"/>
    <w:rsid w:val="50C54091"/>
    <w:rsid w:val="50D24353"/>
    <w:rsid w:val="51345BD6"/>
    <w:rsid w:val="51396E93"/>
    <w:rsid w:val="518D3C76"/>
    <w:rsid w:val="51C160A9"/>
    <w:rsid w:val="51F15647"/>
    <w:rsid w:val="52026C3E"/>
    <w:rsid w:val="52272DD2"/>
    <w:rsid w:val="53542A38"/>
    <w:rsid w:val="53547B62"/>
    <w:rsid w:val="53F56A6F"/>
    <w:rsid w:val="553A3E00"/>
    <w:rsid w:val="556A0081"/>
    <w:rsid w:val="56473ABA"/>
    <w:rsid w:val="564804E8"/>
    <w:rsid w:val="56DB2AF0"/>
    <w:rsid w:val="56DE0AD6"/>
    <w:rsid w:val="578C1F62"/>
    <w:rsid w:val="57F97996"/>
    <w:rsid w:val="588B48F7"/>
    <w:rsid w:val="58B71666"/>
    <w:rsid w:val="58E54FBE"/>
    <w:rsid w:val="58F250DB"/>
    <w:rsid w:val="58FD77DE"/>
    <w:rsid w:val="59603F61"/>
    <w:rsid w:val="5A043454"/>
    <w:rsid w:val="5A1720FB"/>
    <w:rsid w:val="5ABD2B5C"/>
    <w:rsid w:val="5AC2744F"/>
    <w:rsid w:val="5B821F24"/>
    <w:rsid w:val="5B8A05EB"/>
    <w:rsid w:val="5B96357B"/>
    <w:rsid w:val="5BF245F4"/>
    <w:rsid w:val="5C0D50AE"/>
    <w:rsid w:val="5C11325B"/>
    <w:rsid w:val="5D055209"/>
    <w:rsid w:val="5D761C7F"/>
    <w:rsid w:val="5D9C4864"/>
    <w:rsid w:val="5DC94D23"/>
    <w:rsid w:val="5DD14C0F"/>
    <w:rsid w:val="5EB56C61"/>
    <w:rsid w:val="5F2768FA"/>
    <w:rsid w:val="5FA66218"/>
    <w:rsid w:val="5FD22EC1"/>
    <w:rsid w:val="5FDE705B"/>
    <w:rsid w:val="62281DE9"/>
    <w:rsid w:val="623A4969"/>
    <w:rsid w:val="62DC5BF5"/>
    <w:rsid w:val="635C5E27"/>
    <w:rsid w:val="63895C52"/>
    <w:rsid w:val="64187B42"/>
    <w:rsid w:val="648D0B03"/>
    <w:rsid w:val="64932A06"/>
    <w:rsid w:val="64B0607D"/>
    <w:rsid w:val="657A2507"/>
    <w:rsid w:val="660907B1"/>
    <w:rsid w:val="66381F56"/>
    <w:rsid w:val="663E6173"/>
    <w:rsid w:val="664311A4"/>
    <w:rsid w:val="664A1B7D"/>
    <w:rsid w:val="664E45B2"/>
    <w:rsid w:val="665A6338"/>
    <w:rsid w:val="668057E0"/>
    <w:rsid w:val="66B4477C"/>
    <w:rsid w:val="670D58FD"/>
    <w:rsid w:val="67C86BB4"/>
    <w:rsid w:val="6863536C"/>
    <w:rsid w:val="689F4A47"/>
    <w:rsid w:val="68F13F19"/>
    <w:rsid w:val="697571CE"/>
    <w:rsid w:val="697D53D7"/>
    <w:rsid w:val="69C750D4"/>
    <w:rsid w:val="6A9226B4"/>
    <w:rsid w:val="6AD773BC"/>
    <w:rsid w:val="6C3C5D55"/>
    <w:rsid w:val="6CBC4F63"/>
    <w:rsid w:val="6CF024E0"/>
    <w:rsid w:val="6CF540EA"/>
    <w:rsid w:val="6D8C38E4"/>
    <w:rsid w:val="6E1C58D5"/>
    <w:rsid w:val="6EB22392"/>
    <w:rsid w:val="6F275135"/>
    <w:rsid w:val="6FCA28AA"/>
    <w:rsid w:val="6FEC4FE8"/>
    <w:rsid w:val="70EA5996"/>
    <w:rsid w:val="71A678E1"/>
    <w:rsid w:val="71EA0E03"/>
    <w:rsid w:val="71F0478C"/>
    <w:rsid w:val="723D4615"/>
    <w:rsid w:val="725B14C2"/>
    <w:rsid w:val="72C33FAB"/>
    <w:rsid w:val="72C33FE5"/>
    <w:rsid w:val="73766716"/>
    <w:rsid w:val="74105EB9"/>
    <w:rsid w:val="74830DBF"/>
    <w:rsid w:val="7492255E"/>
    <w:rsid w:val="74E26C51"/>
    <w:rsid w:val="751928A2"/>
    <w:rsid w:val="752B5B0A"/>
    <w:rsid w:val="75B44FF3"/>
    <w:rsid w:val="75BA0D37"/>
    <w:rsid w:val="75CB762E"/>
    <w:rsid w:val="76F73F48"/>
    <w:rsid w:val="777570EE"/>
    <w:rsid w:val="779B297B"/>
    <w:rsid w:val="78203D3B"/>
    <w:rsid w:val="78437E74"/>
    <w:rsid w:val="78C84020"/>
    <w:rsid w:val="78F44281"/>
    <w:rsid w:val="79586EF2"/>
    <w:rsid w:val="7984634C"/>
    <w:rsid w:val="7A795CE9"/>
    <w:rsid w:val="7B060F7C"/>
    <w:rsid w:val="7B2C3027"/>
    <w:rsid w:val="7BB82A9D"/>
    <w:rsid w:val="7BBD08BA"/>
    <w:rsid w:val="7C391EC9"/>
    <w:rsid w:val="7CAE4570"/>
    <w:rsid w:val="7E6004CF"/>
    <w:rsid w:val="7E8C1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cs="Times New Roman"/>
      <w:b/>
      <w:bCs/>
    </w:rPr>
  </w:style>
  <w:style w:type="character" w:customStyle="1" w:styleId="8">
    <w:name w:val="批注框文本 字符"/>
    <w:basedOn w:val="6"/>
    <w:link w:val="2"/>
    <w:semiHidden/>
    <w:qFormat/>
    <w:uiPriority w:val="0"/>
    <w:rPr>
      <w:rFonts w:ascii="Times New Roman" w:hAnsi="Times New Roman" w:eastAsia="宋体" w:cs="Times New Roman"/>
      <w:sz w:val="18"/>
      <w:szCs w:val="18"/>
    </w:rPr>
  </w:style>
  <w:style w:type="character" w:customStyle="1" w:styleId="9">
    <w:name w:val="页脚 字符"/>
    <w:basedOn w:val="6"/>
    <w:link w:val="3"/>
    <w:semiHidden/>
    <w:qFormat/>
    <w:uiPriority w:val="0"/>
    <w:rPr>
      <w:rFonts w:ascii="Times New Roman" w:hAnsi="Times New Roman" w:eastAsia="黑体" w:cs="Times New Roman"/>
      <w:snapToGrid w:val="0"/>
      <w:kern w:val="0"/>
      <w:sz w:val="18"/>
      <w:szCs w:val="18"/>
    </w:rPr>
  </w:style>
  <w:style w:type="character" w:customStyle="1" w:styleId="10">
    <w:name w:val="页眉 字符"/>
    <w:basedOn w:val="6"/>
    <w:link w:val="4"/>
    <w:semiHidden/>
    <w:qFormat/>
    <w:uiPriority w:val="0"/>
    <w:rPr>
      <w:rFonts w:ascii="Times New Roman" w:hAnsi="Times New Roman" w:eastAsia="宋体" w:cs="Times New Roman"/>
      <w:sz w:val="18"/>
      <w:szCs w:val="18"/>
    </w:rPr>
  </w:style>
  <w:style w:type="character" w:customStyle="1" w:styleId="11">
    <w:name w:val="正文文本缩进 3 Char"/>
    <w:basedOn w:val="6"/>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6"/>
    <w:qFormat/>
    <w:uiPriority w:val="0"/>
  </w:style>
  <w:style w:type="character" w:customStyle="1" w:styleId="20">
    <w:name w:val="font11"/>
    <w:basedOn w:val="6"/>
    <w:qFormat/>
    <w:uiPriority w:val="0"/>
    <w:rPr>
      <w:rFonts w:hint="eastAsia" w:ascii="宋体" w:hAnsi="宋体" w:eastAsia="宋体" w:cs="宋体"/>
      <w:color w:val="000000"/>
      <w:sz w:val="21"/>
      <w:szCs w:val="21"/>
      <w:u w:val="none"/>
    </w:rPr>
  </w:style>
  <w:style w:type="character" w:customStyle="1" w:styleId="21">
    <w:name w:val="font01"/>
    <w:basedOn w:val="6"/>
    <w:qFormat/>
    <w:uiPriority w:val="0"/>
    <w:rPr>
      <w:rFonts w:ascii="Calibri" w:hAnsi="Calibri" w:cs="Calibri"/>
      <w:color w:val="000000"/>
      <w:sz w:val="21"/>
      <w:szCs w:val="21"/>
      <w:u w:val="none"/>
    </w:rPr>
  </w:style>
  <w:style w:type="character" w:customStyle="1" w:styleId="22">
    <w:name w:val="16"/>
    <w:basedOn w:val="6"/>
    <w:uiPriority w:val="0"/>
    <w:rPr>
      <w:rFonts w:hint="default" w:ascii="Times New Roman" w:eastAsia="楷体_GB2312" w:cs="楷体_GB231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554955-1779-407D-A570-F42DA6B9855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2182</Words>
  <Characters>12442</Characters>
  <Lines>103</Lines>
  <Paragraphs>29</Paragraphs>
  <TotalTime>2</TotalTime>
  <ScaleCrop>false</ScaleCrop>
  <LinksUpToDate>false</LinksUpToDate>
  <CharactersWithSpaces>14595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2019-04-16T09:54:00Z</dcterms:created>
  <dc:creator>王怡</dc:creator>
  <cp:lastModifiedBy>Administrator</cp:lastModifiedBy>
  <dcterms:modified xsi:type="dcterms:W3CDTF">2021-05-27T03:41:40Z</dcterms:modified>
  <dc:title>王怡</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