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昌吉州农业局2019年部门预算公开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昌吉州农业局部门单位概况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一、关于昌吉州农业局部门2019年收支预算情况的总体说明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二、关于昌吉州农业局部门2019年收入预算情况说明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三、关于昌吉州农业局部门2019年支出预算情况说明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昌吉州农业局部门2019年</w:t>
      </w:r>
      <w:r>
        <w:rPr>
          <w:rFonts w:hint="eastAsia" w:ascii="仿宋_GB2312" w:hAnsi="宋体" w:eastAsia="仿宋_GB2312"/>
          <w:bCs/>
          <w:kern w:val="0"/>
          <w:sz w:val="32"/>
          <w:szCs w:val="32"/>
        </w:rPr>
        <w:t>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五、关于昌吉州农业局部门2019年一般公共预算当年拨款情况说明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六、关于昌吉州农业局部门2019年一般公共预算基本支出情况说明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七、关于昌吉州农业局部门2019年项目支出情况说明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八、关于昌吉州农业局部门2019年一般公共预算“三公”经费预算情况说明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九、关于昌吉州农业局部门2019年政府性基金预算拨款情况说明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outlineLvl w:val="1"/>
        <w:rPr>
          <w:rFonts w:ascii="黑体" w:hAnsi="黑体" w:eastAsia="黑体"/>
          <w:kern w:val="0"/>
          <w:sz w:val="32"/>
          <w:szCs w:val="32"/>
        </w:rPr>
      </w:pPr>
    </w:p>
    <w:p>
      <w:pPr>
        <w:widowControl/>
        <w:spacing w:line="4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昌吉州农业局部门单位概况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360" w:lineRule="auto"/>
        <w:ind w:firstLine="640"/>
        <w:jc w:val="left"/>
        <w:rPr>
          <w:rFonts w:ascii="仿宋" w:hAnsi="仿宋" w:eastAsia="仿宋"/>
          <w:sz w:val="32"/>
        </w:rPr>
      </w:pPr>
      <w:r>
        <w:rPr>
          <w:rFonts w:hint="eastAsia" w:ascii="黑体" w:hAnsi="黑体" w:eastAsia="黑体" w:cs="宋体"/>
          <w:bCs/>
          <w:kern w:val="0"/>
          <w:sz w:val="32"/>
          <w:szCs w:val="32"/>
        </w:rPr>
        <w:t xml:space="preserve">  </w:t>
      </w:r>
      <w:r>
        <w:rPr>
          <w:rFonts w:ascii="仿宋" w:hAnsi="仿宋" w:eastAsia="仿宋"/>
          <w:sz w:val="32"/>
        </w:rPr>
        <w:t>1.贯彻执行国家、自治区有关农业、农村经济、推进乡镇企业、农业产业化和农产品加工工作的方针、政策、法律、法规，并监督实施；研究拟订并组织实施自治州农业、农村经济发展战略规划、中长期发展规划和年度指导性计划；研究拟定并组织实施自治州乡镇企业、农业产业化、农产品加工业中长期发展规划和年度计划、年度重点建设项目及投资计划；拟订农业开发规划并监督实施，配合财政部门实施农业综合开发项目。</w:t>
      </w:r>
    </w:p>
    <w:p>
      <w:pPr>
        <w:widowControl/>
        <w:spacing w:line="360" w:lineRule="auto"/>
        <w:jc w:val="left"/>
        <w:rPr>
          <w:rFonts w:ascii="仿宋" w:hAnsi="仿宋" w:eastAsia="仿宋"/>
          <w:sz w:val="32"/>
        </w:rPr>
      </w:pPr>
      <w:r>
        <w:rPr>
          <w:rFonts w:ascii="仿宋" w:hAnsi="仿宋" w:eastAsia="仿宋"/>
          <w:sz w:val="32"/>
        </w:rPr>
        <w:t xml:space="preserve">　　2.承担完善自治州农村经营管理体制的责任。提出自治州深化农村经济体制改革和稳定完善农村基本经营制度的政策建议，指导、监督减轻农牧民负担和耕地使用权流转工作，指导自治州农业社会化服务体系建设和乡村集体经济组织、合作经济组织建设与发展。 </w:t>
      </w:r>
    </w:p>
    <w:p>
      <w:pPr>
        <w:widowControl/>
        <w:spacing w:line="360" w:lineRule="auto"/>
        <w:jc w:val="left"/>
        <w:rPr>
          <w:rFonts w:ascii="仿宋" w:hAnsi="仿宋" w:eastAsia="仿宋"/>
          <w:sz w:val="32"/>
        </w:rPr>
      </w:pPr>
      <w:r>
        <w:rPr>
          <w:rFonts w:ascii="仿宋" w:hAnsi="仿宋" w:eastAsia="仿宋"/>
          <w:sz w:val="32"/>
        </w:rPr>
        <w:t>　　3.研究拟订自治州农业产业政策，指导粮食、棉花等自治州主要农产品生产，组织落实促进粮食、棉花等主要农产品生产发展的相关政策措施。引导自治州农业产业结构合理调整、农业资源的合理配置和农产品品质的改善；拟订自治州设施农业发展规划、计划并组织实施；提出有关农产品及农业生产资料价格、大宗农产品流通、农村信贷、税收及农业财政补贴的政策建议；组织和指导全州种植业、园艺业等农业产业基地的开发建设及示范园区建设。</w:t>
      </w:r>
    </w:p>
    <w:p>
      <w:pPr>
        <w:widowControl/>
        <w:spacing w:line="360" w:lineRule="auto"/>
        <w:jc w:val="left"/>
        <w:rPr>
          <w:rFonts w:ascii="仿宋" w:hAnsi="仿宋" w:eastAsia="仿宋"/>
          <w:sz w:val="32"/>
        </w:rPr>
      </w:pPr>
      <w:r>
        <w:rPr>
          <w:rFonts w:ascii="仿宋" w:hAnsi="仿宋" w:eastAsia="仿宋"/>
          <w:sz w:val="32"/>
        </w:rPr>
        <w:t>　　4.研究拟订并组织实施自治州农业产业化经营的政策措施、大宗农产品市场体系建设与发展规划以及外向型经济发展规划；组织、协调自治州农业生产资料市场体系建设，指导自治州乡镇企业、农业产业化、农产品加工业市场体系建设和体制机制创新；组织实施并管理菜篮子工程，促进农业产前、产中、产后一体化；指导自治州农业信息系统建设，建立农业信息搜集、整理和发布制度，管理自治州农业和农村经济信息，监测分析农业和农村经济运行，预测并发布农业农村经济信息；负责乡镇企业、农业产业化、农产品加工业信息化建设、统计调查和经济运行分析工作。</w:t>
      </w:r>
    </w:p>
    <w:p>
      <w:pPr>
        <w:widowControl/>
        <w:spacing w:line="360" w:lineRule="auto"/>
        <w:jc w:val="left"/>
        <w:rPr>
          <w:rFonts w:ascii="仿宋" w:hAnsi="仿宋" w:eastAsia="仿宋"/>
          <w:sz w:val="32"/>
        </w:rPr>
      </w:pPr>
      <w:r>
        <w:rPr>
          <w:rFonts w:ascii="仿宋" w:hAnsi="仿宋" w:eastAsia="仿宋"/>
          <w:sz w:val="32"/>
        </w:rPr>
        <w:t>　　5.负责组织自治州农产品质量安全的监督管理。参与制定农产品质量安全地方标准并会同有关部门组织实施；会同有关部门拟定自治州农业产业技术质量标准并组织实施；推进农产品基地建设，负责无公害农产品和无公害农产品生产基地的审核上报工作；指导农产品生产，组织实施农业产品及绿色食品的质量监督、检测、认证和农业植物新品种的保护工作；管理和指导农业投入品使用，建立健全农业投入品的安全使用制度，组织协调种子、农药等农业投入品质量的监测、鉴定和执法监督管理；组织管理州内生产及引进种子、农药、肥料等产品的登记工作；负责组织自治州农产品质量安全监督检查工作。</w:t>
      </w:r>
    </w:p>
    <w:p>
      <w:pPr>
        <w:widowControl/>
        <w:spacing w:line="360" w:lineRule="auto"/>
        <w:jc w:val="left"/>
        <w:rPr>
          <w:rFonts w:ascii="仿宋" w:hAnsi="仿宋" w:eastAsia="仿宋"/>
          <w:sz w:val="32"/>
        </w:rPr>
      </w:pPr>
      <w:r>
        <w:rPr>
          <w:rFonts w:ascii="仿宋" w:hAnsi="仿宋" w:eastAsia="仿宋"/>
          <w:sz w:val="32"/>
        </w:rPr>
        <w:t>　　6.负责自治州乡镇企业的行政管理，指导乡镇企业的改革和发展；负责农业产业化评价体系建设；负责对龙头企业进行宏观指导和服务；引导龙头企业与农户形成利益联结机制，推进现代企业制度建设，促进技术进步和产业结构优化和升级；组织对国家和自治区级农业产业化和农产品加工龙头企业的审核报批和监测工作；指导乡镇企业、农业产业化协会、学会的工作。</w:t>
      </w:r>
    </w:p>
    <w:p>
      <w:pPr>
        <w:widowControl/>
        <w:spacing w:line="360" w:lineRule="auto"/>
        <w:jc w:val="left"/>
        <w:rPr>
          <w:rFonts w:ascii="仿宋" w:hAnsi="仿宋" w:eastAsia="仿宋"/>
          <w:sz w:val="32"/>
        </w:rPr>
      </w:pPr>
      <w:r>
        <w:rPr>
          <w:rFonts w:ascii="仿宋" w:hAnsi="仿宋" w:eastAsia="仿宋"/>
          <w:sz w:val="32"/>
        </w:rPr>
        <w:t>　　7.组织自治州农业资源区划、生态农业和农业可持续发展工作。依法管理耕地质量、采取措施发展节水农业；制定并组织实施自治州农业生态规划、建设规划，指导农用地、宜农滩涂、宜农湿地、农村可再生能源的开发利用及农业生物物种资源的保护和管理。</w:t>
      </w:r>
    </w:p>
    <w:p>
      <w:pPr>
        <w:widowControl/>
        <w:spacing w:line="360" w:lineRule="auto"/>
        <w:jc w:val="left"/>
        <w:rPr>
          <w:rFonts w:ascii="仿宋" w:hAnsi="仿宋" w:eastAsia="仿宋"/>
          <w:sz w:val="32"/>
        </w:rPr>
      </w:pPr>
      <w:r>
        <w:rPr>
          <w:rFonts w:ascii="仿宋" w:hAnsi="仿宋" w:eastAsia="仿宋"/>
          <w:sz w:val="32"/>
        </w:rPr>
        <w:t>　　8.制定自治州农业科技、教育、技术推广及其队伍建设的发展规划和措施，指导自治州农技推广体系改革与建设；组织协调和实施农业科技推广项目的遴选工作；指导农业教育和农业职业技能开发工作，参与实施农村实用人才培训工程。</w:t>
      </w:r>
    </w:p>
    <w:p>
      <w:pPr>
        <w:widowControl/>
        <w:spacing w:line="360" w:lineRule="auto"/>
        <w:jc w:val="left"/>
        <w:rPr>
          <w:rFonts w:ascii="仿宋" w:hAnsi="仿宋" w:eastAsia="仿宋"/>
          <w:sz w:val="32"/>
        </w:rPr>
      </w:pPr>
      <w:r>
        <w:rPr>
          <w:rFonts w:ascii="仿宋" w:hAnsi="仿宋" w:eastAsia="仿宋"/>
          <w:sz w:val="32"/>
        </w:rPr>
        <w:t>　　9.监督、检查自治州农业行政执法行为，指导农业综合执法、执法体系建设和队伍建设工作。承担自治州农业防灾减灾的责任，监测发布农业灾情；组织协调和实施农业抗灾、防灾和农业保险工作。负责自治州农作物重大病虫害防治；组织、监督和管理自治州植物防疫、检疫工作，发布疫情通报并组织扑灭。</w:t>
      </w:r>
    </w:p>
    <w:p>
      <w:pPr>
        <w:widowControl/>
        <w:spacing w:line="360" w:lineRule="auto"/>
        <w:jc w:val="left"/>
        <w:rPr>
          <w:rFonts w:ascii="仿宋" w:hAnsi="仿宋" w:eastAsia="仿宋"/>
          <w:sz w:val="32"/>
        </w:rPr>
      </w:pPr>
      <w:r>
        <w:rPr>
          <w:rFonts w:ascii="仿宋" w:hAnsi="仿宋" w:eastAsia="仿宋"/>
          <w:sz w:val="32"/>
        </w:rPr>
        <w:t>　　10.负责农业建设项目的管理和乡镇企业、农业产业化、农产品加工项目管理工作，管理农业专项发展资金和乡镇企业、农业产业化、农产品加工财政专项扶持资金；承办自治州农业涉外事务，组织开展农业对外技术交流与合作，实施与管理利用外资项目，协调有关国际农业组织在自治州实施的项目。组织龙头企业和农产品加工企业开展招商引资和对外经济技术合作。</w:t>
      </w:r>
    </w:p>
    <w:p>
      <w:pPr>
        <w:widowControl/>
        <w:spacing w:line="540" w:lineRule="exact"/>
        <w:ind w:firstLine="627"/>
        <w:jc w:val="left"/>
        <w:rPr>
          <w:rFonts w:ascii="仿宋_GB2312" w:hAnsi="宋体" w:eastAsia="仿宋_GB2312" w:cs="宋体"/>
          <w:bCs/>
          <w:kern w:val="0"/>
          <w:sz w:val="32"/>
          <w:szCs w:val="32"/>
        </w:rPr>
      </w:pPr>
      <w:r>
        <w:rPr>
          <w:rFonts w:ascii="仿宋" w:hAnsi="仿宋" w:eastAsia="仿宋"/>
          <w:sz w:val="32"/>
        </w:rPr>
        <w:t>11.承办自治州人民政府交办的其他事项。</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Fonts w:ascii="仿宋" w:hAnsi="仿宋" w:eastAsia="仿宋"/>
          <w:sz w:val="32"/>
        </w:rPr>
      </w:pPr>
      <w:r>
        <w:rPr>
          <w:rFonts w:hint="eastAsia" w:ascii="仿宋_GB2312" w:hAnsi="黑体" w:eastAsia="仿宋_GB2312" w:cs="宋体"/>
          <w:bCs/>
          <w:kern w:val="0"/>
          <w:sz w:val="32"/>
          <w:szCs w:val="32"/>
        </w:rPr>
        <w:t xml:space="preserve">    昌吉州农业局单位无下属预算单位，下设8个处室，分别是：         </w:t>
      </w:r>
      <w:r>
        <w:rPr>
          <w:rFonts w:hint="eastAsia" w:ascii="仿宋" w:hAnsi="仿宋" w:eastAsia="仿宋"/>
          <w:sz w:val="32"/>
        </w:rPr>
        <w:t xml:space="preserve">  </w:t>
      </w:r>
      <w:r>
        <w:rPr>
          <w:rFonts w:ascii="仿宋" w:hAnsi="仿宋" w:eastAsia="仿宋"/>
          <w:sz w:val="32"/>
        </w:rPr>
        <w:t>办公室</w:t>
      </w:r>
      <w:r>
        <w:rPr>
          <w:rFonts w:hint="eastAsia" w:ascii="仿宋" w:hAnsi="仿宋" w:eastAsia="仿宋"/>
          <w:sz w:val="32"/>
          <w:lang w:eastAsia="zh-CN"/>
        </w:rPr>
        <w:t>、</w:t>
      </w:r>
      <w:r>
        <w:rPr>
          <w:rFonts w:ascii="仿宋" w:hAnsi="仿宋" w:eastAsia="仿宋"/>
          <w:sz w:val="32"/>
        </w:rPr>
        <w:t>计划财务科</w:t>
      </w:r>
      <w:r>
        <w:rPr>
          <w:rFonts w:hint="eastAsia" w:ascii="仿宋" w:hAnsi="仿宋" w:eastAsia="仿宋"/>
          <w:sz w:val="32"/>
          <w:lang w:eastAsia="zh-CN"/>
        </w:rPr>
        <w:t>、</w:t>
      </w:r>
      <w:r>
        <w:rPr>
          <w:rFonts w:ascii="仿宋" w:hAnsi="仿宋" w:eastAsia="仿宋"/>
          <w:sz w:val="32"/>
        </w:rPr>
        <w:t>种植业管理科、园艺特产科</w:t>
      </w:r>
      <w:r>
        <w:rPr>
          <w:rFonts w:hint="eastAsia" w:ascii="仿宋" w:hAnsi="仿宋" w:eastAsia="仿宋"/>
          <w:sz w:val="32"/>
          <w:lang w:eastAsia="zh-CN"/>
        </w:rPr>
        <w:t>、</w:t>
      </w:r>
      <w:r>
        <w:rPr>
          <w:rFonts w:ascii="仿宋" w:hAnsi="仿宋" w:eastAsia="仿宋"/>
          <w:sz w:val="32"/>
        </w:rPr>
        <w:t>科技教育科</w:t>
      </w:r>
    </w:p>
    <w:p>
      <w:pPr>
        <w:widowControl/>
        <w:spacing w:line="560" w:lineRule="exact"/>
        <w:jc w:val="left"/>
        <w:rPr>
          <w:rFonts w:hint="eastAsia" w:ascii="仿宋" w:hAnsi="仿宋" w:eastAsia="仿宋"/>
          <w:sz w:val="32"/>
          <w:lang w:eastAsia="zh-CN"/>
        </w:rPr>
      </w:pPr>
      <w:r>
        <w:rPr>
          <w:rFonts w:hint="eastAsia" w:ascii="仿宋" w:hAnsi="仿宋" w:eastAsia="仿宋"/>
          <w:sz w:val="32"/>
          <w:lang w:eastAsia="zh-CN"/>
        </w:rPr>
        <w:t>、</w:t>
      </w:r>
      <w:r>
        <w:rPr>
          <w:rFonts w:ascii="仿宋" w:hAnsi="仿宋" w:eastAsia="仿宋"/>
          <w:sz w:val="32"/>
        </w:rPr>
        <w:t>政策法规科（自治州农业政策性保险工作领导小组办公室）</w:t>
      </w:r>
      <w:r>
        <w:rPr>
          <w:rFonts w:hint="eastAsia" w:ascii="仿宋" w:hAnsi="仿宋" w:eastAsia="仿宋"/>
          <w:sz w:val="32"/>
          <w:lang w:eastAsia="zh-CN"/>
        </w:rPr>
        <w:t>、</w:t>
      </w:r>
      <w:r>
        <w:rPr>
          <w:rFonts w:ascii="仿宋" w:hAnsi="仿宋" w:eastAsia="仿宋"/>
          <w:sz w:val="32"/>
        </w:rPr>
        <w:t>农业产业化发展科</w:t>
      </w:r>
      <w:r>
        <w:rPr>
          <w:rFonts w:hint="eastAsia" w:ascii="仿宋" w:hAnsi="仿宋" w:eastAsia="仿宋"/>
          <w:sz w:val="32"/>
          <w:lang w:eastAsia="zh-CN"/>
        </w:rPr>
        <w:t>、</w:t>
      </w:r>
      <w:r>
        <w:rPr>
          <w:rFonts w:ascii="仿宋" w:hAnsi="仿宋" w:eastAsia="仿宋"/>
          <w:sz w:val="32"/>
        </w:rPr>
        <w:t>市场与信息科</w:t>
      </w:r>
      <w:r>
        <w:rPr>
          <w:rFonts w:hint="eastAsia" w:ascii="仿宋" w:hAnsi="仿宋" w:eastAsia="仿宋"/>
          <w:sz w:val="32"/>
          <w:lang w:eastAsia="zh-CN"/>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昌吉州农业局</w:t>
      </w:r>
      <w:r>
        <w:rPr>
          <w:rFonts w:hint="eastAsia" w:ascii="仿宋_GB2312" w:hAnsi="宋体" w:eastAsia="仿宋_GB2312" w:cs="宋体"/>
          <w:kern w:val="0"/>
          <w:sz w:val="32"/>
          <w:szCs w:val="32"/>
          <w:lang w:val="en-US" w:eastAsia="zh-CN"/>
        </w:rPr>
        <w:t>单位</w:t>
      </w:r>
      <w:r>
        <w:rPr>
          <w:rFonts w:hint="eastAsia" w:ascii="仿宋_GB2312" w:hAnsi="宋体" w:eastAsia="仿宋_GB2312" w:cs="宋体"/>
          <w:kern w:val="0"/>
          <w:sz w:val="32"/>
          <w:szCs w:val="32"/>
        </w:rPr>
        <w:t>编制数36人，实有人数96人，其中：在职35人，增加0人； 退休60人，增加0人；离休1人，增加0人。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val="en-US" w:eastAsia="zh-CN"/>
        </w:rPr>
        <w:t>昌吉州农业局</w:t>
      </w:r>
      <w:r>
        <w:rPr>
          <w:rFonts w:hint="eastAsia" w:ascii="仿宋_GB2312" w:hAnsi="宋体" w:eastAsia="仿宋_GB2312"/>
          <w:kern w:val="0"/>
          <w:sz w:val="24"/>
        </w:rPr>
        <w:t xml:space="preserve">                              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650.1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650.1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650.1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650.1</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650.1</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650.1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650.1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kern w:val="0"/>
          <w:sz w:val="24"/>
          <w:lang w:val="en-US" w:eastAsia="zh-CN"/>
        </w:rPr>
        <w:t>昌吉州农业局</w:t>
      </w:r>
      <w:r>
        <w:rPr>
          <w:rFonts w:hint="eastAsia" w:ascii="仿宋_GB2312" w:hAnsi="宋体" w:eastAsia="仿宋_GB2312"/>
          <w:kern w:val="0"/>
          <w:sz w:val="24"/>
        </w:rPr>
        <w:t xml:space="preserve">                                      单位：万元</w:t>
      </w:r>
    </w:p>
    <w:tbl>
      <w:tblPr>
        <w:tblStyle w:val="4"/>
        <w:tblW w:w="9654" w:type="dxa"/>
        <w:tblInd w:w="93" w:type="dxa"/>
        <w:tblLayout w:type="fixed"/>
        <w:tblCellMar>
          <w:top w:w="0" w:type="dxa"/>
          <w:left w:w="108" w:type="dxa"/>
          <w:bottom w:w="0" w:type="dxa"/>
          <w:right w:w="108" w:type="dxa"/>
        </w:tblCellMar>
      </w:tblPr>
      <w:tblGrid>
        <w:gridCol w:w="516"/>
        <w:gridCol w:w="445"/>
        <w:gridCol w:w="455"/>
        <w:gridCol w:w="1980"/>
        <w:gridCol w:w="820"/>
        <w:gridCol w:w="831"/>
        <w:gridCol w:w="529"/>
        <w:gridCol w:w="680"/>
        <w:gridCol w:w="680"/>
        <w:gridCol w:w="680"/>
        <w:gridCol w:w="680"/>
        <w:gridCol w:w="680"/>
        <w:gridCol w:w="678"/>
      </w:tblGrid>
      <w:tr>
        <w:tblPrEx>
          <w:tblCellMar>
            <w:top w:w="0" w:type="dxa"/>
            <w:left w:w="108" w:type="dxa"/>
            <w:bottom w:w="0" w:type="dxa"/>
            <w:right w:w="108" w:type="dxa"/>
          </w:tblCellMar>
        </w:tblPrEx>
        <w:trPr>
          <w:trHeight w:val="510" w:hRule="atLeast"/>
        </w:trPr>
        <w:tc>
          <w:tcPr>
            <w:tcW w:w="141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3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2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3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2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213　</w:t>
            </w:r>
          </w:p>
        </w:tc>
        <w:tc>
          <w:tcPr>
            <w:tcW w:w="4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5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19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　</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597.59</w:t>
            </w:r>
          </w:p>
        </w:tc>
        <w:tc>
          <w:tcPr>
            <w:tcW w:w="831"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597.59　</w:t>
            </w:r>
          </w:p>
        </w:tc>
        <w:tc>
          <w:tcPr>
            <w:tcW w:w="529"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213　</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19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事业运行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52.51　</w:t>
            </w:r>
          </w:p>
        </w:tc>
        <w:tc>
          <w:tcPr>
            <w:tcW w:w="8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52.51　</w:t>
            </w:r>
          </w:p>
        </w:tc>
        <w:tc>
          <w:tcPr>
            <w:tcW w:w="5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650.1　</w:t>
            </w:r>
          </w:p>
        </w:tc>
        <w:tc>
          <w:tcPr>
            <w:tcW w:w="8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650.1　</w:t>
            </w:r>
          </w:p>
        </w:tc>
        <w:tc>
          <w:tcPr>
            <w:tcW w:w="5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val="en-US" w:eastAsia="zh-CN"/>
        </w:rPr>
        <w:t>昌吉州农业局</w:t>
      </w:r>
      <w:r>
        <w:rPr>
          <w:rFonts w:hint="eastAsia" w:ascii="仿宋_GB2312" w:hAnsi="宋体" w:eastAsia="仿宋_GB2312"/>
          <w:kern w:val="0"/>
          <w:sz w:val="24"/>
        </w:rPr>
        <w:t xml:space="preserve">                                  单位：万元</w:t>
      </w:r>
    </w:p>
    <w:tbl>
      <w:tblPr>
        <w:tblStyle w:val="4"/>
        <w:tblW w:w="9292" w:type="dxa"/>
        <w:tblInd w:w="93" w:type="dxa"/>
        <w:tblLayout w:type="fixed"/>
        <w:tblCellMar>
          <w:top w:w="0" w:type="dxa"/>
          <w:left w:w="108" w:type="dxa"/>
          <w:bottom w:w="0" w:type="dxa"/>
          <w:right w:w="108" w:type="dxa"/>
        </w:tblCellMar>
      </w:tblPr>
      <w:tblGrid>
        <w:gridCol w:w="561"/>
        <w:gridCol w:w="467"/>
        <w:gridCol w:w="420"/>
        <w:gridCol w:w="2420"/>
        <w:gridCol w:w="1855"/>
        <w:gridCol w:w="1856"/>
        <w:gridCol w:w="1713"/>
      </w:tblGrid>
      <w:tr>
        <w:tblPrEx>
          <w:tblCellMar>
            <w:top w:w="0" w:type="dxa"/>
            <w:left w:w="108" w:type="dxa"/>
            <w:bottom w:w="0" w:type="dxa"/>
            <w:right w:w="108" w:type="dxa"/>
          </w:tblCellMar>
        </w:tblPrEx>
        <w:trPr>
          <w:trHeight w:val="345" w:hRule="atLeast"/>
        </w:trPr>
        <w:tc>
          <w:tcPr>
            <w:tcW w:w="38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448"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20"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420"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213　</w:t>
            </w:r>
          </w:p>
        </w:tc>
        <w:tc>
          <w:tcPr>
            <w:tcW w:w="467"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01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01　</w:t>
            </w:r>
          </w:p>
        </w:tc>
        <w:tc>
          <w:tcPr>
            <w:tcW w:w="2420"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行政运行　</w:t>
            </w:r>
          </w:p>
        </w:tc>
        <w:tc>
          <w:tcPr>
            <w:tcW w:w="1855"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b/>
                <w:bCs/>
                <w:color w:val="000000"/>
                <w:kern w:val="0"/>
                <w:sz w:val="22"/>
                <w:szCs w:val="22"/>
                <w:shd w:val="clear" w:color="auto" w:fill="auto"/>
              </w:rPr>
            </w:pPr>
            <w:r>
              <w:rPr>
                <w:rFonts w:hint="eastAsia" w:ascii="仿宋_GB2312" w:eastAsia="仿宋_GB2312"/>
                <w:color w:val="000000"/>
                <w:sz w:val="20"/>
                <w:szCs w:val="20"/>
                <w:shd w:val="clear" w:color="auto" w:fill="auto"/>
              </w:rPr>
              <w:t>597.59</w:t>
            </w:r>
          </w:p>
        </w:tc>
        <w:tc>
          <w:tcPr>
            <w:tcW w:w="1856"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b/>
                <w:bCs/>
                <w:color w:val="000000"/>
                <w:kern w:val="0"/>
                <w:sz w:val="22"/>
                <w:szCs w:val="22"/>
                <w:shd w:val="clear" w:color="auto" w:fill="auto"/>
              </w:rPr>
            </w:pPr>
            <w:r>
              <w:rPr>
                <w:rFonts w:hint="eastAsia" w:ascii="仿宋_GB2312" w:eastAsia="仿宋_GB2312"/>
                <w:color w:val="000000"/>
                <w:sz w:val="20"/>
                <w:szCs w:val="20"/>
                <w:shd w:val="clear" w:color="auto" w:fill="auto"/>
              </w:rPr>
              <w:t>597.59</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213　</w:t>
            </w:r>
          </w:p>
        </w:tc>
        <w:tc>
          <w:tcPr>
            <w:tcW w:w="467"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01　</w:t>
            </w:r>
          </w:p>
        </w:tc>
        <w:tc>
          <w:tcPr>
            <w:tcW w:w="42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04　</w:t>
            </w:r>
          </w:p>
        </w:tc>
        <w:tc>
          <w:tcPr>
            <w:tcW w:w="2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事业运行　</w:t>
            </w:r>
          </w:p>
        </w:tc>
        <w:tc>
          <w:tcPr>
            <w:tcW w:w="185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shd w:val="clear" w:color="auto" w:fill="auto"/>
              </w:rPr>
            </w:pPr>
            <w:r>
              <w:rPr>
                <w:rFonts w:hint="eastAsia" w:ascii="仿宋_GB2312" w:eastAsia="仿宋_GB2312"/>
                <w:color w:val="000000"/>
                <w:sz w:val="20"/>
                <w:szCs w:val="20"/>
                <w:shd w:val="clear" w:color="auto" w:fill="auto"/>
              </w:rPr>
              <w:t>52.51</w:t>
            </w:r>
          </w:p>
        </w:tc>
        <w:tc>
          <w:tcPr>
            <w:tcW w:w="18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shd w:val="clear" w:color="auto" w:fill="auto"/>
              </w:rPr>
            </w:pPr>
            <w:r>
              <w:rPr>
                <w:rFonts w:hint="eastAsia" w:ascii="仿宋_GB2312" w:eastAsia="仿宋_GB2312"/>
                <w:color w:val="000000"/>
                <w:sz w:val="20"/>
                <w:szCs w:val="20"/>
                <w:shd w:val="clear" w:color="auto" w:fill="auto"/>
              </w:rPr>
              <w:t>52.51</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42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650.1</w:t>
            </w:r>
          </w:p>
        </w:tc>
        <w:tc>
          <w:tcPr>
            <w:tcW w:w="185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650.1</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jc w:val="left"/>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lang w:val="en-US" w:eastAsia="zh-CN"/>
        </w:rPr>
        <w:t>昌吉州农业局</w:t>
      </w:r>
      <w:r>
        <w:rPr>
          <w:rFonts w:hint="eastAsia" w:ascii="仿宋_GB2312" w:hAnsi="宋体" w:eastAsia="仿宋_GB2312"/>
          <w:kern w:val="0"/>
          <w:sz w:val="24"/>
        </w:rPr>
        <w:t xml:space="preserve"> </w:t>
      </w:r>
      <w:r>
        <w:rPr>
          <w:rFonts w:hint="eastAsia" w:ascii="仿宋_GB2312" w:hAnsi="宋体" w:eastAsia="仿宋_GB2312"/>
          <w:kern w:val="0"/>
          <w:sz w:val="28"/>
          <w:szCs w:val="28"/>
        </w:rPr>
        <w:t xml:space="preserve">                          单位：万元</w:t>
      </w:r>
    </w:p>
    <w:tbl>
      <w:tblPr>
        <w:tblStyle w:val="4"/>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650.1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650.1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650.1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650.1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650.1</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650.1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650.1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650.1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650.1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650.1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087" w:type="dxa"/>
        <w:tblInd w:w="93" w:type="dxa"/>
        <w:tblLayout w:type="fixed"/>
        <w:tblCellMar>
          <w:top w:w="0" w:type="dxa"/>
          <w:left w:w="108" w:type="dxa"/>
          <w:bottom w:w="0" w:type="dxa"/>
          <w:right w:w="108" w:type="dxa"/>
        </w:tblCellMar>
      </w:tblPr>
      <w:tblGrid>
        <w:gridCol w:w="516"/>
        <w:gridCol w:w="417"/>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val="en-US" w:eastAsia="zh-CN"/>
              </w:rPr>
              <w:t>昌吉州农业局</w:t>
            </w:r>
            <w:r>
              <w:rPr>
                <w:rFonts w:hint="eastAsia" w:ascii="仿宋_GB2312" w:hAnsi="宋体" w:eastAsia="仿宋_GB2312"/>
                <w:kern w:val="0"/>
                <w:sz w:val="24"/>
              </w:rPr>
              <w:t xml:space="preserve"> </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213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01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01　</w:t>
            </w:r>
          </w:p>
        </w:tc>
        <w:tc>
          <w:tcPr>
            <w:tcW w:w="2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行政运行　</w:t>
            </w:r>
          </w:p>
        </w:tc>
        <w:tc>
          <w:tcPr>
            <w:tcW w:w="1684" w:type="dxa"/>
            <w:gridSpan w:val="2"/>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　597.59</w:t>
            </w:r>
          </w:p>
        </w:tc>
        <w:tc>
          <w:tcPr>
            <w:tcW w:w="1842" w:type="dxa"/>
            <w:gridSpan w:val="2"/>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597.59　</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rPr>
              <w:t>213　</w:t>
            </w:r>
          </w:p>
        </w:tc>
        <w:tc>
          <w:tcPr>
            <w:tcW w:w="417"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rPr>
              <w:t>01　</w:t>
            </w:r>
          </w:p>
        </w:tc>
        <w:tc>
          <w:tcPr>
            <w:tcW w:w="417"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rPr>
              <w:t>04　</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事业运行　</w:t>
            </w:r>
          </w:p>
        </w:tc>
        <w:tc>
          <w:tcPr>
            <w:tcW w:w="1684"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rPr>
              <w:t>52.51　</w:t>
            </w: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rPr>
              <w:t>52.51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650.1</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650.1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val="en-US" w:eastAsia="zh-CN"/>
              </w:rPr>
              <w:t>昌吉州农业局</w:t>
            </w:r>
            <w:r>
              <w:rPr>
                <w:rFonts w:hint="eastAsia" w:ascii="仿宋_GB2312" w:hAnsi="宋体" w:eastAsia="仿宋_GB2312"/>
                <w:kern w:val="0"/>
                <w:sz w:val="24"/>
              </w:rPr>
              <w:t xml:space="preserve"> </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仿宋_GB2312" w:hAnsi="宋体" w:eastAsia="仿宋_GB2312"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仿宋_GB2312" w:hAnsi="宋体" w:eastAsia="仿宋_GB2312" w:cs="宋体"/>
                <w:color w:val="000000"/>
                <w:kern w:val="0"/>
                <w:sz w:val="20"/>
                <w:szCs w:val="20"/>
              </w:rPr>
            </w:pPr>
            <w:r>
              <w:rPr>
                <w:rFonts w:ascii="宋体" w:hAnsi="宋体"/>
                <w:color w:val="000000"/>
                <w:sz w:val="20"/>
                <w:szCs w:val="20"/>
              </w:rPr>
              <w:t>01</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仿宋_GB2312" w:hAnsi="宋体" w:eastAsia="仿宋_GB2312" w:cs="宋体"/>
                <w:color w:val="000000"/>
                <w:kern w:val="0"/>
                <w:sz w:val="20"/>
                <w:szCs w:val="20"/>
              </w:rPr>
            </w:pPr>
            <w:r>
              <w:rPr>
                <w:rFonts w:ascii="Dialog" w:hAnsi="宋体"/>
                <w:color w:val="000000"/>
                <w:sz w:val="22"/>
              </w:rPr>
              <w:t>基本工资</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149.72</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149.72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仿宋_GB2312" w:hAnsi="宋体" w:eastAsia="仿宋_GB2312"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仿宋_GB2312" w:hAnsi="宋体" w:eastAsia="仿宋_GB2312" w:cs="宋体"/>
                <w:color w:val="000000"/>
                <w:kern w:val="0"/>
                <w:sz w:val="20"/>
                <w:szCs w:val="20"/>
              </w:rPr>
            </w:pPr>
            <w:r>
              <w:rPr>
                <w:rFonts w:ascii="宋体" w:hAnsi="宋体"/>
                <w:color w:val="000000"/>
                <w:sz w:val="20"/>
                <w:szCs w:val="20"/>
              </w:rPr>
              <w:t>02</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仿宋_GB2312" w:hAnsi="宋体" w:eastAsia="仿宋_GB2312" w:cs="宋体"/>
                <w:color w:val="000000"/>
                <w:kern w:val="0"/>
                <w:sz w:val="20"/>
                <w:szCs w:val="20"/>
              </w:rPr>
            </w:pPr>
            <w:r>
              <w:rPr>
                <w:rFonts w:ascii="Dialog" w:hAnsi="宋体"/>
                <w:color w:val="000000"/>
                <w:sz w:val="22"/>
              </w:rPr>
              <w:t>津贴补贴</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84.64</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84.64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03</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奖金</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10.25</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10.25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06</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伙食补助费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37.8</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37.8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13</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住房公积金</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29.35</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29.35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01</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基本工资</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23.22</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23.22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03</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奖金</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1.53</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1.53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06</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伙食补助费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7.56</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7.56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07</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基础性绩效工资</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15.38</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15.38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13</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住房公积金</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4.82</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4.82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99</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其他工资福利支出</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2.61</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2.61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08</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机关事业单位基本养老保险缴费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56.95</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56.95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10</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职工基本医疗保险缴费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63.95</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63.95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11</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公务员医疗补助缴费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49.74</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49.74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12</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其他社会保障缴费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0.12</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0.12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12</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其他社会保障缴费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0.05</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0.05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12</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其他社会保障缴费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0.92</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0.92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01</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办公费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2.38</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2.38</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05</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水费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06</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电费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1.2</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1.2</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07</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邮电费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2.3</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2.3</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08</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取暖费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13.3</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13.3</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09</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物业管理费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2.4</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2.4</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11</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差旅费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17.6</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17.6</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13</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维修(护)费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1.4</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1.4</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16</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培训费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2.5</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2.5</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17</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公务接待费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2.27</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2.27</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28</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工会经费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3.46</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3.46</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29</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福利费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8.93</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8.93</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31</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公务用车运行维护费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12.95</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12.95</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39</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其他交通费用</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0.8</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0.8</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99</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商品和服务支出</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4.07</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4.07</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99</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商品和服务支出</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8.71</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8.71</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303</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01</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离休工资（含津补贴）</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4.25</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4.25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303</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01</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对个人和家庭的补助支出</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0.35</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0.35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303</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01</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离休工资（含津补贴）</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3.58</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3.58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303</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01</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离休工资（含津补贴）</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0.72</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0.72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303</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05</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生活补助</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3.42</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3.42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303</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07</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医疗费补助</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0.1</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303</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09</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奖励金</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4.2</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4.2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303</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14</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对个人和家庭的补助支出</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9.6</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9.6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650.1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564.83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85.27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val="en-US" w:eastAsia="zh-CN"/>
              </w:rPr>
              <w:t>昌吉州农业局</w:t>
            </w:r>
            <w:r>
              <w:rPr>
                <w:rFonts w:hint="eastAsia" w:ascii="仿宋_GB2312" w:hAnsi="宋体" w:eastAsia="仿宋_GB2312"/>
                <w:kern w:val="0"/>
                <w:sz w:val="24"/>
              </w:rPr>
              <w:t xml:space="preserve"> </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备注：我单位2019年</w:t>
      </w:r>
      <w:r>
        <w:rPr>
          <w:rFonts w:hint="eastAsia" w:ascii="仿宋_GB2312" w:hAnsi="宋体" w:eastAsia="仿宋_GB2312"/>
          <w:b/>
          <w:kern w:val="0"/>
          <w:sz w:val="28"/>
          <w:szCs w:val="32"/>
          <w:lang w:val="en-US" w:eastAsia="zh-CN"/>
        </w:rPr>
        <w:t>预算</w:t>
      </w:r>
      <w:r>
        <w:rPr>
          <w:rFonts w:hint="eastAsia" w:ascii="仿宋_GB2312" w:hAnsi="宋体" w:eastAsia="仿宋_GB2312"/>
          <w:b/>
          <w:kern w:val="0"/>
          <w:sz w:val="28"/>
          <w:szCs w:val="32"/>
        </w:rPr>
        <w:t>未安排项目支出。</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val="en-US" w:eastAsia="zh-CN"/>
        </w:rPr>
        <w:t>昌吉州农业局</w:t>
      </w:r>
      <w:r>
        <w:rPr>
          <w:rFonts w:hint="eastAsia" w:ascii="仿宋_GB2312" w:hAnsi="宋体" w:eastAsia="仿宋_GB2312"/>
          <w:kern w:val="0"/>
          <w:sz w:val="24"/>
        </w:rPr>
        <w:t xml:space="preserve">                                  单位：万元</w:t>
      </w:r>
    </w:p>
    <w:tbl>
      <w:tblPr>
        <w:tblStyle w:val="4"/>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15.22</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12.95</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12.95</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2.27</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val="en-US" w:eastAsia="zh-CN"/>
        </w:rPr>
        <w:t>昌吉州农业局</w:t>
      </w:r>
      <w:r>
        <w:rPr>
          <w:rFonts w:hint="eastAsia" w:ascii="仿宋_GB2312" w:hAnsi="宋体" w:eastAsia="仿宋_GB2312"/>
          <w:kern w:val="0"/>
          <w:sz w:val="24"/>
        </w:rPr>
        <w:t xml:space="preserve">                                     单位：万元</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bCs/>
          <w:kern w:val="0"/>
          <w:sz w:val="28"/>
          <w:szCs w:val="32"/>
        </w:rPr>
      </w:pPr>
      <w:r>
        <w:rPr>
          <w:rFonts w:hint="eastAsia" w:ascii="仿宋_GB2312" w:hAnsi="宋体" w:eastAsia="仿宋_GB2312"/>
          <w:b/>
          <w:kern w:val="0"/>
          <w:sz w:val="28"/>
          <w:szCs w:val="32"/>
        </w:rPr>
        <w:t>备注：</w:t>
      </w:r>
      <w:r>
        <w:rPr>
          <w:rFonts w:hint="eastAsia" w:ascii="仿宋_GB2312" w:hAnsi="宋体" w:eastAsia="仿宋_GB2312" w:cs="宋体"/>
          <w:b/>
          <w:bCs/>
          <w:kern w:val="0"/>
          <w:sz w:val="28"/>
          <w:szCs w:val="28"/>
        </w:rPr>
        <w:t>昌吉州</w:t>
      </w:r>
      <w:r>
        <w:rPr>
          <w:rFonts w:hint="eastAsia" w:ascii="仿宋_GB2312" w:hAnsi="宋体" w:eastAsia="仿宋_GB2312" w:cs="宋体"/>
          <w:b/>
          <w:bCs/>
          <w:kern w:val="0"/>
          <w:sz w:val="28"/>
          <w:szCs w:val="28"/>
          <w:lang w:val="en-US" w:eastAsia="zh-CN"/>
        </w:rPr>
        <w:t>农业</w:t>
      </w:r>
      <w:r>
        <w:rPr>
          <w:rFonts w:hint="eastAsia" w:ascii="仿宋_GB2312" w:hAnsi="宋体" w:eastAsia="仿宋_GB2312" w:cs="宋体"/>
          <w:b/>
          <w:bCs/>
          <w:kern w:val="0"/>
          <w:sz w:val="28"/>
          <w:szCs w:val="28"/>
        </w:rPr>
        <w:t>局部门</w:t>
      </w:r>
      <w:r>
        <w:rPr>
          <w:rFonts w:hint="eastAsia" w:ascii="仿宋_GB2312" w:hAnsi="宋体" w:eastAsia="仿宋_GB2312" w:cs="宋体"/>
          <w:b/>
          <w:bCs/>
          <w:kern w:val="0"/>
          <w:sz w:val="28"/>
          <w:szCs w:val="28"/>
          <w:lang w:val="en-US" w:eastAsia="zh-CN"/>
        </w:rPr>
        <w:t>2019</w:t>
      </w:r>
      <w:r>
        <w:rPr>
          <w:rFonts w:hint="eastAsia" w:ascii="仿宋_GB2312" w:hAnsi="宋体" w:eastAsia="仿宋_GB2312" w:cs="宋体"/>
          <w:b/>
          <w:bCs/>
          <w:kern w:val="0"/>
          <w:sz w:val="28"/>
          <w:szCs w:val="28"/>
        </w:rPr>
        <w:t>年没有使用政府性基金预算拨款安排的支出</w:t>
      </w:r>
      <w:r>
        <w:rPr>
          <w:rFonts w:hint="eastAsia" w:ascii="仿宋_GB2312" w:hAnsi="宋体" w:eastAsia="仿宋_GB2312" w:cs="宋体"/>
          <w:b/>
          <w:bCs/>
          <w:kern w:val="0"/>
          <w:sz w:val="28"/>
          <w:szCs w:val="28"/>
          <w:lang w:eastAsia="zh-CN"/>
        </w:rPr>
        <w:t>。</w:t>
      </w:r>
    </w:p>
    <w:p>
      <w:pPr>
        <w:widowControl/>
        <w:jc w:val="left"/>
        <w:outlineLvl w:val="1"/>
        <w:rPr>
          <w:b/>
          <w:bCs/>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关于昌吉州农业局部门2019年收支预算情况的总体说明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按照全口径预算的原则，昌吉州农业局部门2019年所有收入和支出均纳入部门预算管理。收支总预算650.1万元。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收入预算包括：一般公共预算650.1万元。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支出预算包括：农林水支出650.1万元。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二、关于昌吉州农业局部门2019年收入预算情况说明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昌吉州农业局部门收入预算650.1</w:t>
      </w:r>
      <w:r>
        <w:rPr>
          <w:rFonts w:hint="eastAsia" w:ascii="仿宋_GB2312" w:hAnsi="宋体" w:eastAsia="仿宋_GB2312" w:cs="宋体"/>
          <w:kern w:val="0"/>
          <w:sz w:val="32"/>
          <w:szCs w:val="32"/>
          <w:lang w:val="en-US" w:eastAsia="zh-CN"/>
        </w:rPr>
        <w:t>万</w:t>
      </w:r>
      <w:r>
        <w:rPr>
          <w:rFonts w:hint="eastAsia" w:ascii="仿宋_GB2312" w:hAnsi="宋体" w:eastAsia="仿宋_GB2312" w:cs="宋体"/>
          <w:kern w:val="0"/>
          <w:sz w:val="32"/>
          <w:szCs w:val="32"/>
        </w:rPr>
        <w:t>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一般公共预算650.1万元，占100%，比上年预算数增加106.8万元，主要原因是人员工资及经费增加。</w:t>
      </w:r>
    </w:p>
    <w:p>
      <w:pPr>
        <w:widowControl/>
        <w:spacing w:line="580" w:lineRule="exact"/>
        <w:ind w:firstLine="642"/>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三、关于昌吉州农业局部门单位2019年支出预算情况说明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昌吉州农业局部门单位2019年支出预算650.1</w:t>
      </w:r>
      <w:r>
        <w:rPr>
          <w:rFonts w:hint="eastAsia" w:ascii="仿宋_GB2312" w:hAnsi="宋体" w:eastAsia="仿宋_GB2312" w:cs="宋体"/>
          <w:kern w:val="0"/>
          <w:sz w:val="32"/>
          <w:szCs w:val="32"/>
          <w:lang w:val="en-US" w:eastAsia="zh-CN"/>
        </w:rPr>
        <w:t>万</w:t>
      </w:r>
      <w:r>
        <w:rPr>
          <w:rFonts w:hint="eastAsia" w:ascii="仿宋_GB2312" w:hAnsi="宋体" w:eastAsia="仿宋_GB2312" w:cs="宋体"/>
          <w:kern w:val="0"/>
          <w:sz w:val="32"/>
          <w:szCs w:val="32"/>
        </w:rPr>
        <w:t>元，其中：</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基本支出650.1万元，占100%，比上年预算数增加106.8万元，主要原因是人员工资及经费增加。</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项目支出0万元，占0%，比上年增加0万元，主要原因是昌吉州农业农村局20</w:t>
      </w:r>
      <w:r>
        <w:rPr>
          <w:rFonts w:hint="eastAsia" w:ascii="仿宋_GB2312" w:hAnsi="宋体" w:eastAsia="仿宋_GB2312" w:cs="宋体"/>
          <w:kern w:val="0"/>
          <w:sz w:val="32"/>
          <w:szCs w:val="32"/>
          <w:lang w:val="en-US" w:eastAsia="zh-CN"/>
        </w:rPr>
        <w:t>19</w:t>
      </w:r>
      <w:r>
        <w:rPr>
          <w:rFonts w:hint="eastAsia" w:ascii="仿宋_GB2312" w:hAnsi="宋体" w:eastAsia="仿宋_GB2312" w:cs="宋体"/>
          <w:kern w:val="0"/>
          <w:sz w:val="32"/>
          <w:szCs w:val="32"/>
        </w:rPr>
        <w:t>年预算未安排项目支出。</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四、关于昌吉州农业局部门2019年财政拨款收支预算情况的总体说明</w:t>
      </w:r>
    </w:p>
    <w:p>
      <w:pPr>
        <w:spacing w:line="580" w:lineRule="exact"/>
        <w:ind w:firstLine="640"/>
        <w:rPr>
          <w:rFonts w:ascii="仿宋_GB2312" w:hAnsi="宋体" w:eastAsia="仿宋_GB2312" w:cs="宋体"/>
          <w:spacing w:val="-4"/>
          <w:kern w:val="0"/>
          <w:sz w:val="32"/>
          <w:szCs w:val="32"/>
        </w:rPr>
      </w:pPr>
      <w:r>
        <w:rPr>
          <w:rFonts w:hint="eastAsia" w:ascii="仿宋_GB2312" w:hAnsi="宋体" w:eastAsia="仿宋_GB2312" w:cs="宋体"/>
          <w:kern w:val="0"/>
          <w:sz w:val="32"/>
          <w:szCs w:val="32"/>
        </w:rPr>
        <w:t>2019年财政拨款收支总预算650.1万元。</w:t>
      </w:r>
    </w:p>
    <w:p>
      <w:pPr>
        <w:spacing w:line="58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w:t>
      </w:r>
      <w:r>
        <w:rPr>
          <w:rFonts w:hint="eastAsia" w:ascii="仿宋_GB2312" w:hAnsi="宋体" w:eastAsia="仿宋_GB2312" w:cs="宋体"/>
          <w:kern w:val="0"/>
          <w:sz w:val="32"/>
          <w:szCs w:val="32"/>
          <w:lang w:val="en-US" w:eastAsia="zh-CN"/>
        </w:rPr>
        <w:t>650.1</w:t>
      </w:r>
      <w:r>
        <w:rPr>
          <w:rFonts w:hint="eastAsia" w:ascii="仿宋_GB2312" w:hAnsi="宋体" w:eastAsia="仿宋_GB2312" w:cs="宋体"/>
          <w:kern w:val="0"/>
          <w:sz w:val="32"/>
          <w:szCs w:val="32"/>
        </w:rPr>
        <w:t>万元，主要用于保障本单位正常运转人员经费及公用经费。</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五、关于昌吉州农业局部门2019年一般公共预算当年拨款情况说明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昌吉州农业局部门2019年一般公共预算拨款基本支出    650.1万元，比上年执行数减少177.97万元，下降21.49%。主要原因是：</w:t>
      </w:r>
      <w:r>
        <w:rPr>
          <w:rFonts w:ascii="仿宋_GB2312" w:hAnsi="宋体" w:eastAsia="仿宋_GB2312"/>
          <w:sz w:val="32"/>
        </w:rPr>
        <w:t>在职人员</w:t>
      </w:r>
      <w:r>
        <w:rPr>
          <w:rFonts w:hint="eastAsia" w:ascii="仿宋_GB2312" w:hAnsi="宋体" w:eastAsia="仿宋_GB2312"/>
          <w:sz w:val="32"/>
        </w:rPr>
        <w:t>转退休减少</w:t>
      </w:r>
      <w:r>
        <w:rPr>
          <w:rFonts w:ascii="仿宋_GB2312" w:hAnsi="宋体" w:eastAsia="仿宋_GB2312"/>
          <w:sz w:val="32"/>
        </w:rPr>
        <w:t>工资及社会保险</w:t>
      </w:r>
      <w:r>
        <w:rPr>
          <w:rFonts w:hint="eastAsia" w:ascii="仿宋_GB2312" w:hAnsi="宋体" w:eastAsia="仿宋_GB2312"/>
          <w:sz w:val="32"/>
        </w:rPr>
        <w:t>及压缩办公经费支出。</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农林水支出（</w:t>
      </w:r>
      <w:r>
        <w:rPr>
          <w:rFonts w:hint="eastAsia" w:ascii="仿宋_GB2312" w:eastAsia="仿宋_GB2312"/>
          <w:sz w:val="32"/>
          <w:szCs w:val="32"/>
          <w:lang w:val="en-US" w:eastAsia="zh-CN"/>
        </w:rPr>
        <w:t>213</w:t>
      </w:r>
      <w:r>
        <w:rPr>
          <w:rFonts w:hint="eastAsia" w:ascii="仿宋_GB2312" w:eastAsia="仿宋_GB2312"/>
          <w:sz w:val="32"/>
          <w:szCs w:val="32"/>
        </w:rPr>
        <w:t>）</w:t>
      </w:r>
      <w:r>
        <w:rPr>
          <w:rFonts w:hint="eastAsia" w:ascii="仿宋_GB2312" w:eastAsia="仿宋_GB2312"/>
          <w:sz w:val="32"/>
          <w:szCs w:val="32"/>
          <w:lang w:val="en-US" w:eastAsia="zh-CN"/>
        </w:rPr>
        <w:t>650.1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1.农林水支出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213</w:t>
      </w:r>
      <w:r>
        <w:rPr>
          <w:rFonts w:ascii="仿宋_GB2312" w:hAnsi="宋体" w:eastAsia="仿宋_GB2312" w:cs="宋体"/>
          <w:kern w:val="0"/>
          <w:sz w:val="32"/>
          <w:szCs w:val="32"/>
        </w:rPr>
        <w:t>）</w:t>
      </w:r>
      <w:r>
        <w:rPr>
          <w:rFonts w:hint="eastAsia" w:ascii="仿宋_GB2312" w:hAnsi="宋体" w:eastAsia="仿宋_GB2312" w:cs="宋体"/>
          <w:kern w:val="0"/>
          <w:sz w:val="32"/>
          <w:szCs w:val="32"/>
        </w:rPr>
        <w:t>农业</w:t>
      </w:r>
      <w:r>
        <w:rPr>
          <w:rFonts w:hint="eastAsia" w:ascii="仿宋_GB2312" w:hAnsi="宋体" w:eastAsia="仿宋_GB2312" w:cs="宋体"/>
          <w:kern w:val="0"/>
          <w:sz w:val="32"/>
          <w:szCs w:val="32"/>
          <w:lang w:val="en-US" w:eastAsia="zh-CN"/>
        </w:rPr>
        <w:t>农村</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597.59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比上年执行数增加230.48万元，增长</w:t>
      </w:r>
      <w:r>
        <w:rPr>
          <w:rFonts w:hint="eastAsia" w:ascii="仿宋_GB2312" w:hAnsi="宋体" w:eastAsia="仿宋_GB2312" w:cs="宋体"/>
          <w:kern w:val="0"/>
          <w:sz w:val="32"/>
          <w:szCs w:val="32"/>
          <w:lang w:val="en-US" w:eastAsia="zh-CN"/>
        </w:rPr>
        <w:t>62.78</w:t>
      </w:r>
      <w:r>
        <w:rPr>
          <w:rFonts w:hint="eastAsia" w:ascii="仿宋_GB2312" w:hAnsi="宋体" w:eastAsia="仿宋_GB2312" w:cs="宋体"/>
          <w:kern w:val="0"/>
          <w:sz w:val="32"/>
          <w:szCs w:val="32"/>
        </w:rPr>
        <w:t xml:space="preserve">%，主要原因是：人员工资经费的增加。     </w:t>
      </w:r>
    </w:p>
    <w:p>
      <w:pPr>
        <w:spacing w:line="580" w:lineRule="exact"/>
        <w:ind w:firstLine="64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hint="eastAsia" w:ascii="仿宋_GB2312" w:hAnsi="宋体" w:eastAsia="仿宋_GB2312" w:cs="宋体"/>
          <w:kern w:val="0"/>
          <w:sz w:val="32"/>
          <w:szCs w:val="32"/>
        </w:rPr>
        <w:t>农林水支出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213</w:t>
      </w:r>
      <w:r>
        <w:rPr>
          <w:rFonts w:ascii="仿宋_GB2312" w:hAnsi="宋体" w:eastAsia="仿宋_GB2312" w:cs="宋体"/>
          <w:kern w:val="0"/>
          <w:sz w:val="32"/>
          <w:szCs w:val="32"/>
        </w:rPr>
        <w:t>）</w:t>
      </w:r>
      <w:r>
        <w:rPr>
          <w:rFonts w:hint="eastAsia" w:ascii="仿宋_GB2312" w:hAnsi="宋体" w:eastAsia="仿宋_GB2312" w:cs="宋体"/>
          <w:kern w:val="0"/>
          <w:sz w:val="32"/>
          <w:szCs w:val="32"/>
        </w:rPr>
        <w:t>农业</w:t>
      </w:r>
      <w:r>
        <w:rPr>
          <w:rFonts w:hint="eastAsia" w:ascii="仿宋_GB2312" w:hAnsi="宋体" w:eastAsia="仿宋_GB2312" w:cs="宋体"/>
          <w:kern w:val="0"/>
          <w:sz w:val="32"/>
          <w:szCs w:val="32"/>
          <w:lang w:val="en-US" w:eastAsia="zh-CN"/>
        </w:rPr>
        <w:t>农村</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事业运行</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04</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52.51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比上年执行数增加52.51万元，增长100%，主要原因是：人员工资经费的增加。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六、关于昌吉州农业局部门2019年一般公共预算基本支出情况说明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昌吉州农业局部门2019年一般公共预算基本支出650.1 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564.83万元，主要包括：基本工资172.94万元、津贴补贴84.64万元、奖金11.78万元、伙食补助费45.36万元、绩效工资15.38万元、机关事业单位基本养老保险缴费56.95万元、职工基本医疗保险缴费63.95万元、公务员医疗补助缴费49.74万元、其他社会保障缴费1.09万元、住房公积金34.17万元、其他工资福利支出2.61万元、离休费8.55万元、生活补助3.42万元、医疗费补助0.1万元、奖励金4.2万元、对个人和家庭的补助9.95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85.27万元，主要包括：办公费2.38万元、水费1万元、电费1.2万元、邮电费2.3万元、取暖费13.3万元、物业管理费2.4万元、差旅费17.6万元、维修（护）费1.4万元、培训费2.5万元、公务接待费2.27万元、工会经费3.46万元、福利费8.93万元、公务用车运行维护费12.95万元、其他交通费用0.8万元、其他商品和服务支出12.78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七、关于昌吉州农业局部门2019年项目支出情况说明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昌吉州农业局2019年预算未安排项目支出。</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八、关于昌吉州农业局部门2019年一般公共预算“三公”经费预算情况说明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昌吉州农业局部门2019年“三公”经费财政拨款预算数为15.22万元，其中：因公出国（境）费0万元，公务用车购置0万元，公务用车运行费12.95万元，公务接待费2.27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2019年“三公”经费财政拨款预算比上年增加2.05万元，其中：因公出国（境）费增加0万元，主要原因是</w:t>
      </w:r>
      <w:r>
        <w:rPr>
          <w:rFonts w:hint="eastAsia" w:ascii="仿宋_GB2312" w:hAnsi="宋体" w:eastAsia="仿宋_GB2312"/>
          <w:sz w:val="32"/>
          <w:szCs w:val="32"/>
        </w:rPr>
        <w:t>严格执行中央八项规定和区州十条规定，未安排因公出国（境）工作</w:t>
      </w:r>
      <w:r>
        <w:rPr>
          <w:rFonts w:hint="eastAsia" w:ascii="仿宋_GB2312" w:hAnsi="宋体" w:eastAsia="仿宋_GB2312" w:cs="宋体"/>
          <w:kern w:val="0"/>
          <w:sz w:val="32"/>
          <w:szCs w:val="32"/>
        </w:rPr>
        <w:t>；公务用车购置费为0万元，未安排预算。公务用车运行费增加2.05万元，主要原因是因单位合并车辆增加，故</w:t>
      </w:r>
      <w:bookmarkStart w:id="0" w:name="_GoBack"/>
      <w:bookmarkEnd w:id="0"/>
      <w:r>
        <w:rPr>
          <w:rFonts w:hint="eastAsia" w:ascii="仿宋_GB2312" w:hAnsi="宋体" w:eastAsia="仿宋_GB2312" w:cs="宋体"/>
          <w:kern w:val="0"/>
          <w:sz w:val="32"/>
          <w:szCs w:val="32"/>
        </w:rPr>
        <w:t>增加车辆运行费；公务接待费增加0万元，主要原因是严格执行区州八项规定压减公务接待费。</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九、关于昌吉州农业局部门2019年政府性基金预算拨款情况说明</w:t>
      </w:r>
    </w:p>
    <w:p>
      <w:pPr>
        <w:widowControl/>
        <w:spacing w:line="580" w:lineRule="exact"/>
        <w:ind w:firstLine="640"/>
        <w:jc w:val="left"/>
        <w:rPr>
          <w:rFonts w:ascii="方正仿宋_GBK" w:eastAsia="方正仿宋_GBK"/>
          <w:sz w:val="32"/>
          <w:szCs w:val="32"/>
        </w:rPr>
      </w:pPr>
      <w:r>
        <w:rPr>
          <w:rFonts w:hint="eastAsia" w:ascii="仿宋_GB2312" w:hAnsi="宋体" w:eastAsia="仿宋_GB2312" w:cs="宋体"/>
          <w:kern w:val="0"/>
          <w:sz w:val="32"/>
          <w:szCs w:val="32"/>
        </w:rPr>
        <w:t>昌吉州农业局部门2019年没有使用政府性基金预算拨款安排的支出，政府性基金预算支出情况表为空表。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2019年，昌吉州农业局本级及下属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家参公管理事业单位和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家事业单位的机关运行经费财政拨款预算85.27万元，比上年预算增加12.13万元，增长16.58%。主要原因是本年度单位有新</w:t>
      </w:r>
      <w:r>
        <w:rPr>
          <w:rFonts w:hint="eastAsia" w:ascii="仿宋_GB2312" w:hAnsi="宋体" w:eastAsia="仿宋_GB2312" w:cs="宋体"/>
          <w:kern w:val="0"/>
          <w:sz w:val="32"/>
          <w:szCs w:val="32"/>
          <w:lang w:val="en-US" w:eastAsia="zh-CN"/>
        </w:rPr>
        <w:t>进</w:t>
      </w:r>
      <w:r>
        <w:rPr>
          <w:rFonts w:hint="eastAsia" w:ascii="仿宋_GB2312" w:hAnsi="宋体" w:eastAsia="仿宋_GB2312" w:cs="宋体"/>
          <w:kern w:val="0"/>
          <w:sz w:val="32"/>
          <w:szCs w:val="32"/>
        </w:rPr>
        <w:t>人员。</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2019年，昌吉州农业局部门及下属单位政府采购预算114.49万元，其中：政府采购货物预算34.49万元，政府采购工程预算0 万元，政府采购服务预算80万元。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截至2018年底，昌吉州农业局部门及下属各预算单位占用使用国有资产总体情况为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1.房屋10232平方米，价值550.43万元。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sz w:val="32"/>
        </w:rPr>
        <w:t>车辆</w:t>
      </w:r>
      <w:r>
        <w:rPr>
          <w:rFonts w:hint="eastAsia" w:ascii="仿宋_GB2312" w:hAnsi="宋体" w:eastAsia="仿宋_GB2312"/>
          <w:sz w:val="32"/>
        </w:rPr>
        <w:t>5</w:t>
      </w:r>
      <w:r>
        <w:rPr>
          <w:rFonts w:ascii="仿宋_GB2312" w:hAnsi="宋体" w:eastAsia="仿宋_GB2312"/>
          <w:sz w:val="32"/>
        </w:rPr>
        <w:t>辆，价值</w:t>
      </w:r>
      <w:r>
        <w:rPr>
          <w:rFonts w:hint="eastAsia" w:ascii="仿宋_GB2312" w:hAnsi="宋体" w:eastAsia="仿宋_GB2312"/>
          <w:sz w:val="32"/>
        </w:rPr>
        <w:t>155.85</w:t>
      </w:r>
      <w:r>
        <w:rPr>
          <w:rFonts w:ascii="仿宋_GB2312" w:hAnsi="宋体" w:eastAsia="仿宋_GB2312"/>
          <w:sz w:val="32"/>
        </w:rPr>
        <w:t>万元；其中：一般公务用车</w:t>
      </w:r>
      <w:r>
        <w:rPr>
          <w:rFonts w:hint="eastAsia" w:ascii="仿宋_GB2312" w:hAnsi="宋体" w:eastAsia="仿宋_GB2312"/>
          <w:sz w:val="32"/>
        </w:rPr>
        <w:t>5</w:t>
      </w:r>
      <w:r>
        <w:rPr>
          <w:rFonts w:ascii="仿宋_GB2312" w:hAnsi="宋体" w:eastAsia="仿宋_GB2312"/>
          <w:sz w:val="32"/>
        </w:rPr>
        <w:t>辆，价值</w:t>
      </w:r>
      <w:r>
        <w:rPr>
          <w:rFonts w:hint="eastAsia" w:ascii="仿宋_GB2312" w:hAnsi="宋体" w:eastAsia="仿宋_GB2312"/>
          <w:sz w:val="32"/>
        </w:rPr>
        <w:t>155.85</w:t>
      </w:r>
      <w:r>
        <w:rPr>
          <w:rFonts w:ascii="仿宋_GB2312" w:hAnsi="宋体" w:eastAsia="仿宋_GB2312"/>
          <w:sz w:val="32"/>
        </w:rPr>
        <w:t xml:space="preserve">万元；执法执勤用车 0辆，价值0万元；其他车辆 </w:t>
      </w:r>
      <w:r>
        <w:rPr>
          <w:rFonts w:hint="eastAsia" w:ascii="仿宋_GB2312" w:hAnsi="宋体" w:eastAsia="仿宋_GB2312"/>
          <w:sz w:val="32"/>
        </w:rPr>
        <w:t>0</w:t>
      </w:r>
      <w:r>
        <w:rPr>
          <w:rFonts w:ascii="仿宋_GB2312" w:hAnsi="宋体" w:eastAsia="仿宋_GB2312"/>
          <w:sz w:val="32"/>
        </w:rPr>
        <w:t>辆，价值</w:t>
      </w:r>
      <w:r>
        <w:rPr>
          <w:rFonts w:hint="eastAsia" w:ascii="仿宋_GB2312" w:hAnsi="宋体" w:eastAsia="仿宋_GB2312"/>
          <w:sz w:val="32"/>
        </w:rPr>
        <w:t>0</w:t>
      </w:r>
      <w:r>
        <w:rPr>
          <w:rFonts w:ascii="仿宋_GB2312" w:hAnsi="宋体" w:eastAsia="仿宋_GB2312"/>
          <w:sz w:val="32"/>
        </w:rPr>
        <w:t xml:space="preserve"> 万元。</w:t>
      </w:r>
      <w:r>
        <w:rPr>
          <w:rFonts w:hint="eastAsia" w:ascii="仿宋_GB2312" w:hAnsi="宋体" w:eastAsia="仿宋_GB2312"/>
          <w:sz w:val="32"/>
        </w:rPr>
        <w:t xml:space="preserve">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3.办公家具价值26.46万元。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4.其他资产价值196.44万元。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2019年度，本年度实行绩效管理的项目0个，涉及预算金额0万元。具体情况见下表：</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sectPr>
          <w:pgSz w:w="11906" w:h="16838"/>
          <w:pgMar w:top="1440" w:right="1800" w:bottom="1440" w:left="1800" w:header="851" w:footer="992" w:gutter="0"/>
          <w:cols w:space="720" w:num="1"/>
          <w:docGrid w:type="lines" w:linePitch="312" w:charSpace="0"/>
        </w:sectPr>
      </w:pPr>
    </w:p>
    <w:tbl>
      <w:tblPr>
        <w:tblStyle w:val="4"/>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XX单位</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XXXXX</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411" w:firstLineChars="196"/>
        <w:jc w:val="left"/>
        <w:sectPr>
          <w:pgSz w:w="16838" w:h="11906" w:orient="landscape"/>
          <w:pgMar w:top="1800" w:right="1440" w:bottom="1800" w:left="1440" w:header="851" w:footer="992" w:gutter="0"/>
          <w:cols w:space="720"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ascii="仿宋_GB2312" w:hAnsi="宋体" w:eastAsia="仿宋_GB2312"/>
          <w:sz w:val="32"/>
        </w:rPr>
        <w:t>无其他需说明的事项。</w:t>
      </w:r>
      <w:r>
        <w:rPr>
          <w:rFonts w:hint="eastAsia" w:ascii="仿宋_GB2312" w:hAnsi="宋体" w:eastAsia="仿宋_GB2312" w:cs="宋体"/>
          <w:kern w:val="0"/>
          <w:sz w:val="32"/>
          <w:szCs w:val="32"/>
        </w:rPr>
        <w:t xml:space="preserve">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0"/>
        <w:rPr>
          <w:rFonts w:ascii="仿宋_GB2312" w:eastAsia="仿宋_GB2312"/>
          <w:b/>
          <w:szCs w:val="20"/>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righ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righ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昌吉州农业局                         </w:t>
      </w:r>
    </w:p>
    <w:p>
      <w:pPr>
        <w:widowControl/>
        <w:spacing w:line="56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ialog">
    <w:altName w:val="Times New Roman"/>
    <w:panose1 w:val="00000000000000000000"/>
    <w:charset w:val="01"/>
    <w:family w:val="auto"/>
    <w:pitch w:val="default"/>
    <w:sig w:usb0="00000000" w:usb1="00000000" w:usb2="00000000"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方正仿宋_GBK">
    <w:altName w:val="微软雅黑"/>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28</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B2C"/>
    <w:rsid w:val="000F0EC9"/>
    <w:rsid w:val="0033242C"/>
    <w:rsid w:val="003968F4"/>
    <w:rsid w:val="005A115E"/>
    <w:rsid w:val="00613B2C"/>
    <w:rsid w:val="00771E0D"/>
    <w:rsid w:val="00FF28BA"/>
    <w:rsid w:val="101C3C46"/>
    <w:rsid w:val="11064978"/>
    <w:rsid w:val="1980247D"/>
    <w:rsid w:val="204E4643"/>
    <w:rsid w:val="253E1590"/>
    <w:rsid w:val="2C8F035D"/>
    <w:rsid w:val="2F151113"/>
    <w:rsid w:val="2F2452B4"/>
    <w:rsid w:val="4046638C"/>
    <w:rsid w:val="4DFE6AD4"/>
    <w:rsid w:val="554668DA"/>
    <w:rsid w:val="623D4C50"/>
    <w:rsid w:val="657D195B"/>
    <w:rsid w:val="673D61DC"/>
    <w:rsid w:val="70407F07"/>
    <w:rsid w:val="71490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character" w:customStyle="1" w:styleId="7">
    <w:name w:val="页脚 Char"/>
    <w:link w:val="2"/>
    <w:semiHidden/>
    <w:qFormat/>
    <w:uiPriority w:val="0"/>
    <w:rPr>
      <w:rFonts w:ascii="Times New Roman" w:hAnsi="Times New Roman" w:eastAsia="黑体" w:cs="Times New Roman"/>
      <w:snapToGrid w:val="0"/>
      <w:kern w:val="0"/>
      <w:sz w:val="18"/>
      <w:szCs w:val="18"/>
    </w:rPr>
  </w:style>
  <w:style w:type="character" w:customStyle="1" w:styleId="8">
    <w:name w:val="页眉 Char"/>
    <w:link w:val="3"/>
    <w:semiHidden/>
    <w:qFormat/>
    <w:uiPriority w:val="0"/>
    <w:rPr>
      <w:rFonts w:ascii="Times New Roman" w:hAnsi="Times New Roman" w:eastAsia="宋体" w:cs="Times New Roman"/>
      <w:sz w:val="18"/>
      <w:szCs w:val="18"/>
    </w:rPr>
  </w:style>
  <w:style w:type="character" w:customStyle="1" w:styleId="9">
    <w:name w:val="正文文本缩进 3 Char"/>
    <w:link w:val="10"/>
    <w:semiHidden/>
    <w:qFormat/>
    <w:uiPriority w:val="0"/>
    <w:rPr>
      <w:rFonts w:ascii="Times New Roman" w:hAnsi="Times New Roman" w:eastAsia="仿宋_GB2312" w:cs="Times New Roman"/>
      <w:sz w:val="32"/>
      <w:szCs w:val="24"/>
    </w:rPr>
  </w:style>
  <w:style w:type="paragraph" w:customStyle="1" w:styleId="10">
    <w:name w:val="正文文本缩进 31"/>
    <w:basedOn w:val="1"/>
    <w:link w:val="9"/>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1">
    <w:name w:val="批注框文本 Char Char"/>
    <w:basedOn w:val="1"/>
    <w:link w:val="18"/>
    <w:qFormat/>
    <w:uiPriority w:val="0"/>
    <w:rPr>
      <w:sz w:val="18"/>
      <w:szCs w:val="18"/>
    </w:rPr>
  </w:style>
  <w:style w:type="paragraph" w:customStyle="1" w:styleId="12">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3">
    <w:name w:val="列出段落1"/>
    <w:basedOn w:val="1"/>
    <w:qFormat/>
    <w:uiPriority w:val="0"/>
    <w:pPr>
      <w:ind w:firstLine="420" w:firstLineChars="200"/>
    </w:pPr>
    <w:rPr>
      <w:rFonts w:ascii="Calibri" w:hAnsi="Calibri"/>
      <w:szCs w:val="22"/>
    </w:rPr>
  </w:style>
  <w:style w:type="paragraph" w:customStyle="1" w:styleId="14">
    <w:name w:val="普通(网站)1"/>
    <w:basedOn w:val="1"/>
    <w:qFormat/>
    <w:uiPriority w:val="0"/>
    <w:rPr>
      <w:rFonts w:ascii="Calibri" w:hAnsi="Calibri" w:cs="黑体"/>
      <w:sz w:val="24"/>
    </w:rPr>
  </w:style>
  <w:style w:type="paragraph" w:customStyle="1" w:styleId="15">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普通(网站)21"/>
    <w:basedOn w:val="1"/>
    <w:qFormat/>
    <w:uiPriority w:val="0"/>
    <w:rPr>
      <w:rFonts w:ascii="Calibri" w:hAnsi="Calibri" w:cs="黑体"/>
      <w:sz w:val="24"/>
    </w:rPr>
  </w:style>
  <w:style w:type="paragraph" w:customStyle="1" w:styleId="17">
    <w:name w:val="普通(网站)3"/>
    <w:basedOn w:val="1"/>
    <w:qFormat/>
    <w:uiPriority w:val="0"/>
    <w:rPr>
      <w:rFonts w:ascii="Calibri" w:hAnsi="Calibri" w:cs="黑体"/>
      <w:sz w:val="24"/>
    </w:rPr>
  </w:style>
  <w:style w:type="character" w:customStyle="1" w:styleId="18">
    <w:name w:val="批注框文本 Char Char Char Char"/>
    <w:link w:val="11"/>
    <w:semiHidden/>
    <w:qFormat/>
    <w:uiPriority w:val="0"/>
    <w:rPr>
      <w:rFonts w:ascii="Times New Roman" w:hAnsi="Times New Roman" w:eastAsia="宋体" w:cs="Times New Roman"/>
      <w:sz w:val="18"/>
      <w:szCs w:val="18"/>
    </w:rPr>
  </w:style>
  <w:style w:type="character" w:customStyle="1" w:styleId="19">
    <w:name w:val="页码1"/>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28</Pages>
  <Words>2297</Words>
  <Characters>13096</Characters>
  <Lines>109</Lines>
  <Paragraphs>30</Paragraphs>
  <TotalTime>1</TotalTime>
  <ScaleCrop>false</ScaleCrop>
  <LinksUpToDate>false</LinksUpToDate>
  <CharactersWithSpaces>15363</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2019-01-17T02:37:00Z</dcterms:created>
  <dc:creator>王怡</dc:creator>
  <cp:lastModifiedBy>ken</cp:lastModifiedBy>
  <dcterms:modified xsi:type="dcterms:W3CDTF">2021-05-28T02:51:16Z</dcterms:modified>
  <dc:title>闫超</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