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简体" w:hAnsi="方正小标宋简体" w:eastAsia="方正小标宋简体" w:cs="方正小标宋简体"/>
          <w:kern w:val="0"/>
          <w:sz w:val="44"/>
          <w:szCs w:val="44"/>
        </w:rPr>
      </w:pPr>
      <w:r>
        <w:rPr>
          <w:rFonts w:hint="eastAsia" w:ascii="方正小标宋简体" w:hAnsi="方正小标宋简体" w:eastAsia="方正小标宋简体" w:cs="方正小标宋简体"/>
          <w:kern w:val="0"/>
          <w:sz w:val="44"/>
          <w:szCs w:val="44"/>
        </w:rPr>
        <w:t>昌吉州机关工委2020年部门预算公开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p>
    <w:p>
      <w:pPr>
        <w:widowControl/>
        <w:spacing w:line="500" w:lineRule="exact"/>
        <w:jc w:val="center"/>
        <w:outlineLvl w:val="1"/>
        <w:rPr>
          <w:rFonts w:ascii="黑体" w:hAnsi="黑体" w:eastAsia="黑体"/>
          <w:kern w:val="0"/>
          <w:sz w:val="44"/>
          <w:szCs w:val="44"/>
        </w:rPr>
      </w:pPr>
    </w:p>
    <w:p>
      <w:pPr>
        <w:widowControl/>
        <w:spacing w:line="500" w:lineRule="exact"/>
        <w:jc w:val="center"/>
        <w:outlineLvl w:val="1"/>
        <w:rPr>
          <w:rFonts w:ascii="黑体" w:hAnsi="黑体" w:eastAsia="黑体"/>
          <w:kern w:val="0"/>
          <w:sz w:val="44"/>
          <w:szCs w:val="44"/>
        </w:rPr>
      </w:pPr>
    </w:p>
    <w:p>
      <w:pPr>
        <w:widowControl/>
        <w:spacing w:line="500" w:lineRule="exact"/>
        <w:jc w:val="center"/>
        <w:outlineLvl w:val="1"/>
        <w:rPr>
          <w:rFonts w:ascii="黑体" w:hAnsi="黑体" w:eastAsia="黑体"/>
          <w:kern w:val="0"/>
          <w:sz w:val="44"/>
          <w:szCs w:val="44"/>
        </w:rPr>
      </w:pPr>
    </w:p>
    <w:p>
      <w:pPr>
        <w:widowControl/>
        <w:spacing w:line="500" w:lineRule="exact"/>
        <w:jc w:val="center"/>
        <w:outlineLvl w:val="1"/>
        <w:rPr>
          <w:rFonts w:ascii="黑体" w:hAnsi="黑体" w:eastAsia="黑体"/>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昌吉州机关工委单位概况</w:t>
      </w:r>
    </w:p>
    <w:p>
      <w:pPr>
        <w:widowControl/>
        <w:spacing w:line="44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4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b/>
          <w:kern w:val="0"/>
          <w:sz w:val="32"/>
          <w:szCs w:val="32"/>
        </w:rPr>
        <w:t>2020</w:t>
      </w:r>
      <w:r>
        <w:rPr>
          <w:rFonts w:hint="eastAsia" w:ascii="仿宋_GB2312" w:hAnsi="宋体" w:eastAsia="仿宋_GB2312"/>
          <w:b/>
          <w:kern w:val="0"/>
          <w:sz w:val="32"/>
          <w:szCs w:val="32"/>
        </w:rPr>
        <w:t>年部门预算公开表</w:t>
      </w:r>
    </w:p>
    <w:p>
      <w:pPr>
        <w:widowControl/>
        <w:spacing w:line="44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4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4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4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4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4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4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4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4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b/>
          <w:kern w:val="0"/>
          <w:sz w:val="32"/>
          <w:szCs w:val="32"/>
        </w:rPr>
        <w:t>2020</w:t>
      </w:r>
      <w:r>
        <w:rPr>
          <w:rFonts w:hint="eastAsia" w:ascii="仿宋_GB2312" w:hAnsi="宋体" w:eastAsia="仿宋_GB2312"/>
          <w:b/>
          <w:kern w:val="0"/>
          <w:sz w:val="32"/>
          <w:szCs w:val="32"/>
        </w:rPr>
        <w:t>年部门预算情况说明</w:t>
      </w:r>
    </w:p>
    <w:p>
      <w:pPr>
        <w:widowControl/>
        <w:spacing w:line="44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一、关于昌吉州机关工委2020年收支预算情况的总体说明</w:t>
      </w:r>
    </w:p>
    <w:p>
      <w:pPr>
        <w:widowControl/>
        <w:spacing w:line="44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二、关于昌吉州机关工委收入预算情况说明</w:t>
      </w:r>
    </w:p>
    <w:p>
      <w:pPr>
        <w:widowControl/>
        <w:spacing w:line="44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三、关于昌吉州机关工委支出预算情况说明</w:t>
      </w:r>
    </w:p>
    <w:p>
      <w:pPr>
        <w:widowControl/>
        <w:spacing w:line="44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四、关于昌吉州机关工委2020年财政拨款收支预算情况的总体说明</w:t>
      </w:r>
    </w:p>
    <w:p>
      <w:pPr>
        <w:widowControl/>
        <w:spacing w:line="44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五、关于昌吉州机关工委2020年一般公共预算当年拨款情况说明</w:t>
      </w:r>
    </w:p>
    <w:p>
      <w:pPr>
        <w:widowControl/>
        <w:spacing w:line="44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六、关于昌吉州机关工委2020年一般公共预算基本支出情况说明</w:t>
      </w:r>
    </w:p>
    <w:p>
      <w:pPr>
        <w:widowControl/>
        <w:spacing w:line="44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七、关于昌吉州机关工委2020年项目支出情况说明</w:t>
      </w:r>
    </w:p>
    <w:p>
      <w:pPr>
        <w:widowControl/>
        <w:spacing w:line="44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八、关于昌吉州机关工委2020年一般公共预算“三公”经费预算情况说明</w:t>
      </w:r>
    </w:p>
    <w:p>
      <w:pPr>
        <w:widowControl/>
        <w:spacing w:line="44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九、关于昌吉州机关工委2020年政府性基金预算拨款情况说明</w:t>
      </w:r>
    </w:p>
    <w:p>
      <w:pPr>
        <w:widowControl/>
        <w:spacing w:line="44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560" w:lineRule="exact"/>
        <w:ind w:firstLine="1920" w:firstLineChars="600"/>
        <w:outlineLvl w:val="1"/>
        <w:rPr>
          <w:rFonts w:ascii="黑体" w:hAnsi="黑体" w:eastAsia="黑体"/>
          <w:kern w:val="0"/>
          <w:sz w:val="32"/>
          <w:szCs w:val="32"/>
        </w:rPr>
      </w:pPr>
      <w:r>
        <w:rPr>
          <w:rFonts w:hint="eastAsia" w:ascii="黑体" w:hAnsi="黑体" w:eastAsia="黑体"/>
          <w:kern w:val="0"/>
          <w:sz w:val="32"/>
          <w:szCs w:val="32"/>
        </w:rPr>
        <w:t>第一部分   昌吉州机关工委单位概况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ascii="仿宋_GB2312" w:hAnsi="仿宋_GB2312" w:eastAsia="仿宋_GB2312" w:cs="仿宋_GB2312"/>
          <w:b/>
          <w:bCs/>
          <w:color w:val="2B2B2B"/>
          <w:sz w:val="32"/>
          <w:szCs w:val="32"/>
          <w:shd w:val="clear" w:color="auto" w:fill="FFFFFF"/>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１、领导自治州直属机关党的工作，按照《中国共产党党和国家机关基层组织工作条例》的规定及中央、自治区、州党委的部署，结合机关实际，对机关党的工作作出规划；对下级机关党的工作进行业务指导。</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２、搞好调查研究，提出加强和改进自治州机关党的工作的措施和意见。</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３、审批州直机关党委、直属党总支部、党支部的建立；审批州直机关党组织领导班子成员的任免；负责州直机关党委和直属党（总）支部书记、副书记、委员的培训工作。</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４、监督检查州直各部门、各单位机关党组织切实履行职责、落实好党的工作的各项任务的情况。</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５、按照自治区党委和州党委的要求，指导机关各级党组织搞好思想、组织、作风、制度和反腐倡廉建设，做好党员管理教育工作。</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６、指导州直机关党组织做好思想政治工作。</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７、指导州直机关党组织做好发展新党员工作；负责直属党总支部、支部发展党员工作；组织州直机关科级党员干部的培训以及入党积极分子的培训工作。</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８、按照有关规定，领导州直机关党组织的纪律检查工作，审核、审批职责范围的党员违反党纪的处分和有关党员的组织处理问题。</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９、定期听取汇报，对州直机关党组织工作状况进行届中、届满考核；指导州直机关党组织实施对党员特别是党员领导干部的监督，定期了解各部门党员和群众对部门领导干部的意见，及时向自治州党委反映各部门领导班子和领导干部抓党建工作责任制的情况和问题。</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rPr>
        <w:t>　　10、领导州直机关工会、共青团工作，并按照其各自的章程开展工作。</w:t>
      </w:r>
    </w:p>
    <w:p>
      <w:pPr>
        <w:spacing w:line="560" w:lineRule="exact"/>
        <w:rPr>
          <w:rFonts w:ascii="仿宋_GB2312" w:hAnsi="仿宋_GB2312" w:eastAsia="仿宋_GB2312" w:cs="仿宋_GB2312"/>
          <w:color w:val="2B2B2B"/>
          <w:sz w:val="32"/>
          <w:szCs w:val="32"/>
          <w:shd w:val="clear" w:color="auto" w:fill="FFFFFF"/>
        </w:rPr>
      </w:pPr>
      <w:r>
        <w:rPr>
          <w:rFonts w:hint="eastAsia" w:ascii="仿宋_GB2312" w:hAnsi="仿宋_GB2312" w:eastAsia="仿宋_GB2312" w:cs="仿宋_GB2312"/>
          <w:sz w:val="32"/>
          <w:szCs w:val="32"/>
        </w:rPr>
        <w:t>　　１、完成自治州党委交办的其它工作。</w:t>
      </w:r>
    </w:p>
    <w:p>
      <w:pPr>
        <w:widowControl/>
        <w:spacing w:line="560" w:lineRule="exact"/>
        <w:ind w:firstLine="640" w:firstLineChars="200"/>
        <w:jc w:val="left"/>
        <w:rPr>
          <w:rFonts w:ascii="仿宋_GB2312" w:hAnsi="黑体" w:eastAsia="仿宋_GB2312" w:cs="宋体"/>
          <w:bCs/>
          <w:kern w:val="0"/>
          <w:sz w:val="32"/>
          <w:szCs w:val="32"/>
        </w:rPr>
      </w:pPr>
      <w:r>
        <w:rPr>
          <w:rFonts w:hint="eastAsia" w:ascii="黑体" w:hAnsi="黑体" w:eastAsia="黑体" w:cs="宋体"/>
          <w:bCs/>
          <w:kern w:val="0"/>
          <w:sz w:val="32"/>
          <w:szCs w:val="32"/>
        </w:rPr>
        <w:t>二、机构设置及人员情况</w:t>
      </w:r>
    </w:p>
    <w:p>
      <w:pPr>
        <w:widowControl/>
        <w:spacing w:line="560" w:lineRule="exact"/>
        <w:ind w:firstLine="645"/>
        <w:jc w:val="left"/>
        <w:rPr>
          <w:rFonts w:ascii="仿宋_GB2312" w:hAnsi="黑体" w:eastAsia="仿宋_GB2312" w:cs="宋体"/>
          <w:bCs/>
          <w:kern w:val="0"/>
          <w:sz w:val="32"/>
          <w:szCs w:val="32"/>
        </w:rPr>
      </w:pPr>
      <w:r>
        <w:rPr>
          <w:rFonts w:hint="eastAsia" w:ascii="仿宋_GB2312" w:hAnsi="黑体" w:eastAsia="仿宋_GB2312" w:cs="宋体"/>
          <w:bCs/>
          <w:kern w:val="0"/>
          <w:sz w:val="32"/>
          <w:szCs w:val="32"/>
        </w:rPr>
        <w:t>昌吉州机关工委无下属预算单位，下设3个派出机构3个内设机构，分别是：州直机关纪工委、州直机关工会、州直机关团工委；办公室、组织科、宣传科。</w:t>
      </w:r>
    </w:p>
    <w:p>
      <w:pPr>
        <w:widowControl/>
        <w:spacing w:line="560" w:lineRule="exact"/>
        <w:ind w:firstLine="645"/>
        <w:jc w:val="left"/>
        <w:rPr>
          <w:rFonts w:ascii="黑体" w:hAnsi="黑体" w:eastAsia="黑体"/>
          <w:kern w:val="0"/>
          <w:sz w:val="32"/>
          <w:szCs w:val="32"/>
          <w:highlight w:val="none"/>
        </w:rPr>
      </w:pPr>
      <w:r>
        <w:rPr>
          <w:rFonts w:hint="eastAsia" w:ascii="仿宋_GB2312" w:hAnsi="黑体" w:eastAsia="仿宋_GB2312" w:cs="宋体"/>
          <w:bCs/>
          <w:kern w:val="0"/>
          <w:sz w:val="32"/>
          <w:szCs w:val="32"/>
          <w:highlight w:val="none"/>
        </w:rPr>
        <w:t>单位编制数11 ，实有人数 19人，其中：在职11人，</w:t>
      </w:r>
      <w:r>
        <w:rPr>
          <w:rFonts w:hint="eastAsia" w:ascii="仿宋_GB2312" w:hAnsi="宋体" w:eastAsia="仿宋_GB2312" w:cs="宋体"/>
          <w:kern w:val="0"/>
          <w:sz w:val="32"/>
          <w:szCs w:val="32"/>
          <w:highlight w:val="none"/>
        </w:rPr>
        <w:t>增加1人；退休8人，增加或减少 0人</w:t>
      </w:r>
      <w:r>
        <w:rPr>
          <w:rFonts w:hint="eastAsia" w:ascii="仿宋_GB2312" w:hAnsi="仿宋_GB2312" w:eastAsia="仿宋_GB2312" w:cs="仿宋_GB2312"/>
          <w:color w:val="2B2B2B"/>
          <w:sz w:val="32"/>
          <w:szCs w:val="32"/>
          <w:highlight w:val="none"/>
          <w:shd w:val="clear" w:color="auto" w:fill="FFFFFF"/>
        </w:rPr>
        <w:t>。</w:t>
      </w:r>
    </w:p>
    <w:p>
      <w:pPr>
        <w:widowControl/>
        <w:spacing w:before="120" w:beforeLines="50" w:line="560" w:lineRule="exact"/>
        <w:ind w:firstLine="2080" w:firstLineChars="650"/>
        <w:outlineLvl w:val="1"/>
        <w:rPr>
          <w:rFonts w:ascii="黑体" w:hAnsi="黑体" w:eastAsia="黑体"/>
          <w:kern w:val="0"/>
          <w:sz w:val="32"/>
          <w:szCs w:val="32"/>
        </w:rPr>
      </w:pPr>
    </w:p>
    <w:p>
      <w:pPr>
        <w:widowControl/>
        <w:spacing w:before="120" w:beforeLines="50" w:line="560" w:lineRule="exact"/>
        <w:ind w:firstLine="2080" w:firstLineChars="650"/>
        <w:outlineLvl w:val="1"/>
        <w:rPr>
          <w:rFonts w:ascii="黑体" w:hAnsi="黑体" w:eastAsia="黑体"/>
          <w:kern w:val="0"/>
          <w:sz w:val="32"/>
          <w:szCs w:val="32"/>
        </w:rPr>
      </w:pPr>
    </w:p>
    <w:p>
      <w:pPr>
        <w:widowControl/>
        <w:spacing w:before="120" w:beforeLines="50" w:line="560" w:lineRule="exact"/>
        <w:ind w:firstLine="2080" w:firstLineChars="650"/>
        <w:outlineLvl w:val="1"/>
        <w:rPr>
          <w:rFonts w:ascii="黑体" w:hAnsi="黑体" w:eastAsia="黑体"/>
          <w:kern w:val="0"/>
          <w:sz w:val="32"/>
          <w:szCs w:val="32"/>
        </w:rPr>
      </w:pPr>
    </w:p>
    <w:p>
      <w:pPr>
        <w:widowControl/>
        <w:spacing w:before="120" w:beforeLines="50" w:line="560" w:lineRule="exact"/>
        <w:ind w:firstLine="2080" w:firstLineChars="650"/>
        <w:outlineLvl w:val="1"/>
        <w:rPr>
          <w:rFonts w:ascii="黑体" w:hAnsi="黑体" w:eastAsia="黑体"/>
          <w:kern w:val="0"/>
          <w:sz w:val="32"/>
          <w:szCs w:val="32"/>
        </w:rPr>
      </w:pPr>
    </w:p>
    <w:p>
      <w:pPr>
        <w:widowControl/>
        <w:spacing w:before="120" w:beforeLines="50" w:line="560" w:lineRule="exact"/>
        <w:ind w:firstLine="2080" w:firstLineChars="650"/>
        <w:outlineLvl w:val="1"/>
        <w:rPr>
          <w:rFonts w:ascii="黑体" w:hAnsi="黑体" w:eastAsia="黑体"/>
          <w:kern w:val="0"/>
          <w:sz w:val="32"/>
          <w:szCs w:val="32"/>
        </w:rPr>
      </w:pPr>
    </w:p>
    <w:p>
      <w:pPr>
        <w:widowControl/>
        <w:spacing w:before="120" w:beforeLines="50"/>
        <w:ind w:firstLine="2080" w:firstLineChars="650"/>
        <w:outlineLvl w:val="1"/>
        <w:rPr>
          <w:rFonts w:ascii="黑体" w:hAnsi="黑体" w:eastAsia="黑体"/>
          <w:kern w:val="0"/>
          <w:sz w:val="32"/>
          <w:szCs w:val="32"/>
        </w:rPr>
      </w:pPr>
    </w:p>
    <w:p>
      <w:pPr>
        <w:widowControl/>
        <w:spacing w:before="120" w:beforeLines="50"/>
        <w:ind w:firstLine="2080" w:firstLineChars="650"/>
        <w:outlineLvl w:val="1"/>
        <w:rPr>
          <w:rFonts w:ascii="黑体" w:hAnsi="黑体" w:eastAsia="黑体"/>
          <w:kern w:val="0"/>
          <w:sz w:val="32"/>
          <w:szCs w:val="32"/>
        </w:rPr>
      </w:pPr>
    </w:p>
    <w:p>
      <w:pPr>
        <w:widowControl/>
        <w:spacing w:before="120" w:beforeLines="50"/>
        <w:ind w:firstLine="2080" w:firstLineChars="650"/>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编制部门：昌吉州机关工委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217.03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tabs>
                <w:tab w:val="left" w:pos="293"/>
                <w:tab w:val="right" w:pos="1785"/>
              </w:tabs>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ab/>
            </w:r>
            <w:r>
              <w:rPr>
                <w:rFonts w:hint="eastAsia" w:ascii="仿宋_GB2312" w:hAnsi="宋体" w:eastAsia="仿宋_GB2312" w:cs="宋体"/>
                <w:kern w:val="0"/>
                <w:sz w:val="18"/>
                <w:szCs w:val="18"/>
              </w:rPr>
              <w:t>217.03</w:t>
            </w:r>
            <w:r>
              <w:rPr>
                <w:rFonts w:hint="eastAsia" w:ascii="仿宋_GB2312" w:hAnsi="宋体" w:eastAsia="仿宋_GB2312" w:cs="宋体"/>
                <w:kern w:val="0"/>
                <w:sz w:val="18"/>
                <w:szCs w:val="18"/>
              </w:rPr>
              <w:tab/>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217.03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39"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217.03</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rPr>
              <w:t>217.03</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ind w:right="540"/>
              <w:rPr>
                <w:rFonts w:ascii="仿宋_GB2312" w:hAnsi="宋体" w:eastAsia="仿宋_GB2312" w:cs="宋体"/>
                <w:kern w:val="0"/>
                <w:sz w:val="18"/>
                <w:szCs w:val="18"/>
              </w:rPr>
            </w:pPr>
            <w:r>
              <w:rPr>
                <w:rFonts w:hint="eastAsia"/>
              </w:rPr>
              <w:t>217.03</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ind w:right="360"/>
              <w:rPr>
                <w:rFonts w:ascii="仿宋_GB2312" w:hAnsi="宋体" w:eastAsia="仿宋_GB2312" w:cs="宋体"/>
                <w:kern w:val="0"/>
                <w:sz w:val="18"/>
                <w:szCs w:val="18"/>
              </w:rPr>
            </w:pPr>
            <w:r>
              <w:rPr>
                <w:rFonts w:hint="eastAsia" w:ascii="仿宋_GB2312" w:hAnsi="宋体" w:eastAsia="仿宋_GB2312" w:cs="宋体"/>
                <w:kern w:val="0"/>
                <w:sz w:val="18"/>
                <w:szCs w:val="18"/>
              </w:rPr>
              <w:t>217.03</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  昌吉州机关工委                          单位：万元</w:t>
      </w:r>
    </w:p>
    <w:tbl>
      <w:tblPr>
        <w:tblStyle w:val="7"/>
        <w:tblW w:w="9654" w:type="dxa"/>
        <w:tblInd w:w="93" w:type="dxa"/>
        <w:tblLayout w:type="fixed"/>
        <w:tblCellMar>
          <w:top w:w="0" w:type="dxa"/>
          <w:left w:w="108" w:type="dxa"/>
          <w:bottom w:w="0" w:type="dxa"/>
          <w:right w:w="108" w:type="dxa"/>
        </w:tblCellMar>
      </w:tblPr>
      <w:tblGrid>
        <w:gridCol w:w="582"/>
        <w:gridCol w:w="567"/>
        <w:gridCol w:w="567"/>
        <w:gridCol w:w="1680"/>
        <w:gridCol w:w="1155"/>
        <w:gridCol w:w="1073"/>
        <w:gridCol w:w="345"/>
        <w:gridCol w:w="567"/>
        <w:gridCol w:w="567"/>
        <w:gridCol w:w="513"/>
        <w:gridCol w:w="680"/>
        <w:gridCol w:w="680"/>
        <w:gridCol w:w="678"/>
      </w:tblGrid>
      <w:tr>
        <w:tblPrEx>
          <w:tblLayout w:type="fixed"/>
          <w:tblCellMar>
            <w:top w:w="0" w:type="dxa"/>
            <w:left w:w="108" w:type="dxa"/>
            <w:bottom w:w="0" w:type="dxa"/>
            <w:right w:w="108" w:type="dxa"/>
          </w:tblCellMar>
        </w:tblPrEx>
        <w:trPr>
          <w:trHeight w:val="510" w:hRule="atLeast"/>
        </w:trPr>
        <w:tc>
          <w:tcPr>
            <w:tcW w:w="1716"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15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107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3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56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567"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51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5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07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3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67"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1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201</w:t>
            </w:r>
          </w:p>
        </w:tc>
        <w:tc>
          <w:tcPr>
            <w:tcW w:w="567"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36</w:t>
            </w:r>
          </w:p>
        </w:tc>
        <w:tc>
          <w:tcPr>
            <w:tcW w:w="567"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01</w:t>
            </w:r>
          </w:p>
        </w:tc>
        <w:tc>
          <w:tcPr>
            <w:tcW w:w="1680" w:type="dxa"/>
            <w:tcBorders>
              <w:top w:val="nil"/>
              <w:left w:val="nil"/>
              <w:bottom w:val="single" w:color="auto" w:sz="4" w:space="0"/>
              <w:right w:val="single" w:color="auto" w:sz="4" w:space="0"/>
            </w:tcBorders>
            <w:shd w:val="clear" w:color="auto" w:fill="auto"/>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行政运行</w:t>
            </w:r>
          </w:p>
        </w:tc>
        <w:tc>
          <w:tcPr>
            <w:tcW w:w="1155" w:type="dxa"/>
            <w:tcBorders>
              <w:top w:val="nil"/>
              <w:left w:val="nil"/>
              <w:bottom w:val="single" w:color="auto" w:sz="4" w:space="0"/>
              <w:right w:val="single" w:color="auto" w:sz="4" w:space="0"/>
            </w:tcBorders>
            <w:shd w:val="clear" w:color="000000" w:fill="FFFFFF"/>
            <w:vAlign w:val="center"/>
          </w:tcPr>
          <w:p>
            <w:pPr>
              <w:widowControl/>
              <w:jc w:val="right"/>
              <w:textAlignment w:val="center"/>
              <w:rPr>
                <w:rFonts w:ascii="仿宋_GB2312" w:eastAsia="仿宋_GB2312"/>
                <w:color w:val="000000"/>
                <w:sz w:val="20"/>
                <w:szCs w:val="20"/>
              </w:rPr>
            </w:pPr>
            <w:r>
              <w:rPr>
                <w:rFonts w:ascii="Dialog" w:hAnsi="Dialog" w:eastAsia="Dialog" w:cs="Dialog"/>
                <w:color w:val="000000"/>
                <w:kern w:val="0"/>
                <w:sz w:val="24"/>
                <w:lang w:bidi="ar"/>
              </w:rPr>
              <w:t>166.</w:t>
            </w:r>
            <w:r>
              <w:rPr>
                <w:rFonts w:hint="eastAsia" w:ascii="Dialog" w:hAnsi="Dialog" w:eastAsia="Dialog" w:cs="Dialog"/>
                <w:color w:val="000000"/>
                <w:kern w:val="0"/>
                <w:sz w:val="24"/>
                <w:lang w:bidi="ar"/>
              </w:rPr>
              <w:t>0</w:t>
            </w:r>
            <w:r>
              <w:rPr>
                <w:rFonts w:ascii="Dialog" w:hAnsi="Dialog" w:eastAsia="Dialog" w:cs="Dialog"/>
                <w:color w:val="000000"/>
                <w:kern w:val="0"/>
                <w:sz w:val="24"/>
                <w:lang w:bidi="ar"/>
              </w:rPr>
              <w:t>3</w:t>
            </w:r>
          </w:p>
        </w:tc>
        <w:tc>
          <w:tcPr>
            <w:tcW w:w="1073" w:type="dxa"/>
            <w:tcBorders>
              <w:top w:val="nil"/>
              <w:left w:val="nil"/>
              <w:bottom w:val="single" w:color="auto" w:sz="4" w:space="0"/>
              <w:right w:val="single" w:color="auto" w:sz="4" w:space="0"/>
            </w:tcBorders>
            <w:shd w:val="clear" w:color="000000" w:fill="FFFFFF"/>
            <w:vAlign w:val="center"/>
          </w:tcPr>
          <w:p>
            <w:pPr>
              <w:widowControl/>
              <w:jc w:val="right"/>
              <w:textAlignment w:val="center"/>
              <w:rPr>
                <w:rFonts w:ascii="仿宋_GB2312" w:eastAsia="仿宋_GB2312"/>
                <w:color w:val="000000"/>
                <w:sz w:val="20"/>
                <w:szCs w:val="20"/>
              </w:rPr>
            </w:pPr>
            <w:r>
              <w:rPr>
                <w:rFonts w:ascii="Dialog" w:hAnsi="Dialog" w:eastAsia="Dialog" w:cs="Dialog"/>
                <w:color w:val="000000"/>
                <w:kern w:val="0"/>
                <w:sz w:val="24"/>
                <w:lang w:bidi="ar"/>
              </w:rPr>
              <w:t>166.</w:t>
            </w:r>
            <w:r>
              <w:rPr>
                <w:rFonts w:hint="eastAsia" w:ascii="Dialog" w:hAnsi="Dialog" w:eastAsia="Dialog" w:cs="Dialog"/>
                <w:color w:val="000000"/>
                <w:kern w:val="0"/>
                <w:sz w:val="24"/>
                <w:lang w:bidi="ar"/>
              </w:rPr>
              <w:t>0</w:t>
            </w:r>
            <w:r>
              <w:rPr>
                <w:rFonts w:ascii="Dialog" w:hAnsi="Dialog" w:eastAsia="Dialog" w:cs="Dialog"/>
                <w:color w:val="000000"/>
                <w:kern w:val="0"/>
                <w:sz w:val="24"/>
                <w:lang w:bidi="ar"/>
              </w:rPr>
              <w:t>3</w:t>
            </w:r>
          </w:p>
        </w:tc>
        <w:tc>
          <w:tcPr>
            <w:tcW w:w="345"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201</w:t>
            </w:r>
          </w:p>
        </w:tc>
        <w:tc>
          <w:tcPr>
            <w:tcW w:w="56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36</w:t>
            </w:r>
          </w:p>
        </w:tc>
        <w:tc>
          <w:tcPr>
            <w:tcW w:w="56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02</w:t>
            </w:r>
          </w:p>
        </w:tc>
        <w:tc>
          <w:tcPr>
            <w:tcW w:w="168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一般行政管理事务</w:t>
            </w:r>
          </w:p>
        </w:tc>
        <w:tc>
          <w:tcPr>
            <w:tcW w:w="1155"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51</w:t>
            </w:r>
          </w:p>
        </w:tc>
        <w:tc>
          <w:tcPr>
            <w:tcW w:w="1073"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r>
              <w:rPr>
                <w:rFonts w:ascii="Dialog" w:hAnsi="Dialog" w:eastAsia="Dialog" w:cs="Dialog"/>
                <w:color w:val="000000"/>
                <w:kern w:val="0"/>
                <w:sz w:val="24"/>
                <w:lang w:bidi="ar"/>
              </w:rPr>
              <w:t>51</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p>
        </w:tc>
        <w:tc>
          <w:tcPr>
            <w:tcW w:w="567"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p>
        </w:tc>
        <w:tc>
          <w:tcPr>
            <w:tcW w:w="168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p>
        </w:tc>
        <w:tc>
          <w:tcPr>
            <w:tcW w:w="1155"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p>
        </w:tc>
        <w:tc>
          <w:tcPr>
            <w:tcW w:w="1073"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sz w:val="20"/>
                <w:szCs w:val="20"/>
              </w:rPr>
            </w:pP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5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82"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6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1155" w:type="dxa"/>
            <w:tcBorders>
              <w:top w:val="nil"/>
              <w:left w:val="nil"/>
              <w:bottom w:val="single" w:color="auto" w:sz="4" w:space="0"/>
              <w:right w:val="single" w:color="auto" w:sz="4" w:space="0"/>
            </w:tcBorders>
            <w:vAlign w:val="center"/>
          </w:tcPr>
          <w:p>
            <w:pPr>
              <w:jc w:val="right"/>
              <w:rPr>
                <w:rFonts w:ascii="仿宋_GB2312" w:eastAsia="仿宋_GB2312"/>
                <w:color w:val="000000"/>
                <w:sz w:val="20"/>
                <w:szCs w:val="20"/>
              </w:rPr>
            </w:pPr>
            <w:r>
              <w:rPr>
                <w:rFonts w:hint="eastAsia" w:ascii="仿宋_GB2312" w:eastAsia="仿宋_GB2312"/>
                <w:color w:val="000000"/>
                <w:sz w:val="20"/>
                <w:szCs w:val="20"/>
              </w:rPr>
              <w:t>217.03</w:t>
            </w:r>
          </w:p>
        </w:tc>
        <w:tc>
          <w:tcPr>
            <w:tcW w:w="107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217.03　</w:t>
            </w:r>
          </w:p>
        </w:tc>
        <w:tc>
          <w:tcPr>
            <w:tcW w:w="34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67"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1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编制部门：昌吉州机关工委               单位：万元</w:t>
      </w:r>
    </w:p>
    <w:tbl>
      <w:tblPr>
        <w:tblStyle w:val="7"/>
        <w:tblW w:w="9229" w:type="dxa"/>
        <w:tblInd w:w="93" w:type="dxa"/>
        <w:tblLayout w:type="fixed"/>
        <w:tblCellMar>
          <w:top w:w="0" w:type="dxa"/>
          <w:left w:w="108" w:type="dxa"/>
          <w:bottom w:w="0" w:type="dxa"/>
          <w:right w:w="108" w:type="dxa"/>
        </w:tblCellMar>
      </w:tblPr>
      <w:tblGrid>
        <w:gridCol w:w="582"/>
        <w:gridCol w:w="611"/>
        <w:gridCol w:w="494"/>
        <w:gridCol w:w="2118"/>
        <w:gridCol w:w="1855"/>
        <w:gridCol w:w="1856"/>
        <w:gridCol w:w="1713"/>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687"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118"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118"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r>
              <w:rPr>
                <w:rFonts w:ascii="Dialog" w:hAnsi="Dialog" w:eastAsia="Dialog" w:cs="Dialog"/>
                <w:color w:val="000000"/>
                <w:kern w:val="0"/>
                <w:sz w:val="24"/>
                <w:lang w:bidi="ar"/>
              </w:rPr>
              <w:t>201</w:t>
            </w:r>
          </w:p>
        </w:tc>
        <w:tc>
          <w:tcPr>
            <w:tcW w:w="61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r>
              <w:rPr>
                <w:rFonts w:ascii="Dialog" w:hAnsi="Dialog" w:eastAsia="Dialog" w:cs="Dialog"/>
                <w:color w:val="000000"/>
                <w:kern w:val="0"/>
                <w:sz w:val="24"/>
                <w:lang w:bidi="ar"/>
              </w:rPr>
              <w:t>36</w:t>
            </w:r>
          </w:p>
        </w:tc>
        <w:tc>
          <w:tcPr>
            <w:tcW w:w="494"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r>
              <w:rPr>
                <w:rFonts w:ascii="Dialog" w:hAnsi="Dialog" w:eastAsia="Dialog" w:cs="Dialog"/>
                <w:color w:val="000000"/>
                <w:kern w:val="0"/>
                <w:sz w:val="24"/>
                <w:lang w:bidi="ar"/>
              </w:rPr>
              <w:t>01</w:t>
            </w:r>
          </w:p>
        </w:tc>
        <w:tc>
          <w:tcPr>
            <w:tcW w:w="2118"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行政运行</w:t>
            </w:r>
          </w:p>
        </w:tc>
        <w:tc>
          <w:tcPr>
            <w:tcW w:w="1855"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166.</w:t>
            </w:r>
            <w:r>
              <w:rPr>
                <w:rFonts w:hint="eastAsia" w:ascii="Dialog" w:hAnsi="Dialog" w:eastAsia="Dialog" w:cs="Dialog"/>
                <w:color w:val="000000"/>
                <w:kern w:val="0"/>
                <w:sz w:val="24"/>
                <w:lang w:bidi="ar"/>
              </w:rPr>
              <w:t>0</w:t>
            </w:r>
            <w:r>
              <w:rPr>
                <w:rFonts w:ascii="Dialog" w:hAnsi="Dialog" w:eastAsia="Dialog" w:cs="Dialog"/>
                <w:color w:val="000000"/>
                <w:kern w:val="0"/>
                <w:sz w:val="24"/>
                <w:lang w:bidi="ar"/>
              </w:rPr>
              <w:t>3</w:t>
            </w:r>
          </w:p>
        </w:tc>
        <w:tc>
          <w:tcPr>
            <w:tcW w:w="1856"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166.</w:t>
            </w:r>
            <w:r>
              <w:rPr>
                <w:rFonts w:hint="eastAsia" w:ascii="Dialog" w:hAnsi="Dialog" w:eastAsia="Dialog" w:cs="Dialog"/>
                <w:color w:val="000000"/>
                <w:kern w:val="0"/>
                <w:sz w:val="24"/>
                <w:lang w:bidi="ar"/>
              </w:rPr>
              <w:t>0</w:t>
            </w:r>
            <w:r>
              <w:rPr>
                <w:rFonts w:ascii="Dialog" w:hAnsi="Dialog" w:eastAsia="Dialog" w:cs="Dialog"/>
                <w:color w:val="000000"/>
                <w:kern w:val="0"/>
                <w:sz w:val="24"/>
                <w:lang w:bidi="ar"/>
              </w:rPr>
              <w:t>3</w:t>
            </w:r>
          </w:p>
        </w:tc>
        <w:tc>
          <w:tcPr>
            <w:tcW w:w="1713"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r>
              <w:rPr>
                <w:rFonts w:ascii="Dialog" w:hAnsi="Dialog" w:eastAsia="Dialog" w:cs="Dialog"/>
                <w:color w:val="000000"/>
                <w:kern w:val="0"/>
                <w:sz w:val="24"/>
                <w:lang w:bidi="ar"/>
              </w:rPr>
              <w:t>201</w:t>
            </w:r>
          </w:p>
        </w:tc>
        <w:tc>
          <w:tcPr>
            <w:tcW w:w="61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r>
              <w:rPr>
                <w:rFonts w:ascii="Dialog" w:hAnsi="Dialog" w:eastAsia="Dialog" w:cs="Dialog"/>
                <w:color w:val="000000"/>
                <w:kern w:val="0"/>
                <w:sz w:val="24"/>
                <w:lang w:bidi="ar"/>
              </w:rPr>
              <w:t>36</w:t>
            </w:r>
          </w:p>
        </w:tc>
        <w:tc>
          <w:tcPr>
            <w:tcW w:w="494"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r>
              <w:rPr>
                <w:rFonts w:ascii="Dialog" w:hAnsi="Dialog" w:eastAsia="Dialog" w:cs="Dialog"/>
                <w:color w:val="000000"/>
                <w:kern w:val="0"/>
                <w:sz w:val="24"/>
                <w:lang w:bidi="ar"/>
              </w:rPr>
              <w:t>02</w:t>
            </w:r>
          </w:p>
        </w:tc>
        <w:tc>
          <w:tcPr>
            <w:tcW w:w="2118"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一般行政管理事务</w:t>
            </w:r>
          </w:p>
        </w:tc>
        <w:tc>
          <w:tcPr>
            <w:tcW w:w="1855"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51</w:t>
            </w:r>
          </w:p>
        </w:tc>
        <w:tc>
          <w:tcPr>
            <w:tcW w:w="1856"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0</w:t>
            </w:r>
          </w:p>
        </w:tc>
        <w:tc>
          <w:tcPr>
            <w:tcW w:w="1713"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r>
              <w:rPr>
                <w:rFonts w:ascii="Dialog" w:hAnsi="Dialog" w:eastAsia="Dialog" w:cs="Dialog"/>
                <w:color w:val="000000"/>
                <w:kern w:val="0"/>
                <w:sz w:val="24"/>
                <w:lang w:bidi="ar"/>
              </w:rPr>
              <w:t>51</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61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9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61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94"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118"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217.03</w:t>
            </w:r>
          </w:p>
        </w:tc>
        <w:tc>
          <w:tcPr>
            <w:tcW w:w="185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ascii="Dialog" w:hAnsi="Dialog" w:eastAsia="Dialog" w:cs="Dialog"/>
                <w:color w:val="000000"/>
                <w:kern w:val="0"/>
                <w:sz w:val="24"/>
                <w:lang w:bidi="ar"/>
              </w:rPr>
              <w:t>166.</w:t>
            </w:r>
            <w:r>
              <w:rPr>
                <w:rFonts w:hint="eastAsia" w:ascii="Dialog" w:hAnsi="Dialog" w:eastAsia="Dialog" w:cs="Dialog"/>
                <w:color w:val="000000"/>
                <w:kern w:val="0"/>
                <w:sz w:val="24"/>
                <w:lang w:bidi="ar"/>
              </w:rPr>
              <w:t>0</w:t>
            </w:r>
            <w:r>
              <w:rPr>
                <w:rFonts w:ascii="Dialog" w:hAnsi="Dialog" w:eastAsia="Dialog" w:cs="Dialog"/>
                <w:color w:val="000000"/>
                <w:kern w:val="0"/>
                <w:sz w:val="24"/>
                <w:lang w:bidi="ar"/>
              </w:rPr>
              <w:t>3</w:t>
            </w:r>
          </w:p>
        </w:tc>
        <w:tc>
          <w:tcPr>
            <w:tcW w:w="171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51</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昌吉州机关工委</w:t>
      </w:r>
      <w:r>
        <w:rPr>
          <w:rFonts w:hint="eastAsia" w:ascii="仿宋_GB2312" w:hAnsi="宋体" w:eastAsia="仿宋_GB2312"/>
          <w:kern w:val="0"/>
          <w:sz w:val="28"/>
          <w:szCs w:val="28"/>
        </w:rPr>
        <w:t xml:space="preserve">         单位：万元</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22"/>
                <w:szCs w:val="22"/>
              </w:rPr>
            </w:pPr>
            <w:r>
              <w:rPr>
                <w:rFonts w:ascii="Dialog" w:hAnsi="Dialog" w:eastAsia="Dialog" w:cs="Dialog"/>
                <w:color w:val="000000"/>
                <w:kern w:val="0"/>
                <w:sz w:val="24"/>
                <w:lang w:bidi="ar"/>
              </w:rPr>
              <w:t>217.</w:t>
            </w:r>
            <w:r>
              <w:rPr>
                <w:rFonts w:hint="eastAsia" w:ascii="Dialog" w:hAnsi="Dialog" w:eastAsia="Dialog" w:cs="Dialog"/>
                <w:color w:val="000000"/>
                <w:kern w:val="0"/>
                <w:sz w:val="24"/>
                <w:lang w:bidi="ar"/>
              </w:rPr>
              <w:t>0</w:t>
            </w:r>
            <w:r>
              <w:rPr>
                <w:rFonts w:ascii="Dialog" w:hAnsi="Dialog" w:eastAsia="Dialog" w:cs="Dialog"/>
                <w:color w:val="000000"/>
                <w:kern w:val="0"/>
                <w:sz w:val="24"/>
                <w:lang w:bidi="ar"/>
              </w:rPr>
              <w:t>3</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pPr>
              <w:widowControl/>
              <w:tabs>
                <w:tab w:val="center" w:pos="539"/>
                <w:tab w:val="right" w:pos="1378"/>
              </w:tabs>
              <w:jc w:val="left"/>
              <w:rPr>
                <w:rFonts w:ascii="宋体" w:hAnsi="宋体" w:cs="宋体"/>
                <w:kern w:val="0"/>
                <w:sz w:val="18"/>
                <w:szCs w:val="18"/>
              </w:rPr>
            </w:pPr>
            <w:r>
              <w:rPr>
                <w:rFonts w:hint="eastAsia" w:ascii="宋体" w:hAnsi="宋体" w:cs="宋体"/>
                <w:kern w:val="0"/>
                <w:sz w:val="18"/>
                <w:szCs w:val="18"/>
              </w:rPr>
              <w:tab/>
            </w:r>
            <w:r>
              <w:rPr>
                <w:rFonts w:ascii="Dialog" w:hAnsi="Dialog" w:eastAsia="Dialog" w:cs="Dialog"/>
                <w:color w:val="000000"/>
                <w:kern w:val="0"/>
                <w:sz w:val="24"/>
                <w:lang w:bidi="ar"/>
              </w:rPr>
              <w:t>217.</w:t>
            </w:r>
            <w:r>
              <w:rPr>
                <w:rFonts w:hint="eastAsia" w:ascii="Dialog" w:hAnsi="Dialog" w:eastAsia="Dialog" w:cs="Dialog"/>
                <w:color w:val="000000"/>
                <w:kern w:val="0"/>
                <w:sz w:val="24"/>
                <w:lang w:bidi="ar"/>
              </w:rPr>
              <w:t>0</w:t>
            </w:r>
            <w:r>
              <w:rPr>
                <w:rFonts w:ascii="Dialog" w:hAnsi="Dialog" w:eastAsia="Dialog" w:cs="Dialog"/>
                <w:color w:val="000000"/>
                <w:kern w:val="0"/>
                <w:sz w:val="24"/>
                <w:lang w:bidi="ar"/>
              </w:rPr>
              <w:t>3</w:t>
            </w:r>
            <w:r>
              <w:rPr>
                <w:rFonts w:hint="eastAsia" w:ascii="宋体" w:hAnsi="宋体" w:cs="宋体"/>
                <w:kern w:val="0"/>
                <w:sz w:val="18"/>
                <w:szCs w:val="18"/>
              </w:rPr>
              <w:tab/>
            </w: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tabs>
                <w:tab w:val="center" w:pos="601"/>
                <w:tab w:val="right" w:pos="1502"/>
              </w:tabs>
              <w:jc w:val="left"/>
              <w:rPr>
                <w:rFonts w:ascii="宋体" w:hAnsi="宋体" w:cs="宋体"/>
                <w:kern w:val="0"/>
                <w:sz w:val="18"/>
                <w:szCs w:val="18"/>
              </w:rPr>
            </w:pPr>
            <w:r>
              <w:rPr>
                <w:rFonts w:hint="eastAsia" w:ascii="宋体" w:hAnsi="宋体" w:cs="宋体"/>
                <w:kern w:val="0"/>
                <w:sz w:val="18"/>
                <w:szCs w:val="18"/>
              </w:rPr>
              <w:tab/>
            </w:r>
            <w:r>
              <w:rPr>
                <w:rFonts w:ascii="Dialog" w:hAnsi="Dialog" w:eastAsia="Dialog" w:cs="Dialog"/>
                <w:color w:val="000000"/>
                <w:kern w:val="0"/>
                <w:sz w:val="24"/>
                <w:lang w:bidi="ar"/>
              </w:rPr>
              <w:t>217.</w:t>
            </w:r>
            <w:r>
              <w:rPr>
                <w:rFonts w:hint="eastAsia" w:ascii="Dialog" w:hAnsi="Dialog" w:eastAsia="Dialog" w:cs="Dialog"/>
                <w:color w:val="000000"/>
                <w:kern w:val="0"/>
                <w:sz w:val="24"/>
                <w:lang w:bidi="ar"/>
              </w:rPr>
              <w:t>0</w:t>
            </w:r>
            <w:r>
              <w:rPr>
                <w:rFonts w:ascii="Dialog" w:hAnsi="Dialog" w:eastAsia="Dialog" w:cs="Dialog"/>
                <w:color w:val="000000"/>
                <w:kern w:val="0"/>
                <w:sz w:val="24"/>
                <w:lang w:bidi="ar"/>
              </w:rPr>
              <w:t>3</w:t>
            </w:r>
            <w:r>
              <w:rPr>
                <w:rFonts w:hint="eastAsia" w:ascii="宋体" w:hAnsi="宋体" w:cs="宋体"/>
                <w:kern w:val="0"/>
                <w:sz w:val="18"/>
                <w:szCs w:val="18"/>
              </w:rPr>
              <w:tab/>
            </w: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right"/>
              <w:textAlignment w:val="center"/>
              <w:rPr>
                <w:rFonts w:ascii="仿宋_GB2312" w:hAnsi="宋体" w:eastAsia="仿宋_GB2312" w:cs="宋体"/>
                <w:color w:val="000000"/>
                <w:kern w:val="0"/>
                <w:sz w:val="22"/>
                <w:szCs w:val="22"/>
              </w:rPr>
            </w:pPr>
            <w:r>
              <w:rPr>
                <w:rFonts w:ascii="Dialog" w:hAnsi="Dialog" w:eastAsia="Dialog" w:cs="Dialog"/>
                <w:color w:val="000000"/>
                <w:kern w:val="0"/>
                <w:sz w:val="24"/>
                <w:lang w:bidi="ar"/>
              </w:rPr>
              <w:t>217.</w:t>
            </w:r>
            <w:r>
              <w:rPr>
                <w:rFonts w:hint="eastAsia" w:ascii="Dialog" w:hAnsi="Dialog" w:eastAsia="Dialog" w:cs="Dialog"/>
                <w:color w:val="000000"/>
                <w:kern w:val="0"/>
                <w:sz w:val="24"/>
                <w:lang w:bidi="ar"/>
              </w:rPr>
              <w:t>0</w:t>
            </w:r>
            <w:r>
              <w:rPr>
                <w:rFonts w:ascii="Dialog" w:hAnsi="Dialog" w:eastAsia="Dialog" w:cs="Dialog"/>
                <w:color w:val="000000"/>
                <w:kern w:val="0"/>
                <w:sz w:val="24"/>
                <w:lang w:bidi="ar"/>
              </w:rPr>
              <w:t>3</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pPr>
              <w:widowControl/>
              <w:ind w:firstLine="240" w:firstLineChars="100"/>
              <w:jc w:val="left"/>
              <w:rPr>
                <w:rFonts w:ascii="仿宋_GB2312" w:hAnsi="宋体" w:eastAsia="仿宋_GB2312" w:cs="宋体"/>
                <w:color w:val="000000"/>
                <w:kern w:val="0"/>
                <w:sz w:val="22"/>
                <w:szCs w:val="22"/>
              </w:rPr>
            </w:pPr>
            <w:r>
              <w:rPr>
                <w:rFonts w:ascii="Dialog" w:hAnsi="Dialog" w:eastAsia="Dialog" w:cs="Dialog"/>
                <w:color w:val="000000"/>
                <w:kern w:val="0"/>
                <w:sz w:val="24"/>
                <w:lang w:bidi="ar"/>
              </w:rPr>
              <w:t>217.</w:t>
            </w:r>
            <w:r>
              <w:rPr>
                <w:rFonts w:hint="eastAsia" w:ascii="Dialog" w:hAnsi="Dialog" w:eastAsia="Dialog" w:cs="Dialog"/>
                <w:color w:val="000000"/>
                <w:kern w:val="0"/>
                <w:sz w:val="24"/>
                <w:lang w:bidi="ar"/>
              </w:rPr>
              <w:t>0</w:t>
            </w:r>
            <w:r>
              <w:rPr>
                <w:rFonts w:ascii="Dialog" w:hAnsi="Dialog" w:eastAsia="Dialog" w:cs="Dialog"/>
                <w:color w:val="000000"/>
                <w:kern w:val="0"/>
                <w:sz w:val="24"/>
                <w:lang w:bidi="ar"/>
              </w:rPr>
              <w:t>3</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ascii="Dialog" w:hAnsi="Dialog" w:eastAsia="Dialog" w:cs="Dialog"/>
                <w:color w:val="000000"/>
                <w:kern w:val="0"/>
                <w:sz w:val="24"/>
                <w:lang w:bidi="ar"/>
              </w:rPr>
              <w:t>217.</w:t>
            </w:r>
            <w:r>
              <w:rPr>
                <w:rFonts w:hint="eastAsia" w:ascii="Dialog" w:hAnsi="Dialog" w:eastAsia="Dialog" w:cs="Dialog"/>
                <w:color w:val="000000"/>
                <w:kern w:val="0"/>
                <w:sz w:val="24"/>
                <w:lang w:bidi="ar"/>
              </w:rPr>
              <w:t>0</w:t>
            </w:r>
            <w:r>
              <w:rPr>
                <w:rFonts w:ascii="Dialog" w:hAnsi="Dialog" w:eastAsia="Dialog" w:cs="Dialog"/>
                <w:color w:val="000000"/>
                <w:kern w:val="0"/>
                <w:sz w:val="24"/>
                <w:lang w:bidi="ar"/>
              </w:rPr>
              <w:t>3</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ascii="Dialog" w:hAnsi="Dialog" w:eastAsia="Dialog" w:cs="Dialog"/>
                <w:color w:val="000000"/>
                <w:kern w:val="0"/>
                <w:sz w:val="24"/>
                <w:lang w:bidi="ar"/>
              </w:rPr>
              <w:t>217.</w:t>
            </w:r>
            <w:r>
              <w:rPr>
                <w:rFonts w:hint="eastAsia" w:ascii="Dialog" w:hAnsi="Dialog" w:eastAsia="Dialog" w:cs="Dialog"/>
                <w:color w:val="000000"/>
                <w:kern w:val="0"/>
                <w:sz w:val="24"/>
                <w:lang w:bidi="ar"/>
              </w:rPr>
              <w:t>0</w:t>
            </w:r>
            <w:r>
              <w:rPr>
                <w:rFonts w:ascii="Dialog" w:hAnsi="Dialog" w:eastAsia="Dialog" w:cs="Dialog"/>
                <w:color w:val="000000"/>
                <w:kern w:val="0"/>
                <w:sz w:val="24"/>
                <w:lang w:bidi="ar"/>
              </w:rPr>
              <w:t>3</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ind w:right="220"/>
              <w:jc w:val="right"/>
              <w:rPr>
                <w:rFonts w:ascii="仿宋_GB2312" w:hAnsi="宋体" w:eastAsia="仿宋_GB2312" w:cs="宋体"/>
                <w:color w:val="000000"/>
                <w:kern w:val="0"/>
                <w:sz w:val="22"/>
                <w:szCs w:val="22"/>
              </w:rPr>
            </w:pPr>
            <w:r>
              <w:rPr>
                <w:rFonts w:ascii="Dialog" w:hAnsi="Dialog" w:eastAsia="Dialog" w:cs="Dialog"/>
                <w:color w:val="000000"/>
                <w:kern w:val="0"/>
                <w:sz w:val="24"/>
                <w:lang w:bidi="ar"/>
              </w:rPr>
              <w:t>217.</w:t>
            </w:r>
            <w:r>
              <w:rPr>
                <w:rFonts w:hint="eastAsia" w:ascii="Dialog" w:hAnsi="Dialog" w:eastAsia="Dialog" w:cs="Dialog"/>
                <w:color w:val="000000"/>
                <w:kern w:val="0"/>
                <w:sz w:val="24"/>
                <w:lang w:bidi="ar"/>
              </w:rPr>
              <w:t>0</w:t>
            </w:r>
            <w:r>
              <w:rPr>
                <w:rFonts w:ascii="Dialog" w:hAnsi="Dialog" w:eastAsia="Dialog" w:cs="Dialog"/>
                <w:color w:val="000000"/>
                <w:kern w:val="0"/>
                <w:sz w:val="24"/>
                <w:lang w:bidi="ar"/>
              </w:rPr>
              <w:t>3</w:t>
            </w: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ascii="Dialog" w:hAnsi="Dialog" w:eastAsia="Dialog" w:cs="Dialog"/>
                <w:color w:val="000000"/>
                <w:kern w:val="0"/>
                <w:sz w:val="24"/>
                <w:lang w:bidi="ar"/>
              </w:rPr>
              <w:t>217.</w:t>
            </w:r>
            <w:r>
              <w:rPr>
                <w:rFonts w:hint="eastAsia" w:ascii="Dialog" w:hAnsi="Dialog" w:eastAsia="Dialog" w:cs="Dialog"/>
                <w:color w:val="000000"/>
                <w:kern w:val="0"/>
                <w:sz w:val="24"/>
                <w:lang w:bidi="ar"/>
              </w:rPr>
              <w:t>0</w:t>
            </w:r>
            <w:r>
              <w:rPr>
                <w:rFonts w:ascii="Dialog" w:hAnsi="Dialog" w:eastAsia="Dialog" w:cs="Dialog"/>
                <w:color w:val="000000"/>
                <w:kern w:val="0"/>
                <w:sz w:val="24"/>
                <w:lang w:bidi="ar"/>
              </w:rPr>
              <w:t>3</w:t>
            </w: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ascii="Dialog" w:hAnsi="Dialog" w:eastAsia="Dialog" w:cs="Dialog"/>
                <w:color w:val="000000"/>
                <w:kern w:val="0"/>
                <w:sz w:val="24"/>
                <w:lang w:bidi="ar"/>
              </w:rPr>
              <w:t>217.</w:t>
            </w:r>
            <w:r>
              <w:rPr>
                <w:rFonts w:hint="eastAsia" w:ascii="Dialog" w:hAnsi="Dialog" w:eastAsia="Dialog" w:cs="Dialog"/>
                <w:color w:val="000000"/>
                <w:kern w:val="0"/>
                <w:sz w:val="24"/>
                <w:lang w:bidi="ar"/>
              </w:rPr>
              <w:t>0</w:t>
            </w:r>
            <w:r>
              <w:rPr>
                <w:rFonts w:ascii="Dialog" w:hAnsi="Dialog" w:eastAsia="Dialog" w:cs="Dialog"/>
                <w:color w:val="000000"/>
                <w:kern w:val="0"/>
                <w:sz w:val="24"/>
                <w:lang w:bidi="ar"/>
              </w:rPr>
              <w:t>3</w:t>
            </w: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087" w:type="dxa"/>
        <w:tblInd w:w="93" w:type="dxa"/>
        <w:tblLayout w:type="fixed"/>
        <w:tblCellMar>
          <w:top w:w="0" w:type="dxa"/>
          <w:left w:w="108" w:type="dxa"/>
          <w:bottom w:w="0" w:type="dxa"/>
          <w:right w:w="108" w:type="dxa"/>
        </w:tblCellMar>
      </w:tblPr>
      <w:tblGrid>
        <w:gridCol w:w="724"/>
        <w:gridCol w:w="567"/>
        <w:gridCol w:w="567"/>
        <w:gridCol w:w="2002"/>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 xml:space="preserve">昌吉州机关工委 </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ind w:right="48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858"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002"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6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56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002"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201</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36</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01</w:t>
            </w:r>
          </w:p>
        </w:tc>
        <w:tc>
          <w:tcPr>
            <w:tcW w:w="2002"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行政运行</w:t>
            </w:r>
          </w:p>
        </w:tc>
        <w:tc>
          <w:tcPr>
            <w:tcW w:w="1684"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166.</w:t>
            </w:r>
            <w:r>
              <w:rPr>
                <w:rFonts w:hint="eastAsia" w:ascii="Dialog" w:hAnsi="Dialog" w:eastAsia="Dialog" w:cs="Dialog"/>
                <w:color w:val="000000"/>
                <w:kern w:val="0"/>
                <w:sz w:val="24"/>
                <w:lang w:bidi="ar"/>
              </w:rPr>
              <w:t>0</w:t>
            </w:r>
            <w:r>
              <w:rPr>
                <w:rFonts w:ascii="Dialog" w:hAnsi="Dialog" w:eastAsia="Dialog" w:cs="Dialog"/>
                <w:color w:val="000000"/>
                <w:kern w:val="0"/>
                <w:sz w:val="24"/>
                <w:lang w:bidi="ar"/>
              </w:rPr>
              <w:t>3</w:t>
            </w:r>
          </w:p>
        </w:tc>
        <w:tc>
          <w:tcPr>
            <w:tcW w:w="1842"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166.</w:t>
            </w:r>
            <w:r>
              <w:rPr>
                <w:rFonts w:hint="eastAsia" w:ascii="Dialog" w:hAnsi="Dialog" w:eastAsia="Dialog" w:cs="Dialog"/>
                <w:color w:val="000000"/>
                <w:kern w:val="0"/>
                <w:sz w:val="24"/>
                <w:lang w:bidi="ar"/>
              </w:rPr>
              <w:t>0</w:t>
            </w:r>
            <w:r>
              <w:rPr>
                <w:rFonts w:ascii="Dialog" w:hAnsi="Dialog" w:eastAsia="Dialog" w:cs="Dialog"/>
                <w:color w:val="000000"/>
                <w:kern w:val="0"/>
                <w:sz w:val="24"/>
                <w:lang w:bidi="ar"/>
              </w:rPr>
              <w:t>3</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201</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36</w:t>
            </w:r>
          </w:p>
        </w:tc>
        <w:tc>
          <w:tcPr>
            <w:tcW w:w="56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02</w:t>
            </w:r>
          </w:p>
        </w:tc>
        <w:tc>
          <w:tcPr>
            <w:tcW w:w="2002"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一般行政管理事务</w:t>
            </w:r>
          </w:p>
        </w:tc>
        <w:tc>
          <w:tcPr>
            <w:tcW w:w="1684"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51</w:t>
            </w:r>
          </w:p>
        </w:tc>
        <w:tc>
          <w:tcPr>
            <w:tcW w:w="1842"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b/>
                <w:color w:val="000000"/>
                <w:kern w:val="0"/>
                <w:sz w:val="20"/>
                <w:szCs w:val="20"/>
              </w:rPr>
            </w:pPr>
            <w:r>
              <w:rPr>
                <w:rFonts w:ascii="Dialog" w:hAnsi="Dialog" w:eastAsia="Dialog" w:cs="Dialog"/>
                <w:color w:val="000000"/>
                <w:kern w:val="0"/>
                <w:sz w:val="24"/>
                <w:lang w:bidi="ar"/>
              </w:rPr>
              <w:t>0</w:t>
            </w: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51</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724"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56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00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217.03</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166.03</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51</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087" w:type="dxa"/>
        <w:tblInd w:w="93" w:type="dxa"/>
        <w:tblLayout w:type="fixed"/>
        <w:tblCellMar>
          <w:top w:w="0" w:type="dxa"/>
          <w:left w:w="108" w:type="dxa"/>
          <w:bottom w:w="0" w:type="dxa"/>
          <w:right w:w="108" w:type="dxa"/>
        </w:tblCellMar>
      </w:tblPr>
      <w:tblGrid>
        <w:gridCol w:w="582"/>
        <w:gridCol w:w="851"/>
        <w:gridCol w:w="3260"/>
        <w:gridCol w:w="286"/>
        <w:gridCol w:w="1273"/>
        <w:gridCol w:w="409"/>
        <w:gridCol w:w="1009"/>
        <w:gridCol w:w="1417"/>
      </w:tblGrid>
      <w:tr>
        <w:tblPrEx>
          <w:tblLayout w:type="fixed"/>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693"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昌吉州机关工委</w:t>
            </w:r>
          </w:p>
        </w:tc>
        <w:tc>
          <w:tcPr>
            <w:tcW w:w="286"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693"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394"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43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26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59"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418"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41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82"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85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26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59"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418"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41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01</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基本工资</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55.14</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55.14</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02</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津贴补贴</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23.23</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23.23</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03</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奖金</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3.79</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3.79</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宋体" w:hAnsi="宋体"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06</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伙食补助费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13.86</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13.86</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0</w:t>
            </w:r>
            <w:r>
              <w:rPr>
                <w:rFonts w:hint="eastAsia" w:ascii="Dialog" w:hAnsi="Dialog" w:eastAsia="Dialog" w:cs="Dialog"/>
                <w:color w:val="000000"/>
                <w:kern w:val="0"/>
                <w:sz w:val="24"/>
                <w:lang w:bidi="ar"/>
              </w:rPr>
              <w:t>7</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hint="eastAsia" w:ascii="Dialog" w:hAnsi="Dialog" w:cs="Dialog"/>
                <w:color w:val="000000"/>
                <w:kern w:val="0"/>
                <w:sz w:val="24"/>
                <w:lang w:bidi="ar"/>
              </w:rPr>
              <w:t>基础性绩效</w:t>
            </w:r>
            <w:r>
              <w:rPr>
                <w:rFonts w:ascii="Dialog" w:hAnsi="Dialog" w:eastAsia="Dialog" w:cs="Dialog"/>
                <w:color w:val="000000"/>
                <w:kern w:val="0"/>
                <w:sz w:val="24"/>
                <w:lang w:bidi="ar"/>
              </w:rPr>
              <w:t>工资</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4.77</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4.77</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0</w:t>
            </w:r>
            <w:r>
              <w:rPr>
                <w:rFonts w:hint="eastAsia" w:ascii="Dialog" w:hAnsi="Dialog" w:eastAsia="Dialog" w:cs="Dialog"/>
                <w:color w:val="000000"/>
                <w:kern w:val="0"/>
                <w:sz w:val="24"/>
                <w:lang w:bidi="ar"/>
              </w:rPr>
              <w:t>7</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hint="eastAsia" w:ascii="Dialog" w:hAnsi="Dialog" w:cs="Dialog"/>
                <w:color w:val="000000"/>
                <w:kern w:val="0"/>
                <w:sz w:val="24"/>
                <w:lang w:bidi="ar"/>
              </w:rPr>
              <w:t>奖励性绩效</w:t>
            </w:r>
            <w:r>
              <w:rPr>
                <w:rFonts w:ascii="Dialog" w:hAnsi="Dialog" w:eastAsia="Dialog" w:cs="Dialog"/>
                <w:color w:val="000000"/>
                <w:kern w:val="0"/>
                <w:sz w:val="24"/>
                <w:lang w:bidi="ar"/>
              </w:rPr>
              <w:t>工资</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2.75</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2.75</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08</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机关事业单位基本养老保险缴费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14.35</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14.35</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10</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职工基本医疗保险缴费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11.38</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11.38</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11</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公务员医疗补助缴费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4.79</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4.79</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12</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其他社会保障缴费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0.37</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0.37</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301</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13</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住房公积金</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10.76</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10.76</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01</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办公费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0.9</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02</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印刷费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0.6</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05</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水费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0.52</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06</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电费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0.52</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07</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邮电费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0.6</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11</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差旅费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5.2</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16</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培训费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0.3</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17</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公务招待费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0.26</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26</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劳务费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0.78</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28</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工会经费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1.1</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29</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福利费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2.54</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31</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公务车运行维护费</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2.15</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302</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99</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其他商品和服务支出</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0</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0</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2.</w:t>
            </w:r>
            <w:r>
              <w:rPr>
                <w:rFonts w:hint="eastAsia" w:ascii="Dialog" w:hAnsi="Dialog" w:eastAsia="Dialog" w:cs="Dialog"/>
                <w:color w:val="000000"/>
                <w:kern w:val="0"/>
                <w:sz w:val="24"/>
                <w:lang w:bidi="ar"/>
              </w:rPr>
              <w:t>57</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303</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09</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奖励金</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hint="eastAsia" w:ascii="Dialog" w:hAnsi="Dialog" w:eastAsia="Dialog" w:cs="Dialog"/>
                <w:color w:val="000000"/>
                <w:kern w:val="0"/>
                <w:sz w:val="24"/>
                <w:lang w:bidi="ar"/>
              </w:rPr>
              <w:t>0.8</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hint="eastAsia" w:ascii="Dialog" w:hAnsi="Dialog" w:eastAsia="Dialog" w:cs="Dialog"/>
                <w:color w:val="000000"/>
                <w:kern w:val="0"/>
                <w:sz w:val="24"/>
                <w:lang w:bidi="ar"/>
              </w:rPr>
              <w:t>0.8</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303</w:t>
            </w:r>
          </w:p>
        </w:tc>
        <w:tc>
          <w:tcPr>
            <w:tcW w:w="85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14</w:t>
            </w:r>
          </w:p>
        </w:tc>
        <w:tc>
          <w:tcPr>
            <w:tcW w:w="3260"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hint="eastAsia" w:ascii="Dialog" w:hAnsi="Dialog" w:eastAsia="Dialog" w:cs="Dialog"/>
                <w:color w:val="000000"/>
                <w:kern w:val="0"/>
                <w:sz w:val="24"/>
                <w:lang w:bidi="ar"/>
              </w:rPr>
              <w:t>对个人和家庭的补助支出</w:t>
            </w: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hint="eastAsia" w:ascii="Dialog" w:hAnsi="Dialog" w:eastAsia="Dialog" w:cs="Dialog"/>
                <w:color w:val="000000"/>
                <w:kern w:val="0"/>
                <w:sz w:val="24"/>
                <w:lang w:bidi="ar"/>
              </w:rPr>
              <w:t>2</w:t>
            </w: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hint="eastAsia" w:ascii="Dialog" w:hAnsi="Dialog" w:eastAsia="Dialog" w:cs="Dialog"/>
                <w:color w:val="000000"/>
                <w:kern w:val="0"/>
                <w:sz w:val="24"/>
                <w:lang w:bidi="ar"/>
              </w:rPr>
              <w:t>2</w:t>
            </w:r>
          </w:p>
        </w:tc>
        <w:tc>
          <w:tcPr>
            <w:tcW w:w="141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r>
              <w:rPr>
                <w:rFonts w:ascii="Dialog" w:hAnsi="Dialog" w:eastAsia="Dialog" w:cs="Dialog"/>
                <w:color w:val="000000"/>
                <w:kern w:val="0"/>
                <w:sz w:val="24"/>
                <w:lang w:bidi="ar"/>
              </w:rPr>
              <w:t>0</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85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3260"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141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85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3260"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141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851"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3260"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1559"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1418" w:type="dxa"/>
            <w:gridSpan w:val="2"/>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c>
          <w:tcPr>
            <w:tcW w:w="1417" w:type="dxa"/>
            <w:tcBorders>
              <w:top w:val="nil"/>
              <w:left w:val="nil"/>
              <w:bottom w:val="single" w:color="auto" w:sz="4" w:space="0"/>
              <w:right w:val="single" w:color="auto" w:sz="4" w:space="0"/>
            </w:tcBorders>
            <w:vAlign w:val="center"/>
          </w:tcPr>
          <w:p>
            <w:pPr>
              <w:widowControl/>
              <w:jc w:val="left"/>
              <w:textAlignment w:val="center"/>
              <w:rPr>
                <w:rFonts w:ascii="Dialog" w:hAnsi="Dialog" w:eastAsia="Dialog" w:cs="Dialog"/>
                <w:color w:val="000000"/>
                <w:kern w:val="0"/>
                <w:sz w:val="24"/>
                <w:lang w:bidi="ar"/>
              </w:rPr>
            </w:pP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nil"/>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851" w:type="dxa"/>
            <w:tcBorders>
              <w:top w:val="nil"/>
              <w:left w:val="nil"/>
              <w:bottom w:val="nil"/>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260" w:type="dxa"/>
            <w:tcBorders>
              <w:top w:val="nil"/>
              <w:left w:val="nil"/>
              <w:bottom w:val="nil"/>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559" w:type="dxa"/>
            <w:gridSpan w:val="2"/>
            <w:tcBorders>
              <w:top w:val="nil"/>
              <w:left w:val="nil"/>
              <w:bottom w:val="nil"/>
              <w:right w:val="single" w:color="auto" w:sz="4" w:space="0"/>
            </w:tcBorders>
            <w:vAlign w:val="center"/>
          </w:tcPr>
          <w:p>
            <w:pPr>
              <w:widowControl/>
              <w:jc w:val="left"/>
              <w:rPr>
                <w:rFonts w:ascii="宋体" w:hAnsi="宋体" w:cs="宋体"/>
                <w:color w:val="000000"/>
                <w:kern w:val="0"/>
                <w:sz w:val="20"/>
                <w:szCs w:val="20"/>
              </w:rPr>
            </w:pPr>
            <w:r>
              <w:rPr>
                <w:rFonts w:hint="eastAsia"/>
              </w:rPr>
              <w:t>166.03</w:t>
            </w:r>
          </w:p>
        </w:tc>
        <w:tc>
          <w:tcPr>
            <w:tcW w:w="1418" w:type="dxa"/>
            <w:gridSpan w:val="2"/>
            <w:tcBorders>
              <w:top w:val="nil"/>
              <w:left w:val="nil"/>
              <w:bottom w:val="nil"/>
              <w:right w:val="single" w:color="auto" w:sz="4" w:space="0"/>
            </w:tcBorders>
            <w:vAlign w:val="center"/>
          </w:tcPr>
          <w:p>
            <w:pPr>
              <w:widowControl/>
              <w:jc w:val="left"/>
              <w:rPr>
                <w:rFonts w:ascii="宋体" w:hAnsi="宋体" w:cs="宋体"/>
                <w:color w:val="000000"/>
                <w:kern w:val="0"/>
                <w:sz w:val="20"/>
                <w:szCs w:val="20"/>
              </w:rPr>
            </w:pPr>
            <w:r>
              <w:rPr>
                <w:rFonts w:hint="eastAsia"/>
              </w:rPr>
              <w:t>147.99</w:t>
            </w:r>
          </w:p>
        </w:tc>
        <w:tc>
          <w:tcPr>
            <w:tcW w:w="1417" w:type="dxa"/>
            <w:tcBorders>
              <w:top w:val="nil"/>
              <w:left w:val="nil"/>
              <w:bottom w:val="nil"/>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18.04</w:t>
            </w:r>
          </w:p>
        </w:tc>
      </w:tr>
      <w:tr>
        <w:tblPrEx>
          <w:tblLayout w:type="fixed"/>
          <w:tblCellMar>
            <w:top w:w="0" w:type="dxa"/>
            <w:left w:w="108" w:type="dxa"/>
            <w:bottom w:w="0" w:type="dxa"/>
            <w:right w:w="108" w:type="dxa"/>
          </w:tblCellMar>
        </w:tblPrEx>
        <w:trPr>
          <w:trHeight w:val="402" w:hRule="atLeast"/>
        </w:trPr>
        <w:tc>
          <w:tcPr>
            <w:tcW w:w="582"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p>
        </w:tc>
        <w:tc>
          <w:tcPr>
            <w:tcW w:w="85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326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p>
        </w:tc>
        <w:tc>
          <w:tcPr>
            <w:tcW w:w="1559"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418"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469" w:type="dxa"/>
        <w:tblInd w:w="93" w:type="dxa"/>
        <w:tblLayout w:type="fixed"/>
        <w:tblCellMar>
          <w:top w:w="0" w:type="dxa"/>
          <w:left w:w="108" w:type="dxa"/>
          <w:bottom w:w="0" w:type="dxa"/>
          <w:right w:w="108" w:type="dxa"/>
        </w:tblCellMar>
      </w:tblPr>
      <w:tblGrid>
        <w:gridCol w:w="8"/>
        <w:gridCol w:w="679"/>
        <w:gridCol w:w="537"/>
        <w:gridCol w:w="578"/>
        <w:gridCol w:w="847"/>
        <w:gridCol w:w="849"/>
        <w:gridCol w:w="750"/>
        <w:gridCol w:w="110"/>
        <w:gridCol w:w="691"/>
        <w:gridCol w:w="525"/>
        <w:gridCol w:w="431"/>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 xml:space="preserve">昌吉州机关工委 </w:t>
            </w:r>
          </w:p>
        </w:tc>
        <w:tc>
          <w:tcPr>
            <w:tcW w:w="1216"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461"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802"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47"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849"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801"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25"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31"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687"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537"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578"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47"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84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801"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25"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31"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7" w:type="dxa"/>
            <w:gridSpan w:val="2"/>
            <w:vAlign w:val="center"/>
          </w:tcPr>
          <w:p>
            <w:pPr>
              <w:widowControl/>
              <w:jc w:val="right"/>
              <w:textAlignment w:val="center"/>
              <w:rPr>
                <w:rFonts w:ascii="仿宋_GB2312" w:hAnsi="宋体" w:eastAsia="仿宋_GB2312"/>
                <w:kern w:val="0"/>
                <w:sz w:val="32"/>
                <w:szCs w:val="32"/>
              </w:rPr>
            </w:pPr>
            <w:r>
              <w:rPr>
                <w:rFonts w:hint="eastAsia" w:ascii="Dialog" w:hAnsi="Dialog" w:eastAsia="Dialog" w:cs="Dialog"/>
                <w:color w:val="000000"/>
                <w:kern w:val="0"/>
                <w:sz w:val="24"/>
                <w:lang w:bidi="ar"/>
              </w:rPr>
              <w:t>201</w:t>
            </w:r>
          </w:p>
        </w:tc>
        <w:tc>
          <w:tcPr>
            <w:tcW w:w="537" w:type="dxa"/>
            <w:vAlign w:val="center"/>
          </w:tcPr>
          <w:p>
            <w:pPr>
              <w:widowControl/>
              <w:jc w:val="right"/>
              <w:textAlignment w:val="center"/>
              <w:rPr>
                <w:rFonts w:ascii="仿宋_GB2312" w:hAnsi="宋体" w:eastAsia="仿宋_GB2312"/>
                <w:kern w:val="0"/>
                <w:sz w:val="32"/>
                <w:szCs w:val="32"/>
              </w:rPr>
            </w:pPr>
            <w:r>
              <w:rPr>
                <w:rFonts w:hint="eastAsia" w:ascii="Dialog" w:hAnsi="Dialog" w:eastAsia="Dialog" w:cs="Dialog"/>
                <w:color w:val="000000"/>
                <w:kern w:val="0"/>
                <w:sz w:val="24"/>
                <w:lang w:bidi="ar"/>
              </w:rPr>
              <w:t>36</w:t>
            </w:r>
          </w:p>
        </w:tc>
        <w:tc>
          <w:tcPr>
            <w:tcW w:w="578" w:type="dxa"/>
            <w:vAlign w:val="center"/>
          </w:tcPr>
          <w:p>
            <w:pPr>
              <w:widowControl/>
              <w:jc w:val="right"/>
              <w:textAlignment w:val="center"/>
              <w:rPr>
                <w:rFonts w:ascii="仿宋_GB2312" w:hAnsi="宋体" w:eastAsia="仿宋_GB2312"/>
                <w:kern w:val="0"/>
                <w:sz w:val="32"/>
                <w:szCs w:val="32"/>
              </w:rPr>
            </w:pPr>
            <w:r>
              <w:rPr>
                <w:rFonts w:ascii="Dialog" w:hAnsi="Dialog" w:eastAsia="Dialog" w:cs="Dialog"/>
                <w:color w:val="000000"/>
                <w:kern w:val="0"/>
                <w:sz w:val="24"/>
                <w:lang w:bidi="ar"/>
              </w:rPr>
              <w:t>02</w:t>
            </w:r>
          </w:p>
        </w:tc>
        <w:tc>
          <w:tcPr>
            <w:tcW w:w="847" w:type="dxa"/>
            <w:vAlign w:val="center"/>
          </w:tcPr>
          <w:p>
            <w:pPr>
              <w:widowControl/>
              <w:jc w:val="right"/>
              <w:textAlignment w:val="center"/>
              <w:rPr>
                <w:rFonts w:ascii="仿宋_GB2312" w:hAnsi="宋体" w:eastAsia="仿宋_GB2312"/>
                <w:kern w:val="0"/>
                <w:sz w:val="32"/>
                <w:szCs w:val="32"/>
              </w:rPr>
            </w:pPr>
            <w:r>
              <w:rPr>
                <w:rFonts w:ascii="Dialog" w:hAnsi="Dialog" w:eastAsia="Dialog" w:cs="Dialog"/>
                <w:color w:val="000000"/>
                <w:kern w:val="0"/>
                <w:sz w:val="24"/>
                <w:lang w:bidi="ar"/>
              </w:rPr>
              <w:t>一般行政管理事务</w:t>
            </w:r>
          </w:p>
        </w:tc>
        <w:tc>
          <w:tcPr>
            <w:tcW w:w="849" w:type="dxa"/>
            <w:vAlign w:val="center"/>
          </w:tcPr>
          <w:p>
            <w:pPr>
              <w:widowControl/>
              <w:jc w:val="right"/>
              <w:textAlignment w:val="center"/>
              <w:rPr>
                <w:rFonts w:ascii="仿宋_GB2312" w:hAnsi="宋体" w:eastAsia="仿宋_GB2312"/>
                <w:kern w:val="0"/>
                <w:sz w:val="32"/>
                <w:szCs w:val="32"/>
              </w:rPr>
            </w:pPr>
            <w:r>
              <w:rPr>
                <w:rFonts w:hint="eastAsia" w:ascii="Dialog" w:hAnsi="Dialog" w:eastAsia="Dialog" w:cs="Dialog"/>
                <w:color w:val="000000"/>
                <w:kern w:val="0"/>
                <w:sz w:val="24"/>
                <w:lang w:bidi="ar"/>
              </w:rPr>
              <w:t>专项业务费</w:t>
            </w:r>
          </w:p>
        </w:tc>
        <w:tc>
          <w:tcPr>
            <w:tcW w:w="750" w:type="dxa"/>
            <w:vAlign w:val="center"/>
          </w:tcPr>
          <w:p>
            <w:pPr>
              <w:widowControl/>
              <w:jc w:val="right"/>
              <w:textAlignment w:val="center"/>
              <w:rPr>
                <w:rFonts w:ascii="Dialog" w:hAnsi="Dialog" w:eastAsia="Dialog" w:cs="Dialog"/>
                <w:color w:val="000000"/>
                <w:kern w:val="0"/>
                <w:sz w:val="24"/>
                <w:lang w:bidi="ar"/>
              </w:rPr>
            </w:pPr>
          </w:p>
          <w:p>
            <w:pPr>
              <w:widowControl/>
              <w:jc w:val="right"/>
              <w:textAlignment w:val="center"/>
              <w:rPr>
                <w:rFonts w:ascii="Dialog" w:hAnsi="Dialog" w:eastAsia="Dialog" w:cs="Dialog"/>
                <w:color w:val="000000"/>
                <w:kern w:val="0"/>
                <w:sz w:val="24"/>
                <w:lang w:bidi="ar"/>
              </w:rPr>
            </w:pPr>
          </w:p>
          <w:p>
            <w:pPr>
              <w:widowControl/>
              <w:jc w:val="right"/>
              <w:textAlignment w:val="center"/>
              <w:rPr>
                <w:rFonts w:ascii="Dialog" w:hAnsi="Dialog" w:eastAsia="Dialog" w:cs="Dialog"/>
                <w:color w:val="000000"/>
                <w:kern w:val="0"/>
                <w:sz w:val="24"/>
                <w:lang w:bidi="ar"/>
              </w:rPr>
            </w:pPr>
          </w:p>
          <w:p>
            <w:pPr>
              <w:widowControl/>
              <w:jc w:val="right"/>
              <w:textAlignment w:val="center"/>
              <w:rPr>
                <w:rFonts w:ascii="仿宋_GB2312" w:hAnsi="宋体" w:eastAsia="仿宋_GB2312"/>
                <w:kern w:val="0"/>
                <w:sz w:val="32"/>
                <w:szCs w:val="32"/>
              </w:rPr>
            </w:pPr>
            <w:r>
              <w:rPr>
                <w:rFonts w:hint="eastAsia" w:ascii="Dialog" w:hAnsi="Dialog" w:eastAsia="Dialog" w:cs="Dialog"/>
                <w:color w:val="000000"/>
                <w:kern w:val="0"/>
                <w:sz w:val="24"/>
                <w:lang w:bidi="ar"/>
              </w:rPr>
              <w:t>51</w:t>
            </w:r>
          </w:p>
        </w:tc>
        <w:tc>
          <w:tcPr>
            <w:tcW w:w="801" w:type="dxa"/>
            <w:gridSpan w:val="2"/>
            <w:vAlign w:val="center"/>
          </w:tcPr>
          <w:p>
            <w:pPr>
              <w:widowControl/>
              <w:jc w:val="right"/>
              <w:textAlignment w:val="center"/>
              <w:rPr>
                <w:rFonts w:ascii="仿宋_GB2312" w:hAnsi="宋体" w:eastAsia="仿宋_GB2312"/>
                <w:kern w:val="0"/>
                <w:sz w:val="32"/>
                <w:szCs w:val="32"/>
              </w:rPr>
            </w:pPr>
          </w:p>
        </w:tc>
        <w:tc>
          <w:tcPr>
            <w:tcW w:w="525" w:type="dxa"/>
          </w:tcPr>
          <w:p>
            <w:pPr>
              <w:widowControl/>
              <w:jc w:val="left"/>
              <w:outlineLvl w:val="1"/>
              <w:rPr>
                <w:rFonts w:ascii="仿宋_GB2312" w:hAnsi="宋体" w:eastAsia="仿宋_GB2312"/>
                <w:kern w:val="0"/>
                <w:sz w:val="24"/>
              </w:rPr>
            </w:pPr>
          </w:p>
          <w:p>
            <w:pPr>
              <w:widowControl/>
              <w:jc w:val="left"/>
              <w:outlineLvl w:val="1"/>
              <w:rPr>
                <w:rFonts w:ascii="仿宋_GB2312" w:hAnsi="宋体" w:eastAsia="仿宋_GB2312"/>
                <w:kern w:val="0"/>
                <w:sz w:val="24"/>
              </w:rPr>
            </w:pPr>
          </w:p>
          <w:p>
            <w:pPr>
              <w:widowControl/>
              <w:jc w:val="left"/>
              <w:outlineLvl w:val="1"/>
              <w:rPr>
                <w:rFonts w:ascii="仿宋_GB2312" w:hAnsi="宋体" w:eastAsia="仿宋_GB2312"/>
                <w:kern w:val="0"/>
                <w:sz w:val="24"/>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51</w:t>
            </w:r>
          </w:p>
        </w:tc>
        <w:tc>
          <w:tcPr>
            <w:tcW w:w="4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0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0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0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0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7"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49" w:type="dxa"/>
            <w:vAlign w:val="center"/>
          </w:tcPr>
          <w:p>
            <w:pPr>
              <w:widowControl/>
              <w:outlineLvl w:val="1"/>
              <w:rPr>
                <w:rFonts w:ascii="仿宋_GB2312" w:hAnsi="宋体" w:eastAsia="仿宋_GB2312"/>
                <w:kern w:val="0"/>
                <w:sz w:val="32"/>
                <w:szCs w:val="32"/>
              </w:rPr>
            </w:pPr>
          </w:p>
        </w:tc>
        <w:tc>
          <w:tcPr>
            <w:tcW w:w="750" w:type="dxa"/>
            <w:vAlign w:val="center"/>
          </w:tcPr>
          <w:p>
            <w:pPr>
              <w:widowControl/>
              <w:jc w:val="center"/>
              <w:outlineLvl w:val="1"/>
              <w:rPr>
                <w:rFonts w:ascii="仿宋_GB2312" w:hAnsi="宋体" w:eastAsia="仿宋_GB2312"/>
                <w:kern w:val="0"/>
                <w:szCs w:val="21"/>
              </w:rPr>
            </w:pPr>
          </w:p>
        </w:tc>
        <w:tc>
          <w:tcPr>
            <w:tcW w:w="801" w:type="dxa"/>
            <w:gridSpan w:val="2"/>
          </w:tcPr>
          <w:p>
            <w:pPr>
              <w:widowControl/>
              <w:jc w:val="left"/>
              <w:outlineLvl w:val="1"/>
              <w:rPr>
                <w:rFonts w:ascii="仿宋_GB2312" w:hAnsi="宋体" w:eastAsia="仿宋_GB2312"/>
                <w:kern w:val="0"/>
                <w:sz w:val="32"/>
                <w:szCs w:val="32"/>
              </w:rPr>
            </w:pPr>
          </w:p>
        </w:tc>
        <w:tc>
          <w:tcPr>
            <w:tcW w:w="525" w:type="dxa"/>
          </w:tcPr>
          <w:p>
            <w:pPr>
              <w:widowControl/>
              <w:jc w:val="left"/>
              <w:outlineLvl w:val="1"/>
              <w:rPr>
                <w:rFonts w:ascii="仿宋_GB2312" w:hAnsi="宋体" w:eastAsia="仿宋_GB2312"/>
                <w:kern w:val="0"/>
                <w:sz w:val="32"/>
                <w:szCs w:val="32"/>
              </w:rPr>
            </w:pPr>
          </w:p>
        </w:tc>
        <w:tc>
          <w:tcPr>
            <w:tcW w:w="431"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687" w:type="dxa"/>
            <w:gridSpan w:val="2"/>
          </w:tcPr>
          <w:p>
            <w:pPr>
              <w:widowControl/>
              <w:jc w:val="left"/>
              <w:outlineLvl w:val="1"/>
              <w:rPr>
                <w:rFonts w:ascii="仿宋_GB2312" w:hAnsi="宋体" w:eastAsia="仿宋_GB2312"/>
                <w:kern w:val="0"/>
                <w:sz w:val="32"/>
                <w:szCs w:val="32"/>
              </w:rPr>
            </w:pPr>
          </w:p>
        </w:tc>
        <w:tc>
          <w:tcPr>
            <w:tcW w:w="537"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847" w:type="dxa"/>
          </w:tcPr>
          <w:p>
            <w:pPr>
              <w:widowControl/>
              <w:jc w:val="left"/>
              <w:outlineLvl w:val="1"/>
              <w:rPr>
                <w:rFonts w:ascii="仿宋_GB2312" w:hAnsi="宋体" w:eastAsia="仿宋_GB2312"/>
                <w:kern w:val="0"/>
                <w:sz w:val="32"/>
                <w:szCs w:val="32"/>
              </w:rPr>
            </w:pPr>
          </w:p>
        </w:tc>
        <w:tc>
          <w:tcPr>
            <w:tcW w:w="849" w:type="dxa"/>
            <w:vAlign w:val="center"/>
          </w:tcPr>
          <w:p>
            <w:pPr>
              <w:widowControl/>
              <w:outlineLvl w:val="1"/>
              <w:rPr>
                <w:rFonts w:ascii="仿宋_GB2312" w:hAnsi="宋体" w:eastAsia="仿宋_GB2312"/>
                <w:kern w:val="0"/>
                <w:szCs w:val="21"/>
              </w:rPr>
            </w:pPr>
            <w:r>
              <w:rPr>
                <w:rFonts w:hint="eastAsia" w:ascii="仿宋_GB2312" w:hAnsi="宋体" w:eastAsia="仿宋_GB2312"/>
                <w:kern w:val="0"/>
                <w:szCs w:val="21"/>
              </w:rPr>
              <w:t>合计</w:t>
            </w:r>
          </w:p>
        </w:tc>
        <w:tc>
          <w:tcPr>
            <w:tcW w:w="750" w:type="dxa"/>
            <w:vAlign w:val="center"/>
          </w:tcPr>
          <w:p>
            <w:pPr>
              <w:widowControl/>
              <w:jc w:val="center"/>
              <w:outlineLvl w:val="1"/>
              <w:rPr>
                <w:rFonts w:ascii="仿宋_GB2312" w:hAnsi="宋体" w:eastAsia="仿宋_GB2312"/>
                <w:kern w:val="0"/>
                <w:szCs w:val="21"/>
              </w:rPr>
            </w:pPr>
          </w:p>
          <w:p>
            <w:pPr>
              <w:widowControl/>
              <w:jc w:val="center"/>
              <w:outlineLvl w:val="1"/>
              <w:rPr>
                <w:rFonts w:ascii="仿宋_GB2312" w:hAnsi="宋体" w:eastAsia="仿宋_GB2312"/>
                <w:kern w:val="0"/>
                <w:szCs w:val="21"/>
              </w:rPr>
            </w:pPr>
            <w:r>
              <w:rPr>
                <w:rFonts w:hint="eastAsia" w:ascii="仿宋_GB2312" w:hAnsi="宋体" w:eastAsia="仿宋_GB2312"/>
                <w:kern w:val="0"/>
                <w:szCs w:val="21"/>
              </w:rPr>
              <w:t>51</w:t>
            </w:r>
          </w:p>
        </w:tc>
        <w:tc>
          <w:tcPr>
            <w:tcW w:w="801"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25" w:type="dxa"/>
          </w:tcPr>
          <w:p>
            <w:pPr>
              <w:widowControl/>
              <w:jc w:val="left"/>
              <w:outlineLvl w:val="1"/>
              <w:rPr>
                <w:rFonts w:ascii="仿宋_GB2312" w:hAnsi="宋体" w:eastAsia="仿宋_GB2312"/>
                <w:kern w:val="0"/>
                <w:sz w:val="24"/>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51</w:t>
            </w:r>
            <w:r>
              <w:rPr>
                <w:rFonts w:hint="eastAsia" w:ascii="仿宋_GB2312" w:hAnsi="宋体" w:eastAsia="仿宋_GB2312"/>
                <w:kern w:val="0"/>
                <w:sz w:val="32"/>
                <w:szCs w:val="32"/>
              </w:rPr>
              <w:t>　</w:t>
            </w:r>
          </w:p>
        </w:tc>
        <w:tc>
          <w:tcPr>
            <w:tcW w:w="431" w:type="dxa"/>
          </w:tcPr>
          <w:p>
            <w:pPr>
              <w:widowControl/>
              <w:jc w:val="left"/>
              <w:outlineLvl w:val="1"/>
              <w:rPr>
                <w:rFonts w:ascii="仿宋_GB2312" w:hAnsi="宋体" w:eastAsia="仿宋_GB2312"/>
                <w:kern w:val="0"/>
                <w:sz w:val="32"/>
                <w:szCs w:val="32"/>
              </w:rPr>
            </w:pPr>
          </w:p>
        </w:tc>
        <w:tc>
          <w:tcPr>
            <w:tcW w:w="652" w:type="dxa"/>
          </w:tcPr>
          <w:p>
            <w:pPr>
              <w:widowControl/>
              <w:jc w:val="left"/>
              <w:outlineLvl w:val="1"/>
              <w:rPr>
                <w:rFonts w:ascii="仿宋_GB2312" w:hAnsi="宋体" w:eastAsia="仿宋_GB2312"/>
                <w:kern w:val="0"/>
                <w:sz w:val="32"/>
                <w:szCs w:val="32"/>
              </w:rPr>
            </w:pPr>
          </w:p>
        </w:tc>
        <w:tc>
          <w:tcPr>
            <w:tcW w:w="578" w:type="dxa"/>
            <w:gridSpan w:val="2"/>
          </w:tcPr>
          <w:p>
            <w:pPr>
              <w:widowControl/>
              <w:jc w:val="left"/>
              <w:outlineLvl w:val="1"/>
              <w:rPr>
                <w:rFonts w:ascii="仿宋_GB2312" w:hAnsi="宋体" w:eastAsia="仿宋_GB2312"/>
                <w:kern w:val="0"/>
                <w:sz w:val="32"/>
                <w:szCs w:val="32"/>
              </w:rPr>
            </w:pPr>
          </w:p>
        </w:tc>
        <w:tc>
          <w:tcPr>
            <w:tcW w:w="419" w:type="dxa"/>
          </w:tcPr>
          <w:p>
            <w:pPr>
              <w:widowControl/>
              <w:jc w:val="left"/>
              <w:outlineLvl w:val="1"/>
              <w:rPr>
                <w:rFonts w:ascii="仿宋_GB2312" w:hAnsi="宋体" w:eastAsia="仿宋_GB2312"/>
                <w:kern w:val="0"/>
                <w:sz w:val="32"/>
                <w:szCs w:val="32"/>
              </w:rPr>
            </w:pPr>
          </w:p>
        </w:tc>
        <w:tc>
          <w:tcPr>
            <w:tcW w:w="578"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420" w:type="dxa"/>
          </w:tcPr>
          <w:p>
            <w:pPr>
              <w:widowControl/>
              <w:jc w:val="left"/>
              <w:outlineLvl w:val="1"/>
              <w:rPr>
                <w:rFonts w:ascii="仿宋_GB2312" w:hAnsi="宋体" w:eastAsia="仿宋_GB2312"/>
                <w:kern w:val="0"/>
                <w:sz w:val="32"/>
                <w:szCs w:val="32"/>
              </w:rPr>
            </w:pPr>
          </w:p>
        </w:tc>
        <w:tc>
          <w:tcPr>
            <w:tcW w:w="397" w:type="dxa"/>
            <w:gridSpan w:val="2"/>
          </w:tcPr>
          <w:p>
            <w:pPr>
              <w:widowControl/>
              <w:jc w:val="left"/>
              <w:outlineLvl w:val="1"/>
              <w:rPr>
                <w:rFonts w:ascii="仿宋_GB2312" w:hAnsi="宋体" w:eastAsia="仿宋_GB2312"/>
                <w:kern w:val="0"/>
                <w:sz w:val="32"/>
                <w:szCs w:val="32"/>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编制单位：昌吉州机关工委         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2.41</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2.15</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2.15</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0.26</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编制单位：昌吉州机关工委                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sectPr>
          <w:footerReference r:id="rId3" w:type="default"/>
          <w:footerReference r:id="rId4" w:type="even"/>
          <w:pgSz w:w="11906" w:h="16838"/>
          <w:pgMar w:top="1984" w:right="1418" w:bottom="1701" w:left="1474" w:header="851" w:footer="992" w:gutter="0"/>
          <w:pgNumType w:fmt="numberInDash"/>
          <w:cols w:space="0" w:num="1"/>
          <w:docGrid w:linePitch="312" w:charSpace="0"/>
        </w:sectPr>
      </w:pPr>
      <w:r>
        <w:rPr>
          <w:rFonts w:hint="eastAsia" w:ascii="仿宋_GB2312" w:hAnsi="宋体" w:eastAsia="仿宋_GB2312"/>
          <w:b/>
          <w:kern w:val="0"/>
          <w:sz w:val="28"/>
          <w:szCs w:val="32"/>
        </w:rPr>
        <w:t>备注：我单位2020年无政府性基金预算,此报表为空表</w:t>
      </w:r>
    </w:p>
    <w:p>
      <w:pPr>
        <w:widowControl/>
        <w:spacing w:before="156" w:beforeLines="50"/>
        <w:ind w:firstLine="1280" w:firstLineChars="400"/>
        <w:outlineLvl w:val="1"/>
        <w:rPr>
          <w:rFonts w:ascii="黑体" w:hAnsi="黑体" w:eastAsia="黑体"/>
          <w:kern w:val="0"/>
          <w:sz w:val="32"/>
          <w:szCs w:val="32"/>
        </w:rPr>
      </w:pPr>
      <w:r>
        <w:rPr>
          <w:rFonts w:hint="eastAsia" w:ascii="黑体" w:hAnsi="黑体" w:eastAsia="黑体"/>
          <w:kern w:val="0"/>
          <w:sz w:val="32"/>
          <w:szCs w:val="32"/>
        </w:rPr>
        <w:t>第三部分  2020年部门预算情况说明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关于昌吉州机关工委2020年收支预算情况的总体说明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按照全口径预算的原则，昌吉州机关工委20</w:t>
      </w:r>
      <w:r>
        <w:rPr>
          <w:rFonts w:hint="eastAsia" w:ascii="黑体" w:hAnsi="宋体" w:eastAsia="黑体" w:cs="宋体"/>
          <w:kern w:val="0"/>
          <w:sz w:val="32"/>
          <w:szCs w:val="32"/>
        </w:rPr>
        <w:t>20</w:t>
      </w:r>
      <w:r>
        <w:rPr>
          <w:rFonts w:hint="eastAsia" w:ascii="仿宋_GB2312" w:hAnsi="宋体" w:eastAsia="仿宋_GB2312" w:cs="宋体"/>
          <w:kern w:val="0"/>
          <w:sz w:val="32"/>
          <w:szCs w:val="32"/>
        </w:rPr>
        <w:t>年所有收入和支出均纳入部门预算管理。收支总预算217.03万元。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收入预算包括：一般公共预算217.03万元。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支出预算包括：一般公共服务支出217.03万元。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二、关于昌吉州机关工委2020年收入预算情况说明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昌吉州机关工委收入预算217.03万元，其中：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一般公共预算217.03万元，占100%，比上年减少0.6万元，主要原因是办公费减少0.6万元。</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highlight w:val="none"/>
        </w:rPr>
        <w:t>政府性基金预算未安排</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占 0%，比上年增加（减少）0万元，主要原因是</w:t>
      </w:r>
      <w:r>
        <w:rPr>
          <w:rFonts w:hint="eastAsia" w:ascii="仿宋_GB2312" w:hAnsi="宋体" w:eastAsia="仿宋_GB2312" w:cs="宋体"/>
          <w:kern w:val="0"/>
          <w:sz w:val="32"/>
          <w:szCs w:val="32"/>
          <w:highlight w:val="none"/>
          <w:lang w:val="en-US" w:eastAsia="zh-CN"/>
        </w:rPr>
        <w:t>无</w:t>
      </w:r>
      <w:r>
        <w:rPr>
          <w:rFonts w:hint="eastAsia" w:ascii="仿宋_GB2312" w:hAnsi="宋体" w:eastAsia="仿宋_GB2312" w:cs="宋体"/>
          <w:kern w:val="0"/>
          <w:sz w:val="32"/>
          <w:szCs w:val="32"/>
          <w:highlight w:val="none"/>
        </w:rPr>
        <w:t>。</w:t>
      </w:r>
    </w:p>
    <w:p>
      <w:pPr>
        <w:widowControl/>
        <w:spacing w:line="580" w:lineRule="exact"/>
        <w:ind w:firstLine="640"/>
        <w:jc w:val="left"/>
        <w:rPr>
          <w:rFonts w:ascii="仿宋_GB2312" w:hAnsi="宋体" w:eastAsia="仿宋_GB2312" w:cs="宋体"/>
          <w:kern w:val="0"/>
          <w:sz w:val="32"/>
          <w:szCs w:val="32"/>
        </w:rPr>
      </w:pPr>
      <w:r>
        <w:rPr>
          <w:rFonts w:hint="eastAsia" w:ascii="黑体" w:hAnsi="宋体" w:eastAsia="黑体" w:cs="宋体"/>
          <w:kern w:val="0"/>
          <w:sz w:val="32"/>
          <w:szCs w:val="32"/>
        </w:rPr>
        <w:t>三、关于昌吉州机关工委2020年支出预算情况说明</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昌吉州机关工委2020年支出预算217.03万元，其中：</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基本支出166.03万元，占76.50%，比上年减少0.6万元，主要原因是；公用经费整体较上年减少0.6万元。</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项目支出51万元，占23.5%，主要原因是</w:t>
      </w:r>
      <w:r>
        <w:rPr>
          <w:rFonts w:hint="eastAsia" w:ascii="仿宋_GB2312" w:hAnsi="宋体" w:eastAsia="仿宋_GB2312" w:cs="宋体"/>
          <w:kern w:val="0"/>
          <w:sz w:val="32"/>
          <w:szCs w:val="32"/>
          <w:highlight w:val="none"/>
          <w:lang w:val="en-US" w:eastAsia="zh-CN"/>
        </w:rPr>
        <w:t>项目无变化</w:t>
      </w:r>
      <w:r>
        <w:rPr>
          <w:rFonts w:hint="eastAsia" w:ascii="仿宋_GB2312" w:hAnsi="宋体" w:eastAsia="仿宋_GB2312" w:cs="宋体"/>
          <w:kern w:val="0"/>
          <w:sz w:val="32"/>
          <w:szCs w:val="32"/>
          <w:highlight w:val="none"/>
        </w:rPr>
        <w:t xml:space="preserve"> 。</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四、关于昌吉州机关工委2020年财政拨款收支预算情况的总体说明</w:t>
      </w:r>
    </w:p>
    <w:p>
      <w:pPr>
        <w:spacing w:line="580" w:lineRule="exact"/>
        <w:ind w:firstLine="640"/>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2020年财政拨款收支总预算217.03万元。</w:t>
      </w:r>
    </w:p>
    <w:p>
      <w:pPr>
        <w:spacing w:line="580" w:lineRule="exact"/>
        <w:ind w:firstLine="640"/>
        <w:rPr>
          <w:rFonts w:ascii="仿宋_GB2312" w:hAnsi="宋体" w:eastAsia="仿宋_GB2312" w:cs="宋体"/>
          <w:b/>
          <w:kern w:val="0"/>
          <w:sz w:val="32"/>
          <w:szCs w:val="32"/>
          <w:highlight w:val="none"/>
        </w:rPr>
      </w:pPr>
      <w:r>
        <w:rPr>
          <w:rFonts w:hint="eastAsia" w:ascii="仿宋_GB2312" w:hAnsi="宋体" w:eastAsia="仿宋_GB2312" w:cs="宋体"/>
          <w:kern w:val="0"/>
          <w:sz w:val="32"/>
          <w:szCs w:val="32"/>
          <w:highlight w:val="none"/>
        </w:rPr>
        <w:t>收入全部为一般公共预算拨款，无政府性基金预算拨款。</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五、关于昌吉州机关工委2020年一般公共预算当年拨款情况说明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昌吉州机关工委2020年一般公共预算拨款217.03万元，比上年</w:t>
      </w:r>
      <w:r>
        <w:rPr>
          <w:rFonts w:hint="eastAsia" w:ascii="仿宋_GB2312" w:hAnsi="宋体" w:eastAsia="仿宋_GB2312" w:cs="宋体"/>
          <w:kern w:val="0"/>
          <w:sz w:val="32"/>
          <w:szCs w:val="32"/>
          <w:lang w:val="en-US" w:eastAsia="zh-CN"/>
        </w:rPr>
        <w:t>执行数</w:t>
      </w:r>
      <w:r>
        <w:rPr>
          <w:rFonts w:hint="eastAsia" w:ascii="仿宋_GB2312" w:hAnsi="宋体" w:eastAsia="仿宋_GB2312" w:cs="宋体"/>
          <w:kern w:val="0"/>
          <w:sz w:val="32"/>
          <w:szCs w:val="32"/>
        </w:rPr>
        <w:t>减少0.6万元，</w:t>
      </w:r>
      <w:r>
        <w:rPr>
          <w:rFonts w:hint="eastAsia" w:ascii="仿宋_GB2312" w:hAnsi="宋体" w:eastAsia="仿宋_GB2312" w:cs="宋体"/>
          <w:kern w:val="0"/>
          <w:sz w:val="32"/>
          <w:szCs w:val="32"/>
          <w:lang w:val="en-US" w:eastAsia="zh-CN"/>
        </w:rPr>
        <w:t>下降</w:t>
      </w:r>
      <w:r>
        <w:rPr>
          <w:rFonts w:hint="eastAsia" w:ascii="仿宋_GB2312" w:hAnsi="宋体" w:eastAsia="仿宋_GB2312" w:cs="宋体"/>
          <w:kern w:val="0"/>
          <w:sz w:val="32"/>
          <w:szCs w:val="32"/>
        </w:rPr>
        <w:t>0.36%。主要原因是：公用经费整体较上年减少0.6万元。</w:t>
      </w:r>
    </w:p>
    <w:p>
      <w:pPr>
        <w:widowControl/>
        <w:spacing w:line="5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eastAsia="仿宋_GB2312"/>
          <w:b/>
          <w:sz w:val="32"/>
          <w:szCs w:val="32"/>
        </w:rPr>
      </w:pPr>
      <w:r>
        <w:rPr>
          <w:rFonts w:hint="eastAsia" w:ascii="仿宋_GB2312" w:eastAsia="仿宋_GB2312"/>
          <w:sz w:val="32"/>
          <w:szCs w:val="32"/>
          <w:highlight w:val="none"/>
        </w:rPr>
        <w:t>一般公共服务</w:t>
      </w:r>
      <w:r>
        <w:rPr>
          <w:rFonts w:hint="eastAsia" w:ascii="仿宋_GB2312" w:eastAsia="仿宋_GB2312"/>
          <w:sz w:val="32"/>
          <w:szCs w:val="32"/>
          <w:highlight w:val="none"/>
          <w:lang w:val="en-US" w:eastAsia="zh-CN"/>
        </w:rPr>
        <w:t>支出</w:t>
      </w:r>
      <w:r>
        <w:rPr>
          <w:rFonts w:hint="eastAsia" w:ascii="仿宋_GB2312" w:eastAsia="仿宋_GB2312"/>
          <w:sz w:val="32"/>
          <w:szCs w:val="32"/>
          <w:highlight w:val="none"/>
        </w:rPr>
        <w:t>（</w:t>
      </w:r>
      <w:r>
        <w:rPr>
          <w:rFonts w:hint="eastAsia" w:ascii="仿宋_GB2312" w:eastAsia="仿宋_GB2312"/>
          <w:sz w:val="32"/>
          <w:szCs w:val="32"/>
          <w:highlight w:val="none"/>
          <w:lang w:val="en-US" w:eastAsia="zh-CN"/>
        </w:rPr>
        <w:t>203</w:t>
      </w:r>
      <w:r>
        <w:rPr>
          <w:rFonts w:hint="eastAsia" w:ascii="仿宋_GB2312" w:eastAsia="仿宋_GB2312"/>
          <w:sz w:val="32"/>
          <w:szCs w:val="32"/>
          <w:highlight w:val="none"/>
        </w:rPr>
        <w:t>）</w:t>
      </w:r>
      <w:r>
        <w:rPr>
          <w:rFonts w:hint="eastAsia" w:ascii="仿宋_GB2312" w:hAnsi="宋体" w:eastAsia="仿宋_GB2312" w:cs="宋体"/>
          <w:kern w:val="0"/>
          <w:sz w:val="32"/>
          <w:szCs w:val="32"/>
          <w:highlight w:val="none"/>
        </w:rPr>
        <w:t>217.03万元，占100 %。</w:t>
      </w:r>
    </w:p>
    <w:p>
      <w:pPr>
        <w:widowControl/>
        <w:numPr>
          <w:ilvl w:val="0"/>
          <w:numId w:val="1"/>
        </w:numPr>
        <w:spacing w:line="580" w:lineRule="exact"/>
        <w:ind w:firstLine="640"/>
        <w:jc w:val="left"/>
        <w:rPr>
          <w:rFonts w:ascii="楷体_GB2312" w:hAnsi="宋体" w:eastAsia="楷体_GB2312" w:cs="宋体"/>
          <w:b/>
          <w:kern w:val="0"/>
          <w:sz w:val="32"/>
          <w:szCs w:val="32"/>
          <w:highlight w:val="none"/>
        </w:rPr>
      </w:pPr>
      <w:r>
        <w:rPr>
          <w:rFonts w:hint="eastAsia" w:ascii="楷体_GB2312" w:hAnsi="宋体" w:eastAsia="楷体_GB2312" w:cs="宋体"/>
          <w:b/>
          <w:kern w:val="0"/>
          <w:sz w:val="32"/>
          <w:szCs w:val="32"/>
          <w:highlight w:val="none"/>
        </w:rPr>
        <w:t>一般公共预算当年拨款具体使用情况</w:t>
      </w:r>
    </w:p>
    <w:p>
      <w:pPr>
        <w:widowControl/>
        <w:numPr>
          <w:ilvl w:val="0"/>
          <w:numId w:val="2"/>
        </w:numPr>
        <w:spacing w:line="580" w:lineRule="exact"/>
        <w:ind w:firstLine="640"/>
        <w:jc w:val="left"/>
        <w:rPr>
          <w:rFonts w:hint="eastAsia" w:ascii="仿宋_GB2312" w:hAnsi="宋体" w:eastAsia="仿宋_GB2312" w:cs="宋体"/>
          <w:kern w:val="0"/>
          <w:sz w:val="32"/>
          <w:szCs w:val="32"/>
        </w:rPr>
      </w:pP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支出（201）</w:t>
      </w:r>
      <w:r>
        <w:rPr>
          <w:rFonts w:hint="eastAsia" w:ascii="仿宋_GB2312" w:hAnsi="宋体" w:eastAsia="仿宋_GB2312" w:cs="宋体"/>
          <w:kern w:val="0"/>
          <w:sz w:val="32"/>
          <w:szCs w:val="32"/>
        </w:rPr>
        <w:t>其他共产党事务</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36</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行政运行</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01</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：2020</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166.03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比上年执行数减少0.6万元，下降0.36%，主要原因：是公用经费整体较上年减少0.6万元</w:t>
      </w:r>
      <w:r>
        <w:rPr>
          <w:rFonts w:hint="eastAsia" w:ascii="仿宋_GB2312" w:hAnsi="宋体" w:eastAsia="仿宋_GB2312" w:cs="宋体"/>
          <w:kern w:val="0"/>
          <w:sz w:val="32"/>
          <w:szCs w:val="32"/>
          <w:lang w:val="en-US" w:eastAsia="zh-CN"/>
        </w:rPr>
        <w:t>.</w:t>
      </w:r>
    </w:p>
    <w:p>
      <w:pPr>
        <w:widowControl/>
        <w:numPr>
          <w:ilvl w:val="0"/>
          <w:numId w:val="2"/>
        </w:numPr>
        <w:spacing w:line="580" w:lineRule="exact"/>
        <w:ind w:firstLine="640"/>
        <w:jc w:val="left"/>
        <w:rPr>
          <w:rFonts w:ascii="仿宋_GB2312" w:hAnsi="宋体" w:eastAsia="仿宋_GB2312" w:cs="宋体"/>
          <w:kern w:val="0"/>
          <w:sz w:val="32"/>
          <w:szCs w:val="32"/>
        </w:rPr>
      </w:pPr>
      <w:r>
        <w:rPr>
          <w:rFonts w:ascii="仿宋_GB2312" w:hAnsi="宋体" w:eastAsia="仿宋_GB2312" w:cs="宋体"/>
          <w:kern w:val="0"/>
          <w:sz w:val="32"/>
          <w:szCs w:val="32"/>
        </w:rPr>
        <w:t>一般公共服务</w:t>
      </w:r>
      <w:r>
        <w:rPr>
          <w:rFonts w:hint="eastAsia" w:ascii="仿宋_GB2312" w:hAnsi="宋体" w:eastAsia="仿宋_GB2312" w:cs="宋体"/>
          <w:kern w:val="0"/>
          <w:sz w:val="32"/>
          <w:szCs w:val="32"/>
          <w:lang w:val="en-US" w:eastAsia="zh-CN"/>
        </w:rPr>
        <w:t>支出（201）</w:t>
      </w:r>
      <w:r>
        <w:rPr>
          <w:rFonts w:hint="eastAsia" w:ascii="仿宋_GB2312" w:hAnsi="宋体" w:eastAsia="仿宋_GB2312" w:cs="宋体"/>
          <w:kern w:val="0"/>
          <w:sz w:val="32"/>
          <w:szCs w:val="32"/>
        </w:rPr>
        <w:t>其他共产党事务</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36</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一般行政管理事务</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02</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：2020年预算数51万元，比上年执行数增加0万元，增长0%，主要原因是本年度与上年业务费</w:t>
      </w:r>
      <w:r>
        <w:rPr>
          <w:rFonts w:hint="eastAsia" w:ascii="仿宋_GB2312" w:hAnsi="宋体" w:eastAsia="仿宋_GB2312" w:cs="宋体"/>
          <w:kern w:val="0"/>
          <w:sz w:val="32"/>
          <w:szCs w:val="32"/>
          <w:lang w:val="en-US" w:eastAsia="zh-CN"/>
        </w:rPr>
        <w:t>没有变化。</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六、关于昌吉州机关工委2020年一般公共预算基本支出情况说明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昌吉州机关工委2020年一般公共预算基本支出166.03万元， 其中：</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highlight w:val="none"/>
        </w:rPr>
        <w:t>人员经费147.99万元，主要包括：基本工资、奖金、伙食补助费、绩效工资、机关事业单位基本养老保险缴费、职工基本医疗保险缴费、公务员医疗补助缴费、其他社会保障缴费、住房公积金、奖励金、职工住宅取暖费。</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highlight w:val="none"/>
        </w:rPr>
        <w:t>公用经费18.04万元，主要包括：办公费、邮电费、差旅费、维修（护）费、、培训费、公务接待费、工会经费、福利费、公务用车运行维护费、其他商品和服务支出。</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七、关于昌吉州机关工委2020年项目支出情况说明</w:t>
      </w:r>
    </w:p>
    <w:p>
      <w:pPr>
        <w:widowControl/>
        <w:spacing w:line="580" w:lineRule="exact"/>
        <w:ind w:firstLine="640" w:firstLineChars="200"/>
        <w:jc w:val="left"/>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机关工委专项业务费</w:t>
      </w:r>
    </w:p>
    <w:p>
      <w:pPr>
        <w:widowControl/>
        <w:spacing w:line="580" w:lineRule="exact"/>
        <w:ind w:left="630" w:leftChars="300"/>
        <w:jc w:val="left"/>
        <w:rPr>
          <w:rFonts w:ascii="仿宋_GB2312" w:hAnsi="黑体" w:eastAsia="仿宋_GB2312"/>
          <w:sz w:val="32"/>
          <w:szCs w:val="32"/>
        </w:rPr>
      </w:pPr>
      <w:r>
        <w:rPr>
          <w:rFonts w:hint="eastAsia" w:ascii="仿宋_GB2312" w:hAnsi="宋体" w:eastAsia="仿宋_GB2312" w:cs="宋体"/>
          <w:kern w:val="0"/>
          <w:sz w:val="32"/>
          <w:szCs w:val="32"/>
        </w:rPr>
        <w:t>设立的政策依据：</w:t>
      </w:r>
      <w:r>
        <w:rPr>
          <w:rFonts w:hint="eastAsia" w:ascii="仿宋_GB2312" w:hAnsi="宋体" w:eastAsia="仿宋_GB2312" w:cs="宋体"/>
          <w:kern w:val="0"/>
          <w:sz w:val="32"/>
          <w:szCs w:val="32"/>
          <w:lang w:val="en-US" w:eastAsia="zh-CN"/>
        </w:rPr>
        <w:t>单位三定方案和工作计划</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51万元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昌吉州机关工委</w:t>
      </w:r>
    </w:p>
    <w:p>
      <w:pPr>
        <w:widowControl/>
        <w:spacing w:line="580" w:lineRule="exact"/>
        <w:ind w:left="630" w:leftChars="30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rPr>
        <w:t>通过此项目以期达到全州指导机关各级党组织搞好思想、组织、作风、制度和反腐倡廉建设，做好党员管理教育工作。党员培训率提高到90%以上。</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2020年1月-12月</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八、关于昌吉州机关工委2020年一般公共预算“三公”经费预算情况说明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昌吉州机关工委2020年“三公”经费财政拨款预算数2.41万元，其中：因公出国（境）费 0 万元，公务用车购置 0 万元，公务用车运行费2.15万元，公务接待费0.26万元。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w:t>
      </w:r>
      <w:r>
        <w:rPr>
          <w:rFonts w:hint="eastAsia" w:ascii="仿宋_GB2312" w:hAnsi="宋体" w:eastAsia="仿宋_GB2312" w:cs="宋体"/>
          <w:kern w:val="0"/>
          <w:sz w:val="32"/>
          <w:szCs w:val="32"/>
          <w:lang w:val="en-US" w:eastAsia="zh-CN"/>
        </w:rPr>
        <w:t>比</w:t>
      </w:r>
      <w:r>
        <w:rPr>
          <w:rFonts w:hint="eastAsia" w:ascii="仿宋_GB2312" w:hAnsi="宋体" w:eastAsia="仿宋_GB2312" w:cs="宋体"/>
          <w:kern w:val="0"/>
          <w:sz w:val="32"/>
          <w:szCs w:val="32"/>
        </w:rPr>
        <w:t>上年</w:t>
      </w:r>
      <w:r>
        <w:rPr>
          <w:rFonts w:hint="eastAsia" w:ascii="仿宋_GB2312" w:hAnsi="宋体" w:eastAsia="仿宋_GB2312" w:cs="宋体"/>
          <w:kern w:val="0"/>
          <w:sz w:val="32"/>
          <w:szCs w:val="32"/>
          <w:highlight w:val="none"/>
        </w:rPr>
        <w:t>减少0万</w:t>
      </w:r>
      <w:r>
        <w:rPr>
          <w:rFonts w:hint="eastAsia" w:ascii="仿宋_GB2312" w:hAnsi="宋体" w:eastAsia="仿宋_GB2312" w:cs="宋体"/>
          <w:kern w:val="0"/>
          <w:sz w:val="32"/>
          <w:szCs w:val="32"/>
        </w:rPr>
        <w:t>元，其中：因公出国（境）费增加（减少）0万元，主要原因是根据中央八项规定严格控制三公经费；公务用车购置费为0，未安排预算。主要原因是根据中央八项规定严格控制三公经费；公务用车运行费</w:t>
      </w:r>
      <w:r>
        <w:rPr>
          <w:rFonts w:hint="eastAsia" w:ascii="仿宋_GB2312" w:hAnsi="宋体" w:eastAsia="仿宋_GB2312" w:cs="宋体"/>
          <w:kern w:val="0"/>
          <w:sz w:val="32"/>
          <w:szCs w:val="32"/>
          <w:lang w:val="en-US" w:eastAsia="zh-CN"/>
        </w:rPr>
        <w:t>增加（</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0万元，主要原因是根据中央八项规定严格控制三公经费；公务接待费</w:t>
      </w:r>
      <w:r>
        <w:rPr>
          <w:rFonts w:hint="eastAsia" w:ascii="仿宋_GB2312" w:hAnsi="宋体" w:eastAsia="仿宋_GB2312" w:cs="宋体"/>
          <w:kern w:val="0"/>
          <w:sz w:val="32"/>
          <w:szCs w:val="32"/>
          <w:lang w:val="en-US" w:eastAsia="zh-CN"/>
        </w:rPr>
        <w:t>增加（</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万元，主要原因是根据中央八项规定严格控制三公经费。</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九、关于昌吉州机关工委2020年政府性基金预算拨款情况说明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昌吉州机关工委2020年没有使用政府性基金预算拨款安排的支出，政府性基金预算支出情况表为空表。</w:t>
      </w:r>
    </w:p>
    <w:p>
      <w:pPr>
        <w:widowControl/>
        <w:spacing w:line="580" w:lineRule="exact"/>
        <w:ind w:firstLine="640"/>
        <w:jc w:val="left"/>
        <w:rPr>
          <w:rFonts w:ascii="楷体_GB2312" w:hAnsi="宋体" w:eastAsia="楷体_GB2312" w:cs="宋体"/>
          <w:b/>
          <w:kern w:val="0"/>
          <w:sz w:val="32"/>
          <w:szCs w:val="32"/>
        </w:rPr>
      </w:pPr>
      <w:r>
        <w:rPr>
          <w:rFonts w:hint="eastAsia" w:ascii="黑体" w:hAnsi="宋体" w:eastAsia="黑体" w:cs="宋体"/>
          <w:kern w:val="0"/>
          <w:sz w:val="32"/>
          <w:szCs w:val="32"/>
        </w:rPr>
        <w:t>十、其他重要事项的情况说明（无）</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2020年，昌吉州机关工委本级机关运行经费财政拨款预算18.04万元，公用经费整体较上年减少0.6万元，下降0.36%，主要原因是公用经费整体较上年减少0.6万元</w:t>
      </w:r>
      <w:r>
        <w:rPr>
          <w:rFonts w:hint="eastAsia" w:ascii="仿宋_GB2312" w:hAnsi="宋体" w:eastAsia="仿宋_GB2312" w:cs="宋体"/>
          <w:kern w:val="0"/>
          <w:sz w:val="32"/>
          <w:szCs w:val="32"/>
          <w:lang w:eastAsia="zh-CN"/>
        </w:rPr>
        <w:t>。</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2020年，昌吉州机关工委政府采购预算8.7万元，其中：政府采购货物预算8.7万元，政府采购工程预算0万元，政府采购服务预算0万元。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 0万元，其中：面向小微企业预留政府采购项目预算金额0万元。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截至2019年底，昌吉州机关工委占用使用国有资产总体情况为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 0平方米，价值0万元。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2.车辆1 辆，价值19.77万元；其中：一般公务用车1辆，价值 19.77万元；执法执勤用车0辆，价值0万元；其他车辆0辆，价值0万元。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3.办公家具价值4.65万元。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4.其他资产价值17.99万元。</w:t>
      </w:r>
    </w:p>
    <w:p>
      <w:pPr>
        <w:widowControl/>
        <w:spacing w:line="5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单位价值50万元以上大型设备0台（套），单位价值100万元以上大型设备0台（套）。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2020年部门预算未安排购置车辆经费，安排购置50万元以上大型设备0台（套），单位价值100万元以上大型设备0台（套）。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 1个，涉及预算金额 51 万元。具体情况见下表：</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sectPr>
          <w:pgSz w:w="11906" w:h="16838"/>
          <w:pgMar w:top="1440" w:right="1800" w:bottom="1440" w:left="180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中共昌吉回族自治州直属机关工作委员会</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机关工委专项业务费</w:t>
            </w:r>
          </w:p>
        </w:tc>
      </w:tr>
      <w:tr>
        <w:tblPrEx>
          <w:tblLayout w:type="fixed"/>
          <w:tblCellMar>
            <w:top w:w="0" w:type="dxa"/>
            <w:left w:w="108" w:type="dxa"/>
            <w:bottom w:w="0" w:type="dxa"/>
            <w:right w:w="108" w:type="dxa"/>
          </w:tblCellMar>
        </w:tblPrEx>
        <w:trPr>
          <w:trHeight w:val="463"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51</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51</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tabs>
                <w:tab w:val="left" w:pos="514"/>
              </w:tabs>
              <w:jc w:val="left"/>
              <w:rPr>
                <w:rFonts w:ascii="宋体" w:hAnsi="宋体" w:cs="宋体"/>
                <w:kern w:val="0"/>
                <w:sz w:val="18"/>
                <w:szCs w:val="18"/>
              </w:rPr>
            </w:pPr>
            <w:r>
              <w:rPr>
                <w:rFonts w:hint="eastAsia" w:ascii="宋体" w:hAnsi="宋体" w:cs="宋体"/>
                <w:kern w:val="0"/>
                <w:sz w:val="18"/>
                <w:szCs w:val="18"/>
              </w:rPr>
              <w:t>　</w:t>
            </w:r>
            <w:r>
              <w:rPr>
                <w:rFonts w:hint="eastAsia" w:ascii="宋体" w:hAnsi="宋体" w:cs="宋体"/>
                <w:kern w:val="0"/>
                <w:sz w:val="18"/>
                <w:szCs w:val="18"/>
              </w:rPr>
              <w:tab/>
            </w:r>
            <w:r>
              <w:rPr>
                <w:rFonts w:hint="eastAsia" w:ascii="宋体" w:hAnsi="宋体" w:cs="宋体"/>
                <w:kern w:val="0"/>
                <w:sz w:val="18"/>
                <w:szCs w:val="18"/>
              </w:rPr>
              <w:t>1、审批州直机关党委、直属党总支部、党支部的建立；审批州直机关党组织领导班子成员的任免；负责州直机关党委和直属党（总）支部书记、副书记、委员的培训工作。2、监督检查州直各部门、各单位机关党组织切实履行职责、落实好党的工作的各项任务的情况。3、按照自治区党委和州党委的要求，指导机关各级党组织搞好思想、组织、作风、制度和反腐倡廉建设，做好党员管理教育工作。</w:t>
            </w:r>
          </w:p>
        </w:tc>
      </w:tr>
      <w:tr>
        <w:tblPrEx>
          <w:tblLayout w:type="fixed"/>
          <w:tblCellMar>
            <w:top w:w="0" w:type="dxa"/>
            <w:left w:w="108" w:type="dxa"/>
            <w:bottom w:w="0" w:type="dxa"/>
            <w:right w:w="108" w:type="dxa"/>
          </w:tblCellMar>
        </w:tblPrEx>
        <w:trPr>
          <w:trHeight w:val="350"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rPr>
                <w:rFonts w:ascii="宋体" w:hAnsi="宋体" w:cs="宋体"/>
                <w:kern w:val="0"/>
                <w:sz w:val="18"/>
                <w:szCs w:val="18"/>
              </w:rPr>
            </w:pPr>
            <w:r>
              <w:rPr>
                <w:rFonts w:hint="eastAsia" w:ascii="宋体" w:hAnsi="宋体" w:cs="宋体"/>
                <w:kern w:val="0"/>
                <w:sz w:val="18"/>
                <w:szCs w:val="18"/>
              </w:rPr>
              <w:t>机关工委专项业务费</w:t>
            </w:r>
          </w:p>
        </w:tc>
        <w:tc>
          <w:tcPr>
            <w:tcW w:w="3773" w:type="dxa"/>
            <w:gridSpan w:val="4"/>
            <w:tcBorders>
              <w:top w:val="single" w:color="000000" w:sz="4" w:space="0"/>
              <w:left w:val="nil"/>
              <w:bottom w:val="single" w:color="000000" w:sz="4" w:space="0"/>
              <w:right w:val="single" w:color="000000" w:sz="4" w:space="0"/>
            </w:tcBorders>
            <w:vAlign w:val="center"/>
          </w:tcPr>
          <w:p>
            <w:pPr>
              <w:widowControl/>
              <w:tabs>
                <w:tab w:val="left" w:pos="896"/>
                <w:tab w:val="center" w:pos="1928"/>
              </w:tabs>
              <w:jc w:val="left"/>
              <w:rPr>
                <w:rFonts w:ascii="宋体" w:hAnsi="宋体" w:cs="宋体"/>
                <w:kern w:val="0"/>
                <w:sz w:val="18"/>
                <w:szCs w:val="18"/>
              </w:rPr>
            </w:pPr>
            <w:r>
              <w:rPr>
                <w:rFonts w:hint="eastAsia" w:ascii="宋体" w:hAnsi="宋体" w:cs="宋体"/>
                <w:kern w:val="0"/>
                <w:sz w:val="18"/>
                <w:szCs w:val="18"/>
              </w:rPr>
              <w:tab/>
            </w:r>
            <w:r>
              <w:rPr>
                <w:rFonts w:hint="eastAsia" w:ascii="宋体" w:hAnsi="宋体" w:cs="宋体"/>
                <w:kern w:val="0"/>
                <w:sz w:val="18"/>
                <w:szCs w:val="18"/>
              </w:rPr>
              <w:t>51</w:t>
            </w:r>
            <w:r>
              <w:rPr>
                <w:rFonts w:hint="eastAsia" w:ascii="宋体" w:hAnsi="宋体" w:cs="宋体"/>
                <w:kern w:val="0"/>
                <w:sz w:val="18"/>
                <w:szCs w:val="18"/>
              </w:rPr>
              <w:tab/>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预算内完成，不挤占其他资金　</w:t>
            </w:r>
          </w:p>
        </w:tc>
      </w:tr>
      <w:tr>
        <w:tblPrEx>
          <w:tblLayout w:type="fixed"/>
          <w:tblCellMar>
            <w:top w:w="0" w:type="dxa"/>
            <w:left w:w="108" w:type="dxa"/>
            <w:bottom w:w="0" w:type="dxa"/>
            <w:right w:w="108" w:type="dxa"/>
          </w:tblCellMar>
        </w:tblPrEx>
        <w:trPr>
          <w:trHeight w:val="948"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项目开始时间：2020年1月</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完成各自范围内的党员培训的任务工作　</w:t>
            </w:r>
          </w:p>
        </w:tc>
      </w:tr>
      <w:tr>
        <w:tblPrEx>
          <w:tblLayout w:type="fixed"/>
          <w:tblCellMar>
            <w:top w:w="0" w:type="dxa"/>
            <w:left w:w="108" w:type="dxa"/>
            <w:bottom w:w="0" w:type="dxa"/>
            <w:right w:w="108" w:type="dxa"/>
          </w:tblCellMar>
        </w:tblPrEx>
        <w:trPr>
          <w:trHeight w:val="325"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项目完成时间：2020年12月</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2"/>
                <w:szCs w:val="22"/>
                <w:lang w:bidi="ar"/>
              </w:rPr>
              <w:t>组织培训的班次2</w:t>
            </w:r>
          </w:p>
        </w:tc>
        <w:tc>
          <w:tcPr>
            <w:tcW w:w="3773" w:type="dxa"/>
            <w:gridSpan w:val="4"/>
            <w:tcBorders>
              <w:top w:val="single" w:color="000000" w:sz="4" w:space="0"/>
              <w:left w:val="nil"/>
              <w:bottom w:val="single" w:color="000000" w:sz="4" w:space="0"/>
              <w:right w:val="single" w:color="000000" w:sz="4" w:space="0"/>
            </w:tcBorders>
            <w:vAlign w:val="bottom"/>
          </w:tcPr>
          <w:p>
            <w:pPr>
              <w:widowControl/>
              <w:jc w:val="center"/>
              <w:textAlignment w:val="bottom"/>
              <w:rPr>
                <w:rFonts w:ascii="宋体" w:hAnsi="宋体" w:cs="宋体"/>
                <w:kern w:val="0"/>
                <w:sz w:val="18"/>
                <w:szCs w:val="18"/>
              </w:rPr>
            </w:pPr>
            <w:r>
              <w:rPr>
                <w:rFonts w:hint="eastAsia" w:ascii="宋体" w:hAnsi="宋体" w:cs="宋体"/>
                <w:color w:val="000000"/>
                <w:kern w:val="0"/>
                <w:sz w:val="22"/>
                <w:szCs w:val="22"/>
                <w:lang w:bidi="ar"/>
              </w:rPr>
              <w:t>完成2次培训任务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2"/>
                <w:szCs w:val="22"/>
                <w:lang w:bidi="ar"/>
              </w:rPr>
              <w:t>参加培训的人次100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lang w:bidi="ar"/>
              </w:rPr>
              <w:t>完成100人次次培训任务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2"/>
                <w:szCs w:val="22"/>
                <w:lang w:bidi="ar"/>
              </w:rPr>
              <w:t>培训持续的天数15</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lang w:bidi="ar"/>
              </w:rPr>
              <w:t>完成15天培训任务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2"/>
                <w:szCs w:val="22"/>
                <w:lang w:bidi="ar"/>
              </w:rPr>
              <w:t>培训开设课程的数量4</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lang w:bidi="ar"/>
              </w:rPr>
              <w:t>完成4门课培训任务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2"/>
                <w:szCs w:val="22"/>
                <w:lang w:bidi="ar"/>
              </w:rPr>
              <w:t>培训实施教学模式创新的数量4</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Fonts w:hint="eastAsia" w:ascii="宋体" w:hAnsi="宋体" w:cs="宋体"/>
                <w:color w:val="000000"/>
                <w:kern w:val="0"/>
                <w:sz w:val="22"/>
                <w:szCs w:val="22"/>
                <w:lang w:bidi="ar"/>
              </w:rPr>
              <w:t>完成4门课培训任务</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2"/>
                <w:szCs w:val="22"/>
                <w:lang w:bidi="ar"/>
              </w:rPr>
              <w:t>培训计划按期完成率100%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Style w:val="20"/>
                <w:rFonts w:hint="default"/>
                <w:lang w:bidi="ar"/>
              </w:rPr>
              <w:t>培训计划率达到</w:t>
            </w:r>
            <w:r>
              <w:rPr>
                <w:rStyle w:val="21"/>
                <w:lang w:bidi="ar"/>
              </w:rPr>
              <w:t>100%</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2"/>
                <w:szCs w:val="22"/>
                <w:lang w:bidi="ar"/>
              </w:rPr>
              <w:t>培训合格率100%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Style w:val="20"/>
                <w:rFonts w:hint="default"/>
                <w:lang w:bidi="ar"/>
              </w:rPr>
              <w:t>培训合格率达到</w:t>
            </w:r>
            <w:r>
              <w:rPr>
                <w:rStyle w:val="21"/>
                <w:lang w:bidi="ar"/>
              </w:rPr>
              <w:t>100%</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2"/>
                <w:szCs w:val="22"/>
                <w:lang w:bidi="ar"/>
              </w:rPr>
              <w:t>培训覆盖率100%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Style w:val="20"/>
                <w:rFonts w:hint="default"/>
                <w:lang w:bidi="ar"/>
              </w:rPr>
              <w:t>培训覆盖率达到</w:t>
            </w:r>
            <w:r>
              <w:rPr>
                <w:rStyle w:val="21"/>
                <w:lang w:bidi="ar"/>
              </w:rPr>
              <w:t>100%</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textAlignment w:val="center"/>
              <w:rPr>
                <w:rFonts w:ascii="宋体" w:hAnsi="宋体" w:cs="宋体"/>
                <w:kern w:val="0"/>
                <w:sz w:val="18"/>
                <w:szCs w:val="18"/>
              </w:rPr>
            </w:pPr>
            <w:r>
              <w:rPr>
                <w:rFonts w:hint="eastAsia" w:ascii="宋体" w:hAnsi="宋体" w:cs="宋体"/>
                <w:color w:val="000000"/>
                <w:kern w:val="0"/>
                <w:sz w:val="22"/>
                <w:szCs w:val="22"/>
                <w:lang w:bidi="ar"/>
              </w:rPr>
              <w:t>培训出勤率100%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textAlignment w:val="center"/>
              <w:rPr>
                <w:rFonts w:ascii="宋体" w:hAnsi="宋体" w:cs="宋体"/>
                <w:kern w:val="0"/>
                <w:sz w:val="18"/>
                <w:szCs w:val="18"/>
              </w:rPr>
            </w:pPr>
            <w:r>
              <w:rPr>
                <w:rStyle w:val="20"/>
                <w:rFonts w:hint="default"/>
                <w:lang w:bidi="ar"/>
              </w:rPr>
              <w:t>培训出勤率达到</w:t>
            </w:r>
            <w:r>
              <w:rPr>
                <w:rStyle w:val="21"/>
                <w:lang w:bidi="ar"/>
              </w:rPr>
              <w:t>100%</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指标  1制定培训计划</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按照往年的培训情况，编写来年的全州培训计划和制定“昌吉州2019年培训方案”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指标  2培训预期目标</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积极的开展党员培训，提高党员的素质，加强党员队伍的能力。</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坚持以马克思主义“五观”，推动“五个认同”，弘扬中华优秀传统文化，促进各民族交流交往交融，强化中华民族共同体意识，培育和践行社会主义核心价值观，持续满足群众精神文化需求</w:t>
            </w:r>
          </w:p>
        </w:tc>
        <w:tc>
          <w:tcPr>
            <w:tcW w:w="3773" w:type="dxa"/>
            <w:gridSpan w:val="4"/>
            <w:tcBorders>
              <w:top w:val="single" w:color="000000" w:sz="4" w:space="0"/>
              <w:left w:val="nil"/>
              <w:bottom w:val="single" w:color="000000" w:sz="4" w:space="0"/>
              <w:right w:val="single" w:color="000000" w:sz="4" w:space="0"/>
            </w:tcBorders>
            <w:vAlign w:val="center"/>
          </w:tcPr>
          <w:p>
            <w:pPr>
              <w:widowControl/>
              <w:tabs>
                <w:tab w:val="left" w:pos="434"/>
                <w:tab w:val="center" w:pos="1928"/>
              </w:tabs>
              <w:jc w:val="left"/>
              <w:rPr>
                <w:rFonts w:ascii="宋体" w:hAnsi="宋体" w:cs="宋体"/>
                <w:kern w:val="0"/>
                <w:sz w:val="18"/>
                <w:szCs w:val="18"/>
              </w:rPr>
            </w:pPr>
            <w:r>
              <w:rPr>
                <w:rFonts w:hint="eastAsia" w:ascii="宋体" w:hAnsi="宋体" w:cs="宋体"/>
                <w:kern w:val="0"/>
                <w:sz w:val="18"/>
                <w:szCs w:val="18"/>
              </w:rPr>
              <w:tab/>
            </w:r>
            <w:r>
              <w:rPr>
                <w:rFonts w:hint="eastAsia" w:ascii="宋体" w:hAnsi="宋体" w:cs="宋体"/>
                <w:kern w:val="0"/>
                <w:sz w:val="18"/>
                <w:szCs w:val="18"/>
              </w:rPr>
              <w:t>通过长期开展各类党组织活动、宣传教育等，可持续影响达到100%</w:t>
            </w:r>
            <w:r>
              <w:rPr>
                <w:rFonts w:hint="eastAsia" w:ascii="宋体" w:hAnsi="宋体" w:cs="宋体"/>
                <w:kern w:val="0"/>
                <w:sz w:val="18"/>
                <w:szCs w:val="18"/>
              </w:rPr>
              <w:tab/>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受训学员持证上岗率100%</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受训学员满意度100%</w:t>
            </w:r>
          </w:p>
        </w:tc>
        <w:tc>
          <w:tcPr>
            <w:tcW w:w="3773" w:type="dxa"/>
            <w:gridSpan w:val="4"/>
            <w:tcBorders>
              <w:top w:val="single" w:color="000000" w:sz="4" w:space="0"/>
              <w:left w:val="nil"/>
              <w:bottom w:val="single" w:color="000000" w:sz="4" w:space="0"/>
              <w:right w:val="single" w:color="000000" w:sz="4" w:space="0"/>
            </w:tcBorders>
            <w:vAlign w:val="center"/>
          </w:tcPr>
          <w:p>
            <w:pPr>
              <w:widowControl/>
              <w:tabs>
                <w:tab w:val="left" w:pos="284"/>
                <w:tab w:val="center" w:pos="1928"/>
              </w:tabs>
              <w:jc w:val="left"/>
              <w:rPr>
                <w:rFonts w:ascii="宋体" w:hAnsi="宋体" w:cs="宋体"/>
                <w:kern w:val="0"/>
                <w:sz w:val="18"/>
                <w:szCs w:val="18"/>
              </w:rPr>
            </w:pPr>
            <w:r>
              <w:rPr>
                <w:rFonts w:hint="eastAsia" w:ascii="宋体" w:hAnsi="宋体" w:cs="宋体"/>
                <w:kern w:val="0"/>
                <w:sz w:val="18"/>
                <w:szCs w:val="18"/>
              </w:rPr>
              <w:tab/>
            </w:r>
            <w:r>
              <w:rPr>
                <w:rFonts w:hint="eastAsia" w:ascii="宋体" w:hAnsi="宋体" w:cs="宋体"/>
                <w:kern w:val="0"/>
                <w:sz w:val="18"/>
                <w:szCs w:val="18"/>
              </w:rPr>
              <w:t>调查中满意和较满意的受训学员数量占调查总人数的比率达到100</w:t>
            </w:r>
            <w:r>
              <w:rPr>
                <w:rFonts w:hint="eastAsia" w:ascii="宋体" w:hAnsi="宋体" w:cs="宋体"/>
                <w:kern w:val="0"/>
                <w:sz w:val="18"/>
                <w:szCs w:val="18"/>
              </w:rPr>
              <w:tab/>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411" w:firstLineChars="196"/>
        <w:jc w:val="left"/>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bookmarkStart w:id="0" w:name="_GoBack"/>
      <w:bookmarkEnd w:id="0"/>
      <w:r>
        <w:rPr>
          <w:rFonts w:hint="eastAsia" w:ascii="仿宋_GB2312" w:hAnsi="宋体" w:eastAsia="仿宋_GB2312" w:cs="宋体"/>
          <w:kern w:val="0"/>
          <w:sz w:val="32"/>
          <w:szCs w:val="32"/>
        </w:rPr>
        <w:t>无其他需要说明的事项</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ind w:left="4160" w:hanging="4160" w:hangingChars="13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中共昌吉回族自治州直属机关工作委员会                         2020年1月22 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简体">
    <w:altName w:val="黑体"/>
    <w:panose1 w:val="00000000000000000000"/>
    <w:charset w:val="86"/>
    <w:family w:val="script"/>
    <w:pitch w:val="default"/>
    <w:sig w:usb0="00000000" w:usb1="00000000" w:usb2="00000010" w:usb3="00000000" w:csb0="00040000" w:csb1="00000000"/>
  </w:font>
  <w:font w:name="Dialog">
    <w:altName w:val="Times New Roman"/>
    <w:panose1 w:val="00000000000000000000"/>
    <w:charset w:val="00"/>
    <w:family w:val="auto"/>
    <w:pitch w:val="default"/>
    <w:sig w:usb0="00000000" w:usb1="00000000" w:usb2="00000000" w:usb3="00000000" w:csb0="00000001" w:csb1="00000000"/>
  </w:font>
  <w:font w:name="楷体_GB2312">
    <w:altName w:val="楷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24</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3891B8"/>
    <w:multiLevelType w:val="singleLevel"/>
    <w:tmpl w:val="A03891B8"/>
    <w:lvl w:ilvl="0" w:tentative="0">
      <w:start w:val="3"/>
      <w:numFmt w:val="chineseCounting"/>
      <w:suff w:val="nothing"/>
      <w:lvlText w:val="（%1）"/>
      <w:lvlJc w:val="left"/>
      <w:rPr>
        <w:rFonts w:hint="eastAsia"/>
      </w:rPr>
    </w:lvl>
  </w:abstractNum>
  <w:abstractNum w:abstractNumId="1">
    <w:nsid w:val="1CE3B2B4"/>
    <w:multiLevelType w:val="singleLevel"/>
    <w:tmpl w:val="1CE3B2B4"/>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2A7D"/>
    <w:rsid w:val="00041FAB"/>
    <w:rsid w:val="00063AF9"/>
    <w:rsid w:val="000668AB"/>
    <w:rsid w:val="00083C41"/>
    <w:rsid w:val="000A1709"/>
    <w:rsid w:val="000A5296"/>
    <w:rsid w:val="000B2FC1"/>
    <w:rsid w:val="00112EB6"/>
    <w:rsid w:val="00122ADB"/>
    <w:rsid w:val="00204F09"/>
    <w:rsid w:val="002747A2"/>
    <w:rsid w:val="0028224E"/>
    <w:rsid w:val="002F3827"/>
    <w:rsid w:val="00301826"/>
    <w:rsid w:val="00303B8D"/>
    <w:rsid w:val="0034472A"/>
    <w:rsid w:val="003A1E48"/>
    <w:rsid w:val="00407B97"/>
    <w:rsid w:val="00422344"/>
    <w:rsid w:val="00434588"/>
    <w:rsid w:val="0045368F"/>
    <w:rsid w:val="005232F5"/>
    <w:rsid w:val="00527B2B"/>
    <w:rsid w:val="00537787"/>
    <w:rsid w:val="00565244"/>
    <w:rsid w:val="0056685E"/>
    <w:rsid w:val="005800F3"/>
    <w:rsid w:val="005944A4"/>
    <w:rsid w:val="005954DA"/>
    <w:rsid w:val="00596DC0"/>
    <w:rsid w:val="00604C80"/>
    <w:rsid w:val="00641B85"/>
    <w:rsid w:val="00664132"/>
    <w:rsid w:val="006E2191"/>
    <w:rsid w:val="00737EB7"/>
    <w:rsid w:val="00790251"/>
    <w:rsid w:val="0082726C"/>
    <w:rsid w:val="008458F4"/>
    <w:rsid w:val="00864B06"/>
    <w:rsid w:val="0087331D"/>
    <w:rsid w:val="008C5600"/>
    <w:rsid w:val="008E6DD6"/>
    <w:rsid w:val="009A2E7A"/>
    <w:rsid w:val="00A109A1"/>
    <w:rsid w:val="00AA2835"/>
    <w:rsid w:val="00AD5DE1"/>
    <w:rsid w:val="00AE1EC1"/>
    <w:rsid w:val="00B24032"/>
    <w:rsid w:val="00B31EC1"/>
    <w:rsid w:val="00B425AE"/>
    <w:rsid w:val="00B75C84"/>
    <w:rsid w:val="00BD2B85"/>
    <w:rsid w:val="00C501AB"/>
    <w:rsid w:val="00C66DC0"/>
    <w:rsid w:val="00CE12E7"/>
    <w:rsid w:val="00D33F3F"/>
    <w:rsid w:val="00D552E4"/>
    <w:rsid w:val="00D62C71"/>
    <w:rsid w:val="00DA1B1C"/>
    <w:rsid w:val="00DE39B0"/>
    <w:rsid w:val="00E14DBE"/>
    <w:rsid w:val="00E268CB"/>
    <w:rsid w:val="00E31AAF"/>
    <w:rsid w:val="00E904D3"/>
    <w:rsid w:val="00E925D8"/>
    <w:rsid w:val="00EA1886"/>
    <w:rsid w:val="00ED6DA1"/>
    <w:rsid w:val="00F707DC"/>
    <w:rsid w:val="00F72A7D"/>
    <w:rsid w:val="00F853B1"/>
    <w:rsid w:val="00FA2282"/>
    <w:rsid w:val="00FC0B39"/>
    <w:rsid w:val="00FC0FAA"/>
    <w:rsid w:val="015F110B"/>
    <w:rsid w:val="06FD0463"/>
    <w:rsid w:val="0767539B"/>
    <w:rsid w:val="077000F9"/>
    <w:rsid w:val="08014651"/>
    <w:rsid w:val="08193221"/>
    <w:rsid w:val="082B22B4"/>
    <w:rsid w:val="089A6F45"/>
    <w:rsid w:val="08F92AAB"/>
    <w:rsid w:val="095C7A3D"/>
    <w:rsid w:val="09B6773F"/>
    <w:rsid w:val="0B0B6839"/>
    <w:rsid w:val="0D520736"/>
    <w:rsid w:val="0DC406FC"/>
    <w:rsid w:val="0E3679A9"/>
    <w:rsid w:val="0ECF3468"/>
    <w:rsid w:val="0F1F1B57"/>
    <w:rsid w:val="11876E5C"/>
    <w:rsid w:val="11EB469D"/>
    <w:rsid w:val="13593C61"/>
    <w:rsid w:val="13611706"/>
    <w:rsid w:val="13F93B37"/>
    <w:rsid w:val="143E6C5A"/>
    <w:rsid w:val="147C1A60"/>
    <w:rsid w:val="14C538E6"/>
    <w:rsid w:val="15306035"/>
    <w:rsid w:val="155B0427"/>
    <w:rsid w:val="15D65DF7"/>
    <w:rsid w:val="16CD0B2E"/>
    <w:rsid w:val="16DC28A0"/>
    <w:rsid w:val="16E16FD3"/>
    <w:rsid w:val="16E847AC"/>
    <w:rsid w:val="18B143F1"/>
    <w:rsid w:val="19737459"/>
    <w:rsid w:val="1A3C27AD"/>
    <w:rsid w:val="1AA32731"/>
    <w:rsid w:val="1AF24BF2"/>
    <w:rsid w:val="1BA34110"/>
    <w:rsid w:val="1C403918"/>
    <w:rsid w:val="1D4B4087"/>
    <w:rsid w:val="1D525628"/>
    <w:rsid w:val="1DB93A8E"/>
    <w:rsid w:val="1DE267F5"/>
    <w:rsid w:val="1E552FBD"/>
    <w:rsid w:val="1E884788"/>
    <w:rsid w:val="20543942"/>
    <w:rsid w:val="205F29E0"/>
    <w:rsid w:val="208D16AE"/>
    <w:rsid w:val="2090024D"/>
    <w:rsid w:val="22000CE1"/>
    <w:rsid w:val="226A62EF"/>
    <w:rsid w:val="236D2D14"/>
    <w:rsid w:val="2443233A"/>
    <w:rsid w:val="25380804"/>
    <w:rsid w:val="260350B1"/>
    <w:rsid w:val="274032E2"/>
    <w:rsid w:val="27847D73"/>
    <w:rsid w:val="27AE6FD6"/>
    <w:rsid w:val="28013BC2"/>
    <w:rsid w:val="289B5965"/>
    <w:rsid w:val="28D32CD2"/>
    <w:rsid w:val="28DD20E9"/>
    <w:rsid w:val="292F5D16"/>
    <w:rsid w:val="29FE466A"/>
    <w:rsid w:val="2A2C0EFC"/>
    <w:rsid w:val="2A6977EC"/>
    <w:rsid w:val="2BE97D00"/>
    <w:rsid w:val="2D187A67"/>
    <w:rsid w:val="2D5B407F"/>
    <w:rsid w:val="2D7F4DB5"/>
    <w:rsid w:val="2DDF32CD"/>
    <w:rsid w:val="2E483239"/>
    <w:rsid w:val="2E544A05"/>
    <w:rsid w:val="2FB023BA"/>
    <w:rsid w:val="2FE05320"/>
    <w:rsid w:val="300A1EC3"/>
    <w:rsid w:val="30203BEF"/>
    <w:rsid w:val="30DD3ECE"/>
    <w:rsid w:val="31F00477"/>
    <w:rsid w:val="32022AC8"/>
    <w:rsid w:val="330753F2"/>
    <w:rsid w:val="34295502"/>
    <w:rsid w:val="352A0B98"/>
    <w:rsid w:val="354869E5"/>
    <w:rsid w:val="35B5612E"/>
    <w:rsid w:val="36005B88"/>
    <w:rsid w:val="365D3523"/>
    <w:rsid w:val="371B7862"/>
    <w:rsid w:val="372A1BDA"/>
    <w:rsid w:val="37F35D7B"/>
    <w:rsid w:val="38715FF7"/>
    <w:rsid w:val="3B4B6474"/>
    <w:rsid w:val="3B8A5B1A"/>
    <w:rsid w:val="3BCF3815"/>
    <w:rsid w:val="3C30589D"/>
    <w:rsid w:val="3DBA0C4A"/>
    <w:rsid w:val="3E0B3CE8"/>
    <w:rsid w:val="408B66D5"/>
    <w:rsid w:val="417F4917"/>
    <w:rsid w:val="41F34E58"/>
    <w:rsid w:val="420617E0"/>
    <w:rsid w:val="42536F14"/>
    <w:rsid w:val="43A65B30"/>
    <w:rsid w:val="44657446"/>
    <w:rsid w:val="45194BCC"/>
    <w:rsid w:val="456C4269"/>
    <w:rsid w:val="459229F3"/>
    <w:rsid w:val="464E3D9E"/>
    <w:rsid w:val="46E02A9F"/>
    <w:rsid w:val="477767C5"/>
    <w:rsid w:val="47A45840"/>
    <w:rsid w:val="47D96B76"/>
    <w:rsid w:val="49B17C31"/>
    <w:rsid w:val="49D90330"/>
    <w:rsid w:val="4A790AE0"/>
    <w:rsid w:val="4B542055"/>
    <w:rsid w:val="4BCD22E4"/>
    <w:rsid w:val="4D644254"/>
    <w:rsid w:val="4DD640C6"/>
    <w:rsid w:val="4EF932E4"/>
    <w:rsid w:val="4F417280"/>
    <w:rsid w:val="4F765792"/>
    <w:rsid w:val="51396E93"/>
    <w:rsid w:val="522310DB"/>
    <w:rsid w:val="55382F02"/>
    <w:rsid w:val="55673885"/>
    <w:rsid w:val="56DE0AD6"/>
    <w:rsid w:val="578C1F62"/>
    <w:rsid w:val="57B1598F"/>
    <w:rsid w:val="5A043454"/>
    <w:rsid w:val="5AC2744F"/>
    <w:rsid w:val="5B8A05EB"/>
    <w:rsid w:val="5BB72689"/>
    <w:rsid w:val="5BBE1F12"/>
    <w:rsid w:val="5BF245F4"/>
    <w:rsid w:val="5D9C4864"/>
    <w:rsid w:val="5DD14C0F"/>
    <w:rsid w:val="622934D6"/>
    <w:rsid w:val="623A4969"/>
    <w:rsid w:val="62DC5BF5"/>
    <w:rsid w:val="64B0607D"/>
    <w:rsid w:val="660907B1"/>
    <w:rsid w:val="663E6173"/>
    <w:rsid w:val="664311A4"/>
    <w:rsid w:val="664A1B7D"/>
    <w:rsid w:val="66B4477C"/>
    <w:rsid w:val="66FB1EF0"/>
    <w:rsid w:val="670D58FD"/>
    <w:rsid w:val="672C08E1"/>
    <w:rsid w:val="67560A4D"/>
    <w:rsid w:val="6863536C"/>
    <w:rsid w:val="68F13F19"/>
    <w:rsid w:val="695165E5"/>
    <w:rsid w:val="697D53D7"/>
    <w:rsid w:val="6A0E7D0A"/>
    <w:rsid w:val="6B6F6762"/>
    <w:rsid w:val="6B8B3A20"/>
    <w:rsid w:val="6BC610C2"/>
    <w:rsid w:val="6C3C5D55"/>
    <w:rsid w:val="6C411C0C"/>
    <w:rsid w:val="6C534061"/>
    <w:rsid w:val="6CBC4F63"/>
    <w:rsid w:val="6CF024E0"/>
    <w:rsid w:val="6CF540EA"/>
    <w:rsid w:val="6D8C38E4"/>
    <w:rsid w:val="6D977946"/>
    <w:rsid w:val="6EB22392"/>
    <w:rsid w:val="70EA5996"/>
    <w:rsid w:val="71435F07"/>
    <w:rsid w:val="71605E9C"/>
    <w:rsid w:val="71954A9E"/>
    <w:rsid w:val="71A678E1"/>
    <w:rsid w:val="723D4615"/>
    <w:rsid w:val="725B14C2"/>
    <w:rsid w:val="72C43C5E"/>
    <w:rsid w:val="73766716"/>
    <w:rsid w:val="75664B03"/>
    <w:rsid w:val="75B44FF3"/>
    <w:rsid w:val="76F73F48"/>
    <w:rsid w:val="779B297B"/>
    <w:rsid w:val="78437E74"/>
    <w:rsid w:val="79586EF2"/>
    <w:rsid w:val="7AF03999"/>
    <w:rsid w:val="7B060F7C"/>
    <w:rsid w:val="7BBD08BA"/>
    <w:rsid w:val="7C075E85"/>
    <w:rsid w:val="7D7C19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7">
    <w:name w:val="Normal Table"/>
    <w:semiHidden/>
    <w:unhideWhenUsed/>
    <w:qFormat/>
    <w:uiPriority w:val="99"/>
    <w:tblPr>
      <w:tblLayout w:type="fixed"/>
      <w:tblCellMar>
        <w:top w:w="0" w:type="dxa"/>
        <w:left w:w="108" w:type="dxa"/>
        <w:bottom w:w="0" w:type="dxa"/>
        <w:right w:w="108" w:type="dxa"/>
      </w:tblCellMar>
    </w:tblPr>
  </w:style>
  <w:style w:type="paragraph" w:styleId="2">
    <w:name w:val="Balloon Text"/>
    <w:basedOn w:val="1"/>
    <w:link w:val="8"/>
    <w:qFormat/>
    <w:uiPriority w:val="0"/>
    <w:rPr>
      <w:sz w:val="18"/>
      <w:szCs w:val="18"/>
    </w:rPr>
  </w:style>
  <w:style w:type="paragraph" w:styleId="3">
    <w:name w:val="footer"/>
    <w:basedOn w:val="1"/>
    <w:link w:val="9"/>
    <w:qFormat/>
    <w:uiPriority w:val="0"/>
    <w:pPr>
      <w:tabs>
        <w:tab w:val="center" w:pos="4153"/>
        <w:tab w:val="right" w:pos="8306"/>
      </w:tabs>
      <w:snapToGrid w:val="0"/>
      <w:jc w:val="left"/>
    </w:pPr>
    <w:rPr>
      <w:rFonts w:eastAsia="黑体"/>
      <w:snapToGrid w:val="0"/>
      <w:kern w:val="0"/>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character" w:styleId="6">
    <w:name w:val="Strong"/>
    <w:qFormat/>
    <w:uiPriority w:val="0"/>
    <w:rPr>
      <w:rFonts w:cs="Times New Roman"/>
      <w:b/>
      <w:bCs/>
    </w:rPr>
  </w:style>
  <w:style w:type="character" w:customStyle="1" w:styleId="8">
    <w:name w:val="批注框文本 字符"/>
    <w:basedOn w:val="5"/>
    <w:link w:val="2"/>
    <w:semiHidden/>
    <w:qFormat/>
    <w:uiPriority w:val="0"/>
    <w:rPr>
      <w:rFonts w:ascii="Times New Roman" w:hAnsi="Times New Roman" w:eastAsia="宋体" w:cs="Times New Roman"/>
      <w:sz w:val="18"/>
      <w:szCs w:val="18"/>
    </w:rPr>
  </w:style>
  <w:style w:type="character" w:customStyle="1" w:styleId="9">
    <w:name w:val="页脚 字符"/>
    <w:basedOn w:val="5"/>
    <w:link w:val="3"/>
    <w:semiHidden/>
    <w:qFormat/>
    <w:uiPriority w:val="0"/>
    <w:rPr>
      <w:rFonts w:ascii="Times New Roman" w:hAnsi="Times New Roman" w:eastAsia="黑体" w:cs="Times New Roman"/>
      <w:snapToGrid w:val="0"/>
      <w:kern w:val="0"/>
      <w:sz w:val="18"/>
      <w:szCs w:val="18"/>
    </w:rPr>
  </w:style>
  <w:style w:type="character" w:customStyle="1" w:styleId="10">
    <w:name w:val="页眉 字符"/>
    <w:basedOn w:val="5"/>
    <w:link w:val="4"/>
    <w:semiHidden/>
    <w:qFormat/>
    <w:uiPriority w:val="0"/>
    <w:rPr>
      <w:rFonts w:ascii="Times New Roman" w:hAnsi="Times New Roman" w:eastAsia="宋体" w:cs="Times New Roman"/>
      <w:sz w:val="18"/>
      <w:szCs w:val="18"/>
    </w:rPr>
  </w:style>
  <w:style w:type="character" w:customStyle="1" w:styleId="11">
    <w:name w:val="正文文本缩进 3 Char"/>
    <w:basedOn w:val="5"/>
    <w:link w:val="12"/>
    <w:semiHidden/>
    <w:qFormat/>
    <w:uiPriority w:val="0"/>
    <w:rPr>
      <w:rFonts w:ascii="Times New Roman" w:hAnsi="Times New Roman" w:eastAsia="仿宋_GB2312" w:cs="Times New Roman"/>
      <w:sz w:val="32"/>
      <w:szCs w:val="24"/>
    </w:rPr>
  </w:style>
  <w:style w:type="paragraph" w:customStyle="1" w:styleId="12">
    <w:name w:val="正文文本缩进 31"/>
    <w:basedOn w:val="1"/>
    <w:link w:val="11"/>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4">
    <w:name w:val="列出段落1"/>
    <w:basedOn w:val="1"/>
    <w:qFormat/>
    <w:uiPriority w:val="0"/>
    <w:pPr>
      <w:ind w:firstLine="420" w:firstLineChars="200"/>
    </w:pPr>
    <w:rPr>
      <w:rFonts w:ascii="Calibri" w:hAnsi="Calibri"/>
      <w:szCs w:val="22"/>
    </w:rPr>
  </w:style>
  <w:style w:type="paragraph" w:customStyle="1" w:styleId="15">
    <w:name w:val="普通(网站)1"/>
    <w:basedOn w:val="1"/>
    <w:qFormat/>
    <w:uiPriority w:val="0"/>
    <w:rPr>
      <w:rFonts w:ascii="Calibri" w:hAnsi="Calibri" w:cs="黑体"/>
      <w:sz w:val="24"/>
    </w:rPr>
  </w:style>
  <w:style w:type="paragraph" w:customStyle="1" w:styleId="16">
    <w:name w:val="普通(网站)2"/>
    <w:basedOn w:val="1"/>
    <w:qFormat/>
    <w:uiPriority w:val="0"/>
    <w:pPr>
      <w:widowControl/>
      <w:spacing w:before="100" w:beforeAutospacing="1" w:after="100" w:afterAutospacing="1"/>
      <w:jc w:val="left"/>
    </w:pPr>
    <w:rPr>
      <w:rFonts w:ascii="宋体" w:hAnsi="宋体" w:cs="宋体"/>
      <w:kern w:val="0"/>
      <w:sz w:val="24"/>
    </w:rPr>
  </w:style>
  <w:style w:type="paragraph" w:customStyle="1" w:styleId="17">
    <w:name w:val="普通(网站)21"/>
    <w:basedOn w:val="1"/>
    <w:qFormat/>
    <w:uiPriority w:val="0"/>
    <w:rPr>
      <w:rFonts w:ascii="Calibri" w:hAnsi="Calibri" w:cs="黑体"/>
      <w:sz w:val="24"/>
    </w:rPr>
  </w:style>
  <w:style w:type="paragraph" w:customStyle="1" w:styleId="18">
    <w:name w:val="普通(网站)3"/>
    <w:basedOn w:val="1"/>
    <w:qFormat/>
    <w:uiPriority w:val="0"/>
    <w:rPr>
      <w:rFonts w:ascii="Calibri" w:hAnsi="Calibri" w:cs="黑体"/>
      <w:sz w:val="24"/>
    </w:rPr>
  </w:style>
  <w:style w:type="character" w:customStyle="1" w:styleId="19">
    <w:name w:val="页码1"/>
    <w:basedOn w:val="5"/>
    <w:qFormat/>
    <w:uiPriority w:val="0"/>
  </w:style>
  <w:style w:type="character" w:customStyle="1" w:styleId="20">
    <w:name w:val="font11"/>
    <w:basedOn w:val="5"/>
    <w:qFormat/>
    <w:uiPriority w:val="0"/>
    <w:rPr>
      <w:rFonts w:hint="eastAsia" w:ascii="宋体" w:hAnsi="宋体" w:eastAsia="宋体" w:cs="宋体"/>
      <w:color w:val="000000"/>
      <w:sz w:val="21"/>
      <w:szCs w:val="21"/>
      <w:u w:val="none"/>
    </w:rPr>
  </w:style>
  <w:style w:type="character" w:customStyle="1" w:styleId="21">
    <w:name w:val="font01"/>
    <w:basedOn w:val="5"/>
    <w:qFormat/>
    <w:uiPriority w:val="0"/>
    <w:rPr>
      <w:rFonts w:ascii="Calibri" w:hAnsi="Calibri" w:cs="Calibri"/>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7078984-4380-441A-B81D-9BA22624EE46}">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24</Pages>
  <Words>1575</Words>
  <Characters>8979</Characters>
  <Lines>74</Lines>
  <Paragraphs>21</Paragraphs>
  <TotalTime>1</TotalTime>
  <ScaleCrop>false</ScaleCrop>
  <LinksUpToDate>false</LinksUpToDate>
  <CharactersWithSpaces>10533</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2019-04-16T09:54:00Z</dcterms:created>
  <dc:creator>王怡</dc:creator>
  <cp:lastModifiedBy>1</cp:lastModifiedBy>
  <cp:lastPrinted>2020-04-08T08:35:00Z</cp:lastPrinted>
  <dcterms:modified xsi:type="dcterms:W3CDTF">2021-05-31T10:13:16Z</dcterms:modified>
  <dc:title>王怡</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