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
      <w:pPr>
        <w:rPr>
          <w:rFonts w:ascii="仿宋" w:hAnsi="仿宋" w:eastAsia="仿宋" w:cs="仿宋"/>
        </w:rPr>
      </w:pPr>
    </w:p>
    <w:p>
      <w:pPr>
        <w:widowControl/>
        <w:spacing w:before="100" w:beforeAutospacing="1" w:after="100" w:afterAutospacing="1"/>
        <w:outlineLvl w:val="1"/>
        <w:rPr>
          <w:rFonts w:ascii="仿宋" w:hAnsi="仿宋" w:eastAsia="仿宋" w:cs="仿宋"/>
          <w:kern w:val="0"/>
          <w:sz w:val="32"/>
          <w:szCs w:val="32"/>
        </w:rPr>
      </w:pPr>
    </w:p>
    <w:p>
      <w:pPr>
        <w:widowControl/>
        <w:spacing w:before="100" w:beforeAutospacing="1" w:after="100" w:afterAutospacing="1"/>
        <w:outlineLvl w:val="1"/>
        <w:rPr>
          <w:rFonts w:ascii="仿宋" w:hAnsi="仿宋" w:eastAsia="仿宋" w:cs="仿宋"/>
          <w:kern w:val="0"/>
          <w:sz w:val="32"/>
          <w:szCs w:val="32"/>
        </w:rPr>
      </w:pPr>
    </w:p>
    <w:p>
      <w:pPr>
        <w:widowControl/>
        <w:spacing w:before="100" w:beforeAutospacing="1" w:after="100" w:afterAutospacing="1"/>
        <w:outlineLvl w:val="1"/>
        <w:rPr>
          <w:rFonts w:ascii="仿宋" w:hAnsi="仿宋" w:eastAsia="仿宋" w:cs="仿宋"/>
          <w:b/>
          <w:bCs/>
          <w:kern w:val="0"/>
          <w:sz w:val="44"/>
          <w:szCs w:val="44"/>
        </w:rPr>
      </w:pPr>
    </w:p>
    <w:p>
      <w:pPr>
        <w:widowControl/>
        <w:spacing w:before="100" w:beforeAutospacing="1" w:after="100" w:afterAutospacing="1"/>
        <w:jc w:val="center"/>
        <w:outlineLvl w:val="1"/>
        <w:rPr>
          <w:rFonts w:ascii="仿宋" w:hAnsi="仿宋" w:eastAsia="仿宋" w:cs="仿宋"/>
          <w:b/>
          <w:bCs/>
          <w:kern w:val="0"/>
          <w:sz w:val="44"/>
          <w:szCs w:val="44"/>
        </w:rPr>
      </w:pPr>
      <w:r>
        <w:rPr>
          <w:rFonts w:hint="eastAsia" w:ascii="仿宋" w:hAnsi="仿宋" w:eastAsia="仿宋" w:cs="仿宋"/>
          <w:b/>
          <w:bCs/>
          <w:kern w:val="0"/>
          <w:sz w:val="44"/>
          <w:szCs w:val="44"/>
        </w:rPr>
        <w:t>昌吉州金融工作办公室2020年部门预算公开</w:t>
      </w:r>
    </w:p>
    <w:p>
      <w:pPr>
        <w:widowControl/>
        <w:spacing w:before="100" w:beforeAutospacing="1" w:after="100" w:afterAutospacing="1"/>
        <w:jc w:val="center"/>
        <w:outlineLvl w:val="1"/>
        <w:rPr>
          <w:rFonts w:ascii="仿宋" w:hAnsi="仿宋" w:eastAsia="仿宋" w:cs="仿宋"/>
          <w:b/>
          <w:bCs/>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jc w:val="center"/>
        <w:outlineLvl w:val="1"/>
        <w:rPr>
          <w:rFonts w:ascii="仿宋" w:hAnsi="仿宋" w:eastAsia="仿宋" w:cs="仿宋"/>
          <w:b/>
          <w:kern w:val="0"/>
          <w:sz w:val="44"/>
          <w:szCs w:val="44"/>
        </w:rPr>
      </w:pPr>
    </w:p>
    <w:p>
      <w:pPr>
        <w:widowControl/>
        <w:spacing w:before="100" w:beforeAutospacing="1" w:after="100" w:afterAutospacing="1"/>
        <w:outlineLvl w:val="1"/>
        <w:rPr>
          <w:rFonts w:ascii="仿宋" w:hAnsi="仿宋" w:eastAsia="仿宋" w:cs="仿宋"/>
          <w:b/>
          <w:kern w:val="0"/>
          <w:sz w:val="44"/>
          <w:szCs w:val="44"/>
        </w:rPr>
      </w:pPr>
    </w:p>
    <w:p>
      <w:pPr>
        <w:widowControl/>
        <w:spacing w:before="100" w:beforeAutospacing="1" w:after="100" w:afterAutospacing="1"/>
        <w:outlineLvl w:val="1"/>
        <w:rPr>
          <w:rFonts w:ascii="仿宋" w:hAnsi="仿宋" w:eastAsia="仿宋" w:cs="仿宋"/>
          <w:b/>
          <w:kern w:val="0"/>
          <w:sz w:val="44"/>
          <w:szCs w:val="44"/>
        </w:rPr>
      </w:pPr>
    </w:p>
    <w:p>
      <w:pPr>
        <w:widowControl/>
        <w:spacing w:before="100" w:beforeAutospacing="1" w:after="100" w:afterAutospacing="1"/>
        <w:outlineLvl w:val="1"/>
        <w:rPr>
          <w:rFonts w:ascii="仿宋" w:hAnsi="仿宋" w:eastAsia="仿宋" w:cs="仿宋"/>
          <w:b/>
          <w:kern w:val="0"/>
          <w:sz w:val="44"/>
          <w:szCs w:val="44"/>
        </w:rPr>
      </w:pPr>
    </w:p>
    <w:p>
      <w:pPr>
        <w:widowControl/>
        <w:spacing w:line="560" w:lineRule="exact"/>
        <w:jc w:val="center"/>
        <w:outlineLvl w:val="1"/>
        <w:rPr>
          <w:rFonts w:ascii="仿宋" w:hAnsi="仿宋" w:eastAsia="仿宋" w:cs="仿宋"/>
          <w:spacing w:val="-20"/>
          <w:kern w:val="0"/>
          <w:sz w:val="44"/>
          <w:szCs w:val="44"/>
        </w:rPr>
      </w:pPr>
      <w:r>
        <w:rPr>
          <w:rFonts w:hint="eastAsia" w:ascii="仿宋" w:hAnsi="仿宋" w:eastAsia="仿宋" w:cs="仿宋"/>
          <w:spacing w:val="-20"/>
          <w:kern w:val="0"/>
          <w:sz w:val="44"/>
          <w:szCs w:val="44"/>
        </w:rPr>
        <w:t>目   录</w:t>
      </w:r>
    </w:p>
    <w:p>
      <w:pPr>
        <w:widowControl/>
        <w:spacing w:line="560" w:lineRule="exact"/>
        <w:outlineLvl w:val="1"/>
        <w:rPr>
          <w:rFonts w:ascii="仿宋" w:hAnsi="仿宋" w:eastAsia="仿宋" w:cs="仿宋"/>
          <w:b/>
          <w:spacing w:val="-20"/>
          <w:kern w:val="0"/>
          <w:sz w:val="32"/>
          <w:szCs w:val="32"/>
        </w:rPr>
      </w:pPr>
    </w:p>
    <w:p>
      <w:pPr>
        <w:widowControl/>
        <w:spacing w:line="560" w:lineRule="exact"/>
        <w:outlineLvl w:val="1"/>
        <w:rPr>
          <w:rFonts w:ascii="仿宋" w:hAnsi="仿宋" w:eastAsia="仿宋" w:cs="仿宋"/>
          <w:b/>
          <w:spacing w:val="-20"/>
          <w:kern w:val="0"/>
          <w:sz w:val="32"/>
          <w:szCs w:val="32"/>
        </w:rPr>
      </w:pPr>
      <w:r>
        <w:rPr>
          <w:rFonts w:hint="eastAsia" w:ascii="仿宋" w:hAnsi="仿宋" w:eastAsia="仿宋" w:cs="仿宋"/>
          <w:b/>
          <w:spacing w:val="-20"/>
          <w:kern w:val="0"/>
          <w:sz w:val="32"/>
          <w:szCs w:val="32"/>
        </w:rPr>
        <w:t>第一部分昌吉州金融工作办公室概况</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一、主要职能</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二、机构设置及人员情况</w:t>
      </w:r>
    </w:p>
    <w:p>
      <w:pPr>
        <w:widowControl/>
        <w:spacing w:line="560" w:lineRule="exact"/>
        <w:outlineLvl w:val="1"/>
        <w:rPr>
          <w:rFonts w:ascii="仿宋" w:hAnsi="仿宋" w:eastAsia="仿宋" w:cs="仿宋"/>
          <w:b/>
          <w:spacing w:val="-20"/>
          <w:kern w:val="0"/>
          <w:sz w:val="32"/>
          <w:szCs w:val="32"/>
        </w:rPr>
      </w:pPr>
      <w:r>
        <w:rPr>
          <w:rFonts w:hint="eastAsia" w:ascii="仿宋" w:hAnsi="仿宋" w:eastAsia="仿宋" w:cs="仿宋"/>
          <w:b/>
          <w:spacing w:val="-20"/>
          <w:kern w:val="0"/>
          <w:sz w:val="32"/>
          <w:szCs w:val="32"/>
        </w:rPr>
        <w:t>第二部分2020年部门预算公开表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一、部门收支总体情况表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二、部门收入总体情况表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三、部门支出总体情况表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四、财政拨款收支总体情况表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五、一般公共预算支出情况表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六、一般公共预算基本支出情况表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七、</w:t>
      </w:r>
      <w:r>
        <w:rPr>
          <w:rFonts w:hint="eastAsia" w:ascii="仿宋" w:hAnsi="仿宋" w:eastAsia="仿宋" w:cs="仿宋"/>
          <w:bCs/>
          <w:spacing w:val="-20"/>
          <w:kern w:val="0"/>
          <w:sz w:val="32"/>
          <w:szCs w:val="32"/>
        </w:rPr>
        <w:t>项目支出情况表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八、一般公共预算“三公”经费支出情况表</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九、政府性基金预算支出情况表</w:t>
      </w:r>
    </w:p>
    <w:p>
      <w:pPr>
        <w:widowControl/>
        <w:spacing w:line="560" w:lineRule="exact"/>
        <w:outlineLvl w:val="1"/>
        <w:rPr>
          <w:rFonts w:ascii="仿宋" w:hAnsi="仿宋" w:eastAsia="仿宋" w:cs="仿宋"/>
          <w:b/>
          <w:spacing w:val="-20"/>
          <w:kern w:val="0"/>
          <w:sz w:val="32"/>
          <w:szCs w:val="32"/>
        </w:rPr>
      </w:pPr>
      <w:r>
        <w:rPr>
          <w:rFonts w:hint="eastAsia" w:ascii="仿宋" w:hAnsi="仿宋" w:eastAsia="仿宋" w:cs="仿宋"/>
          <w:b/>
          <w:spacing w:val="-20"/>
          <w:kern w:val="0"/>
          <w:sz w:val="32"/>
          <w:szCs w:val="32"/>
        </w:rPr>
        <w:t>第三部分  2020年部门预算情况说明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一、关于昌吉州金融工作办公室2020年收支预算情况的总体说明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二、关于昌吉州金融工作办公室2020年收入预算情况说明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三、关于昌吉州金融工作办公室2020年支出预算情况说明</w:t>
      </w:r>
    </w:p>
    <w:p>
      <w:pPr>
        <w:widowControl/>
        <w:spacing w:line="560" w:lineRule="exact"/>
        <w:outlineLvl w:val="1"/>
        <w:rPr>
          <w:rFonts w:ascii="仿宋" w:hAnsi="仿宋" w:eastAsia="仿宋" w:cs="仿宋"/>
          <w:bCs/>
          <w:spacing w:val="-20"/>
          <w:kern w:val="0"/>
          <w:sz w:val="32"/>
          <w:szCs w:val="32"/>
        </w:rPr>
      </w:pPr>
      <w:r>
        <w:rPr>
          <w:rFonts w:hint="eastAsia" w:ascii="仿宋" w:hAnsi="仿宋" w:eastAsia="仿宋" w:cs="仿宋"/>
          <w:bCs/>
          <w:spacing w:val="-20"/>
          <w:kern w:val="0"/>
          <w:sz w:val="32"/>
          <w:szCs w:val="32"/>
        </w:rPr>
        <w:t>四、关于昌吉州金融工作办公室2020年财政拨款收支预算情况的总体说明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五、关于昌吉州金融工作办公室2020年一般公共预算当年拨款情况说明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六、关于昌吉州金融工作办公室2020年一般公共预算基本支出情况说明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七、关于昌吉州金融工作办公室2020年项目支出情况说明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八、关于昌吉州金融工作办公室2020年一般公共预算“三公”经费预算情况说明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九、关于昌吉州金融工作办公室2020年政府性基金预算拨款情况说明</w:t>
      </w:r>
    </w:p>
    <w:p>
      <w:pPr>
        <w:widowControl/>
        <w:spacing w:line="560" w:lineRule="exact"/>
        <w:outlineLvl w:val="1"/>
        <w:rPr>
          <w:rFonts w:ascii="仿宋" w:hAnsi="仿宋" w:eastAsia="仿宋" w:cs="仿宋"/>
          <w:spacing w:val="-20"/>
          <w:kern w:val="0"/>
          <w:sz w:val="32"/>
          <w:szCs w:val="32"/>
        </w:rPr>
      </w:pPr>
      <w:r>
        <w:rPr>
          <w:rFonts w:hint="eastAsia" w:ascii="仿宋" w:hAnsi="仿宋" w:eastAsia="仿宋" w:cs="仿宋"/>
          <w:spacing w:val="-20"/>
          <w:kern w:val="0"/>
          <w:sz w:val="32"/>
          <w:szCs w:val="32"/>
        </w:rPr>
        <w:t>十、其他重要事项的情况说明</w:t>
      </w:r>
    </w:p>
    <w:p>
      <w:pPr>
        <w:widowControl/>
        <w:spacing w:line="56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第四部分  名词解释</w:t>
      </w:r>
    </w:p>
    <w:p>
      <w:pPr>
        <w:widowControl/>
        <w:spacing w:line="560" w:lineRule="exact"/>
        <w:outlineLvl w:val="1"/>
        <w:rPr>
          <w:rFonts w:ascii="仿宋" w:hAnsi="仿宋" w:eastAsia="仿宋" w:cs="仿宋"/>
          <w:b/>
          <w:kern w:val="0"/>
          <w:sz w:val="32"/>
          <w:szCs w:val="32"/>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kern w:val="0"/>
          <w:sz w:val="36"/>
          <w:szCs w:val="36"/>
        </w:rPr>
      </w:pPr>
    </w:p>
    <w:p>
      <w:pPr>
        <w:widowControl/>
        <w:spacing w:line="560" w:lineRule="exact"/>
        <w:jc w:val="center"/>
        <w:outlineLvl w:val="1"/>
        <w:rPr>
          <w:rFonts w:ascii="仿宋" w:hAnsi="仿宋" w:eastAsia="仿宋" w:cs="仿宋"/>
          <w:b/>
          <w:bCs/>
          <w:kern w:val="0"/>
          <w:sz w:val="36"/>
          <w:szCs w:val="36"/>
        </w:rPr>
      </w:pPr>
      <w:r>
        <w:rPr>
          <w:rFonts w:hint="eastAsia" w:ascii="仿宋" w:hAnsi="仿宋" w:eastAsia="仿宋" w:cs="仿宋"/>
          <w:b/>
          <w:bCs/>
          <w:kern w:val="0"/>
          <w:sz w:val="36"/>
          <w:szCs w:val="36"/>
        </w:rPr>
        <w:t>第一部分   昌吉州金融工作办公室单位概况</w:t>
      </w:r>
    </w:p>
    <w:p>
      <w:pPr>
        <w:spacing w:line="560" w:lineRule="exact"/>
        <w:rPr>
          <w:rFonts w:ascii="仿宋" w:hAnsi="仿宋" w:eastAsia="仿宋" w:cs="仿宋"/>
          <w:kern w:val="0"/>
          <w:sz w:val="32"/>
          <w:szCs w:val="32"/>
        </w:rPr>
      </w:pPr>
    </w:p>
    <w:p>
      <w:pPr>
        <w:widowControl/>
        <w:spacing w:line="560" w:lineRule="exact"/>
        <w:jc w:val="left"/>
        <w:rPr>
          <w:rFonts w:ascii="仿宋" w:hAnsi="仿宋" w:eastAsia="仿宋" w:cs="仿宋"/>
          <w:b/>
          <w:bCs/>
          <w:kern w:val="0"/>
          <w:sz w:val="32"/>
          <w:szCs w:val="32"/>
        </w:rPr>
      </w:pPr>
      <w:r>
        <w:rPr>
          <w:rFonts w:hint="eastAsia" w:ascii="仿宋" w:hAnsi="仿宋" w:eastAsia="仿宋" w:cs="仿宋"/>
          <w:kern w:val="0"/>
          <w:sz w:val="32"/>
          <w:szCs w:val="32"/>
        </w:rPr>
        <w:t xml:space="preserve">　 </w:t>
      </w:r>
      <w:r>
        <w:rPr>
          <w:rFonts w:hint="eastAsia" w:ascii="仿宋" w:hAnsi="仿宋" w:eastAsia="仿宋" w:cs="仿宋"/>
          <w:b/>
          <w:bCs/>
          <w:kern w:val="0"/>
          <w:sz w:val="32"/>
          <w:szCs w:val="32"/>
        </w:rPr>
        <w:t xml:space="preserve"> 一、主要职能</w:t>
      </w:r>
    </w:p>
    <w:p>
      <w:pPr>
        <w:spacing w:line="560" w:lineRule="exact"/>
        <w:ind w:firstLine="627" w:firstLineChars="196"/>
        <w:rPr>
          <w:rFonts w:ascii="仿宋" w:hAnsi="仿宋" w:eastAsia="仿宋" w:cs="仿宋"/>
          <w:bCs/>
          <w:kern w:val="0"/>
          <w:sz w:val="32"/>
          <w:szCs w:val="32"/>
        </w:rPr>
      </w:pPr>
      <w:r>
        <w:rPr>
          <w:rFonts w:hint="eastAsia" w:ascii="仿宋" w:hAnsi="仿宋" w:eastAsia="仿宋" w:cs="仿宋"/>
          <w:bCs/>
          <w:sz w:val="32"/>
          <w:szCs w:val="32"/>
        </w:rPr>
        <w:t>（1）贯彻执行国家、自治区金融 工作法律法规和方针部署，督促金融机构落实州党委、政府相关决议、决定和重要部署，引导、鼓励和支持各类金融机构改革创新、拓展业务。（2）研究分析经济和金融运行形势、国家金融政策、金融发展改革创新方向拟定自治州金融业发展规划和规范民间资本的政策措施并组织实施。（3）配合金融监管部门对加强对自治州各类金融机构的监管，研究制定金融维稳协调机制，组织协调防范化解金融风险，维护地方金融安全。（4）加强同金融监管部门及各类驻州金融机构的业务联系和信息交流，牵头建立金融机构与政府的沟通协调机制，协调解决金融业务发展中应由地方解决的矛盾和问题。（5）研究提出优化地方金融资源配置和战略重组的建议，并会同有关部门实施。（6）负责小额贷款公司、融资性单板公司的设立、变更、初审和业务监管工作。受州人民政府委托，对州属金融关联企业进行日常业务监管。（7）负责推进自治州上市企业的上市工作。研究拟订自治州企业上市发展规划，提出支持企业上市发展的政策建议；负责后备上市企业的筛选、培育、服务和推荐工作；督促落实区、州企业上市发展有关政策，协调解决企业上市有关问题；承担自治州企业上市推进领导小组办公室的日常工作。（8）承办自治州人民政府交办的其他事项。</w:t>
      </w:r>
    </w:p>
    <w:p>
      <w:pPr>
        <w:widowControl/>
        <w:numPr>
          <w:ilvl w:val="0"/>
          <w:numId w:val="1"/>
        </w:numPr>
        <w:spacing w:line="560" w:lineRule="exact"/>
        <w:jc w:val="left"/>
        <w:rPr>
          <w:rFonts w:ascii="仿宋" w:hAnsi="仿宋" w:eastAsia="仿宋" w:cs="仿宋"/>
          <w:b/>
          <w:kern w:val="0"/>
          <w:sz w:val="32"/>
          <w:szCs w:val="32"/>
        </w:rPr>
      </w:pPr>
      <w:r>
        <w:rPr>
          <w:rFonts w:hint="eastAsia" w:ascii="仿宋" w:hAnsi="仿宋" w:eastAsia="仿宋" w:cs="仿宋"/>
          <w:b/>
          <w:kern w:val="0"/>
          <w:sz w:val="32"/>
          <w:szCs w:val="32"/>
        </w:rPr>
        <w:t xml:space="preserve">机构设置及人员情况 </w:t>
      </w:r>
    </w:p>
    <w:p>
      <w:pPr>
        <w:widowControl/>
        <w:spacing w:line="560" w:lineRule="exact"/>
        <w:ind w:firstLine="640" w:firstLineChars="200"/>
        <w:jc w:val="left"/>
        <w:rPr>
          <w:rFonts w:ascii="仿宋" w:hAnsi="仿宋" w:eastAsia="仿宋" w:cs="仿宋"/>
          <w:kern w:val="0"/>
          <w:sz w:val="32"/>
          <w:szCs w:val="32"/>
          <w:highlight w:val="none"/>
        </w:rPr>
      </w:pPr>
      <w:r>
        <w:rPr>
          <w:rFonts w:hint="eastAsia" w:ascii="仿宋" w:hAnsi="仿宋" w:eastAsia="仿宋" w:cs="仿宋"/>
          <w:kern w:val="0"/>
          <w:sz w:val="32"/>
          <w:szCs w:val="32"/>
          <w:highlight w:val="none"/>
        </w:rPr>
        <w:t>昌吉州金融工作办公室</w:t>
      </w:r>
      <w:r>
        <w:rPr>
          <w:rFonts w:hint="eastAsia" w:ascii="仿宋" w:hAnsi="仿宋" w:eastAsia="仿宋" w:cs="仿宋"/>
          <w:bCs/>
          <w:kern w:val="0"/>
          <w:sz w:val="32"/>
          <w:szCs w:val="32"/>
          <w:highlight w:val="none"/>
        </w:rPr>
        <w:t>无下属预算单位，本下设3个科室，分别是：</w:t>
      </w:r>
      <w:r>
        <w:rPr>
          <w:rFonts w:hint="eastAsia" w:ascii="仿宋" w:hAnsi="仿宋" w:eastAsia="仿宋" w:cs="仿宋"/>
          <w:kern w:val="0"/>
          <w:sz w:val="32"/>
          <w:szCs w:val="32"/>
          <w:highlight w:val="none"/>
        </w:rPr>
        <w:t>金融科、企业科、综合科。</w:t>
      </w:r>
    </w:p>
    <w:p>
      <w:pPr>
        <w:widowControl/>
        <w:spacing w:line="560" w:lineRule="exact"/>
        <w:ind w:firstLine="640"/>
        <w:rPr>
          <w:rFonts w:ascii="仿宋" w:hAnsi="仿宋" w:eastAsia="仿宋" w:cs="仿宋"/>
          <w:kern w:val="0"/>
          <w:sz w:val="32"/>
          <w:szCs w:val="32"/>
          <w:highlight w:val="none"/>
        </w:rPr>
      </w:pPr>
      <w:r>
        <w:rPr>
          <w:rFonts w:hint="eastAsia" w:ascii="仿宋" w:hAnsi="仿宋" w:eastAsia="仿宋" w:cs="仿宋"/>
          <w:bCs/>
          <w:kern w:val="0"/>
          <w:sz w:val="32"/>
          <w:szCs w:val="32"/>
          <w:highlight w:val="none"/>
        </w:rPr>
        <w:t>昌吉州金融工作办公室</w:t>
      </w:r>
      <w:r>
        <w:rPr>
          <w:rFonts w:hint="eastAsia" w:ascii="仿宋" w:hAnsi="仿宋" w:eastAsia="仿宋" w:cs="仿宋"/>
          <w:kern w:val="0"/>
          <w:sz w:val="32"/>
          <w:szCs w:val="32"/>
          <w:highlight w:val="none"/>
        </w:rPr>
        <w:t>编制数13人，实有人数13人，其中：在职13人，增加5人；退休0人，增加</w:t>
      </w:r>
      <w:r>
        <w:rPr>
          <w:rFonts w:hint="eastAsia" w:ascii="仿宋" w:hAnsi="仿宋" w:eastAsia="仿宋" w:cs="仿宋"/>
          <w:kern w:val="0"/>
          <w:sz w:val="32"/>
          <w:szCs w:val="32"/>
          <w:highlight w:val="none"/>
          <w:lang w:val="en-US" w:eastAsia="zh-CN"/>
        </w:rPr>
        <w:t>(</w:t>
      </w:r>
      <w:r>
        <w:rPr>
          <w:rFonts w:hint="eastAsia" w:ascii="仿宋" w:hAnsi="仿宋" w:eastAsia="仿宋" w:cs="仿宋"/>
          <w:kern w:val="0"/>
          <w:sz w:val="32"/>
          <w:szCs w:val="32"/>
          <w:highlight w:val="none"/>
        </w:rPr>
        <w:t>减少</w:t>
      </w:r>
      <w:r>
        <w:rPr>
          <w:rFonts w:hint="eastAsia" w:ascii="仿宋" w:hAnsi="仿宋" w:eastAsia="仿宋" w:cs="仿宋"/>
          <w:kern w:val="0"/>
          <w:sz w:val="32"/>
          <w:szCs w:val="32"/>
          <w:highlight w:val="none"/>
          <w:lang w:val="en-US" w:eastAsia="zh-CN"/>
        </w:rPr>
        <w:t>)</w:t>
      </w:r>
      <w:r>
        <w:rPr>
          <w:rFonts w:hint="eastAsia" w:ascii="仿宋" w:hAnsi="仿宋" w:eastAsia="仿宋" w:cs="仿宋"/>
          <w:kern w:val="0"/>
          <w:sz w:val="32"/>
          <w:szCs w:val="32"/>
          <w:highlight w:val="none"/>
        </w:rPr>
        <w:t>0人；离休 0人，增加</w:t>
      </w:r>
      <w:r>
        <w:rPr>
          <w:rFonts w:hint="eastAsia" w:ascii="仿宋" w:hAnsi="仿宋" w:eastAsia="仿宋" w:cs="仿宋"/>
          <w:kern w:val="0"/>
          <w:sz w:val="32"/>
          <w:szCs w:val="32"/>
          <w:highlight w:val="none"/>
          <w:lang w:val="en-US" w:eastAsia="zh-CN"/>
        </w:rPr>
        <w:t>(</w:t>
      </w:r>
      <w:r>
        <w:rPr>
          <w:rFonts w:hint="eastAsia" w:ascii="仿宋" w:hAnsi="仿宋" w:eastAsia="仿宋" w:cs="仿宋"/>
          <w:kern w:val="0"/>
          <w:sz w:val="32"/>
          <w:szCs w:val="32"/>
          <w:highlight w:val="none"/>
        </w:rPr>
        <w:t>减少</w:t>
      </w:r>
      <w:r>
        <w:rPr>
          <w:rFonts w:hint="eastAsia" w:ascii="仿宋" w:hAnsi="仿宋" w:eastAsia="仿宋" w:cs="仿宋"/>
          <w:kern w:val="0"/>
          <w:sz w:val="32"/>
          <w:szCs w:val="32"/>
          <w:highlight w:val="none"/>
          <w:lang w:val="en-US" w:eastAsia="zh-CN"/>
        </w:rPr>
        <w:t>)</w:t>
      </w:r>
      <w:r>
        <w:rPr>
          <w:rFonts w:hint="eastAsia" w:ascii="仿宋" w:hAnsi="仿宋" w:eastAsia="仿宋" w:cs="仿宋"/>
          <w:kern w:val="0"/>
          <w:sz w:val="32"/>
          <w:szCs w:val="32"/>
          <w:highlight w:val="none"/>
        </w:rPr>
        <w:t>0人。</w:t>
      </w:r>
    </w:p>
    <w:p>
      <w:pPr>
        <w:widowControl/>
        <w:spacing w:line="560" w:lineRule="exact"/>
        <w:ind w:firstLine="640"/>
        <w:rPr>
          <w:rFonts w:ascii="仿宋" w:hAnsi="仿宋" w:eastAsia="仿宋" w:cs="仿宋"/>
          <w:kern w:val="0"/>
          <w:sz w:val="32"/>
          <w:szCs w:val="32"/>
          <w:highlight w:val="none"/>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line="560" w:lineRule="exact"/>
        <w:ind w:firstLine="640"/>
        <w:rPr>
          <w:rFonts w:ascii="仿宋" w:hAnsi="仿宋" w:eastAsia="仿宋" w:cs="仿宋"/>
          <w:kern w:val="0"/>
          <w:sz w:val="32"/>
          <w:szCs w:val="32"/>
        </w:rPr>
      </w:pPr>
    </w:p>
    <w:p>
      <w:pPr>
        <w:widowControl/>
        <w:spacing w:before="120" w:beforeLines="50"/>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第二部分  2020年部门预算公开表</w:t>
      </w:r>
    </w:p>
    <w:p>
      <w:pPr>
        <w:widowControl/>
        <w:spacing w:before="120" w:beforeLines="50"/>
        <w:outlineLvl w:val="1"/>
        <w:rPr>
          <w:rFonts w:ascii="仿宋" w:hAnsi="仿宋" w:eastAsia="仿宋" w:cs="仿宋"/>
          <w:b/>
          <w:bCs/>
          <w:kern w:val="0"/>
          <w:sz w:val="32"/>
          <w:szCs w:val="32"/>
        </w:rPr>
      </w:pPr>
      <w:r>
        <w:rPr>
          <w:rFonts w:hint="eastAsia" w:ascii="仿宋" w:hAnsi="仿宋" w:eastAsia="仿宋" w:cs="仿宋"/>
          <w:b/>
          <w:bCs/>
          <w:kern w:val="0"/>
          <w:sz w:val="32"/>
          <w:szCs w:val="32"/>
        </w:rPr>
        <w:t>表一：</w:t>
      </w:r>
    </w:p>
    <w:p>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部门收支总体情况表</w:t>
      </w:r>
    </w:p>
    <w:p>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编制部门：昌吉州金融工作办公室                                    单位：万元</w:t>
      </w:r>
    </w:p>
    <w:tbl>
      <w:tblPr>
        <w:tblStyle w:val="10"/>
        <w:tblW w:w="8900" w:type="dxa"/>
        <w:tblInd w:w="93" w:type="dxa"/>
        <w:tblLayout w:type="fixed"/>
        <w:tblCellMar>
          <w:top w:w="0" w:type="dxa"/>
          <w:left w:w="108" w:type="dxa"/>
          <w:bottom w:w="0" w:type="dxa"/>
          <w:right w:w="108" w:type="dxa"/>
        </w:tblCellMar>
      </w:tblPr>
      <w:tblGrid>
        <w:gridCol w:w="2342"/>
        <w:gridCol w:w="2042"/>
        <w:gridCol w:w="2768"/>
        <w:gridCol w:w="1748"/>
      </w:tblGrid>
      <w:tr>
        <w:tblPrEx>
          <w:tblLayout w:type="fixed"/>
          <w:tblCellMar>
            <w:top w:w="0" w:type="dxa"/>
            <w:left w:w="108" w:type="dxa"/>
            <w:bottom w:w="0" w:type="dxa"/>
            <w:right w:w="108" w:type="dxa"/>
          </w:tblCellMar>
        </w:tblPrEx>
        <w:trPr>
          <w:trHeight w:val="397" w:hRule="atLeast"/>
        </w:trPr>
        <w:tc>
          <w:tcPr>
            <w:tcW w:w="4384"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收     入</w:t>
            </w:r>
          </w:p>
        </w:tc>
        <w:tc>
          <w:tcPr>
            <w:tcW w:w="4516"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支     出</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204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c>
          <w:tcPr>
            <w:tcW w:w="276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功能分类</w:t>
            </w:r>
          </w:p>
        </w:tc>
        <w:tc>
          <w:tcPr>
            <w:tcW w:w="174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财政拨款（补助）</w:t>
            </w:r>
          </w:p>
        </w:tc>
        <w:tc>
          <w:tcPr>
            <w:tcW w:w="204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 w:val="20"/>
                <w:szCs w:val="20"/>
              </w:rPr>
            </w:pPr>
            <w:r>
              <w:rPr>
                <w:rFonts w:hint="eastAsia" w:ascii="仿宋" w:hAnsi="仿宋" w:eastAsia="仿宋" w:cs="仿宋"/>
                <w:color w:val="000000"/>
                <w:kern w:val="0"/>
                <w:sz w:val="20"/>
                <w:szCs w:val="20"/>
              </w:rPr>
              <w:t>302.71</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201 一般公共服务支出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 w:val="20"/>
                <w:szCs w:val="20"/>
              </w:rPr>
            </w:pPr>
            <w:r>
              <w:rPr>
                <w:rFonts w:hint="eastAsia" w:ascii="仿宋" w:hAnsi="仿宋" w:eastAsia="仿宋" w:cs="仿宋"/>
                <w:color w:val="000000"/>
                <w:kern w:val="0"/>
                <w:sz w:val="20"/>
                <w:szCs w:val="20"/>
              </w:rPr>
              <w:t>302.71</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xml:space="preserve">    一般公共预算</w:t>
            </w:r>
          </w:p>
        </w:tc>
        <w:tc>
          <w:tcPr>
            <w:tcW w:w="204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 w:val="20"/>
                <w:szCs w:val="20"/>
              </w:rPr>
            </w:pPr>
            <w:r>
              <w:rPr>
                <w:rFonts w:hint="eastAsia" w:ascii="仿宋" w:hAnsi="仿宋" w:eastAsia="仿宋" w:cs="仿宋"/>
                <w:color w:val="000000"/>
                <w:kern w:val="0"/>
                <w:sz w:val="20"/>
                <w:szCs w:val="20"/>
              </w:rPr>
              <w:t>302.71</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202 外交支出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xml:space="preserve">    政府性基金预算</w:t>
            </w:r>
          </w:p>
        </w:tc>
        <w:tc>
          <w:tcPr>
            <w:tcW w:w="204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kern w:val="0"/>
                <w:sz w:val="20"/>
                <w:szCs w:val="20"/>
              </w:rPr>
            </w:pP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203 国防支出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97"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教育收费（财政专户）</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204 公共安全支出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事业收入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205 教育支出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事业单位经营收入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206 科学技术支出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其他收入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207 文化体育与传媒支出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用事业基金弥补收支差额</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208 社会保障和就业支出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209 社会保险基金支出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210 医疗卫生与计划生育支出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211 节能环保支出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212 城乡社区支出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213 农林水支出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214 交通运输支出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215 资源勘探信息等支出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216 商业服务业等支出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217 金融支出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219 援助其他地区支出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220 国土资源气象等支出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221 住房保障支出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222 粮油物资管理支出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223 国有资本经营预算支出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227 预备费</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229 其他支出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231 债务还本支出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232 债务付息支出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233 债务发行费支出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小           计</w:t>
            </w:r>
          </w:p>
        </w:tc>
        <w:tc>
          <w:tcPr>
            <w:tcW w:w="20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302.71</w:t>
            </w:r>
          </w:p>
        </w:tc>
        <w:tc>
          <w:tcPr>
            <w:tcW w:w="2768"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小           计</w:t>
            </w:r>
          </w:p>
        </w:tc>
        <w:tc>
          <w:tcPr>
            <w:tcW w:w="1748"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302.71</w:t>
            </w:r>
          </w:p>
        </w:tc>
      </w:tr>
      <w:tr>
        <w:tblPrEx>
          <w:tblLayout w:type="fixed"/>
          <w:tblCellMar>
            <w:top w:w="0" w:type="dxa"/>
            <w:left w:w="108" w:type="dxa"/>
            <w:bottom w:w="0" w:type="dxa"/>
            <w:right w:w="108" w:type="dxa"/>
          </w:tblCellMar>
        </w:tblPrEx>
        <w:trPr>
          <w:trHeight w:val="660" w:hRule="atLeast"/>
        </w:trPr>
        <w:tc>
          <w:tcPr>
            <w:tcW w:w="2342"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 w:hAnsi="仿宋" w:eastAsia="仿宋" w:cs="仿宋"/>
                <w:kern w:val="0"/>
                <w:sz w:val="20"/>
                <w:szCs w:val="20"/>
              </w:rPr>
            </w:pPr>
            <w:r>
              <w:rPr>
                <w:rFonts w:hint="eastAsia" w:ascii="仿宋" w:hAnsi="仿宋" w:eastAsia="仿宋" w:cs="仿宋"/>
                <w:kern w:val="0"/>
                <w:sz w:val="20"/>
                <w:szCs w:val="20"/>
              </w:rPr>
              <w:t>单位上年结余（不包括国库集中支付额度结余）</w:t>
            </w:r>
          </w:p>
        </w:tc>
        <w:tc>
          <w:tcPr>
            <w:tcW w:w="20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 w:hAnsi="仿宋" w:eastAsia="仿宋" w:cs="仿宋"/>
                <w:kern w:val="0"/>
                <w:sz w:val="20"/>
                <w:szCs w:val="20"/>
              </w:rPr>
            </w:pPr>
            <w:r>
              <w:rPr>
                <w:rFonts w:hint="eastAsia" w:ascii="仿宋" w:hAnsi="仿宋" w:eastAsia="仿宋" w:cs="仿宋"/>
                <w:kern w:val="0"/>
                <w:sz w:val="20"/>
                <w:szCs w:val="20"/>
              </w:rPr>
              <w:t>230 转移性支出</w:t>
            </w:r>
          </w:p>
        </w:tc>
        <w:tc>
          <w:tcPr>
            <w:tcW w:w="174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442" w:hRule="atLeast"/>
        </w:trPr>
        <w:tc>
          <w:tcPr>
            <w:tcW w:w="2342"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收  入  总  计</w:t>
            </w:r>
          </w:p>
        </w:tc>
        <w:tc>
          <w:tcPr>
            <w:tcW w:w="204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302.71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支  出  合  计</w:t>
            </w:r>
          </w:p>
        </w:tc>
        <w:tc>
          <w:tcPr>
            <w:tcW w:w="174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 w:hAnsi="仿宋" w:eastAsia="仿宋" w:cs="仿宋"/>
                <w:kern w:val="0"/>
                <w:sz w:val="20"/>
                <w:szCs w:val="20"/>
              </w:rPr>
            </w:pPr>
            <w:r>
              <w:rPr>
                <w:rFonts w:hint="eastAsia" w:ascii="仿宋" w:hAnsi="仿宋" w:eastAsia="仿宋" w:cs="仿宋"/>
                <w:kern w:val="0"/>
                <w:sz w:val="20"/>
                <w:szCs w:val="20"/>
              </w:rPr>
              <w:t>302.71　</w:t>
            </w: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表二：</w:t>
      </w:r>
    </w:p>
    <w:p>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部门收入总体情况表</w:t>
      </w:r>
    </w:p>
    <w:p>
      <w:pPr>
        <w:widowControl/>
        <w:jc w:val="center"/>
        <w:outlineLvl w:val="1"/>
        <w:rPr>
          <w:rFonts w:ascii="仿宋" w:hAnsi="仿宋" w:eastAsia="仿宋" w:cs="仿宋"/>
          <w:b/>
          <w:kern w:val="0"/>
          <w:sz w:val="32"/>
          <w:szCs w:val="32"/>
        </w:rPr>
      </w:pPr>
    </w:p>
    <w:p>
      <w:pPr>
        <w:widowControl/>
        <w:jc w:val="left"/>
        <w:outlineLvl w:val="1"/>
        <w:rPr>
          <w:rFonts w:ascii="仿宋" w:hAnsi="仿宋" w:eastAsia="仿宋" w:cs="仿宋"/>
          <w:kern w:val="0"/>
          <w:sz w:val="24"/>
        </w:rPr>
      </w:pPr>
      <w:r>
        <w:rPr>
          <w:rFonts w:hint="eastAsia" w:ascii="仿宋" w:hAnsi="仿宋" w:eastAsia="仿宋" w:cs="仿宋"/>
          <w:kern w:val="0"/>
          <w:sz w:val="24"/>
        </w:rPr>
        <w:t>填报部门：昌吉州金融工作办公室                                  单位：万元</w:t>
      </w:r>
    </w:p>
    <w:tbl>
      <w:tblPr>
        <w:tblStyle w:val="10"/>
        <w:tblW w:w="9460" w:type="dxa"/>
        <w:tblInd w:w="93" w:type="dxa"/>
        <w:tblLayout w:type="fixed"/>
        <w:tblCellMar>
          <w:top w:w="0" w:type="dxa"/>
          <w:left w:w="108" w:type="dxa"/>
          <w:bottom w:w="0" w:type="dxa"/>
          <w:right w:w="108" w:type="dxa"/>
        </w:tblCellMar>
      </w:tblPr>
      <w:tblGrid>
        <w:gridCol w:w="583"/>
        <w:gridCol w:w="541"/>
        <w:gridCol w:w="440"/>
        <w:gridCol w:w="1878"/>
        <w:gridCol w:w="1093"/>
        <w:gridCol w:w="886"/>
        <w:gridCol w:w="532"/>
        <w:gridCol w:w="545"/>
        <w:gridCol w:w="409"/>
        <w:gridCol w:w="555"/>
        <w:gridCol w:w="668"/>
        <w:gridCol w:w="665"/>
        <w:gridCol w:w="665"/>
      </w:tblGrid>
      <w:tr>
        <w:tblPrEx>
          <w:tblLayout w:type="fixed"/>
          <w:tblCellMar>
            <w:top w:w="0" w:type="dxa"/>
            <w:left w:w="108" w:type="dxa"/>
            <w:bottom w:w="0" w:type="dxa"/>
            <w:right w:w="108" w:type="dxa"/>
          </w:tblCellMar>
        </w:tblPrEx>
        <w:trPr>
          <w:trHeight w:val="779" w:hRule="atLeast"/>
        </w:trPr>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功能分类科目编码</w:t>
            </w:r>
          </w:p>
        </w:tc>
        <w:tc>
          <w:tcPr>
            <w:tcW w:w="18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功能分类科目名称</w:t>
            </w:r>
          </w:p>
        </w:tc>
        <w:tc>
          <w:tcPr>
            <w:tcW w:w="109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总  计</w:t>
            </w:r>
          </w:p>
        </w:tc>
        <w:tc>
          <w:tcPr>
            <w:tcW w:w="88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一般公共预算拨款</w:t>
            </w:r>
          </w:p>
        </w:tc>
        <w:tc>
          <w:tcPr>
            <w:tcW w:w="5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政府性基金预算拨款</w:t>
            </w:r>
          </w:p>
        </w:tc>
        <w:tc>
          <w:tcPr>
            <w:tcW w:w="5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财政专户管理资金</w:t>
            </w:r>
          </w:p>
        </w:tc>
        <w:tc>
          <w:tcPr>
            <w:tcW w:w="4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事业收入</w:t>
            </w:r>
          </w:p>
        </w:tc>
        <w:tc>
          <w:tcPr>
            <w:tcW w:w="5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事业单位经营收入</w:t>
            </w:r>
          </w:p>
        </w:tc>
        <w:tc>
          <w:tcPr>
            <w:tcW w:w="66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其他收入</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20"/>
                <w:szCs w:val="20"/>
              </w:rPr>
            </w:pPr>
            <w:r>
              <w:rPr>
                <w:rFonts w:hint="eastAsia" w:ascii="仿宋" w:hAnsi="仿宋" w:eastAsia="仿宋" w:cs="仿宋"/>
                <w:b/>
                <w:color w:val="000000"/>
                <w:sz w:val="20"/>
                <w:szCs w:val="20"/>
              </w:rPr>
              <w:t>用事业基金弥补收支差额</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272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b/>
                <w:color w:val="000000"/>
                <w:sz w:val="20"/>
                <w:szCs w:val="20"/>
              </w:rPr>
            </w:pPr>
            <w:r>
              <w:rPr>
                <w:rFonts w:hint="eastAsia" w:ascii="仿宋" w:hAnsi="仿宋" w:eastAsia="仿宋" w:cs="仿宋"/>
                <w:b/>
                <w:color w:val="000000"/>
                <w:sz w:val="20"/>
                <w:szCs w:val="20"/>
              </w:rPr>
              <w:t>类</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b/>
                <w:color w:val="000000"/>
                <w:sz w:val="20"/>
                <w:szCs w:val="20"/>
              </w:rPr>
            </w:pPr>
            <w:r>
              <w:rPr>
                <w:rFonts w:hint="eastAsia" w:ascii="仿宋" w:hAnsi="仿宋" w:eastAsia="仿宋" w:cs="仿宋"/>
                <w:b/>
                <w:color w:val="000000"/>
                <w:sz w:val="20"/>
                <w:szCs w:val="20"/>
              </w:rPr>
              <w:t>款</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b/>
                <w:color w:val="000000"/>
                <w:sz w:val="20"/>
                <w:szCs w:val="20"/>
              </w:rPr>
            </w:pPr>
            <w:r>
              <w:rPr>
                <w:rFonts w:hint="eastAsia" w:ascii="仿宋" w:hAnsi="仿宋" w:eastAsia="仿宋" w:cs="仿宋"/>
                <w:b/>
                <w:color w:val="000000"/>
                <w:sz w:val="20"/>
                <w:szCs w:val="20"/>
              </w:rPr>
              <w:t>项</w:t>
            </w:r>
          </w:p>
        </w:tc>
        <w:tc>
          <w:tcPr>
            <w:tcW w:w="18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10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8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5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5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4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5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66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20"/>
                <w:szCs w:val="20"/>
              </w:rPr>
            </w:pP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201</w:t>
            </w:r>
          </w:p>
        </w:tc>
        <w:tc>
          <w:tcPr>
            <w:tcW w:w="54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03</w:t>
            </w:r>
          </w:p>
        </w:tc>
        <w:tc>
          <w:tcPr>
            <w:tcW w:w="4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50</w:t>
            </w:r>
          </w:p>
        </w:tc>
        <w:tc>
          <w:tcPr>
            <w:tcW w:w="187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事业运行</w:t>
            </w:r>
          </w:p>
        </w:tc>
        <w:tc>
          <w:tcPr>
            <w:tcW w:w="109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247.71</w:t>
            </w:r>
          </w:p>
        </w:tc>
        <w:tc>
          <w:tcPr>
            <w:tcW w:w="886"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247.71</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201</w:t>
            </w:r>
          </w:p>
        </w:tc>
        <w:tc>
          <w:tcPr>
            <w:tcW w:w="54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03</w:t>
            </w:r>
          </w:p>
        </w:tc>
        <w:tc>
          <w:tcPr>
            <w:tcW w:w="4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02</w:t>
            </w:r>
          </w:p>
        </w:tc>
        <w:tc>
          <w:tcPr>
            <w:tcW w:w="187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一般行政管理事务</w:t>
            </w:r>
          </w:p>
        </w:tc>
        <w:tc>
          <w:tcPr>
            <w:tcW w:w="109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55</w:t>
            </w:r>
          </w:p>
        </w:tc>
        <w:tc>
          <w:tcPr>
            <w:tcW w:w="886"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color w:val="000000"/>
                <w:sz w:val="18"/>
                <w:szCs w:val="18"/>
              </w:rPr>
            </w:pPr>
            <w:r>
              <w:rPr>
                <w:rFonts w:hint="eastAsia" w:ascii="仿宋" w:hAnsi="仿宋" w:eastAsia="仿宋" w:cs="仿宋"/>
                <w:color w:val="000000"/>
                <w:sz w:val="18"/>
                <w:szCs w:val="18"/>
              </w:rPr>
              <w:t>55</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093"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86"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Layout w:type="fixed"/>
          <w:tblCellMar>
            <w:top w:w="0" w:type="dxa"/>
            <w:left w:w="108" w:type="dxa"/>
            <w:bottom w:w="0" w:type="dxa"/>
            <w:right w:w="108" w:type="dxa"/>
          </w:tblCellMar>
        </w:tblPrEx>
        <w:trPr>
          <w:trHeight w:val="738"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54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440"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187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合计</w:t>
            </w:r>
          </w:p>
        </w:tc>
        <w:tc>
          <w:tcPr>
            <w:tcW w:w="1093"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302.71</w:t>
            </w:r>
          </w:p>
        </w:tc>
        <w:tc>
          <w:tcPr>
            <w:tcW w:w="886"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302.71</w:t>
            </w:r>
          </w:p>
        </w:tc>
        <w:tc>
          <w:tcPr>
            <w:tcW w:w="532"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09"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pPr>
        <w:widowControl/>
        <w:outlineLvl w:val="1"/>
        <w:rPr>
          <w:rFonts w:ascii="仿宋" w:hAnsi="仿宋" w:eastAsia="仿宋" w:cs="仿宋"/>
          <w:b/>
          <w:kern w:val="0"/>
          <w:sz w:val="28"/>
          <w:szCs w:val="32"/>
        </w:rPr>
      </w:pPr>
    </w:p>
    <w:p>
      <w:pPr>
        <w:widowControl/>
        <w:outlineLvl w:val="1"/>
        <w:rPr>
          <w:rFonts w:ascii="仿宋" w:hAnsi="仿宋" w:eastAsia="仿宋" w:cs="仿宋"/>
          <w:b/>
          <w:kern w:val="0"/>
          <w:sz w:val="28"/>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表三：</w:t>
      </w:r>
    </w:p>
    <w:p>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部门支出总体情况表</w:t>
      </w:r>
    </w:p>
    <w:p>
      <w:pPr>
        <w:widowControl/>
        <w:jc w:val="center"/>
        <w:outlineLvl w:val="1"/>
        <w:rPr>
          <w:rFonts w:ascii="仿宋" w:hAnsi="仿宋" w:eastAsia="仿宋" w:cs="仿宋"/>
          <w:b/>
          <w:kern w:val="0"/>
          <w:sz w:val="32"/>
          <w:szCs w:val="32"/>
        </w:rPr>
      </w:pPr>
    </w:p>
    <w:p>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编制部门：昌吉州金融工作办公室                                        单位：万元</w:t>
      </w:r>
    </w:p>
    <w:tbl>
      <w:tblPr>
        <w:tblStyle w:val="10"/>
        <w:tblW w:w="9100" w:type="dxa"/>
        <w:tblInd w:w="93" w:type="dxa"/>
        <w:tblLayout w:type="fixed"/>
        <w:tblCellMar>
          <w:top w:w="0" w:type="dxa"/>
          <w:left w:w="108" w:type="dxa"/>
          <w:bottom w:w="0" w:type="dxa"/>
          <w:right w:w="108" w:type="dxa"/>
        </w:tblCellMar>
      </w:tblPr>
      <w:tblGrid>
        <w:gridCol w:w="550"/>
        <w:gridCol w:w="429"/>
        <w:gridCol w:w="459"/>
        <w:gridCol w:w="2301"/>
        <w:gridCol w:w="1855"/>
        <w:gridCol w:w="1824"/>
        <w:gridCol w:w="1653"/>
        <w:gridCol w:w="29"/>
      </w:tblGrid>
      <w:tr>
        <w:tblPrEx>
          <w:tblLayout w:type="fixed"/>
          <w:tblCellMar>
            <w:top w:w="0" w:type="dxa"/>
            <w:left w:w="108" w:type="dxa"/>
            <w:bottom w:w="0" w:type="dxa"/>
            <w:right w:w="108" w:type="dxa"/>
          </w:tblCellMar>
        </w:tblPrEx>
        <w:trPr>
          <w:gridAfter w:val="1"/>
          <w:wAfter w:w="29" w:type="dxa"/>
          <w:trHeight w:val="436" w:hRule="atLeast"/>
        </w:trPr>
        <w:tc>
          <w:tcPr>
            <w:tcW w:w="373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w:t>
            </w:r>
          </w:p>
        </w:tc>
        <w:tc>
          <w:tcPr>
            <w:tcW w:w="533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29" w:type="dxa"/>
          <w:trHeight w:val="625" w:hRule="atLeast"/>
        </w:trPr>
        <w:tc>
          <w:tcPr>
            <w:tcW w:w="14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30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85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合计</w:t>
            </w:r>
          </w:p>
        </w:tc>
        <w:tc>
          <w:tcPr>
            <w:tcW w:w="1824"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653"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tblPrEx>
          <w:tblLayout w:type="fixed"/>
          <w:tblCellMar>
            <w:top w:w="0" w:type="dxa"/>
            <w:left w:w="108" w:type="dxa"/>
            <w:bottom w:w="0" w:type="dxa"/>
            <w:right w:w="108" w:type="dxa"/>
          </w:tblCellMar>
        </w:tblPrEx>
        <w:trPr>
          <w:trHeight w:val="354"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301" w:type="dxa"/>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p>
        </w:tc>
        <w:tc>
          <w:tcPr>
            <w:tcW w:w="1855" w:type="dxa"/>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p>
        </w:tc>
        <w:tc>
          <w:tcPr>
            <w:tcW w:w="1824" w:type="dxa"/>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left"/>
              <w:rPr>
                <w:rFonts w:ascii="仿宋" w:hAnsi="仿宋" w:eastAsia="仿宋" w:cs="仿宋"/>
                <w:color w:val="000000"/>
                <w:kern w:val="0"/>
                <w:sz w:val="20"/>
                <w:szCs w:val="20"/>
              </w:rPr>
            </w:pPr>
            <w:r>
              <w:rPr>
                <w:rFonts w:hint="eastAsia" w:ascii="仿宋" w:hAnsi="仿宋" w:eastAsia="仿宋" w:cs="仿宋"/>
                <w:color w:val="000000"/>
                <w:sz w:val="20"/>
                <w:szCs w:val="20"/>
              </w:rPr>
              <w:t>201</w:t>
            </w:r>
          </w:p>
        </w:tc>
        <w:tc>
          <w:tcPr>
            <w:tcW w:w="429"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59"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color w:val="000000"/>
                <w:kern w:val="0"/>
                <w:sz w:val="20"/>
                <w:szCs w:val="20"/>
              </w:rPr>
            </w:pPr>
            <w:r>
              <w:rPr>
                <w:rFonts w:hint="eastAsia" w:ascii="仿宋" w:hAnsi="仿宋" w:eastAsia="仿宋" w:cs="仿宋"/>
                <w:color w:val="000000"/>
                <w:sz w:val="20"/>
                <w:szCs w:val="20"/>
              </w:rPr>
              <w:t>50</w:t>
            </w:r>
          </w:p>
        </w:tc>
        <w:tc>
          <w:tcPr>
            <w:tcW w:w="2301"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color w:val="000000"/>
                <w:kern w:val="0"/>
                <w:sz w:val="20"/>
                <w:szCs w:val="20"/>
              </w:rPr>
            </w:pPr>
            <w:r>
              <w:rPr>
                <w:rFonts w:hint="eastAsia" w:ascii="仿宋" w:hAnsi="仿宋" w:eastAsia="仿宋" w:cs="仿宋"/>
                <w:color w:val="000000"/>
                <w:sz w:val="20"/>
                <w:szCs w:val="20"/>
              </w:rPr>
              <w:t>事业运行</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247.71</w:t>
            </w:r>
          </w:p>
        </w:tc>
        <w:tc>
          <w:tcPr>
            <w:tcW w:w="18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247.71</w:t>
            </w: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left"/>
              <w:rPr>
                <w:rFonts w:ascii="仿宋" w:hAnsi="仿宋" w:eastAsia="仿宋" w:cs="仿宋"/>
                <w:b/>
                <w:bCs/>
                <w:color w:val="000000"/>
                <w:kern w:val="0"/>
                <w:sz w:val="20"/>
                <w:szCs w:val="20"/>
              </w:rPr>
            </w:pPr>
            <w:r>
              <w:rPr>
                <w:rFonts w:hint="eastAsia" w:ascii="仿宋" w:hAnsi="仿宋" w:eastAsia="仿宋" w:cs="仿宋"/>
                <w:color w:val="000000"/>
                <w:sz w:val="20"/>
                <w:szCs w:val="20"/>
              </w:rPr>
              <w:t>201</w:t>
            </w:r>
          </w:p>
        </w:tc>
        <w:tc>
          <w:tcPr>
            <w:tcW w:w="429"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b/>
                <w:bCs/>
                <w:color w:val="000000"/>
                <w:kern w:val="0"/>
                <w:sz w:val="20"/>
                <w:szCs w:val="20"/>
              </w:rPr>
            </w:pPr>
            <w:r>
              <w:rPr>
                <w:rFonts w:hint="eastAsia" w:ascii="仿宋" w:hAnsi="仿宋" w:eastAsia="仿宋" w:cs="仿宋"/>
                <w:color w:val="000000"/>
                <w:sz w:val="20"/>
                <w:szCs w:val="20"/>
              </w:rPr>
              <w:t>03</w:t>
            </w:r>
          </w:p>
        </w:tc>
        <w:tc>
          <w:tcPr>
            <w:tcW w:w="459"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b/>
                <w:bCs/>
                <w:color w:val="000000"/>
                <w:kern w:val="0"/>
                <w:sz w:val="20"/>
                <w:szCs w:val="20"/>
              </w:rPr>
            </w:pPr>
            <w:r>
              <w:rPr>
                <w:rFonts w:hint="eastAsia" w:ascii="仿宋" w:hAnsi="仿宋" w:eastAsia="仿宋" w:cs="仿宋"/>
                <w:color w:val="000000"/>
                <w:sz w:val="20"/>
                <w:szCs w:val="20"/>
              </w:rPr>
              <w:t>02</w:t>
            </w:r>
          </w:p>
        </w:tc>
        <w:tc>
          <w:tcPr>
            <w:tcW w:w="2301" w:type="dxa"/>
            <w:tcBorders>
              <w:top w:val="nil"/>
              <w:left w:val="nil"/>
              <w:bottom w:val="single" w:color="auto" w:sz="4" w:space="0"/>
              <w:right w:val="single" w:color="auto" w:sz="4" w:space="0"/>
            </w:tcBorders>
            <w:shd w:val="clear" w:color="auto" w:fill="auto"/>
            <w:vAlign w:val="center"/>
          </w:tcPr>
          <w:p>
            <w:pPr>
              <w:jc w:val="left"/>
              <w:rPr>
                <w:rFonts w:ascii="仿宋" w:hAnsi="仿宋" w:eastAsia="仿宋" w:cs="仿宋"/>
                <w:b/>
                <w:bCs/>
                <w:color w:val="000000"/>
                <w:kern w:val="0"/>
                <w:sz w:val="20"/>
                <w:szCs w:val="20"/>
              </w:rPr>
            </w:pPr>
            <w:r>
              <w:rPr>
                <w:rFonts w:hint="eastAsia" w:ascii="仿宋" w:hAnsi="仿宋" w:eastAsia="仿宋" w:cs="仿宋"/>
                <w:color w:val="000000"/>
                <w:sz w:val="20"/>
                <w:szCs w:val="20"/>
              </w:rPr>
              <w:t>一般行政管理事务</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b/>
                <w:bCs/>
                <w:color w:val="000000"/>
                <w:kern w:val="0"/>
                <w:sz w:val="20"/>
                <w:szCs w:val="20"/>
              </w:rPr>
            </w:pPr>
            <w:r>
              <w:rPr>
                <w:rFonts w:hint="eastAsia" w:ascii="仿宋" w:hAnsi="仿宋" w:eastAsia="仿宋" w:cs="仿宋"/>
                <w:color w:val="000000"/>
                <w:sz w:val="20"/>
                <w:szCs w:val="20"/>
              </w:rPr>
              <w:t>55</w:t>
            </w:r>
          </w:p>
        </w:tc>
        <w:tc>
          <w:tcPr>
            <w:tcW w:w="18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color w:val="000000"/>
                <w:kern w:val="0"/>
                <w:sz w:val="20"/>
                <w:szCs w:val="20"/>
              </w:rPr>
              <w:t>55</w:t>
            </w: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559"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302.71</w:t>
            </w: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247.71</w:t>
            </w: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55</w:t>
            </w:r>
          </w:p>
        </w:tc>
      </w:tr>
    </w:tbl>
    <w:p>
      <w:pPr>
        <w:widowControl/>
        <w:outlineLvl w:val="1"/>
        <w:rPr>
          <w:rFonts w:ascii="仿宋" w:hAnsi="仿宋" w:eastAsia="仿宋" w:cs="仿宋"/>
          <w:b/>
          <w:kern w:val="0"/>
          <w:sz w:val="24"/>
        </w:rPr>
      </w:pPr>
      <w:r>
        <w:rPr>
          <w:rFonts w:hint="eastAsia" w:ascii="仿宋" w:hAnsi="仿宋" w:eastAsia="仿宋" w:cs="仿宋"/>
          <w:b/>
          <w:kern w:val="0"/>
          <w:sz w:val="24"/>
        </w:rPr>
        <w:t>备注：无内容应公开空表并说明情况。</w:t>
      </w:r>
    </w:p>
    <w:p>
      <w:pPr>
        <w:widowControl/>
        <w:spacing w:before="120" w:beforeLines="50"/>
        <w:outlineLvl w:val="1"/>
        <w:rPr>
          <w:rFonts w:ascii="仿宋" w:hAnsi="仿宋" w:eastAsia="仿宋" w:cs="仿宋"/>
          <w:b/>
          <w:kern w:val="0"/>
          <w:sz w:val="28"/>
          <w:szCs w:val="28"/>
        </w:rPr>
      </w:pPr>
    </w:p>
    <w:p>
      <w:pPr>
        <w:widowControl/>
        <w:spacing w:before="120" w:beforeLines="50"/>
        <w:outlineLvl w:val="1"/>
        <w:rPr>
          <w:rFonts w:ascii="仿宋" w:hAnsi="仿宋" w:eastAsia="仿宋" w:cs="仿宋"/>
          <w:b/>
          <w:kern w:val="0"/>
          <w:sz w:val="28"/>
          <w:szCs w:val="28"/>
        </w:rPr>
      </w:pPr>
      <w:r>
        <w:rPr>
          <w:rFonts w:hint="eastAsia" w:ascii="仿宋" w:hAnsi="仿宋" w:eastAsia="仿宋" w:cs="仿宋"/>
          <w:b/>
          <w:kern w:val="0"/>
          <w:sz w:val="28"/>
          <w:szCs w:val="28"/>
        </w:rPr>
        <w:t>表四：</w:t>
      </w:r>
    </w:p>
    <w:p>
      <w:pPr>
        <w:widowControl/>
        <w:spacing w:before="120" w:beforeLines="50"/>
        <w:jc w:val="center"/>
        <w:outlineLvl w:val="1"/>
        <w:rPr>
          <w:rFonts w:ascii="仿宋" w:hAnsi="仿宋" w:eastAsia="仿宋" w:cs="仿宋"/>
          <w:b/>
          <w:kern w:val="0"/>
          <w:sz w:val="28"/>
          <w:szCs w:val="28"/>
        </w:rPr>
      </w:pPr>
      <w:r>
        <w:rPr>
          <w:rFonts w:hint="eastAsia" w:ascii="仿宋" w:hAnsi="仿宋" w:eastAsia="仿宋" w:cs="仿宋"/>
          <w:b/>
          <w:kern w:val="0"/>
          <w:sz w:val="28"/>
          <w:szCs w:val="28"/>
        </w:rPr>
        <w:t>财政拨款收支预算总体情况表</w:t>
      </w:r>
    </w:p>
    <w:p>
      <w:pPr>
        <w:widowControl/>
        <w:spacing w:before="120" w:beforeLines="50"/>
        <w:jc w:val="left"/>
        <w:outlineLvl w:val="1"/>
        <w:rPr>
          <w:rFonts w:ascii="仿宋" w:hAnsi="仿宋" w:eastAsia="仿宋" w:cs="仿宋"/>
          <w:kern w:val="0"/>
          <w:sz w:val="18"/>
          <w:szCs w:val="18"/>
        </w:rPr>
      </w:pPr>
      <w:r>
        <w:rPr>
          <w:rFonts w:hint="eastAsia" w:ascii="仿宋" w:hAnsi="仿宋" w:eastAsia="仿宋" w:cs="仿宋"/>
          <w:kern w:val="0"/>
          <w:sz w:val="18"/>
          <w:szCs w:val="18"/>
        </w:rPr>
        <w:t>编制部门：昌吉州金融工作办公室                               单位：万元</w:t>
      </w:r>
    </w:p>
    <w:tbl>
      <w:tblPr>
        <w:tblStyle w:val="10"/>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kern w:val="0"/>
                <w:sz w:val="20"/>
                <w:szCs w:val="20"/>
              </w:rPr>
            </w:pPr>
            <w:r>
              <w:rPr>
                <w:rFonts w:hint="eastAsia" w:ascii="仿宋" w:hAnsi="仿宋" w:eastAsia="仿宋" w:cs="仿宋"/>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302.71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302.71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302.71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302.71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w:t>
            </w:r>
            <w:r>
              <w:rPr>
                <w:rFonts w:hint="eastAsia" w:ascii="仿宋" w:hAnsi="仿宋" w:eastAsia="仿宋" w:cs="仿宋"/>
                <w:color w:val="000000"/>
                <w:kern w:val="0"/>
                <w:sz w:val="20"/>
                <w:szCs w:val="20"/>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w:t>
            </w:r>
            <w:r>
              <w:rPr>
                <w:rFonts w:hint="eastAsia" w:ascii="仿宋" w:hAnsi="仿宋" w:eastAsia="仿宋" w:cs="仿宋"/>
                <w:color w:val="000000"/>
                <w:kern w:val="0"/>
                <w:sz w:val="20"/>
                <w:szCs w:val="20"/>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w:t>
            </w:r>
            <w:r>
              <w:rPr>
                <w:rFonts w:hint="eastAsia" w:ascii="仿宋" w:hAnsi="仿宋" w:eastAsia="仿宋" w:cs="仿宋"/>
                <w:color w:val="000000"/>
                <w:kern w:val="0"/>
                <w:sz w:val="20"/>
                <w:szCs w:val="20"/>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233</w:t>
            </w:r>
            <w:r>
              <w:rPr>
                <w:rFonts w:hint="eastAsia" w:ascii="仿宋" w:hAnsi="仿宋" w:eastAsia="仿宋" w:cs="仿宋"/>
                <w:color w:val="000000"/>
                <w:kern w:val="0"/>
                <w:sz w:val="20"/>
                <w:szCs w:val="20"/>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0"/>
                <w:szCs w:val="20"/>
              </w:rPr>
            </w:pPr>
            <w:r>
              <w:rPr>
                <w:rFonts w:hint="eastAsia" w:ascii="仿宋" w:hAnsi="仿宋" w:eastAsia="仿宋" w:cs="仿宋"/>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302.71</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color w:val="000000"/>
                <w:kern w:val="0"/>
                <w:sz w:val="20"/>
                <w:szCs w:val="20"/>
              </w:rPr>
              <w:t>302.71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color w:val="000000"/>
                <w:kern w:val="0"/>
                <w:sz w:val="20"/>
                <w:szCs w:val="20"/>
              </w:rPr>
              <w:t>302.71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0"/>
                <w:szCs w:val="20"/>
              </w:rPr>
            </w:pPr>
          </w:p>
        </w:tc>
        <w:tc>
          <w:tcPr>
            <w:tcW w:w="225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230 转移性支出</w:t>
            </w:r>
          </w:p>
        </w:tc>
        <w:tc>
          <w:tcPr>
            <w:tcW w:w="129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302.71</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color w:val="000000"/>
                <w:kern w:val="0"/>
                <w:sz w:val="20"/>
                <w:szCs w:val="20"/>
              </w:rPr>
              <w:t>302.71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color w:val="000000"/>
                <w:kern w:val="0"/>
                <w:sz w:val="20"/>
                <w:szCs w:val="20"/>
              </w:rPr>
              <w:t>302.71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bl>
    <w:p>
      <w:pPr>
        <w:widowControl/>
        <w:jc w:val="left"/>
        <w:outlineLvl w:val="1"/>
        <w:rPr>
          <w:rFonts w:ascii="仿宋" w:hAnsi="仿宋" w:eastAsia="仿宋" w:cs="仿宋"/>
          <w:b/>
          <w:kern w:val="0"/>
          <w:sz w:val="28"/>
          <w:szCs w:val="32"/>
        </w:rPr>
      </w:pPr>
      <w:r>
        <w:rPr>
          <w:rFonts w:hint="eastAsia" w:ascii="仿宋" w:hAnsi="仿宋" w:eastAsia="仿宋" w:cs="仿宋"/>
          <w:b/>
          <w:kern w:val="0"/>
          <w:sz w:val="28"/>
          <w:szCs w:val="28"/>
        </w:rPr>
        <w:t>备注：无内容应公开空</w:t>
      </w:r>
      <w:r>
        <w:rPr>
          <w:rFonts w:hint="eastAsia" w:ascii="仿宋" w:hAnsi="仿宋" w:eastAsia="仿宋" w:cs="仿宋"/>
          <w:b/>
          <w:kern w:val="0"/>
          <w:sz w:val="28"/>
          <w:szCs w:val="32"/>
        </w:rPr>
        <w:t>表并说明情况。</w:t>
      </w: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表五：</w:t>
      </w:r>
    </w:p>
    <w:tbl>
      <w:tblPr>
        <w:tblStyle w:val="10"/>
        <w:tblW w:w="9100" w:type="dxa"/>
        <w:tblInd w:w="93" w:type="dxa"/>
        <w:tblLayout w:type="fixed"/>
        <w:tblCellMar>
          <w:top w:w="0" w:type="dxa"/>
          <w:left w:w="108" w:type="dxa"/>
          <w:bottom w:w="0" w:type="dxa"/>
          <w:right w:w="108" w:type="dxa"/>
        </w:tblCellMar>
      </w:tblPr>
      <w:tblGrid>
        <w:gridCol w:w="531"/>
        <w:gridCol w:w="501"/>
        <w:gridCol w:w="442"/>
        <w:gridCol w:w="2392"/>
        <w:gridCol w:w="1687"/>
        <w:gridCol w:w="215"/>
        <w:gridCol w:w="1630"/>
        <w:gridCol w:w="1702"/>
      </w:tblGrid>
      <w:tr>
        <w:tblPrEx>
          <w:tblLayout w:type="fixed"/>
          <w:tblCellMar>
            <w:top w:w="0" w:type="dxa"/>
            <w:left w:w="108" w:type="dxa"/>
            <w:bottom w:w="0" w:type="dxa"/>
            <w:right w:w="108" w:type="dxa"/>
          </w:tblCellMar>
        </w:tblPrEx>
        <w:trPr>
          <w:trHeight w:val="583" w:hRule="atLeast"/>
        </w:trPr>
        <w:tc>
          <w:tcPr>
            <w:tcW w:w="9100" w:type="dxa"/>
            <w:gridSpan w:val="8"/>
            <w:tcBorders>
              <w:top w:val="nil"/>
              <w:left w:val="nil"/>
              <w:bottom w:val="nil"/>
              <w:right w:val="nil"/>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403" w:hRule="atLeast"/>
        </w:trPr>
        <w:tc>
          <w:tcPr>
            <w:tcW w:w="5768" w:type="dxa"/>
            <w:gridSpan w:val="6"/>
            <w:tcBorders>
              <w:top w:val="nil"/>
              <w:left w:val="nil"/>
              <w:bottom w:val="nil"/>
              <w:right w:val="nil"/>
            </w:tcBorders>
            <w:shd w:val="clear" w:color="auto" w:fill="auto"/>
            <w:noWrap/>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24"/>
              </w:rPr>
              <w:t xml:space="preserve">昌吉州金融工作办公室  </w:t>
            </w:r>
            <w:r>
              <w:rPr>
                <w:rFonts w:hint="eastAsia" w:ascii="仿宋" w:hAnsi="仿宋" w:eastAsia="仿宋" w:cs="仿宋"/>
                <w:color w:val="000000"/>
                <w:kern w:val="0"/>
                <w:sz w:val="24"/>
              </w:rPr>
              <w:t xml:space="preserve">  </w:t>
            </w:r>
          </w:p>
        </w:tc>
        <w:tc>
          <w:tcPr>
            <w:tcW w:w="3332" w:type="dxa"/>
            <w:gridSpan w:val="2"/>
            <w:tcBorders>
              <w:top w:val="nil"/>
              <w:left w:val="nil"/>
              <w:bottom w:val="nil"/>
              <w:right w:val="nil"/>
            </w:tcBorders>
            <w:shd w:val="clear" w:color="auto" w:fill="auto"/>
            <w:noWrap/>
            <w:vAlign w:val="center"/>
          </w:tcPr>
          <w:p>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tblPrEx>
          <w:tblLayout w:type="fixed"/>
          <w:tblCellMar>
            <w:top w:w="0" w:type="dxa"/>
            <w:left w:w="108" w:type="dxa"/>
            <w:bottom w:w="0" w:type="dxa"/>
            <w:right w:w="108" w:type="dxa"/>
          </w:tblCellMar>
        </w:tblPrEx>
        <w:trPr>
          <w:trHeight w:val="549" w:hRule="atLeast"/>
        </w:trPr>
        <w:tc>
          <w:tcPr>
            <w:tcW w:w="386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w:t>
            </w:r>
          </w:p>
        </w:tc>
        <w:tc>
          <w:tcPr>
            <w:tcW w:w="523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一般公共预算支出</w:t>
            </w:r>
          </w:p>
        </w:tc>
      </w:tr>
      <w:tr>
        <w:tblPrEx>
          <w:tblLayout w:type="fixed"/>
          <w:tblCellMar>
            <w:top w:w="0" w:type="dxa"/>
            <w:left w:w="108" w:type="dxa"/>
            <w:bottom w:w="0" w:type="dxa"/>
            <w:right w:w="108" w:type="dxa"/>
          </w:tblCellMar>
        </w:tblPrEx>
        <w:trPr>
          <w:trHeight w:val="695" w:hRule="atLeast"/>
        </w:trPr>
        <w:tc>
          <w:tcPr>
            <w:tcW w:w="147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68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小计</w:t>
            </w:r>
          </w:p>
        </w:tc>
        <w:tc>
          <w:tcPr>
            <w:tcW w:w="184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70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tblPrEx>
          <w:tblLayout w:type="fixed"/>
          <w:tblCellMar>
            <w:top w:w="0" w:type="dxa"/>
            <w:left w:w="108" w:type="dxa"/>
            <w:bottom w:w="0" w:type="dxa"/>
            <w:right w:w="108" w:type="dxa"/>
          </w:tblCellMar>
        </w:tblPrEx>
        <w:trPr>
          <w:trHeight w:val="412"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68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84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201</w:t>
            </w:r>
          </w:p>
        </w:tc>
        <w:tc>
          <w:tcPr>
            <w:tcW w:w="5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42"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50</w:t>
            </w:r>
          </w:p>
        </w:tc>
        <w:tc>
          <w:tcPr>
            <w:tcW w:w="2392"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事业运行</w:t>
            </w:r>
          </w:p>
        </w:tc>
        <w:tc>
          <w:tcPr>
            <w:tcW w:w="168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247.71</w:t>
            </w:r>
          </w:p>
        </w:tc>
        <w:tc>
          <w:tcPr>
            <w:tcW w:w="1845"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247.71</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201</w:t>
            </w:r>
          </w:p>
        </w:tc>
        <w:tc>
          <w:tcPr>
            <w:tcW w:w="5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42"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02</w:t>
            </w:r>
          </w:p>
        </w:tc>
        <w:tc>
          <w:tcPr>
            <w:tcW w:w="2392"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一般行政管理事务</w:t>
            </w:r>
          </w:p>
        </w:tc>
        <w:tc>
          <w:tcPr>
            <w:tcW w:w="168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55</w:t>
            </w:r>
          </w:p>
        </w:tc>
        <w:tc>
          <w:tcPr>
            <w:tcW w:w="1845"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55</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Layout w:type="fixed"/>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631"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合计</w:t>
            </w:r>
          </w:p>
        </w:tc>
        <w:tc>
          <w:tcPr>
            <w:tcW w:w="16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302.71</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247.71</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55</w:t>
            </w: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表六：</w:t>
      </w:r>
    </w:p>
    <w:tbl>
      <w:tblPr>
        <w:tblStyle w:val="10"/>
        <w:tblW w:w="9220" w:type="dxa"/>
        <w:tblInd w:w="93" w:type="dxa"/>
        <w:tblLayout w:type="fixed"/>
        <w:tblCellMar>
          <w:top w:w="0" w:type="dxa"/>
          <w:left w:w="108" w:type="dxa"/>
          <w:bottom w:w="0" w:type="dxa"/>
          <w:right w:w="108" w:type="dxa"/>
        </w:tblCellMar>
      </w:tblPr>
      <w:tblGrid>
        <w:gridCol w:w="724"/>
        <w:gridCol w:w="567"/>
        <w:gridCol w:w="2752"/>
        <w:gridCol w:w="1726"/>
        <w:gridCol w:w="989"/>
        <w:gridCol w:w="736"/>
        <w:gridCol w:w="1726"/>
      </w:tblGrid>
      <w:tr>
        <w:tblPrEx>
          <w:tblLayout w:type="fixed"/>
          <w:tblCellMar>
            <w:top w:w="0" w:type="dxa"/>
            <w:left w:w="108" w:type="dxa"/>
            <w:bottom w:w="0" w:type="dxa"/>
            <w:right w:w="108" w:type="dxa"/>
          </w:tblCellMar>
        </w:tblPrEx>
        <w:trPr>
          <w:trHeight w:val="483" w:hRule="atLeast"/>
        </w:trPr>
        <w:tc>
          <w:tcPr>
            <w:tcW w:w="9220" w:type="dxa"/>
            <w:gridSpan w:val="7"/>
            <w:tcBorders>
              <w:top w:val="nil"/>
              <w:left w:val="nil"/>
              <w:bottom w:val="nil"/>
              <w:right w:val="nil"/>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722" w:hRule="atLeast"/>
        </w:trPr>
        <w:tc>
          <w:tcPr>
            <w:tcW w:w="6758" w:type="dxa"/>
            <w:gridSpan w:val="5"/>
            <w:tcBorders>
              <w:top w:val="nil"/>
              <w:left w:val="nil"/>
              <w:bottom w:val="nil"/>
              <w:right w:val="nil"/>
            </w:tcBorders>
            <w:shd w:val="clear" w:color="auto" w:fill="auto"/>
            <w:noWrap/>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18"/>
                <w:szCs w:val="18"/>
              </w:rPr>
              <w:t>昌吉州金融工作办公室</w:t>
            </w:r>
            <w:r>
              <w:rPr>
                <w:rFonts w:hint="eastAsia" w:ascii="仿宋" w:hAnsi="仿宋" w:eastAsia="仿宋" w:cs="仿宋"/>
                <w:kern w:val="0"/>
                <w:sz w:val="24"/>
              </w:rPr>
              <w:t xml:space="preserve">  </w:t>
            </w:r>
          </w:p>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462" w:type="dxa"/>
            <w:gridSpan w:val="2"/>
            <w:tcBorders>
              <w:top w:val="nil"/>
              <w:left w:val="nil"/>
              <w:bottom w:val="nil"/>
              <w:right w:val="nil"/>
            </w:tcBorders>
            <w:shd w:val="clear" w:color="auto" w:fill="auto"/>
            <w:noWrap/>
            <w:vAlign w:val="center"/>
          </w:tcPr>
          <w:p>
            <w:pPr>
              <w:widowControl/>
              <w:ind w:firstLine="720" w:firstLineChars="300"/>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tblPrEx>
          <w:tblLayout w:type="fixed"/>
          <w:tblCellMar>
            <w:top w:w="0" w:type="dxa"/>
            <w:left w:w="108" w:type="dxa"/>
            <w:bottom w:w="0" w:type="dxa"/>
            <w:right w:w="108" w:type="dxa"/>
          </w:tblCellMar>
        </w:tblPrEx>
        <w:trPr>
          <w:trHeight w:val="320" w:hRule="atLeast"/>
        </w:trPr>
        <w:tc>
          <w:tcPr>
            <w:tcW w:w="404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项目</w:t>
            </w:r>
          </w:p>
        </w:tc>
        <w:tc>
          <w:tcPr>
            <w:tcW w:w="517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一般公共预算基本支出</w:t>
            </w:r>
          </w:p>
        </w:tc>
      </w:tr>
      <w:tr>
        <w:tblPrEx>
          <w:tblLayout w:type="fixed"/>
          <w:tblCellMar>
            <w:top w:w="0" w:type="dxa"/>
            <w:left w:w="108" w:type="dxa"/>
            <w:bottom w:w="0" w:type="dxa"/>
            <w:right w:w="108" w:type="dxa"/>
          </w:tblCellMar>
        </w:tblPrEx>
        <w:trPr>
          <w:trHeight w:val="591" w:hRule="atLeast"/>
        </w:trPr>
        <w:tc>
          <w:tcPr>
            <w:tcW w:w="1291"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经济分类科目编码</w:t>
            </w:r>
          </w:p>
        </w:tc>
        <w:tc>
          <w:tcPr>
            <w:tcW w:w="27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经济分类科目名称</w:t>
            </w:r>
          </w:p>
        </w:tc>
        <w:tc>
          <w:tcPr>
            <w:tcW w:w="17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小计</w:t>
            </w:r>
          </w:p>
        </w:tc>
        <w:tc>
          <w:tcPr>
            <w:tcW w:w="172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人员经费</w:t>
            </w:r>
          </w:p>
        </w:tc>
        <w:tc>
          <w:tcPr>
            <w:tcW w:w="17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公用经费</w:t>
            </w:r>
          </w:p>
        </w:tc>
      </w:tr>
      <w:tr>
        <w:tblPrEx>
          <w:tblLayout w:type="fixed"/>
          <w:tblCellMar>
            <w:top w:w="0" w:type="dxa"/>
            <w:left w:w="108" w:type="dxa"/>
            <w:bottom w:w="0" w:type="dxa"/>
            <w:right w:w="108" w:type="dxa"/>
          </w:tblCellMar>
        </w:tblPrEx>
        <w:trPr>
          <w:trHeight w:val="32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类</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款</w:t>
            </w:r>
          </w:p>
        </w:tc>
        <w:tc>
          <w:tcPr>
            <w:tcW w:w="275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18"/>
                <w:szCs w:val="18"/>
              </w:rPr>
            </w:pPr>
          </w:p>
        </w:tc>
        <w:tc>
          <w:tcPr>
            <w:tcW w:w="172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18"/>
                <w:szCs w:val="18"/>
              </w:rPr>
            </w:pPr>
          </w:p>
        </w:tc>
        <w:tc>
          <w:tcPr>
            <w:tcW w:w="172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18"/>
                <w:szCs w:val="18"/>
              </w:rPr>
            </w:pPr>
          </w:p>
        </w:tc>
        <w:tc>
          <w:tcPr>
            <w:tcW w:w="172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基本工资</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65.47</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65.47</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03</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奖金</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4.49</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4.49</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06</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伙食补助费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17.64</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17.64</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绩效工资</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36.08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36.08</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机关事业单位基本养老保险缴费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16.97</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16.97</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10</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职工基本医疗保险缴费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7.56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7.56</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公务员医疗补助缴费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3.18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3.18</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12</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其他社会保障缴费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0.84</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0.84</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住房公积金</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12.72</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12.72</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其他工资福利支出</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43.28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43.28</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办公费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05</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水费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0.45</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0.45</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06</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电费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0.45</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0.45</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邮电费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0.44</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0.44</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差旅费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4.86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4.86</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维修(护)费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2.08</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17</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公务招待费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0.19</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0.19</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28</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工会经费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1.31</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29</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福利费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31</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公务车运行维护费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2.08</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其他商品和服务支出</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21.31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21.31</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303</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14</w:t>
            </w:r>
          </w:p>
        </w:tc>
        <w:tc>
          <w:tcPr>
            <w:tcW w:w="275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职工住宅取暖费</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17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Layout w:type="fixed"/>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18"/>
                <w:szCs w:val="18"/>
              </w:rPr>
            </w:pPr>
            <w:r>
              <w:rPr>
                <w:rFonts w:hint="eastAsia" w:ascii="仿宋" w:hAnsi="仿宋" w:eastAsia="仿宋" w:cs="仿宋"/>
                <w:b/>
                <w:bCs/>
                <w:color w:val="000000"/>
                <w:kern w:val="0"/>
                <w:sz w:val="18"/>
                <w:szCs w:val="18"/>
              </w:rPr>
              <w:t>合计</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247.71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209.53</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38.18</w:t>
            </w: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表七：</w:t>
      </w:r>
    </w:p>
    <w:tbl>
      <w:tblPr>
        <w:tblStyle w:val="10"/>
        <w:tblW w:w="9304" w:type="dxa"/>
        <w:tblInd w:w="93" w:type="dxa"/>
        <w:tblLayout w:type="fixed"/>
        <w:tblCellMar>
          <w:top w:w="0" w:type="dxa"/>
          <w:left w:w="108" w:type="dxa"/>
          <w:bottom w:w="0" w:type="dxa"/>
          <w:right w:w="108" w:type="dxa"/>
        </w:tblCellMar>
      </w:tblPr>
      <w:tblGrid>
        <w:gridCol w:w="8"/>
        <w:gridCol w:w="526"/>
        <w:gridCol w:w="492"/>
        <w:gridCol w:w="524"/>
        <w:gridCol w:w="1757"/>
        <w:gridCol w:w="974"/>
        <w:gridCol w:w="480"/>
        <w:gridCol w:w="455"/>
        <w:gridCol w:w="478"/>
        <w:gridCol w:w="382"/>
        <w:gridCol w:w="381"/>
        <w:gridCol w:w="229"/>
        <w:gridCol w:w="276"/>
        <w:gridCol w:w="417"/>
        <w:gridCol w:w="549"/>
        <w:gridCol w:w="400"/>
        <w:gridCol w:w="400"/>
        <w:gridCol w:w="471"/>
        <w:gridCol w:w="105"/>
      </w:tblGrid>
      <w:tr>
        <w:tblPrEx>
          <w:tblLayout w:type="fixed"/>
          <w:tblCellMar>
            <w:top w:w="0" w:type="dxa"/>
            <w:left w:w="108" w:type="dxa"/>
            <w:bottom w:w="0" w:type="dxa"/>
            <w:right w:w="108" w:type="dxa"/>
          </w:tblCellMar>
        </w:tblPrEx>
        <w:trPr>
          <w:gridBefore w:val="1"/>
          <w:gridAfter w:val="1"/>
          <w:wBefore w:w="8" w:type="dxa"/>
          <w:wAfter w:w="105" w:type="dxa"/>
          <w:trHeight w:val="503" w:hRule="atLeast"/>
        </w:trPr>
        <w:tc>
          <w:tcPr>
            <w:tcW w:w="9191" w:type="dxa"/>
            <w:gridSpan w:val="17"/>
            <w:tcBorders>
              <w:top w:val="nil"/>
              <w:left w:val="nil"/>
              <w:bottom w:val="nil"/>
              <w:right w:val="nil"/>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105" w:type="dxa"/>
          <w:trHeight w:val="537" w:hRule="atLeast"/>
        </w:trPr>
        <w:tc>
          <w:tcPr>
            <w:tcW w:w="6678" w:type="dxa"/>
            <w:gridSpan w:val="11"/>
            <w:tcBorders>
              <w:top w:val="nil"/>
              <w:left w:val="nil"/>
              <w:bottom w:val="nil"/>
              <w:right w:val="nil"/>
            </w:tcBorders>
            <w:shd w:val="clear" w:color="auto" w:fill="auto"/>
            <w:noWrap/>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18"/>
                <w:szCs w:val="18"/>
              </w:rPr>
              <w:t>昌吉州金融工作办公室</w:t>
            </w:r>
            <w:r>
              <w:rPr>
                <w:rFonts w:hint="eastAsia" w:ascii="仿宋" w:hAnsi="仿宋" w:eastAsia="仿宋" w:cs="仿宋"/>
                <w:kern w:val="0"/>
                <w:sz w:val="24"/>
              </w:rPr>
              <w:t xml:space="preserve">  </w:t>
            </w:r>
          </w:p>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513" w:type="dxa"/>
            <w:gridSpan w:val="6"/>
            <w:tcBorders>
              <w:top w:val="nil"/>
              <w:left w:val="nil"/>
              <w:bottom w:val="nil"/>
              <w:right w:val="nil"/>
            </w:tcBorders>
            <w:shd w:val="clear" w:color="auto" w:fill="auto"/>
            <w:noWrap/>
            <w:vAlign w:val="center"/>
          </w:tcPr>
          <w:p>
            <w:pPr>
              <w:widowControl/>
              <w:ind w:firstLine="960" w:firstLineChars="400"/>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trPr>
        <w:tc>
          <w:tcPr>
            <w:tcW w:w="1550" w:type="dxa"/>
            <w:gridSpan w:val="4"/>
            <w:shd w:val="clear" w:color="auto" w:fill="auto"/>
            <w:noWrap/>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科 目 编 码</w:t>
            </w:r>
          </w:p>
        </w:tc>
        <w:tc>
          <w:tcPr>
            <w:tcW w:w="1757" w:type="dxa"/>
            <w:vMerge w:val="restart"/>
            <w:shd w:val="clear" w:color="auto" w:fill="auto"/>
            <w:noWrap/>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科目</w:t>
            </w:r>
          </w:p>
        </w:tc>
        <w:tc>
          <w:tcPr>
            <w:tcW w:w="974" w:type="dxa"/>
            <w:vMerge w:val="restart"/>
            <w:shd w:val="clear" w:color="auto" w:fill="auto"/>
            <w:noWrap/>
            <w:vAlign w:val="center"/>
          </w:tcPr>
          <w:p>
            <w:pPr>
              <w:jc w:val="center"/>
              <w:rPr>
                <w:rFonts w:ascii="仿宋" w:hAnsi="仿宋" w:eastAsia="仿宋" w:cs="仿宋"/>
                <w:szCs w:val="21"/>
              </w:rPr>
            </w:pPr>
            <w:r>
              <w:rPr>
                <w:rFonts w:hint="eastAsia" w:ascii="仿宋" w:hAnsi="仿宋" w:eastAsia="仿宋" w:cs="仿宋"/>
                <w:b/>
                <w:kern w:val="0"/>
                <w:szCs w:val="21"/>
              </w:rPr>
              <w:t>项目名称</w:t>
            </w:r>
          </w:p>
        </w:tc>
        <w:tc>
          <w:tcPr>
            <w:tcW w:w="480"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项目支出合计</w:t>
            </w:r>
          </w:p>
        </w:tc>
        <w:tc>
          <w:tcPr>
            <w:tcW w:w="455"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工资福利支出</w:t>
            </w:r>
          </w:p>
        </w:tc>
        <w:tc>
          <w:tcPr>
            <w:tcW w:w="478"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商品和服务支出</w:t>
            </w:r>
          </w:p>
        </w:tc>
        <w:tc>
          <w:tcPr>
            <w:tcW w:w="382"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对个人和家庭的补助</w:t>
            </w:r>
          </w:p>
        </w:tc>
        <w:tc>
          <w:tcPr>
            <w:tcW w:w="381"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债务利息及费用支出</w:t>
            </w:r>
          </w:p>
        </w:tc>
        <w:tc>
          <w:tcPr>
            <w:tcW w:w="505" w:type="dxa"/>
            <w:gridSpan w:val="2"/>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资本性支出（基本建设）</w:t>
            </w:r>
          </w:p>
        </w:tc>
        <w:tc>
          <w:tcPr>
            <w:tcW w:w="417"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资本性支出</w:t>
            </w:r>
          </w:p>
        </w:tc>
        <w:tc>
          <w:tcPr>
            <w:tcW w:w="549"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对企业补助（基本建设）</w:t>
            </w:r>
          </w:p>
        </w:tc>
        <w:tc>
          <w:tcPr>
            <w:tcW w:w="400"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对企业补助</w:t>
            </w:r>
          </w:p>
        </w:tc>
        <w:tc>
          <w:tcPr>
            <w:tcW w:w="400" w:type="dxa"/>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对社会保障基金补助</w:t>
            </w:r>
          </w:p>
        </w:tc>
        <w:tc>
          <w:tcPr>
            <w:tcW w:w="576" w:type="dxa"/>
            <w:gridSpan w:val="2"/>
            <w:vMerge w:val="restart"/>
            <w:shd w:val="clear" w:color="auto" w:fill="auto"/>
            <w:vAlign w:val="center"/>
          </w:tcPr>
          <w:p>
            <w:pPr>
              <w:widowControl/>
              <w:jc w:val="center"/>
              <w:outlineLvl w:val="1"/>
              <w:rPr>
                <w:rFonts w:ascii="仿宋" w:hAnsi="仿宋" w:eastAsia="仿宋" w:cs="仿宋"/>
                <w:b/>
                <w:kern w:val="0"/>
                <w:szCs w:val="21"/>
              </w:rPr>
            </w:pPr>
            <w:r>
              <w:rPr>
                <w:rFonts w:hint="eastAsia" w:ascii="仿宋" w:hAnsi="仿宋" w:eastAsia="仿宋" w:cs="仿宋"/>
                <w:b/>
                <w:kern w:val="0"/>
                <w:szCs w:val="21"/>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atLeast"/>
        </w:trPr>
        <w:tc>
          <w:tcPr>
            <w:tcW w:w="534" w:type="dxa"/>
            <w:gridSpan w:val="2"/>
            <w:tcBorders>
              <w:bottom w:val="single" w:color="auto" w:sz="4" w:space="0"/>
            </w:tcBorders>
            <w:shd w:val="clear" w:color="auto" w:fill="auto"/>
            <w:noWrap/>
            <w:vAlign w:val="center"/>
          </w:tcPr>
          <w:p>
            <w:pPr>
              <w:widowControl/>
              <w:jc w:val="left"/>
              <w:outlineLvl w:val="1"/>
              <w:rPr>
                <w:rFonts w:ascii="仿宋" w:hAnsi="仿宋" w:eastAsia="仿宋" w:cs="仿宋"/>
                <w:b/>
                <w:kern w:val="0"/>
                <w:szCs w:val="21"/>
              </w:rPr>
            </w:pPr>
            <w:r>
              <w:rPr>
                <w:rFonts w:hint="eastAsia" w:ascii="仿宋" w:hAnsi="仿宋" w:eastAsia="仿宋" w:cs="仿宋"/>
                <w:b/>
                <w:kern w:val="0"/>
                <w:szCs w:val="21"/>
              </w:rPr>
              <w:t>类</w:t>
            </w:r>
          </w:p>
        </w:tc>
        <w:tc>
          <w:tcPr>
            <w:tcW w:w="492" w:type="dxa"/>
            <w:tcBorders>
              <w:bottom w:val="single" w:color="auto" w:sz="4" w:space="0"/>
            </w:tcBorders>
            <w:shd w:val="clear" w:color="auto" w:fill="auto"/>
            <w:noWrap/>
            <w:vAlign w:val="center"/>
          </w:tcPr>
          <w:p>
            <w:pPr>
              <w:widowControl/>
              <w:jc w:val="left"/>
              <w:outlineLvl w:val="1"/>
              <w:rPr>
                <w:rFonts w:ascii="仿宋" w:hAnsi="仿宋" w:eastAsia="仿宋" w:cs="仿宋"/>
                <w:b/>
                <w:kern w:val="0"/>
                <w:szCs w:val="21"/>
              </w:rPr>
            </w:pPr>
            <w:r>
              <w:rPr>
                <w:rFonts w:hint="eastAsia" w:ascii="仿宋" w:hAnsi="仿宋" w:eastAsia="仿宋" w:cs="仿宋"/>
                <w:b/>
                <w:kern w:val="0"/>
                <w:szCs w:val="21"/>
              </w:rPr>
              <w:t>款</w:t>
            </w:r>
          </w:p>
        </w:tc>
        <w:tc>
          <w:tcPr>
            <w:tcW w:w="524" w:type="dxa"/>
            <w:tcBorders>
              <w:bottom w:val="single" w:color="auto" w:sz="4" w:space="0"/>
            </w:tcBorders>
            <w:shd w:val="clear" w:color="auto" w:fill="auto"/>
            <w:noWrap/>
            <w:vAlign w:val="center"/>
          </w:tcPr>
          <w:p>
            <w:pPr>
              <w:widowControl/>
              <w:jc w:val="left"/>
              <w:outlineLvl w:val="1"/>
              <w:rPr>
                <w:rFonts w:ascii="仿宋" w:hAnsi="仿宋" w:eastAsia="仿宋" w:cs="仿宋"/>
                <w:b/>
                <w:kern w:val="0"/>
                <w:szCs w:val="21"/>
              </w:rPr>
            </w:pPr>
            <w:r>
              <w:rPr>
                <w:rFonts w:hint="eastAsia" w:ascii="仿宋" w:hAnsi="仿宋" w:eastAsia="仿宋" w:cs="仿宋"/>
                <w:b/>
                <w:kern w:val="0"/>
                <w:szCs w:val="21"/>
              </w:rPr>
              <w:t>项</w:t>
            </w:r>
          </w:p>
        </w:tc>
        <w:tc>
          <w:tcPr>
            <w:tcW w:w="1757" w:type="dxa"/>
            <w:vMerge w:val="continue"/>
            <w:tcBorders>
              <w:bottom w:val="single" w:color="auto" w:sz="4" w:space="0"/>
            </w:tcBorders>
            <w:shd w:val="clear" w:color="auto" w:fill="auto"/>
            <w:vAlign w:val="center"/>
          </w:tcPr>
          <w:p>
            <w:pPr>
              <w:widowControl/>
              <w:jc w:val="left"/>
              <w:outlineLvl w:val="1"/>
              <w:rPr>
                <w:rFonts w:ascii="仿宋" w:hAnsi="仿宋" w:eastAsia="仿宋" w:cs="仿宋"/>
                <w:b/>
                <w:kern w:val="0"/>
                <w:szCs w:val="21"/>
              </w:rPr>
            </w:pPr>
          </w:p>
        </w:tc>
        <w:tc>
          <w:tcPr>
            <w:tcW w:w="974"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80"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55"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78"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382"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381"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505" w:type="dxa"/>
            <w:gridSpan w:val="2"/>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17"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549"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00"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400" w:type="dxa"/>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c>
          <w:tcPr>
            <w:tcW w:w="576" w:type="dxa"/>
            <w:gridSpan w:val="2"/>
            <w:vMerge w:val="continue"/>
            <w:tcBorders>
              <w:bottom w:val="single" w:color="auto" w:sz="4" w:space="0"/>
            </w:tcBorders>
            <w:shd w:val="clear" w:color="auto" w:fill="auto"/>
          </w:tcPr>
          <w:p>
            <w:pPr>
              <w:widowControl/>
              <w:jc w:val="left"/>
              <w:outlineLvl w:val="1"/>
              <w:rPr>
                <w:rFonts w:ascii="仿宋" w:hAnsi="仿宋" w:eastAsia="仿宋" w:cs="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4281" w:type="dxa"/>
            <w:gridSpan w:val="6"/>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合   计</w:t>
            </w:r>
          </w:p>
        </w:tc>
        <w:tc>
          <w:tcPr>
            <w:tcW w:w="480"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55</w:t>
            </w:r>
          </w:p>
        </w:tc>
        <w:tc>
          <w:tcPr>
            <w:tcW w:w="455" w:type="dxa"/>
            <w:shd w:val="clear" w:color="auto" w:fill="auto"/>
            <w:vAlign w:val="center"/>
          </w:tcPr>
          <w:p>
            <w:pPr>
              <w:widowControl/>
              <w:jc w:val="center"/>
              <w:outlineLvl w:val="1"/>
              <w:rPr>
                <w:rFonts w:ascii="仿宋" w:hAnsi="仿宋" w:eastAsia="仿宋" w:cs="仿宋"/>
                <w:kern w:val="0"/>
                <w:szCs w:val="21"/>
              </w:rPr>
            </w:pPr>
          </w:p>
        </w:tc>
        <w:tc>
          <w:tcPr>
            <w:tcW w:w="478"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55</w:t>
            </w:r>
          </w:p>
        </w:tc>
        <w:tc>
          <w:tcPr>
            <w:tcW w:w="382" w:type="dxa"/>
            <w:shd w:val="clear" w:color="auto" w:fill="auto"/>
            <w:vAlign w:val="center"/>
          </w:tcPr>
          <w:p>
            <w:pPr>
              <w:widowControl/>
              <w:jc w:val="center"/>
              <w:outlineLvl w:val="1"/>
              <w:rPr>
                <w:rFonts w:ascii="仿宋" w:hAnsi="仿宋" w:eastAsia="仿宋" w:cs="仿宋"/>
                <w:kern w:val="0"/>
                <w:szCs w:val="21"/>
              </w:rPr>
            </w:pPr>
          </w:p>
        </w:tc>
        <w:tc>
          <w:tcPr>
            <w:tcW w:w="381" w:type="dxa"/>
            <w:shd w:val="clear" w:color="auto" w:fill="auto"/>
            <w:vAlign w:val="center"/>
          </w:tcPr>
          <w:p>
            <w:pPr>
              <w:widowControl/>
              <w:jc w:val="center"/>
              <w:outlineLvl w:val="1"/>
              <w:rPr>
                <w:rFonts w:ascii="仿宋" w:hAnsi="仿宋" w:eastAsia="仿宋" w:cs="仿宋"/>
                <w:kern w:val="0"/>
                <w:szCs w:val="21"/>
              </w:rPr>
            </w:pPr>
          </w:p>
        </w:tc>
        <w:tc>
          <w:tcPr>
            <w:tcW w:w="505" w:type="dxa"/>
            <w:gridSpan w:val="2"/>
            <w:shd w:val="clear" w:color="auto" w:fill="auto"/>
            <w:vAlign w:val="center"/>
          </w:tcPr>
          <w:p>
            <w:pPr>
              <w:widowControl/>
              <w:jc w:val="center"/>
              <w:outlineLvl w:val="1"/>
              <w:rPr>
                <w:rFonts w:ascii="仿宋" w:hAnsi="仿宋" w:eastAsia="仿宋" w:cs="仿宋"/>
                <w:kern w:val="0"/>
                <w:szCs w:val="21"/>
              </w:rPr>
            </w:pPr>
          </w:p>
        </w:tc>
        <w:tc>
          <w:tcPr>
            <w:tcW w:w="417" w:type="dxa"/>
            <w:shd w:val="clear" w:color="auto" w:fill="auto"/>
            <w:vAlign w:val="center"/>
          </w:tcPr>
          <w:p>
            <w:pPr>
              <w:widowControl/>
              <w:jc w:val="center"/>
              <w:outlineLvl w:val="1"/>
              <w:rPr>
                <w:rFonts w:ascii="仿宋" w:hAnsi="仿宋" w:eastAsia="仿宋" w:cs="仿宋"/>
                <w:kern w:val="0"/>
                <w:szCs w:val="21"/>
              </w:rPr>
            </w:pPr>
          </w:p>
        </w:tc>
        <w:tc>
          <w:tcPr>
            <w:tcW w:w="549"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576" w:type="dxa"/>
            <w:gridSpan w:val="2"/>
            <w:shd w:val="clear" w:color="auto" w:fill="auto"/>
            <w:vAlign w:val="center"/>
          </w:tcPr>
          <w:p>
            <w:pPr>
              <w:widowControl/>
              <w:jc w:val="center"/>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trPr>
        <w:tc>
          <w:tcPr>
            <w:tcW w:w="534" w:type="dxa"/>
            <w:gridSpan w:val="2"/>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201</w:t>
            </w:r>
          </w:p>
        </w:tc>
        <w:tc>
          <w:tcPr>
            <w:tcW w:w="492"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03</w:t>
            </w:r>
          </w:p>
        </w:tc>
        <w:tc>
          <w:tcPr>
            <w:tcW w:w="52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99</w:t>
            </w:r>
          </w:p>
        </w:tc>
        <w:tc>
          <w:tcPr>
            <w:tcW w:w="1757" w:type="dxa"/>
            <w:shd w:val="clear" w:color="auto" w:fill="auto"/>
            <w:vAlign w:val="center"/>
          </w:tcPr>
          <w:p>
            <w:pPr>
              <w:widowControl/>
              <w:jc w:val="left"/>
              <w:textAlignment w:val="center"/>
              <w:rPr>
                <w:rFonts w:ascii="仿宋" w:hAnsi="仿宋" w:eastAsia="仿宋" w:cs="仿宋"/>
                <w:szCs w:val="21"/>
              </w:rPr>
            </w:pPr>
            <w:r>
              <w:rPr>
                <w:rFonts w:hint="eastAsia" w:ascii="仿宋" w:hAnsi="仿宋" w:eastAsia="仿宋" w:cs="仿宋"/>
                <w:color w:val="000000"/>
                <w:kern w:val="0"/>
                <w:szCs w:val="21"/>
                <w:lang w:bidi="ar"/>
              </w:rPr>
              <w:t>其他政府办公厅（室）及相关机构事务支出</w:t>
            </w:r>
          </w:p>
        </w:tc>
        <w:tc>
          <w:tcPr>
            <w:tcW w:w="97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szCs w:val="21"/>
              </w:rPr>
              <w:t>服务实体经济专项业务经费</w:t>
            </w:r>
          </w:p>
        </w:tc>
        <w:tc>
          <w:tcPr>
            <w:tcW w:w="480"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15</w:t>
            </w:r>
          </w:p>
        </w:tc>
        <w:tc>
          <w:tcPr>
            <w:tcW w:w="455" w:type="dxa"/>
            <w:shd w:val="clear" w:color="auto" w:fill="auto"/>
            <w:vAlign w:val="center"/>
          </w:tcPr>
          <w:p>
            <w:pPr>
              <w:widowControl/>
              <w:jc w:val="center"/>
              <w:outlineLvl w:val="1"/>
              <w:rPr>
                <w:rFonts w:ascii="仿宋" w:hAnsi="仿宋" w:eastAsia="仿宋" w:cs="仿宋"/>
                <w:kern w:val="0"/>
                <w:szCs w:val="21"/>
              </w:rPr>
            </w:pPr>
          </w:p>
        </w:tc>
        <w:tc>
          <w:tcPr>
            <w:tcW w:w="478"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15</w:t>
            </w:r>
          </w:p>
        </w:tc>
        <w:tc>
          <w:tcPr>
            <w:tcW w:w="382" w:type="dxa"/>
            <w:shd w:val="clear" w:color="auto" w:fill="auto"/>
            <w:vAlign w:val="center"/>
          </w:tcPr>
          <w:p>
            <w:pPr>
              <w:widowControl/>
              <w:jc w:val="center"/>
              <w:outlineLvl w:val="1"/>
              <w:rPr>
                <w:rFonts w:ascii="仿宋" w:hAnsi="仿宋" w:eastAsia="仿宋" w:cs="仿宋"/>
                <w:kern w:val="0"/>
                <w:szCs w:val="21"/>
              </w:rPr>
            </w:pPr>
          </w:p>
        </w:tc>
        <w:tc>
          <w:tcPr>
            <w:tcW w:w="381" w:type="dxa"/>
            <w:shd w:val="clear" w:color="auto" w:fill="auto"/>
            <w:vAlign w:val="center"/>
          </w:tcPr>
          <w:p>
            <w:pPr>
              <w:widowControl/>
              <w:jc w:val="center"/>
              <w:outlineLvl w:val="1"/>
              <w:rPr>
                <w:rFonts w:ascii="仿宋" w:hAnsi="仿宋" w:eastAsia="仿宋" w:cs="仿宋"/>
                <w:kern w:val="0"/>
                <w:szCs w:val="21"/>
              </w:rPr>
            </w:pPr>
          </w:p>
        </w:tc>
        <w:tc>
          <w:tcPr>
            <w:tcW w:w="505" w:type="dxa"/>
            <w:gridSpan w:val="2"/>
            <w:shd w:val="clear" w:color="auto" w:fill="auto"/>
            <w:vAlign w:val="center"/>
          </w:tcPr>
          <w:p>
            <w:pPr>
              <w:widowControl/>
              <w:jc w:val="center"/>
              <w:outlineLvl w:val="1"/>
              <w:rPr>
                <w:rFonts w:ascii="仿宋" w:hAnsi="仿宋" w:eastAsia="仿宋" w:cs="仿宋"/>
                <w:kern w:val="0"/>
                <w:szCs w:val="21"/>
              </w:rPr>
            </w:pPr>
          </w:p>
        </w:tc>
        <w:tc>
          <w:tcPr>
            <w:tcW w:w="417" w:type="dxa"/>
            <w:shd w:val="clear" w:color="auto" w:fill="auto"/>
            <w:vAlign w:val="center"/>
          </w:tcPr>
          <w:p>
            <w:pPr>
              <w:widowControl/>
              <w:jc w:val="center"/>
              <w:outlineLvl w:val="1"/>
              <w:rPr>
                <w:rFonts w:ascii="仿宋" w:hAnsi="仿宋" w:eastAsia="仿宋" w:cs="仿宋"/>
                <w:kern w:val="0"/>
                <w:szCs w:val="21"/>
              </w:rPr>
            </w:pPr>
          </w:p>
        </w:tc>
        <w:tc>
          <w:tcPr>
            <w:tcW w:w="549"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576" w:type="dxa"/>
            <w:gridSpan w:val="2"/>
            <w:shd w:val="clear" w:color="auto" w:fill="auto"/>
            <w:vAlign w:val="center"/>
          </w:tcPr>
          <w:p>
            <w:pPr>
              <w:widowControl/>
              <w:jc w:val="center"/>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gridSpan w:val="2"/>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201</w:t>
            </w:r>
          </w:p>
        </w:tc>
        <w:tc>
          <w:tcPr>
            <w:tcW w:w="492"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03</w:t>
            </w:r>
          </w:p>
        </w:tc>
        <w:tc>
          <w:tcPr>
            <w:tcW w:w="52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99</w:t>
            </w:r>
          </w:p>
        </w:tc>
        <w:tc>
          <w:tcPr>
            <w:tcW w:w="1757" w:type="dxa"/>
            <w:shd w:val="clear" w:color="auto" w:fill="auto"/>
            <w:vAlign w:val="center"/>
          </w:tcPr>
          <w:p>
            <w:pPr>
              <w:widowControl/>
              <w:jc w:val="left"/>
              <w:textAlignment w:val="center"/>
              <w:rPr>
                <w:rFonts w:ascii="仿宋" w:hAnsi="仿宋" w:eastAsia="仿宋" w:cs="仿宋"/>
                <w:szCs w:val="21"/>
              </w:rPr>
            </w:pPr>
            <w:r>
              <w:rPr>
                <w:rFonts w:hint="eastAsia" w:ascii="仿宋" w:hAnsi="仿宋" w:eastAsia="仿宋" w:cs="仿宋"/>
                <w:color w:val="000000"/>
                <w:kern w:val="0"/>
                <w:szCs w:val="21"/>
                <w:lang w:bidi="ar"/>
              </w:rPr>
              <w:t>其他政府办公厅（室）及相关机构事务支出</w:t>
            </w:r>
          </w:p>
        </w:tc>
        <w:tc>
          <w:tcPr>
            <w:tcW w:w="97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金融风险防范专项业务经费</w:t>
            </w:r>
          </w:p>
        </w:tc>
        <w:tc>
          <w:tcPr>
            <w:tcW w:w="480"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30</w:t>
            </w:r>
          </w:p>
        </w:tc>
        <w:tc>
          <w:tcPr>
            <w:tcW w:w="455" w:type="dxa"/>
            <w:shd w:val="clear" w:color="auto" w:fill="auto"/>
            <w:vAlign w:val="center"/>
          </w:tcPr>
          <w:p>
            <w:pPr>
              <w:widowControl/>
              <w:jc w:val="center"/>
              <w:outlineLvl w:val="1"/>
              <w:rPr>
                <w:rFonts w:ascii="仿宋" w:hAnsi="仿宋" w:eastAsia="仿宋" w:cs="仿宋"/>
                <w:kern w:val="0"/>
                <w:szCs w:val="21"/>
              </w:rPr>
            </w:pPr>
          </w:p>
        </w:tc>
        <w:tc>
          <w:tcPr>
            <w:tcW w:w="478"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30</w:t>
            </w:r>
          </w:p>
        </w:tc>
        <w:tc>
          <w:tcPr>
            <w:tcW w:w="382" w:type="dxa"/>
            <w:shd w:val="clear" w:color="auto" w:fill="auto"/>
            <w:vAlign w:val="center"/>
          </w:tcPr>
          <w:p>
            <w:pPr>
              <w:widowControl/>
              <w:jc w:val="center"/>
              <w:outlineLvl w:val="1"/>
              <w:rPr>
                <w:rFonts w:ascii="仿宋" w:hAnsi="仿宋" w:eastAsia="仿宋" w:cs="仿宋"/>
                <w:kern w:val="0"/>
                <w:szCs w:val="21"/>
              </w:rPr>
            </w:pPr>
          </w:p>
        </w:tc>
        <w:tc>
          <w:tcPr>
            <w:tcW w:w="381" w:type="dxa"/>
            <w:shd w:val="clear" w:color="auto" w:fill="auto"/>
            <w:vAlign w:val="center"/>
          </w:tcPr>
          <w:p>
            <w:pPr>
              <w:widowControl/>
              <w:jc w:val="center"/>
              <w:outlineLvl w:val="1"/>
              <w:rPr>
                <w:rFonts w:ascii="仿宋" w:hAnsi="仿宋" w:eastAsia="仿宋" w:cs="仿宋"/>
                <w:kern w:val="0"/>
                <w:szCs w:val="21"/>
              </w:rPr>
            </w:pPr>
          </w:p>
        </w:tc>
        <w:tc>
          <w:tcPr>
            <w:tcW w:w="505" w:type="dxa"/>
            <w:gridSpan w:val="2"/>
            <w:shd w:val="clear" w:color="auto" w:fill="auto"/>
            <w:vAlign w:val="center"/>
          </w:tcPr>
          <w:p>
            <w:pPr>
              <w:widowControl/>
              <w:jc w:val="center"/>
              <w:outlineLvl w:val="1"/>
              <w:rPr>
                <w:rFonts w:ascii="仿宋" w:hAnsi="仿宋" w:eastAsia="仿宋" w:cs="仿宋"/>
                <w:kern w:val="0"/>
                <w:szCs w:val="21"/>
              </w:rPr>
            </w:pPr>
          </w:p>
        </w:tc>
        <w:tc>
          <w:tcPr>
            <w:tcW w:w="417" w:type="dxa"/>
            <w:shd w:val="clear" w:color="auto" w:fill="auto"/>
            <w:vAlign w:val="center"/>
          </w:tcPr>
          <w:p>
            <w:pPr>
              <w:widowControl/>
              <w:jc w:val="center"/>
              <w:outlineLvl w:val="1"/>
              <w:rPr>
                <w:rFonts w:ascii="仿宋" w:hAnsi="仿宋" w:eastAsia="仿宋" w:cs="仿宋"/>
                <w:kern w:val="0"/>
                <w:szCs w:val="21"/>
              </w:rPr>
            </w:pPr>
          </w:p>
        </w:tc>
        <w:tc>
          <w:tcPr>
            <w:tcW w:w="549"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576" w:type="dxa"/>
            <w:gridSpan w:val="2"/>
            <w:shd w:val="clear" w:color="auto" w:fill="auto"/>
            <w:vAlign w:val="center"/>
          </w:tcPr>
          <w:p>
            <w:pPr>
              <w:widowControl/>
              <w:jc w:val="center"/>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trPr>
        <w:tc>
          <w:tcPr>
            <w:tcW w:w="534" w:type="dxa"/>
            <w:gridSpan w:val="2"/>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201</w:t>
            </w:r>
          </w:p>
        </w:tc>
        <w:tc>
          <w:tcPr>
            <w:tcW w:w="492"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03</w:t>
            </w:r>
          </w:p>
        </w:tc>
        <w:tc>
          <w:tcPr>
            <w:tcW w:w="52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99</w:t>
            </w:r>
          </w:p>
        </w:tc>
        <w:tc>
          <w:tcPr>
            <w:tcW w:w="1757" w:type="dxa"/>
            <w:shd w:val="clear" w:color="auto" w:fill="auto"/>
            <w:vAlign w:val="center"/>
          </w:tcPr>
          <w:p>
            <w:pPr>
              <w:widowControl/>
              <w:jc w:val="left"/>
              <w:textAlignment w:val="center"/>
              <w:rPr>
                <w:rFonts w:ascii="仿宋" w:hAnsi="仿宋" w:eastAsia="仿宋" w:cs="仿宋"/>
                <w:szCs w:val="21"/>
              </w:rPr>
            </w:pPr>
            <w:r>
              <w:rPr>
                <w:rFonts w:hint="eastAsia" w:ascii="仿宋" w:hAnsi="仿宋" w:eastAsia="仿宋" w:cs="仿宋"/>
                <w:color w:val="000000"/>
                <w:kern w:val="0"/>
                <w:szCs w:val="21"/>
                <w:lang w:bidi="ar"/>
              </w:rPr>
              <w:t>其他政府办公厅（室）及相关机构事务支出</w:t>
            </w:r>
          </w:p>
        </w:tc>
        <w:tc>
          <w:tcPr>
            <w:tcW w:w="974"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绿色金融专项业务经费</w:t>
            </w:r>
          </w:p>
        </w:tc>
        <w:tc>
          <w:tcPr>
            <w:tcW w:w="480"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10</w:t>
            </w:r>
          </w:p>
        </w:tc>
        <w:tc>
          <w:tcPr>
            <w:tcW w:w="455" w:type="dxa"/>
            <w:shd w:val="clear" w:color="auto" w:fill="auto"/>
            <w:vAlign w:val="center"/>
          </w:tcPr>
          <w:p>
            <w:pPr>
              <w:widowControl/>
              <w:jc w:val="center"/>
              <w:outlineLvl w:val="1"/>
              <w:rPr>
                <w:rFonts w:ascii="仿宋" w:hAnsi="仿宋" w:eastAsia="仿宋" w:cs="仿宋"/>
                <w:kern w:val="0"/>
                <w:szCs w:val="21"/>
              </w:rPr>
            </w:pPr>
          </w:p>
        </w:tc>
        <w:tc>
          <w:tcPr>
            <w:tcW w:w="478" w:type="dxa"/>
            <w:shd w:val="clear" w:color="auto" w:fill="auto"/>
            <w:vAlign w:val="center"/>
          </w:tcPr>
          <w:p>
            <w:pPr>
              <w:widowControl/>
              <w:jc w:val="center"/>
              <w:outlineLvl w:val="1"/>
              <w:rPr>
                <w:rFonts w:ascii="仿宋" w:hAnsi="仿宋" w:eastAsia="仿宋" w:cs="仿宋"/>
                <w:kern w:val="0"/>
                <w:szCs w:val="21"/>
              </w:rPr>
            </w:pPr>
            <w:r>
              <w:rPr>
                <w:rFonts w:hint="eastAsia" w:ascii="仿宋" w:hAnsi="仿宋" w:eastAsia="仿宋" w:cs="仿宋"/>
                <w:kern w:val="0"/>
                <w:szCs w:val="21"/>
              </w:rPr>
              <w:t>10</w:t>
            </w:r>
          </w:p>
        </w:tc>
        <w:tc>
          <w:tcPr>
            <w:tcW w:w="382" w:type="dxa"/>
            <w:shd w:val="clear" w:color="auto" w:fill="auto"/>
            <w:vAlign w:val="center"/>
          </w:tcPr>
          <w:p>
            <w:pPr>
              <w:widowControl/>
              <w:jc w:val="center"/>
              <w:outlineLvl w:val="1"/>
              <w:rPr>
                <w:rFonts w:ascii="仿宋" w:hAnsi="仿宋" w:eastAsia="仿宋" w:cs="仿宋"/>
                <w:kern w:val="0"/>
                <w:szCs w:val="21"/>
              </w:rPr>
            </w:pPr>
          </w:p>
        </w:tc>
        <w:tc>
          <w:tcPr>
            <w:tcW w:w="381" w:type="dxa"/>
            <w:shd w:val="clear" w:color="auto" w:fill="auto"/>
            <w:vAlign w:val="center"/>
          </w:tcPr>
          <w:p>
            <w:pPr>
              <w:widowControl/>
              <w:jc w:val="center"/>
              <w:outlineLvl w:val="1"/>
              <w:rPr>
                <w:rFonts w:ascii="仿宋" w:hAnsi="仿宋" w:eastAsia="仿宋" w:cs="仿宋"/>
                <w:kern w:val="0"/>
                <w:szCs w:val="21"/>
              </w:rPr>
            </w:pPr>
          </w:p>
        </w:tc>
        <w:tc>
          <w:tcPr>
            <w:tcW w:w="505" w:type="dxa"/>
            <w:gridSpan w:val="2"/>
            <w:shd w:val="clear" w:color="auto" w:fill="auto"/>
            <w:vAlign w:val="center"/>
          </w:tcPr>
          <w:p>
            <w:pPr>
              <w:widowControl/>
              <w:jc w:val="center"/>
              <w:outlineLvl w:val="1"/>
              <w:rPr>
                <w:rFonts w:ascii="仿宋" w:hAnsi="仿宋" w:eastAsia="仿宋" w:cs="仿宋"/>
                <w:kern w:val="0"/>
                <w:szCs w:val="21"/>
              </w:rPr>
            </w:pPr>
          </w:p>
        </w:tc>
        <w:tc>
          <w:tcPr>
            <w:tcW w:w="417" w:type="dxa"/>
            <w:shd w:val="clear" w:color="auto" w:fill="auto"/>
            <w:vAlign w:val="center"/>
          </w:tcPr>
          <w:p>
            <w:pPr>
              <w:widowControl/>
              <w:jc w:val="center"/>
              <w:outlineLvl w:val="1"/>
              <w:rPr>
                <w:rFonts w:ascii="仿宋" w:hAnsi="仿宋" w:eastAsia="仿宋" w:cs="仿宋"/>
                <w:kern w:val="0"/>
                <w:szCs w:val="21"/>
              </w:rPr>
            </w:pPr>
          </w:p>
        </w:tc>
        <w:tc>
          <w:tcPr>
            <w:tcW w:w="549"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400" w:type="dxa"/>
            <w:shd w:val="clear" w:color="auto" w:fill="auto"/>
            <w:vAlign w:val="center"/>
          </w:tcPr>
          <w:p>
            <w:pPr>
              <w:widowControl/>
              <w:jc w:val="center"/>
              <w:outlineLvl w:val="1"/>
              <w:rPr>
                <w:rFonts w:ascii="仿宋" w:hAnsi="仿宋" w:eastAsia="仿宋" w:cs="仿宋"/>
                <w:kern w:val="0"/>
                <w:szCs w:val="21"/>
              </w:rPr>
            </w:pPr>
          </w:p>
        </w:tc>
        <w:tc>
          <w:tcPr>
            <w:tcW w:w="576" w:type="dxa"/>
            <w:gridSpan w:val="2"/>
            <w:shd w:val="clear" w:color="auto" w:fill="auto"/>
            <w:vAlign w:val="center"/>
          </w:tcPr>
          <w:p>
            <w:pPr>
              <w:widowControl/>
              <w:jc w:val="center"/>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92"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524"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1757"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974"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80"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55"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78"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382"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381"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505" w:type="dxa"/>
            <w:gridSpan w:val="2"/>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17"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549"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00"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400"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c>
          <w:tcPr>
            <w:tcW w:w="576" w:type="dxa"/>
            <w:gridSpan w:val="2"/>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p>
        </w:tc>
        <w:tc>
          <w:tcPr>
            <w:tcW w:w="480" w:type="dxa"/>
            <w:shd w:val="clear" w:color="auto" w:fill="auto"/>
            <w:vAlign w:val="center"/>
          </w:tcPr>
          <w:p>
            <w:pPr>
              <w:widowControl/>
              <w:outlineLvl w:val="1"/>
              <w:rPr>
                <w:rFonts w:ascii="仿宋" w:hAnsi="仿宋" w:eastAsia="仿宋" w:cs="仿宋"/>
                <w:kern w:val="0"/>
                <w:szCs w:val="21"/>
              </w:rPr>
            </w:pP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534" w:type="dxa"/>
            <w:gridSpan w:val="2"/>
            <w:shd w:val="clear" w:color="auto" w:fill="auto"/>
            <w:vAlign w:val="center"/>
          </w:tcPr>
          <w:p>
            <w:pPr>
              <w:widowControl/>
              <w:outlineLvl w:val="1"/>
              <w:rPr>
                <w:rFonts w:ascii="仿宋" w:hAnsi="仿宋" w:eastAsia="仿宋" w:cs="仿宋"/>
                <w:kern w:val="0"/>
                <w:szCs w:val="21"/>
              </w:rPr>
            </w:pPr>
          </w:p>
        </w:tc>
        <w:tc>
          <w:tcPr>
            <w:tcW w:w="492" w:type="dxa"/>
            <w:shd w:val="clear" w:color="auto" w:fill="auto"/>
            <w:vAlign w:val="center"/>
          </w:tcPr>
          <w:p>
            <w:pPr>
              <w:widowControl/>
              <w:outlineLvl w:val="1"/>
              <w:rPr>
                <w:rFonts w:ascii="仿宋" w:hAnsi="仿宋" w:eastAsia="仿宋" w:cs="仿宋"/>
                <w:kern w:val="0"/>
                <w:szCs w:val="21"/>
              </w:rPr>
            </w:pPr>
          </w:p>
        </w:tc>
        <w:tc>
          <w:tcPr>
            <w:tcW w:w="524" w:type="dxa"/>
            <w:shd w:val="clear" w:color="auto" w:fill="auto"/>
            <w:vAlign w:val="center"/>
          </w:tcPr>
          <w:p>
            <w:pPr>
              <w:widowControl/>
              <w:outlineLvl w:val="1"/>
              <w:rPr>
                <w:rFonts w:ascii="仿宋" w:hAnsi="仿宋" w:eastAsia="仿宋" w:cs="仿宋"/>
                <w:kern w:val="0"/>
                <w:szCs w:val="21"/>
              </w:rPr>
            </w:pPr>
          </w:p>
        </w:tc>
        <w:tc>
          <w:tcPr>
            <w:tcW w:w="1757" w:type="dxa"/>
            <w:shd w:val="clear" w:color="auto" w:fill="auto"/>
            <w:vAlign w:val="center"/>
          </w:tcPr>
          <w:p>
            <w:pPr>
              <w:widowControl/>
              <w:outlineLvl w:val="1"/>
              <w:rPr>
                <w:rFonts w:ascii="仿宋" w:hAnsi="仿宋" w:eastAsia="仿宋" w:cs="仿宋"/>
                <w:kern w:val="0"/>
                <w:szCs w:val="21"/>
              </w:rPr>
            </w:pPr>
          </w:p>
        </w:tc>
        <w:tc>
          <w:tcPr>
            <w:tcW w:w="974"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合计</w:t>
            </w:r>
          </w:p>
        </w:tc>
        <w:tc>
          <w:tcPr>
            <w:tcW w:w="480"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55</w:t>
            </w:r>
          </w:p>
        </w:tc>
        <w:tc>
          <w:tcPr>
            <w:tcW w:w="455" w:type="dxa"/>
            <w:shd w:val="clear" w:color="auto" w:fill="auto"/>
            <w:vAlign w:val="center"/>
          </w:tcPr>
          <w:p>
            <w:pPr>
              <w:widowControl/>
              <w:outlineLvl w:val="1"/>
              <w:rPr>
                <w:rFonts w:ascii="仿宋" w:hAnsi="仿宋" w:eastAsia="仿宋" w:cs="仿宋"/>
                <w:kern w:val="0"/>
                <w:szCs w:val="21"/>
              </w:rPr>
            </w:pPr>
          </w:p>
        </w:tc>
        <w:tc>
          <w:tcPr>
            <w:tcW w:w="478" w:type="dxa"/>
            <w:shd w:val="clear" w:color="auto" w:fill="auto"/>
            <w:vAlign w:val="center"/>
          </w:tcPr>
          <w:p>
            <w:pPr>
              <w:widowControl/>
              <w:outlineLvl w:val="1"/>
              <w:rPr>
                <w:rFonts w:ascii="仿宋" w:hAnsi="仿宋" w:eastAsia="仿宋" w:cs="仿宋"/>
                <w:kern w:val="0"/>
                <w:szCs w:val="21"/>
              </w:rPr>
            </w:pPr>
            <w:r>
              <w:rPr>
                <w:rFonts w:hint="eastAsia" w:ascii="仿宋" w:hAnsi="仿宋" w:eastAsia="仿宋" w:cs="仿宋"/>
                <w:kern w:val="0"/>
                <w:szCs w:val="21"/>
              </w:rPr>
              <w:t>55</w:t>
            </w:r>
          </w:p>
        </w:tc>
        <w:tc>
          <w:tcPr>
            <w:tcW w:w="382" w:type="dxa"/>
            <w:shd w:val="clear" w:color="auto" w:fill="auto"/>
            <w:vAlign w:val="center"/>
          </w:tcPr>
          <w:p>
            <w:pPr>
              <w:widowControl/>
              <w:outlineLvl w:val="1"/>
              <w:rPr>
                <w:rFonts w:ascii="仿宋" w:hAnsi="仿宋" w:eastAsia="仿宋" w:cs="仿宋"/>
                <w:kern w:val="0"/>
                <w:szCs w:val="21"/>
              </w:rPr>
            </w:pPr>
          </w:p>
        </w:tc>
        <w:tc>
          <w:tcPr>
            <w:tcW w:w="381" w:type="dxa"/>
            <w:shd w:val="clear" w:color="auto" w:fill="auto"/>
            <w:vAlign w:val="center"/>
          </w:tcPr>
          <w:p>
            <w:pPr>
              <w:widowControl/>
              <w:outlineLvl w:val="1"/>
              <w:rPr>
                <w:rFonts w:ascii="仿宋" w:hAnsi="仿宋" w:eastAsia="仿宋" w:cs="仿宋"/>
                <w:kern w:val="0"/>
                <w:szCs w:val="21"/>
              </w:rPr>
            </w:pPr>
          </w:p>
        </w:tc>
        <w:tc>
          <w:tcPr>
            <w:tcW w:w="505" w:type="dxa"/>
            <w:gridSpan w:val="2"/>
            <w:shd w:val="clear" w:color="auto" w:fill="auto"/>
            <w:vAlign w:val="center"/>
          </w:tcPr>
          <w:p>
            <w:pPr>
              <w:widowControl/>
              <w:outlineLvl w:val="1"/>
              <w:rPr>
                <w:rFonts w:ascii="仿宋" w:hAnsi="仿宋" w:eastAsia="仿宋" w:cs="仿宋"/>
                <w:kern w:val="0"/>
                <w:szCs w:val="21"/>
              </w:rPr>
            </w:pPr>
          </w:p>
        </w:tc>
        <w:tc>
          <w:tcPr>
            <w:tcW w:w="417" w:type="dxa"/>
            <w:shd w:val="clear" w:color="auto" w:fill="auto"/>
            <w:vAlign w:val="center"/>
          </w:tcPr>
          <w:p>
            <w:pPr>
              <w:widowControl/>
              <w:outlineLvl w:val="1"/>
              <w:rPr>
                <w:rFonts w:ascii="仿宋" w:hAnsi="仿宋" w:eastAsia="仿宋" w:cs="仿宋"/>
                <w:kern w:val="0"/>
                <w:szCs w:val="21"/>
              </w:rPr>
            </w:pPr>
          </w:p>
        </w:tc>
        <w:tc>
          <w:tcPr>
            <w:tcW w:w="549"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400" w:type="dxa"/>
            <w:shd w:val="clear" w:color="auto" w:fill="auto"/>
            <w:vAlign w:val="center"/>
          </w:tcPr>
          <w:p>
            <w:pPr>
              <w:widowControl/>
              <w:outlineLvl w:val="1"/>
              <w:rPr>
                <w:rFonts w:ascii="仿宋" w:hAnsi="仿宋" w:eastAsia="仿宋" w:cs="仿宋"/>
                <w:kern w:val="0"/>
                <w:szCs w:val="21"/>
              </w:rPr>
            </w:pPr>
          </w:p>
        </w:tc>
        <w:tc>
          <w:tcPr>
            <w:tcW w:w="576" w:type="dxa"/>
            <w:gridSpan w:val="2"/>
            <w:shd w:val="clear" w:color="auto" w:fill="auto"/>
            <w:vAlign w:val="center"/>
          </w:tcPr>
          <w:p>
            <w:pPr>
              <w:widowControl/>
              <w:outlineLvl w:val="1"/>
              <w:rPr>
                <w:rFonts w:ascii="仿宋" w:hAnsi="仿宋" w:eastAsia="仿宋" w:cs="仿宋"/>
                <w:kern w:val="0"/>
                <w:szCs w:val="21"/>
              </w:rPr>
            </w:pP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表八：</w:t>
      </w:r>
    </w:p>
    <w:p>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一般公共预算“三公”经费支出情况表</w:t>
      </w:r>
    </w:p>
    <w:p>
      <w:pPr>
        <w:widowControl/>
        <w:jc w:val="left"/>
        <w:outlineLvl w:val="1"/>
        <w:rPr>
          <w:rFonts w:ascii="仿宋" w:hAnsi="仿宋" w:eastAsia="仿宋" w:cs="仿宋"/>
          <w:kern w:val="0"/>
          <w:sz w:val="24"/>
        </w:rPr>
      </w:pPr>
      <w:r>
        <w:rPr>
          <w:rFonts w:hint="eastAsia" w:ascii="仿宋" w:hAnsi="仿宋" w:eastAsia="仿宋" w:cs="仿宋"/>
          <w:kern w:val="0"/>
          <w:sz w:val="24"/>
        </w:rPr>
        <w:t>编制单位：</w:t>
      </w:r>
      <w:r>
        <w:rPr>
          <w:rFonts w:hint="eastAsia" w:ascii="仿宋" w:hAnsi="仿宋" w:eastAsia="仿宋" w:cs="仿宋"/>
          <w:kern w:val="0"/>
          <w:sz w:val="18"/>
          <w:szCs w:val="18"/>
        </w:rPr>
        <w:t>昌吉州金融工作办公室</w:t>
      </w:r>
      <w:r>
        <w:rPr>
          <w:rFonts w:hint="eastAsia" w:ascii="仿宋" w:hAnsi="仿宋" w:eastAsia="仿宋" w:cs="仿宋"/>
          <w:kern w:val="0"/>
          <w:sz w:val="24"/>
        </w:rPr>
        <w:t xml:space="preserve">                                       单位：万元</w:t>
      </w:r>
    </w:p>
    <w:tbl>
      <w:tblPr>
        <w:tblStyle w:val="10"/>
        <w:tblW w:w="9100" w:type="dxa"/>
        <w:tblInd w:w="93" w:type="dxa"/>
        <w:tblLayout w:type="fixed"/>
        <w:tblCellMar>
          <w:top w:w="0" w:type="dxa"/>
          <w:left w:w="108" w:type="dxa"/>
          <w:bottom w:w="0" w:type="dxa"/>
          <w:right w:w="108" w:type="dxa"/>
        </w:tblCellMar>
      </w:tblPr>
      <w:tblGrid>
        <w:gridCol w:w="1577"/>
        <w:gridCol w:w="1419"/>
        <w:gridCol w:w="1561"/>
        <w:gridCol w:w="1420"/>
        <w:gridCol w:w="1562"/>
        <w:gridCol w:w="1561"/>
      </w:tblGrid>
      <w:tr>
        <w:tblPrEx>
          <w:tblLayout w:type="fixed"/>
          <w:tblCellMar>
            <w:top w:w="0" w:type="dxa"/>
            <w:left w:w="108" w:type="dxa"/>
            <w:bottom w:w="0" w:type="dxa"/>
            <w:right w:w="108" w:type="dxa"/>
          </w:tblCellMar>
        </w:tblPrEx>
        <w:trPr>
          <w:trHeight w:val="728" w:hRule="atLeast"/>
        </w:trPr>
        <w:tc>
          <w:tcPr>
            <w:tcW w:w="15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合计</w:t>
            </w:r>
          </w:p>
        </w:tc>
        <w:tc>
          <w:tcPr>
            <w:tcW w:w="14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因公出国（境）费</w:t>
            </w:r>
          </w:p>
        </w:tc>
        <w:tc>
          <w:tcPr>
            <w:tcW w:w="45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公务用车购置及运行费</w:t>
            </w:r>
          </w:p>
        </w:tc>
        <w:tc>
          <w:tcPr>
            <w:tcW w:w="15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公务接待费</w:t>
            </w:r>
          </w:p>
        </w:tc>
      </w:tr>
      <w:tr>
        <w:tblPrEx>
          <w:tblLayout w:type="fixed"/>
          <w:tblCellMar>
            <w:top w:w="0" w:type="dxa"/>
            <w:left w:w="108" w:type="dxa"/>
            <w:bottom w:w="0" w:type="dxa"/>
            <w:right w:w="108" w:type="dxa"/>
          </w:tblCellMar>
        </w:tblPrEx>
        <w:trPr>
          <w:trHeight w:val="1074" w:hRule="atLeast"/>
        </w:trPr>
        <w:tc>
          <w:tcPr>
            <w:tcW w:w="15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p>
        </w:tc>
        <w:tc>
          <w:tcPr>
            <w:tcW w:w="14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小计</w:t>
            </w:r>
          </w:p>
        </w:tc>
        <w:tc>
          <w:tcPr>
            <w:tcW w:w="14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公务用车购置费</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公务用车运行费</w:t>
            </w:r>
          </w:p>
        </w:tc>
        <w:tc>
          <w:tcPr>
            <w:tcW w:w="156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p>
        </w:tc>
      </w:tr>
      <w:tr>
        <w:tblPrEx>
          <w:tblLayout w:type="fixed"/>
          <w:tblCellMar>
            <w:top w:w="0" w:type="dxa"/>
            <w:left w:w="108" w:type="dxa"/>
            <w:bottom w:w="0" w:type="dxa"/>
            <w:right w:w="108" w:type="dxa"/>
          </w:tblCellMar>
        </w:tblPrEx>
        <w:trPr>
          <w:trHeight w:val="789"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2.27</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2.08</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2.08</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0.19</w:t>
            </w:r>
          </w:p>
        </w:tc>
      </w:tr>
      <w:tr>
        <w:tblPrEx>
          <w:tblLayout w:type="fixed"/>
          <w:tblCellMar>
            <w:top w:w="0" w:type="dxa"/>
            <w:left w:w="108" w:type="dxa"/>
            <w:bottom w:w="0" w:type="dxa"/>
            <w:right w:w="108" w:type="dxa"/>
          </w:tblCellMar>
        </w:tblPrEx>
        <w:trPr>
          <w:trHeight w:val="744"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tblPrEx>
          <w:tblLayout w:type="fixed"/>
          <w:tblCellMar>
            <w:top w:w="0" w:type="dxa"/>
            <w:left w:w="108" w:type="dxa"/>
            <w:bottom w:w="0" w:type="dxa"/>
            <w:right w:w="108" w:type="dxa"/>
          </w:tblCellMar>
        </w:tblPrEx>
        <w:trPr>
          <w:trHeight w:val="740"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bl>
    <w:p>
      <w:pPr>
        <w:widowControl/>
        <w:outlineLvl w:val="1"/>
        <w:rPr>
          <w:rFonts w:ascii="仿宋" w:hAnsi="仿宋" w:eastAsia="仿宋" w:cs="仿宋"/>
          <w:b/>
          <w:kern w:val="0"/>
          <w:sz w:val="32"/>
          <w:szCs w:val="32"/>
        </w:rPr>
      </w:pPr>
      <w:r>
        <w:rPr>
          <w:rFonts w:hint="eastAsia" w:ascii="仿宋" w:hAnsi="仿宋" w:eastAsia="仿宋" w:cs="仿宋"/>
          <w:b/>
          <w:kern w:val="0"/>
          <w:sz w:val="28"/>
          <w:szCs w:val="32"/>
        </w:rPr>
        <w:t>备注：无内容应公开空表并说明情况。</w:t>
      </w:r>
    </w:p>
    <w:p>
      <w:pPr>
        <w:widowControl/>
        <w:outlineLvl w:val="1"/>
        <w:rPr>
          <w:rFonts w:ascii="仿宋" w:hAnsi="仿宋" w:eastAsia="仿宋" w:cs="仿宋"/>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表九：</w:t>
      </w:r>
    </w:p>
    <w:p>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政府性基金预算支出情况表</w:t>
      </w:r>
    </w:p>
    <w:p>
      <w:pPr>
        <w:widowControl/>
        <w:outlineLvl w:val="1"/>
        <w:rPr>
          <w:rFonts w:ascii="仿宋" w:hAnsi="仿宋" w:eastAsia="仿宋" w:cs="仿宋"/>
          <w:kern w:val="0"/>
          <w:sz w:val="24"/>
        </w:rPr>
      </w:pPr>
      <w:r>
        <w:rPr>
          <w:rFonts w:hint="eastAsia" w:ascii="仿宋" w:hAnsi="仿宋" w:eastAsia="仿宋" w:cs="仿宋"/>
          <w:kern w:val="0"/>
          <w:sz w:val="24"/>
        </w:rPr>
        <w:t>编制单位：</w:t>
      </w:r>
      <w:r>
        <w:rPr>
          <w:rFonts w:hint="eastAsia" w:ascii="仿宋" w:hAnsi="仿宋" w:eastAsia="仿宋" w:cs="仿宋"/>
          <w:kern w:val="0"/>
          <w:sz w:val="18"/>
          <w:szCs w:val="18"/>
        </w:rPr>
        <w:t>昌吉州金融工作办公室</w:t>
      </w:r>
      <w:r>
        <w:rPr>
          <w:rFonts w:hint="eastAsia" w:ascii="仿宋" w:hAnsi="仿宋" w:eastAsia="仿宋" w:cs="仿宋"/>
          <w:kern w:val="0"/>
          <w:sz w:val="24"/>
        </w:rPr>
        <w:t xml:space="preserve">                                  单位：万元</w:t>
      </w:r>
    </w:p>
    <w:tbl>
      <w:tblPr>
        <w:tblStyle w:val="10"/>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　</w:t>
            </w: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备注：本单位未安排政府性基金预算，此报表为空表。</w:t>
      </w:r>
    </w:p>
    <w:p>
      <w:pPr>
        <w:widowControl/>
        <w:jc w:val="left"/>
        <w:outlineLvl w:val="1"/>
        <w:rPr>
          <w:rFonts w:ascii="仿宋" w:hAnsi="仿宋" w:eastAsia="仿宋" w:cs="仿宋"/>
          <w:kern w:val="0"/>
          <w:sz w:val="32"/>
          <w:szCs w:val="32"/>
        </w:rPr>
        <w:sectPr>
          <w:type w:val="continuous"/>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第三部分  2020年部门预算情况说明</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一、关于昌吉州金融工作办公室2020年收支预算情况的总体说明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按照全口径预算的原则，昌吉州金融工作办公室2020年所有收入和支出均纳入部门预算管理。收支总预算302.71万元。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收入预算包括：一般公共预算302.71万元。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支出预算包括：一般公共服务支出302.71万元。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二</w:t>
      </w:r>
      <w:r>
        <w:rPr>
          <w:rFonts w:hint="eastAsia" w:ascii="仿宋" w:hAnsi="仿宋" w:eastAsia="仿宋" w:cs="仿宋"/>
          <w:b/>
          <w:bCs/>
          <w:kern w:val="0"/>
          <w:sz w:val="32"/>
          <w:szCs w:val="32"/>
        </w:rPr>
        <w:t>、关于昌吉州金融工作办公室2020年收入预算情况</w:t>
      </w:r>
      <w:r>
        <w:rPr>
          <w:rFonts w:hint="eastAsia" w:ascii="仿宋" w:hAnsi="仿宋" w:eastAsia="仿宋" w:cs="仿宋"/>
          <w:kern w:val="0"/>
          <w:sz w:val="32"/>
          <w:szCs w:val="32"/>
        </w:rPr>
        <w:t>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昌吉州金融工作办公室收入预算302.71万元，其中：</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 xml:space="preserve">一般公共预算302.71万元，占 100 %，比上年增加95.73万元，主要原因：1、增加工作人员 5名，增加援疆工作人员1名，工资福利支出及公用经费增加100.73万元，2、工作任务发生变化，项目支出减少5万元。    </w:t>
      </w:r>
    </w:p>
    <w:p>
      <w:pPr>
        <w:widowControl/>
        <w:spacing w:line="580" w:lineRule="exact"/>
        <w:ind w:firstLine="480" w:firstLineChars="15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政府性基金预算未安排。</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万元，主要原因是未安排此项经费支出；</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三、关于昌吉州金融工作办公室单位2020年支出预算情况说明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昌吉州金融工作办公室单位2020年支出预算302.71万 元，其中：</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基本支出247.71万元，占 82%，比上年增加100.73万元，主要原因是：增加工作人员 5名，增加援疆工作人员1名，工资福利支出及公用经费增加100.73万元。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 xml:space="preserve">项目支出55万元，占18%，比上年减少5万元，主要原因是：工作任务发生变化，项目支出减少5万元。    </w:t>
      </w:r>
    </w:p>
    <w:p>
      <w:pPr>
        <w:widowControl/>
        <w:spacing w:line="580" w:lineRule="exact"/>
        <w:ind w:firstLine="640"/>
        <w:jc w:val="left"/>
        <w:rPr>
          <w:rFonts w:ascii="仿宋" w:hAnsi="仿宋" w:eastAsia="仿宋" w:cs="仿宋"/>
          <w:b/>
          <w:kern w:val="0"/>
          <w:sz w:val="32"/>
          <w:szCs w:val="32"/>
        </w:rPr>
      </w:pPr>
      <w:r>
        <w:rPr>
          <w:rFonts w:hint="eastAsia" w:ascii="仿宋" w:hAnsi="仿宋" w:eastAsia="仿宋" w:cs="仿宋"/>
          <w:b/>
          <w:kern w:val="0"/>
          <w:sz w:val="32"/>
          <w:szCs w:val="32"/>
        </w:rPr>
        <w:t>四、关于昌吉州金融工作办公室2020年财政拨款收支预算情况的总体说明</w:t>
      </w:r>
    </w:p>
    <w:p>
      <w:pPr>
        <w:spacing w:line="58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2020年财政拨款收支总预算302.71万元。</w:t>
      </w:r>
    </w:p>
    <w:p>
      <w:pPr>
        <w:spacing w:line="58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收入全部为一般公共预算拨款，无政府性基金预算拨款。</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五、关于昌吉州金融工作办公室2020年一般公共预算当年拨款情况说明</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（一）一般公用预算当年拨款规模变化情况</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昌吉州金融工作办公室2020年一般公共预算拨款基本支出247.71万元，占82%，比上年增加100.73万元，主要原因是：增加工作人员 5名，增加援疆工作人员1名，工资福利支出及公用经费增加100.73万元。</w:t>
      </w:r>
    </w:p>
    <w:p>
      <w:pPr>
        <w:widowControl/>
        <w:spacing w:line="580" w:lineRule="exact"/>
        <w:ind w:firstLine="640"/>
        <w:rPr>
          <w:rFonts w:ascii="仿宋" w:hAnsi="仿宋" w:eastAsia="仿宋" w:cs="仿宋"/>
          <w:kern w:val="0"/>
          <w:sz w:val="32"/>
          <w:szCs w:val="32"/>
        </w:rPr>
      </w:pPr>
      <w:r>
        <w:rPr>
          <w:rFonts w:hint="eastAsia" w:ascii="仿宋" w:hAnsi="仿宋" w:eastAsia="仿宋" w:cs="仿宋"/>
          <w:kern w:val="0"/>
          <w:sz w:val="32"/>
          <w:szCs w:val="32"/>
        </w:rPr>
        <w:t xml:space="preserve">项目支出55万元，占18%，比上年减少5万元，主要原因是：工作任务发生变化，项目支出减少5万元。  </w:t>
      </w:r>
    </w:p>
    <w:p>
      <w:pPr>
        <w:widowControl/>
        <w:spacing w:line="580" w:lineRule="exact"/>
        <w:ind w:firstLine="640"/>
        <w:rPr>
          <w:rFonts w:ascii="仿宋" w:hAnsi="仿宋" w:eastAsia="仿宋" w:cs="仿宋"/>
          <w:b/>
          <w:kern w:val="0"/>
          <w:sz w:val="32"/>
          <w:szCs w:val="32"/>
        </w:rPr>
      </w:pPr>
      <w:r>
        <w:rPr>
          <w:rFonts w:hint="eastAsia" w:ascii="仿宋" w:hAnsi="仿宋" w:eastAsia="仿宋" w:cs="仿宋"/>
          <w:kern w:val="0"/>
          <w:sz w:val="32"/>
          <w:szCs w:val="32"/>
        </w:rPr>
        <w:t xml:space="preserve"> </w:t>
      </w:r>
      <w:r>
        <w:rPr>
          <w:rFonts w:hint="eastAsia" w:ascii="仿宋" w:hAnsi="仿宋" w:eastAsia="仿宋" w:cs="仿宋"/>
          <w:b/>
          <w:kern w:val="0"/>
          <w:sz w:val="32"/>
          <w:szCs w:val="32"/>
        </w:rPr>
        <w:t>（二）一般公共预算当年拨款结构情况</w:t>
      </w:r>
    </w:p>
    <w:p>
      <w:pPr>
        <w:spacing w:line="580" w:lineRule="exact"/>
        <w:ind w:firstLine="640"/>
        <w:rPr>
          <w:rFonts w:ascii="仿宋" w:hAnsi="仿宋" w:eastAsia="仿宋" w:cs="仿宋"/>
          <w:kern w:val="0"/>
          <w:sz w:val="32"/>
          <w:szCs w:val="32"/>
        </w:rPr>
      </w:pPr>
      <w:r>
        <w:rPr>
          <w:rFonts w:hint="eastAsia" w:ascii="仿宋" w:hAnsi="仿宋" w:eastAsia="仿宋" w:cs="仿宋"/>
          <w:sz w:val="32"/>
          <w:szCs w:val="32"/>
        </w:rPr>
        <w:t>1.一般公共服务</w:t>
      </w:r>
      <w:r>
        <w:rPr>
          <w:rFonts w:hint="eastAsia" w:ascii="仿宋" w:hAnsi="仿宋" w:eastAsia="仿宋" w:cs="仿宋"/>
          <w:sz w:val="32"/>
          <w:szCs w:val="32"/>
          <w:highlight w:val="none"/>
        </w:rPr>
        <w:t>（201）</w:t>
      </w:r>
      <w:r>
        <w:rPr>
          <w:rFonts w:hint="eastAsia" w:ascii="仿宋" w:hAnsi="仿宋" w:eastAsia="仿宋" w:cs="仿宋"/>
          <w:sz w:val="32"/>
          <w:szCs w:val="32"/>
        </w:rPr>
        <w:t>事业支出</w:t>
      </w:r>
      <w:r>
        <w:rPr>
          <w:rFonts w:hint="eastAsia" w:ascii="仿宋" w:hAnsi="仿宋" w:eastAsia="仿宋" w:cs="仿宋"/>
          <w:bCs/>
          <w:sz w:val="32"/>
          <w:szCs w:val="32"/>
        </w:rPr>
        <w:t>247.71</w:t>
      </w:r>
      <w:r>
        <w:rPr>
          <w:rFonts w:hint="eastAsia" w:ascii="仿宋" w:hAnsi="仿宋" w:eastAsia="仿宋" w:cs="仿宋"/>
          <w:b/>
          <w:sz w:val="32"/>
          <w:szCs w:val="32"/>
        </w:rPr>
        <w:t xml:space="preserve"> </w:t>
      </w:r>
      <w:r>
        <w:rPr>
          <w:rFonts w:hint="eastAsia" w:ascii="仿宋" w:hAnsi="仿宋" w:eastAsia="仿宋" w:cs="仿宋"/>
          <w:kern w:val="0"/>
          <w:sz w:val="32"/>
          <w:szCs w:val="32"/>
        </w:rPr>
        <w:t>万元，占82%。</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2.一般公共服务</w:t>
      </w:r>
      <w:r>
        <w:rPr>
          <w:rFonts w:hint="eastAsia" w:ascii="仿宋" w:hAnsi="仿宋" w:eastAsia="仿宋" w:cs="仿宋"/>
          <w:kern w:val="0"/>
          <w:sz w:val="32"/>
          <w:szCs w:val="32"/>
          <w:highlight w:val="none"/>
        </w:rPr>
        <w:t>（201）</w:t>
      </w:r>
      <w:r>
        <w:rPr>
          <w:rFonts w:hint="eastAsia" w:ascii="仿宋" w:hAnsi="仿宋" w:eastAsia="仿宋" w:cs="仿宋"/>
          <w:kern w:val="0"/>
          <w:sz w:val="32"/>
          <w:szCs w:val="32"/>
        </w:rPr>
        <w:t>其他政府办公厅（室）及相关机构事务支出55万元，占18%。</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（三）一般公共预算当年拨款具体使用情况</w:t>
      </w:r>
    </w:p>
    <w:p>
      <w:pPr>
        <w:widowControl/>
        <w:spacing w:line="580" w:lineRule="exact"/>
        <w:ind w:firstLine="640"/>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一般公共服务基本支出（201）政府办公厅（室）及相关机构事务（03）事业运行</w:t>
      </w:r>
      <w:r>
        <w:rPr>
          <w:rFonts w:hint="eastAsia" w:ascii="仿宋" w:hAnsi="仿宋" w:eastAsia="仿宋" w:cs="仿宋"/>
          <w:kern w:val="0"/>
          <w:sz w:val="32"/>
          <w:szCs w:val="32"/>
          <w:highlight w:val="none"/>
        </w:rPr>
        <w:t>（50）</w:t>
      </w:r>
      <w:r>
        <w:rPr>
          <w:rFonts w:hint="eastAsia" w:ascii="仿宋" w:hAnsi="仿宋" w:eastAsia="仿宋" w:cs="仿宋"/>
          <w:kern w:val="0"/>
          <w:sz w:val="32"/>
          <w:szCs w:val="32"/>
        </w:rPr>
        <w:t>2020年预算数为247.71万元，占82%，比上年增加100.73万元，主要原因是：增加工作人员 5名，增加援疆工作人员1名，工资福利支出及公用经费增加100.73万元</w:t>
      </w:r>
      <w:r>
        <w:rPr>
          <w:rFonts w:hint="eastAsia" w:ascii="仿宋" w:hAnsi="仿宋" w:eastAsia="仿宋" w:cs="仿宋"/>
          <w:kern w:val="0"/>
          <w:sz w:val="32"/>
          <w:szCs w:val="32"/>
          <w:lang w:eastAsia="zh-CN"/>
        </w:rPr>
        <w:t>。</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一般公共服务项目支出（201）政府办公厅（室）及相关机构事务（03）其他政府办公厅（室）及相关机构事务支出</w:t>
      </w:r>
      <w:r>
        <w:rPr>
          <w:rFonts w:hint="eastAsia" w:ascii="仿宋" w:hAnsi="仿宋" w:eastAsia="仿宋" w:cs="仿宋"/>
          <w:kern w:val="0"/>
          <w:sz w:val="32"/>
          <w:szCs w:val="32"/>
          <w:highlight w:val="none"/>
        </w:rPr>
        <w:t>（99）</w:t>
      </w:r>
      <w:r>
        <w:rPr>
          <w:rFonts w:hint="eastAsia" w:ascii="仿宋" w:hAnsi="仿宋" w:eastAsia="仿宋" w:cs="仿宋"/>
          <w:kern w:val="0"/>
          <w:sz w:val="32"/>
          <w:szCs w:val="32"/>
        </w:rPr>
        <w:t>2020年预算数为55万元，占18%，比上年减少5万元，主要原因是：工作任务发生变化，项目支出减少5万元。</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六、关于昌吉州金融工作办公室2020年一般公共预算基本支出情况说明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昌吉州金融工作办公室2020年一般公共预算基本支出      247.71万元， 其中：</w:t>
      </w:r>
    </w:p>
    <w:p>
      <w:pPr>
        <w:widowControl/>
        <w:spacing w:line="580" w:lineRule="exact"/>
        <w:ind w:firstLine="640"/>
        <w:jc w:val="left"/>
        <w:rPr>
          <w:rFonts w:ascii="仿宋" w:hAnsi="仿宋" w:eastAsia="仿宋" w:cs="仿宋"/>
          <w:kern w:val="0"/>
          <w:sz w:val="32"/>
          <w:szCs w:val="32"/>
          <w:highlight w:val="none"/>
        </w:rPr>
      </w:pPr>
      <w:r>
        <w:rPr>
          <w:rFonts w:hint="eastAsia" w:ascii="仿宋" w:hAnsi="仿宋" w:eastAsia="仿宋" w:cs="仿宋"/>
          <w:kern w:val="0"/>
          <w:sz w:val="32"/>
          <w:szCs w:val="32"/>
          <w:highlight w:val="none"/>
        </w:rPr>
        <w:t>人员经费209.53万元，主要包括：基本工资65.47万元、奖金4.49万元、伙食补助费17.64万元、绩效工资36.08万元、机关事业单位基本养老保险缴费16.97万元、职工基本医疗保险缴费7.56万元、公务员医疗补助缴费3.18万元、其他社会保障缴费0.84万元、住房公积金12.72万元、其他工资福利支出43.28万元、职工住宅取暖费1.3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highlight w:val="none"/>
        </w:rPr>
        <w:t>公用经费38.18万元，主要包括：办公费2万元、水费0.45万元、电费0.45万元、邮电费0.44万元、差旅费4.86万元、维修（护）费2.08万元、公务接待费0.19万元、工会经费1.31万元、公务用车运行维护费2.08万元、其他商品和服务支出21.31万元。</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七、关于昌吉州金融工作办公室2020年项目支出情况说明</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sz w:val="32"/>
          <w:szCs w:val="32"/>
        </w:rPr>
        <w:t>1项目名称：</w:t>
      </w:r>
      <w:r>
        <w:rPr>
          <w:rFonts w:hint="eastAsia" w:ascii="仿宋" w:hAnsi="仿宋" w:eastAsia="仿宋" w:cs="仿宋"/>
          <w:b/>
          <w:bCs/>
          <w:kern w:val="0"/>
          <w:sz w:val="32"/>
          <w:szCs w:val="32"/>
        </w:rPr>
        <w:t>服务实体经济专项业务经费</w:t>
      </w:r>
    </w:p>
    <w:p>
      <w:pPr>
        <w:widowControl/>
        <w:spacing w:line="580" w:lineRule="exact"/>
        <w:ind w:firstLine="640"/>
        <w:jc w:val="left"/>
        <w:rPr>
          <w:rFonts w:ascii="仿宋" w:hAnsi="仿宋" w:eastAsia="仿宋" w:cs="仿宋"/>
          <w:sz w:val="32"/>
          <w:szCs w:val="32"/>
        </w:rPr>
      </w:pPr>
      <w:r>
        <w:rPr>
          <w:rFonts w:hint="eastAsia" w:ascii="仿宋" w:hAnsi="仿宋" w:eastAsia="仿宋" w:cs="仿宋"/>
          <w:sz w:val="32"/>
          <w:szCs w:val="32"/>
        </w:rPr>
        <w:t xml:space="preserve">设立的政策依据：根据昌吉州金融工作办公室《三定方案》职责 </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预算安排规模：</w:t>
      </w:r>
      <w:r>
        <w:rPr>
          <w:rFonts w:hint="eastAsia" w:ascii="仿宋" w:hAnsi="仿宋" w:eastAsia="仿宋" w:cs="仿宋"/>
          <w:kern w:val="0"/>
          <w:sz w:val="32"/>
          <w:szCs w:val="32"/>
        </w:rPr>
        <w:t>15万元</w:t>
      </w:r>
    </w:p>
    <w:p>
      <w:pPr>
        <w:widowControl/>
        <w:spacing w:line="580" w:lineRule="exact"/>
        <w:ind w:firstLine="640"/>
        <w:jc w:val="left"/>
        <w:rPr>
          <w:rFonts w:ascii="仿宋" w:hAnsi="仿宋" w:eastAsia="仿宋" w:cs="仿宋"/>
          <w:sz w:val="32"/>
          <w:szCs w:val="32"/>
        </w:rPr>
      </w:pPr>
      <w:r>
        <w:rPr>
          <w:rFonts w:hint="eastAsia" w:ascii="仿宋" w:hAnsi="仿宋" w:eastAsia="仿宋" w:cs="仿宋"/>
          <w:sz w:val="32"/>
          <w:szCs w:val="32"/>
        </w:rPr>
        <w:t>项目承担单位：</w:t>
      </w:r>
      <w:r>
        <w:rPr>
          <w:rFonts w:hint="eastAsia" w:ascii="仿宋" w:hAnsi="仿宋" w:eastAsia="仿宋" w:cs="仿宋"/>
          <w:kern w:val="0"/>
          <w:sz w:val="32"/>
          <w:szCs w:val="32"/>
        </w:rPr>
        <w:t>昌吉州金融工作办公室</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资金分配情况：</w:t>
      </w:r>
      <w:r>
        <w:rPr>
          <w:rFonts w:hint="eastAsia" w:ascii="仿宋" w:hAnsi="仿宋" w:eastAsia="仿宋" w:cs="仿宋"/>
          <w:kern w:val="0"/>
          <w:sz w:val="32"/>
          <w:szCs w:val="32"/>
        </w:rPr>
        <w:t>15万元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资金执行时间：</w:t>
      </w:r>
      <w:r>
        <w:rPr>
          <w:rFonts w:hint="eastAsia" w:ascii="仿宋" w:hAnsi="仿宋" w:eastAsia="仿宋" w:cs="仿宋"/>
          <w:kern w:val="0"/>
          <w:sz w:val="32"/>
          <w:szCs w:val="32"/>
        </w:rPr>
        <w:t>2020年</w:t>
      </w:r>
    </w:p>
    <w:p>
      <w:pPr>
        <w:widowControl/>
        <w:spacing w:line="580" w:lineRule="exact"/>
        <w:ind w:firstLine="640"/>
        <w:jc w:val="left"/>
        <w:rPr>
          <w:rFonts w:ascii="仿宋" w:hAnsi="仿宋" w:eastAsia="仿宋" w:cs="仿宋"/>
          <w:b/>
          <w:bCs/>
          <w:sz w:val="32"/>
          <w:szCs w:val="32"/>
        </w:rPr>
      </w:pPr>
      <w:r>
        <w:rPr>
          <w:rFonts w:hint="eastAsia" w:ascii="仿宋" w:hAnsi="仿宋" w:eastAsia="仿宋" w:cs="仿宋"/>
          <w:b/>
          <w:bCs/>
          <w:sz w:val="32"/>
          <w:szCs w:val="32"/>
        </w:rPr>
        <w:t>2项目名称：金融风险防范专项业务经费</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设立的政策依据：根据昌吉州金融工作办公室《三定方案》</w:t>
      </w:r>
      <w:r>
        <w:rPr>
          <w:rFonts w:hint="eastAsia" w:ascii="仿宋" w:hAnsi="仿宋" w:eastAsia="仿宋" w:cs="仿宋"/>
          <w:kern w:val="0"/>
          <w:sz w:val="32"/>
          <w:szCs w:val="32"/>
        </w:rPr>
        <w:t>职责</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预算安排规模：</w:t>
      </w:r>
      <w:r>
        <w:rPr>
          <w:rFonts w:hint="eastAsia" w:ascii="仿宋" w:hAnsi="仿宋" w:eastAsia="仿宋" w:cs="仿宋"/>
          <w:kern w:val="0"/>
          <w:sz w:val="32"/>
          <w:szCs w:val="32"/>
        </w:rPr>
        <w:t>30万元</w:t>
      </w:r>
    </w:p>
    <w:p>
      <w:pPr>
        <w:widowControl/>
        <w:spacing w:line="580" w:lineRule="exact"/>
        <w:ind w:firstLine="640"/>
        <w:jc w:val="left"/>
        <w:rPr>
          <w:rFonts w:ascii="仿宋" w:hAnsi="仿宋" w:eastAsia="仿宋" w:cs="仿宋"/>
          <w:sz w:val="32"/>
          <w:szCs w:val="32"/>
        </w:rPr>
      </w:pPr>
      <w:r>
        <w:rPr>
          <w:rFonts w:hint="eastAsia" w:ascii="仿宋" w:hAnsi="仿宋" w:eastAsia="仿宋" w:cs="仿宋"/>
          <w:sz w:val="32"/>
          <w:szCs w:val="32"/>
        </w:rPr>
        <w:t>项目承担单位：</w:t>
      </w:r>
      <w:r>
        <w:rPr>
          <w:rFonts w:hint="eastAsia" w:ascii="仿宋" w:hAnsi="仿宋" w:eastAsia="仿宋" w:cs="仿宋"/>
          <w:kern w:val="0"/>
          <w:sz w:val="32"/>
          <w:szCs w:val="32"/>
        </w:rPr>
        <w:t>昌吉州金融工作办公室</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资金分配情况：</w:t>
      </w:r>
      <w:r>
        <w:rPr>
          <w:rFonts w:hint="eastAsia" w:ascii="仿宋" w:hAnsi="仿宋" w:eastAsia="仿宋" w:cs="仿宋"/>
          <w:kern w:val="0"/>
          <w:sz w:val="32"/>
          <w:szCs w:val="32"/>
        </w:rPr>
        <w:t>30万元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资金执行时间：</w:t>
      </w:r>
      <w:r>
        <w:rPr>
          <w:rFonts w:hint="eastAsia" w:ascii="仿宋" w:hAnsi="仿宋" w:eastAsia="仿宋" w:cs="仿宋"/>
          <w:kern w:val="0"/>
          <w:sz w:val="32"/>
          <w:szCs w:val="32"/>
        </w:rPr>
        <w:t>2020年</w:t>
      </w:r>
    </w:p>
    <w:p>
      <w:pPr>
        <w:widowControl/>
        <w:spacing w:line="580" w:lineRule="exact"/>
        <w:ind w:firstLine="640"/>
        <w:jc w:val="left"/>
        <w:rPr>
          <w:rFonts w:ascii="仿宋" w:hAnsi="仿宋" w:eastAsia="仿宋" w:cs="仿宋"/>
          <w:b/>
          <w:bCs/>
          <w:sz w:val="32"/>
          <w:szCs w:val="32"/>
        </w:rPr>
      </w:pPr>
      <w:r>
        <w:rPr>
          <w:rFonts w:hint="eastAsia" w:ascii="仿宋" w:hAnsi="仿宋" w:eastAsia="仿宋" w:cs="仿宋"/>
          <w:b/>
          <w:bCs/>
          <w:sz w:val="32"/>
          <w:szCs w:val="32"/>
        </w:rPr>
        <w:t>3项目名称：绿色金融专项业务经费</w:t>
      </w:r>
    </w:p>
    <w:p>
      <w:pPr>
        <w:widowControl/>
        <w:spacing w:line="580" w:lineRule="exact"/>
        <w:ind w:firstLine="640"/>
        <w:jc w:val="left"/>
        <w:rPr>
          <w:rFonts w:ascii="仿宋" w:hAnsi="仿宋" w:eastAsia="仿宋" w:cs="仿宋"/>
          <w:sz w:val="32"/>
          <w:szCs w:val="32"/>
        </w:rPr>
      </w:pPr>
      <w:r>
        <w:rPr>
          <w:rFonts w:hint="eastAsia" w:ascii="仿宋" w:hAnsi="仿宋" w:eastAsia="仿宋" w:cs="仿宋"/>
          <w:sz w:val="32"/>
          <w:szCs w:val="32"/>
        </w:rPr>
        <w:t>设立的政策依据：根据昌吉州金融工作办公室《三定方案》</w:t>
      </w:r>
      <w:r>
        <w:rPr>
          <w:rFonts w:hint="eastAsia" w:ascii="仿宋" w:hAnsi="仿宋" w:eastAsia="仿宋" w:cs="仿宋"/>
          <w:kern w:val="0"/>
          <w:sz w:val="32"/>
          <w:szCs w:val="32"/>
        </w:rPr>
        <w:t>职责</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预算安排规模：</w:t>
      </w:r>
      <w:r>
        <w:rPr>
          <w:rFonts w:hint="eastAsia" w:ascii="仿宋" w:hAnsi="仿宋" w:eastAsia="仿宋" w:cs="仿宋"/>
          <w:kern w:val="0"/>
          <w:sz w:val="32"/>
          <w:szCs w:val="32"/>
        </w:rPr>
        <w:t>10万元</w:t>
      </w:r>
    </w:p>
    <w:p>
      <w:pPr>
        <w:widowControl/>
        <w:spacing w:line="580" w:lineRule="exact"/>
        <w:ind w:firstLine="640"/>
        <w:jc w:val="left"/>
        <w:rPr>
          <w:rFonts w:ascii="仿宋" w:hAnsi="仿宋" w:eastAsia="仿宋" w:cs="仿宋"/>
          <w:sz w:val="32"/>
          <w:szCs w:val="32"/>
        </w:rPr>
      </w:pPr>
      <w:r>
        <w:rPr>
          <w:rFonts w:hint="eastAsia" w:ascii="仿宋" w:hAnsi="仿宋" w:eastAsia="仿宋" w:cs="仿宋"/>
          <w:sz w:val="32"/>
          <w:szCs w:val="32"/>
        </w:rPr>
        <w:t>项目承担单位：</w:t>
      </w:r>
      <w:r>
        <w:rPr>
          <w:rFonts w:hint="eastAsia" w:ascii="仿宋" w:hAnsi="仿宋" w:eastAsia="仿宋" w:cs="仿宋"/>
          <w:kern w:val="0"/>
          <w:sz w:val="32"/>
          <w:szCs w:val="32"/>
        </w:rPr>
        <w:t>昌吉州金融工作办公室</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szCs w:val="32"/>
        </w:rPr>
        <w:t>资金分配情况：</w:t>
      </w:r>
      <w:r>
        <w:rPr>
          <w:rFonts w:hint="eastAsia" w:ascii="仿宋" w:hAnsi="仿宋" w:eastAsia="仿宋" w:cs="仿宋"/>
          <w:kern w:val="0"/>
          <w:sz w:val="32"/>
          <w:szCs w:val="32"/>
        </w:rPr>
        <w:t>10万元</w:t>
      </w:r>
    </w:p>
    <w:p>
      <w:pPr>
        <w:widowControl/>
        <w:spacing w:line="580" w:lineRule="exact"/>
        <w:ind w:firstLine="640"/>
        <w:jc w:val="left"/>
        <w:rPr>
          <w:rFonts w:hint="default" w:ascii="仿宋" w:hAnsi="仿宋" w:eastAsia="仿宋" w:cs="仿宋"/>
          <w:kern w:val="0"/>
          <w:sz w:val="32"/>
          <w:szCs w:val="32"/>
          <w:lang w:val="en-US" w:eastAsia="zh-CN"/>
        </w:rPr>
      </w:pPr>
      <w:r>
        <w:rPr>
          <w:rFonts w:hint="eastAsia" w:ascii="仿宋" w:hAnsi="仿宋" w:eastAsia="仿宋" w:cs="仿宋"/>
          <w:sz w:val="32"/>
          <w:szCs w:val="32"/>
        </w:rPr>
        <w:t>资金执行时间：</w:t>
      </w:r>
      <w:r>
        <w:rPr>
          <w:rFonts w:hint="eastAsia" w:ascii="仿宋" w:hAnsi="仿宋" w:eastAsia="仿宋" w:cs="仿宋"/>
          <w:kern w:val="0"/>
          <w:sz w:val="32"/>
          <w:szCs w:val="32"/>
        </w:rPr>
        <w:t>2020年</w:t>
      </w:r>
      <w:r>
        <w:rPr>
          <w:rFonts w:hint="eastAsia" w:ascii="仿宋" w:hAnsi="仿宋" w:eastAsia="仿宋" w:cs="仿宋"/>
          <w:kern w:val="0"/>
          <w:sz w:val="32"/>
          <w:szCs w:val="32"/>
          <w:lang w:val="en-US" w:eastAsia="zh-CN"/>
        </w:rPr>
        <w:t>1月-12月</w:t>
      </w:r>
    </w:p>
    <w:p>
      <w:pPr>
        <w:widowControl/>
        <w:spacing w:line="58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highlight w:val="none"/>
        </w:rPr>
        <w:t>八、关于昌吉州金融工作办公室2020年一般公共预算“三公”经费预算情况说明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昌吉州金融工作办公室2020年“三公”经费财政拨款预算数为2.27万元，其中：因公出国（境）费0万元，公务用车购置费0万元，公务用车运行费2.08万元，公务接待费0.19万元。</w:t>
      </w:r>
    </w:p>
    <w:p>
      <w:pPr>
        <w:widowControl/>
        <w:spacing w:line="580" w:lineRule="exact"/>
        <w:ind w:firstLine="642"/>
        <w:jc w:val="left"/>
        <w:rPr>
          <w:rFonts w:ascii="仿宋" w:hAnsi="仿宋" w:eastAsia="仿宋" w:cs="仿宋"/>
          <w:kern w:val="0"/>
          <w:sz w:val="32"/>
          <w:szCs w:val="32"/>
        </w:rPr>
      </w:pPr>
      <w:r>
        <w:rPr>
          <w:rFonts w:hint="eastAsia" w:ascii="仿宋" w:hAnsi="仿宋" w:eastAsia="仿宋" w:cs="仿宋"/>
          <w:kern w:val="0"/>
          <w:sz w:val="32"/>
          <w:szCs w:val="32"/>
        </w:rPr>
        <w:t>2020年“三公”经费财政拨款预算比上年</w:t>
      </w:r>
      <w:r>
        <w:rPr>
          <w:rFonts w:hint="eastAsia" w:ascii="仿宋" w:hAnsi="仿宋" w:eastAsia="仿宋" w:cs="仿宋"/>
          <w:kern w:val="0"/>
          <w:sz w:val="32"/>
          <w:szCs w:val="32"/>
          <w:lang w:val="en-US" w:eastAsia="zh-CN"/>
        </w:rPr>
        <w:t>增加（减少）0</w:t>
      </w:r>
      <w:r>
        <w:rPr>
          <w:rFonts w:hint="eastAsia" w:ascii="仿宋" w:hAnsi="仿宋" w:eastAsia="仿宋" w:cs="仿宋"/>
          <w:kern w:val="0"/>
          <w:sz w:val="32"/>
          <w:szCs w:val="32"/>
        </w:rPr>
        <w:t>万元，其中：因公出国（境）费增加（减少）0万元，主要原因是我单位严格执行中央八项规定和区、州党委十条规定，压减出国经费；公务用车购置费为0万元，未安排预算。主要原因是严格执行中央八项规定和区、州党委十条规定，压减公务用车购置费；公务用车运行费</w:t>
      </w:r>
      <w:r>
        <w:rPr>
          <w:rFonts w:hint="eastAsia" w:ascii="仿宋" w:hAnsi="仿宋" w:eastAsia="仿宋" w:cs="仿宋"/>
          <w:kern w:val="0"/>
          <w:sz w:val="32"/>
          <w:szCs w:val="32"/>
          <w:lang w:val="en-US" w:eastAsia="zh-CN"/>
        </w:rPr>
        <w:t>增加（减少）</w:t>
      </w:r>
      <w:r>
        <w:rPr>
          <w:rFonts w:hint="eastAsia" w:ascii="仿宋" w:hAnsi="仿宋" w:eastAsia="仿宋" w:cs="仿宋"/>
          <w:kern w:val="0"/>
          <w:sz w:val="32"/>
          <w:szCs w:val="32"/>
        </w:rPr>
        <w:t>万元，主要原因是我单位严格执行中央八项规定和区、州党委十条规定，压减公务用车运行费；公务接待费</w:t>
      </w:r>
      <w:r>
        <w:rPr>
          <w:rFonts w:hint="eastAsia" w:ascii="仿宋" w:hAnsi="仿宋" w:eastAsia="仿宋" w:cs="仿宋"/>
          <w:kern w:val="0"/>
          <w:sz w:val="32"/>
          <w:szCs w:val="32"/>
          <w:lang w:val="en-US" w:eastAsia="zh-CN"/>
        </w:rPr>
        <w:t>增加（减少）</w:t>
      </w:r>
      <w:r>
        <w:rPr>
          <w:rFonts w:hint="eastAsia" w:ascii="仿宋" w:hAnsi="仿宋" w:eastAsia="仿宋" w:cs="仿宋"/>
          <w:kern w:val="0"/>
          <w:sz w:val="32"/>
          <w:szCs w:val="32"/>
        </w:rPr>
        <w:t>万元，主要原因是我单位严格执行中央八项规定和区、州党委十条规定，压减公务接待费。</w:t>
      </w:r>
    </w:p>
    <w:p>
      <w:pPr>
        <w:widowControl/>
        <w:spacing w:line="580" w:lineRule="exact"/>
        <w:ind w:firstLine="642"/>
        <w:jc w:val="left"/>
        <w:rPr>
          <w:rFonts w:ascii="仿宋" w:hAnsi="仿宋" w:eastAsia="仿宋" w:cs="仿宋"/>
          <w:b/>
          <w:bCs/>
          <w:kern w:val="0"/>
          <w:sz w:val="32"/>
          <w:szCs w:val="32"/>
        </w:rPr>
      </w:pPr>
      <w:r>
        <w:rPr>
          <w:rFonts w:hint="eastAsia" w:ascii="仿宋" w:hAnsi="仿宋" w:eastAsia="仿宋" w:cs="仿宋"/>
          <w:b/>
          <w:bCs/>
          <w:kern w:val="0"/>
          <w:sz w:val="32"/>
          <w:szCs w:val="32"/>
        </w:rPr>
        <w:t>九、关于昌吉州金融工作办公室2020年政府性基金预算拨款情况说明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昌吉州金融工作办公室2020年没有使用政府性基金预算拨款安排的支出，政府性基金预算支出情况表为空表。</w:t>
      </w:r>
    </w:p>
    <w:p>
      <w:pPr>
        <w:widowControl/>
        <w:spacing w:line="580" w:lineRule="exact"/>
        <w:ind w:firstLine="640"/>
        <w:jc w:val="left"/>
        <w:rPr>
          <w:rFonts w:ascii="仿宋" w:hAnsi="仿宋" w:eastAsia="仿宋" w:cs="仿宋"/>
          <w:b/>
          <w:bCs/>
          <w:kern w:val="0"/>
          <w:sz w:val="32"/>
          <w:szCs w:val="32"/>
        </w:rPr>
      </w:pPr>
      <w:r>
        <w:rPr>
          <w:rFonts w:hint="eastAsia" w:ascii="仿宋" w:hAnsi="仿宋" w:eastAsia="仿宋" w:cs="仿宋"/>
          <w:b/>
          <w:bCs/>
          <w:kern w:val="0"/>
          <w:sz w:val="32"/>
          <w:szCs w:val="32"/>
        </w:rPr>
        <w:t>十、其他重要事项的情况说明</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（一）机关运行经费情况</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2020年，州金融办本级机关运行经费财政拨款预算38.18万元，比上年预算数增加12.07万元，增长46%。主要原因是，主要原因是：增加工作人员 5名，增加援疆工作人员1名，工作任务增加，机关运行经费增加。</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（二）政府采购情况</w:t>
      </w:r>
    </w:p>
    <w:p>
      <w:pPr>
        <w:widowControl/>
        <w:spacing w:line="560" w:lineRule="exact"/>
        <w:ind w:firstLine="640"/>
        <w:rPr>
          <w:rFonts w:ascii="仿宋" w:hAnsi="仿宋" w:eastAsia="仿宋" w:cs="仿宋"/>
          <w:kern w:val="0"/>
          <w:sz w:val="32"/>
          <w:szCs w:val="32"/>
        </w:rPr>
      </w:pPr>
      <w:r>
        <w:rPr>
          <w:rFonts w:hint="eastAsia" w:ascii="仿宋" w:hAnsi="仿宋" w:eastAsia="仿宋" w:cs="仿宋"/>
          <w:kern w:val="0"/>
          <w:sz w:val="32"/>
          <w:szCs w:val="32"/>
        </w:rPr>
        <w:t>2020年，昌吉州金融工作办公室政府采购预算17.43</w:t>
      </w:r>
    </w:p>
    <w:p>
      <w:pPr>
        <w:widowControl/>
        <w:spacing w:line="560" w:lineRule="exact"/>
        <w:rPr>
          <w:rFonts w:ascii="仿宋" w:hAnsi="仿宋" w:eastAsia="仿宋" w:cs="仿宋"/>
          <w:kern w:val="0"/>
          <w:sz w:val="32"/>
          <w:szCs w:val="32"/>
        </w:rPr>
      </w:pPr>
      <w:r>
        <w:rPr>
          <w:rFonts w:hint="eastAsia" w:ascii="仿宋" w:hAnsi="仿宋" w:eastAsia="仿宋" w:cs="仿宋"/>
          <w:kern w:val="0"/>
          <w:sz w:val="32"/>
          <w:szCs w:val="32"/>
        </w:rPr>
        <w:t>万元，其中：政府采购货物预算17.43万元，政府采购工程预算0万元，政府采购服务预算0万元。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sz w:val="32"/>
        </w:rPr>
        <w:t>2020年度本部门面向中小企业预留政府采购项目预算金额0万元，其中：面向小微企业预留政府采购项目预算金额0万元。</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（三）国有资产占用使用情况</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截至2019年底，昌吉州金融工作办公室预算单位占用使用国有资产总体情况为</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1.房屋0平方米，价值0万元。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2.车辆1辆，价值40.71万元；其中：其他用车1辆，价值40.71万元；执法执勤用车0辆，价值0万元；其他车辆0辆，价值0万元。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3.办公家具价值7.71万元。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4.其他资产价值27.85 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单位价值50万元以上大型设备0台（套），单位价值100万元以上大型设备0台（套）。</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2020年部门预算未安排购置车辆经费（或安排购置车辆经费0万元），安排购置50万元以上大型设0台（套），单位价值100万元以上大型设备0台（套）。</w:t>
      </w:r>
    </w:p>
    <w:p>
      <w:pPr>
        <w:widowControl/>
        <w:spacing w:line="580" w:lineRule="exact"/>
        <w:ind w:firstLine="642"/>
        <w:jc w:val="left"/>
        <w:rPr>
          <w:rFonts w:ascii="仿宋" w:hAnsi="仿宋" w:eastAsia="仿宋" w:cs="仿宋"/>
          <w:b/>
          <w:kern w:val="0"/>
          <w:sz w:val="32"/>
          <w:szCs w:val="32"/>
        </w:rPr>
      </w:pPr>
      <w:r>
        <w:rPr>
          <w:rFonts w:hint="eastAsia" w:ascii="仿宋" w:hAnsi="仿宋" w:eastAsia="仿宋" w:cs="仿宋"/>
          <w:b/>
          <w:kern w:val="0"/>
          <w:sz w:val="32"/>
          <w:szCs w:val="32"/>
        </w:rPr>
        <w:t>（四）预算绩效情况</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2020年度，本年度实行绩效管理的项目3个，涉及预算金额55万元。具体情况见下表（按项目分别填报）：</w:t>
      </w:r>
    </w:p>
    <w:p>
      <w:pPr>
        <w:spacing w:line="500" w:lineRule="exact"/>
        <w:rPr>
          <w:rFonts w:ascii="仿宋" w:hAnsi="仿宋" w:eastAsia="仿宋" w:cs="仿宋"/>
          <w:kern w:val="0"/>
          <w:sz w:val="32"/>
          <w:szCs w:val="32"/>
        </w:rPr>
      </w:pPr>
    </w:p>
    <w:p>
      <w:pPr>
        <w:spacing w:line="500" w:lineRule="exact"/>
        <w:rPr>
          <w:rFonts w:ascii="仿宋" w:hAnsi="仿宋" w:eastAsia="仿宋" w:cs="仿宋"/>
          <w:kern w:val="0"/>
          <w:sz w:val="32"/>
          <w:szCs w:val="32"/>
        </w:rPr>
      </w:pPr>
    </w:p>
    <w:p>
      <w:pPr>
        <w:spacing w:line="500" w:lineRule="exact"/>
        <w:rPr>
          <w:rFonts w:ascii="仿宋" w:hAnsi="仿宋" w:eastAsia="仿宋" w:cs="仿宋"/>
          <w:kern w:val="0"/>
          <w:sz w:val="32"/>
          <w:szCs w:val="32"/>
        </w:rPr>
      </w:pPr>
    </w:p>
    <w:p>
      <w:pPr>
        <w:widowControl/>
        <w:spacing w:line="600" w:lineRule="exact"/>
        <w:rPr>
          <w:rFonts w:ascii="仿宋" w:hAnsi="仿宋" w:eastAsia="仿宋" w:cs="仿宋"/>
          <w:kern w:val="0"/>
          <w:sz w:val="32"/>
          <w:szCs w:val="32"/>
        </w:rPr>
        <w:sectPr>
          <w:pgSz w:w="11906" w:h="16838"/>
          <w:pgMar w:top="1440" w:right="1800" w:bottom="1440" w:left="1800" w:header="851" w:footer="992" w:gutter="0"/>
          <w:cols w:space="425" w:num="1"/>
          <w:docGrid w:type="lines" w:linePitch="312" w:charSpace="0"/>
        </w:sectPr>
      </w:pPr>
    </w:p>
    <w:tbl>
      <w:tblPr>
        <w:tblStyle w:val="10"/>
        <w:tblW w:w="13649" w:type="dxa"/>
        <w:tblInd w:w="93" w:type="dxa"/>
        <w:tblLayout w:type="fixed"/>
        <w:tblCellMar>
          <w:top w:w="0" w:type="dxa"/>
          <w:left w:w="108" w:type="dxa"/>
          <w:bottom w:w="0" w:type="dxa"/>
          <w:right w:w="108" w:type="dxa"/>
        </w:tblCellMar>
      </w:tblPr>
      <w:tblGrid>
        <w:gridCol w:w="1699"/>
        <w:gridCol w:w="94"/>
        <w:gridCol w:w="64"/>
        <w:gridCol w:w="82"/>
        <w:gridCol w:w="828"/>
        <w:gridCol w:w="110"/>
        <w:gridCol w:w="368"/>
        <w:gridCol w:w="109"/>
        <w:gridCol w:w="245"/>
        <w:gridCol w:w="232"/>
        <w:gridCol w:w="58"/>
        <w:gridCol w:w="510"/>
        <w:gridCol w:w="132"/>
        <w:gridCol w:w="31"/>
        <w:gridCol w:w="510"/>
        <w:gridCol w:w="273"/>
        <w:gridCol w:w="1490"/>
        <w:gridCol w:w="193"/>
        <w:gridCol w:w="199"/>
        <w:gridCol w:w="804"/>
        <w:gridCol w:w="873"/>
        <w:gridCol w:w="4363"/>
        <w:gridCol w:w="382"/>
      </w:tblGrid>
      <w:tr>
        <w:tblPrEx>
          <w:tblLayout w:type="fixed"/>
          <w:tblCellMar>
            <w:top w:w="0" w:type="dxa"/>
            <w:left w:w="108" w:type="dxa"/>
            <w:bottom w:w="0" w:type="dxa"/>
            <w:right w:w="108" w:type="dxa"/>
          </w:tblCellMar>
        </w:tblPrEx>
        <w:trPr>
          <w:gridAfter w:val="1"/>
          <w:wAfter w:w="382" w:type="dxa"/>
          <w:trHeight w:val="447" w:hRule="atLeast"/>
        </w:trPr>
        <w:tc>
          <w:tcPr>
            <w:tcW w:w="13267" w:type="dxa"/>
            <w:gridSpan w:val="22"/>
            <w:tcBorders>
              <w:top w:val="nil"/>
              <w:left w:val="nil"/>
              <w:bottom w:val="nil"/>
              <w:right w:val="nil"/>
            </w:tcBorders>
            <w:shd w:val="clear" w:color="auto" w:fill="auto"/>
            <w:noWrap/>
            <w:vAlign w:val="center"/>
          </w:tcPr>
          <w:p>
            <w:pPr>
              <w:widowControl/>
              <w:jc w:val="center"/>
              <w:textAlignment w:val="center"/>
              <w:rPr>
                <w:rFonts w:ascii="仿宋" w:hAnsi="仿宋" w:eastAsia="仿宋" w:cs="仿宋"/>
                <w:b/>
                <w:bCs/>
                <w:kern w:val="0"/>
                <w:szCs w:val="21"/>
              </w:rPr>
            </w:pPr>
            <w:r>
              <w:rPr>
                <w:rFonts w:hint="eastAsia" w:ascii="宋体" w:hAnsi="宋体" w:cs="宋体"/>
                <w:b/>
                <w:color w:val="000000"/>
                <w:kern w:val="0"/>
                <w:sz w:val="32"/>
                <w:szCs w:val="32"/>
                <w:lang w:bidi="ar"/>
              </w:rPr>
              <w:t xml:space="preserve">  项 目 支 出 绩 效 目 标 表</w:t>
            </w:r>
          </w:p>
        </w:tc>
      </w:tr>
      <w:tr>
        <w:tblPrEx>
          <w:tblLayout w:type="fixed"/>
          <w:tblCellMar>
            <w:top w:w="0" w:type="dxa"/>
            <w:left w:w="108" w:type="dxa"/>
            <w:bottom w:w="0" w:type="dxa"/>
            <w:right w:w="108" w:type="dxa"/>
          </w:tblCellMar>
        </w:tblPrEx>
        <w:trPr>
          <w:gridAfter w:val="1"/>
          <w:wAfter w:w="382" w:type="dxa"/>
          <w:trHeight w:val="408" w:hRule="atLeast"/>
        </w:trPr>
        <w:tc>
          <w:tcPr>
            <w:tcW w:w="13267" w:type="dxa"/>
            <w:gridSpan w:val="22"/>
            <w:tcBorders>
              <w:top w:val="nil"/>
              <w:left w:val="nil"/>
              <w:bottom w:val="nil"/>
              <w:right w:val="nil"/>
            </w:tcBorders>
            <w:shd w:val="clear" w:color="auto" w:fill="auto"/>
            <w:noWrap/>
            <w:vAlign w:val="center"/>
          </w:tcPr>
          <w:p>
            <w:pPr>
              <w:widowControl/>
              <w:jc w:val="center"/>
              <w:textAlignment w:val="center"/>
              <w:rPr>
                <w:rFonts w:ascii="仿宋" w:hAnsi="仿宋" w:eastAsia="仿宋" w:cs="仿宋"/>
                <w:color w:val="000000"/>
                <w:kern w:val="0"/>
                <w:szCs w:val="21"/>
              </w:rPr>
            </w:pPr>
            <w:r>
              <w:rPr>
                <w:rFonts w:hint="eastAsia" w:ascii="宋体" w:hAnsi="宋体" w:cs="宋体"/>
                <w:b/>
                <w:color w:val="000000"/>
                <w:kern w:val="0"/>
                <w:szCs w:val="21"/>
                <w:lang w:bidi="ar"/>
              </w:rPr>
              <w:t>（ 2020 年）</w:t>
            </w:r>
          </w:p>
        </w:tc>
      </w:tr>
      <w:tr>
        <w:tblPrEx>
          <w:tblLayout w:type="fixed"/>
          <w:tblCellMar>
            <w:top w:w="0" w:type="dxa"/>
            <w:left w:w="108" w:type="dxa"/>
            <w:bottom w:w="0" w:type="dxa"/>
            <w:right w:w="108" w:type="dxa"/>
          </w:tblCellMar>
        </w:tblPrEx>
        <w:trPr>
          <w:gridAfter w:val="1"/>
          <w:wAfter w:w="382" w:type="dxa"/>
          <w:trHeight w:val="479" w:hRule="atLeast"/>
        </w:trPr>
        <w:tc>
          <w:tcPr>
            <w:tcW w:w="8904" w:type="dxa"/>
            <w:gridSpan w:val="21"/>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b/>
                <w:bCs/>
                <w:kern w:val="0"/>
                <w:szCs w:val="21"/>
              </w:rPr>
            </w:pPr>
            <w:r>
              <w:rPr>
                <w:rFonts w:hint="eastAsia" w:ascii="宋体" w:hAnsi="宋体" w:cs="宋体"/>
                <w:color w:val="000000"/>
                <w:kern w:val="0"/>
                <w:szCs w:val="21"/>
                <w:lang w:bidi="ar"/>
              </w:rPr>
              <w:t>编制单位:昌吉回族自治州金融工作办公室</w:t>
            </w:r>
          </w:p>
        </w:tc>
        <w:tc>
          <w:tcPr>
            <w:tcW w:w="4363" w:type="dxa"/>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Cs w:val="21"/>
              </w:rPr>
            </w:pPr>
            <w:r>
              <w:rPr>
                <w:rFonts w:hint="eastAsia" w:ascii="宋体" w:hAnsi="宋体" w:cs="宋体"/>
                <w:color w:val="000000"/>
                <w:kern w:val="0"/>
                <w:szCs w:val="21"/>
                <w:lang w:bidi="ar"/>
              </w:rPr>
              <w:t>单位:元</w:t>
            </w:r>
          </w:p>
        </w:tc>
      </w:tr>
      <w:tr>
        <w:tblPrEx>
          <w:tblLayout w:type="fixed"/>
          <w:tblCellMar>
            <w:top w:w="0" w:type="dxa"/>
            <w:left w:w="108" w:type="dxa"/>
            <w:bottom w:w="0" w:type="dxa"/>
            <w:right w:w="108" w:type="dxa"/>
          </w:tblCellMar>
        </w:tblPrEx>
        <w:trPr>
          <w:gridAfter w:val="1"/>
          <w:wAfter w:w="382" w:type="dxa"/>
          <w:trHeight w:val="610" w:hRule="atLeast"/>
        </w:trPr>
        <w:tc>
          <w:tcPr>
            <w:tcW w:w="1857" w:type="dxa"/>
            <w:gridSpan w:val="3"/>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b/>
                <w:bCs/>
                <w:kern w:val="0"/>
                <w:szCs w:val="21"/>
              </w:rPr>
            </w:pPr>
            <w:r>
              <w:rPr>
                <w:rFonts w:hint="eastAsia" w:ascii="宋体" w:hAnsi="宋体" w:cs="宋体"/>
                <w:color w:val="000000"/>
                <w:kern w:val="0"/>
                <w:szCs w:val="21"/>
                <w:lang w:bidi="ar"/>
              </w:rPr>
              <w:t>预算单位</w:t>
            </w:r>
          </w:p>
        </w:tc>
        <w:tc>
          <w:tcPr>
            <w:tcW w:w="3215" w:type="dxa"/>
            <w:gridSpan w:val="12"/>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昌吉回族自治州金融工作办公室</w:t>
            </w:r>
          </w:p>
        </w:tc>
        <w:tc>
          <w:tcPr>
            <w:tcW w:w="3832" w:type="dxa"/>
            <w:gridSpan w:val="6"/>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项目名称</w:t>
            </w:r>
          </w:p>
        </w:tc>
        <w:tc>
          <w:tcPr>
            <w:tcW w:w="4363" w:type="dxa"/>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服务实体经济专项业务经费</w:t>
            </w:r>
          </w:p>
        </w:tc>
      </w:tr>
      <w:tr>
        <w:tblPrEx>
          <w:tblLayout w:type="fixed"/>
          <w:tblCellMar>
            <w:top w:w="0" w:type="dxa"/>
            <w:left w:w="108" w:type="dxa"/>
            <w:bottom w:w="0" w:type="dxa"/>
            <w:right w:w="108" w:type="dxa"/>
          </w:tblCellMar>
        </w:tblPrEx>
        <w:trPr>
          <w:gridAfter w:val="1"/>
          <w:wAfter w:w="382" w:type="dxa"/>
          <w:trHeight w:val="401" w:hRule="atLeast"/>
        </w:trPr>
        <w:tc>
          <w:tcPr>
            <w:tcW w:w="1857"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Cs w:val="21"/>
              </w:rPr>
            </w:pPr>
            <w:r>
              <w:rPr>
                <w:rFonts w:hint="eastAsia" w:ascii="宋体" w:hAnsi="宋体" w:cs="宋体"/>
                <w:color w:val="000000"/>
                <w:kern w:val="0"/>
                <w:szCs w:val="21"/>
                <w:lang w:bidi="ar"/>
              </w:rPr>
              <w:t>项目资金(万元)</w:t>
            </w:r>
          </w:p>
        </w:tc>
        <w:tc>
          <w:tcPr>
            <w:tcW w:w="1020"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Cs w:val="21"/>
              </w:rPr>
            </w:pPr>
            <w:r>
              <w:rPr>
                <w:rFonts w:hint="eastAsia" w:ascii="宋体" w:hAnsi="宋体" w:cs="宋体"/>
                <w:color w:val="000000"/>
                <w:kern w:val="0"/>
                <w:szCs w:val="21"/>
                <w:lang w:bidi="ar"/>
              </w:rPr>
              <w:t>年度资金总额:</w:t>
            </w:r>
          </w:p>
        </w:tc>
        <w:tc>
          <w:tcPr>
            <w:tcW w:w="722"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Cs w:val="21"/>
              </w:rPr>
            </w:pPr>
            <w:r>
              <w:rPr>
                <w:rFonts w:hint="eastAsia" w:ascii="宋体" w:hAnsi="宋体" w:cs="宋体"/>
                <w:color w:val="000000"/>
                <w:kern w:val="0"/>
                <w:szCs w:val="21"/>
                <w:lang w:bidi="ar"/>
              </w:rPr>
              <w:t xml:space="preserve">15.00 </w:t>
            </w:r>
          </w:p>
        </w:tc>
        <w:tc>
          <w:tcPr>
            <w:tcW w:w="963" w:type="dxa"/>
            <w:gridSpan w:val="5"/>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其中:财政拨款</w:t>
            </w:r>
          </w:p>
        </w:tc>
        <w:tc>
          <w:tcPr>
            <w:tcW w:w="2273" w:type="dxa"/>
            <w:gridSpan w:val="3"/>
            <w:tcBorders>
              <w:top w:val="nil"/>
              <w:left w:val="nil"/>
              <w:bottom w:val="single" w:color="000000" w:sz="4" w:space="0"/>
              <w:right w:val="single" w:color="000000" w:sz="4" w:space="0"/>
            </w:tcBorders>
            <w:shd w:val="clear" w:color="auto" w:fill="auto"/>
            <w:vAlign w:val="center"/>
          </w:tcPr>
          <w:p>
            <w:pPr>
              <w:widowControl/>
              <w:jc w:val="center"/>
              <w:textAlignment w:val="center"/>
              <w:rPr>
                <w:szCs w:val="21"/>
              </w:rPr>
            </w:pPr>
            <w:r>
              <w:rPr>
                <w:rFonts w:hint="eastAsia" w:ascii="宋体" w:hAnsi="宋体" w:cs="宋体"/>
                <w:color w:val="000000"/>
                <w:kern w:val="0"/>
                <w:szCs w:val="21"/>
                <w:lang w:bidi="ar"/>
              </w:rPr>
              <w:t xml:space="preserve">15.00 </w:t>
            </w:r>
          </w:p>
        </w:tc>
        <w:tc>
          <w:tcPr>
            <w:tcW w:w="1196" w:type="dxa"/>
            <w:gridSpan w:val="3"/>
            <w:tcBorders>
              <w:top w:val="nil"/>
              <w:left w:val="nil"/>
              <w:bottom w:val="single" w:color="000000" w:sz="4" w:space="0"/>
              <w:right w:val="single" w:color="000000" w:sz="4" w:space="0"/>
            </w:tcBorders>
            <w:shd w:val="clear" w:color="auto" w:fill="auto"/>
            <w:vAlign w:val="center"/>
          </w:tcPr>
          <w:p>
            <w:pPr>
              <w:widowControl/>
              <w:jc w:val="center"/>
              <w:textAlignment w:val="center"/>
              <w:rPr>
                <w:szCs w:val="21"/>
              </w:rPr>
            </w:pPr>
            <w:r>
              <w:rPr>
                <w:rFonts w:hint="eastAsia" w:ascii="宋体" w:hAnsi="宋体" w:cs="宋体"/>
                <w:color w:val="000000"/>
                <w:kern w:val="0"/>
                <w:szCs w:val="21"/>
                <w:lang w:bidi="ar"/>
              </w:rPr>
              <w:t>其他资金</w:t>
            </w:r>
          </w:p>
        </w:tc>
        <w:tc>
          <w:tcPr>
            <w:tcW w:w="5236" w:type="dxa"/>
            <w:gridSpan w:val="2"/>
            <w:tcBorders>
              <w:top w:val="nil"/>
              <w:left w:val="nil"/>
              <w:bottom w:val="single" w:color="000000" w:sz="4" w:space="0"/>
              <w:right w:val="single" w:color="000000" w:sz="4" w:space="0"/>
            </w:tcBorders>
            <w:shd w:val="clear" w:color="auto" w:fill="auto"/>
            <w:vAlign w:val="center"/>
          </w:tcPr>
          <w:p>
            <w:pPr>
              <w:rPr>
                <w:szCs w:val="21"/>
              </w:rPr>
            </w:pPr>
          </w:p>
        </w:tc>
      </w:tr>
      <w:tr>
        <w:tblPrEx>
          <w:tblLayout w:type="fixed"/>
          <w:tblCellMar>
            <w:top w:w="0" w:type="dxa"/>
            <w:left w:w="108" w:type="dxa"/>
            <w:bottom w:w="0" w:type="dxa"/>
            <w:right w:w="108" w:type="dxa"/>
          </w:tblCellMar>
        </w:tblPrEx>
        <w:trPr>
          <w:gridAfter w:val="1"/>
          <w:wAfter w:w="382" w:type="dxa"/>
          <w:trHeight w:val="749" w:hRule="atLeast"/>
        </w:trPr>
        <w:tc>
          <w:tcPr>
            <w:tcW w:w="1857"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Cs w:val="21"/>
              </w:rPr>
            </w:pPr>
            <w:r>
              <w:rPr>
                <w:rFonts w:hint="eastAsia" w:ascii="宋体" w:hAnsi="宋体" w:cs="宋体"/>
                <w:color w:val="000000"/>
                <w:kern w:val="0"/>
                <w:szCs w:val="21"/>
                <w:lang w:bidi="ar"/>
              </w:rPr>
              <w:t>项目总体目标</w:t>
            </w:r>
          </w:p>
        </w:tc>
        <w:tc>
          <w:tcPr>
            <w:tcW w:w="11410" w:type="dxa"/>
            <w:gridSpan w:val="19"/>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b/>
                <w:bCs/>
                <w:kern w:val="0"/>
                <w:szCs w:val="21"/>
              </w:rPr>
            </w:pPr>
            <w:r>
              <w:rPr>
                <w:rFonts w:hint="eastAsia" w:ascii="宋体" w:hAnsi="宋体" w:cs="宋体"/>
                <w:color w:val="000000"/>
                <w:kern w:val="0"/>
                <w:szCs w:val="21"/>
                <w:lang w:bidi="ar"/>
              </w:rPr>
              <w:t>全年净增贷款199.5亿元</w:t>
            </w:r>
          </w:p>
        </w:tc>
      </w:tr>
      <w:tr>
        <w:tblPrEx>
          <w:tblLayout w:type="fixed"/>
          <w:tblCellMar>
            <w:top w:w="0" w:type="dxa"/>
            <w:left w:w="108" w:type="dxa"/>
            <w:bottom w:w="0" w:type="dxa"/>
            <w:right w:w="108" w:type="dxa"/>
          </w:tblCellMar>
        </w:tblPrEx>
        <w:trPr>
          <w:gridAfter w:val="1"/>
          <w:wAfter w:w="382" w:type="dxa"/>
          <w:trHeight w:val="396" w:hRule="atLeast"/>
        </w:trPr>
        <w:tc>
          <w:tcPr>
            <w:tcW w:w="2877" w:type="dxa"/>
            <w:gridSpan w:val="6"/>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一级指标</w:t>
            </w:r>
          </w:p>
        </w:tc>
        <w:tc>
          <w:tcPr>
            <w:tcW w:w="2195" w:type="dxa"/>
            <w:gridSpan w:val="9"/>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二级指标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三级指标</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指标值（包含数字及文字描述）</w:t>
            </w:r>
          </w:p>
        </w:tc>
      </w:tr>
      <w:tr>
        <w:tblPrEx>
          <w:tblLayout w:type="fixed"/>
          <w:tblCellMar>
            <w:top w:w="0" w:type="dxa"/>
            <w:left w:w="108" w:type="dxa"/>
            <w:bottom w:w="0" w:type="dxa"/>
            <w:right w:w="108" w:type="dxa"/>
          </w:tblCellMar>
        </w:tblPrEx>
        <w:trPr>
          <w:gridAfter w:val="1"/>
          <w:wAfter w:w="382" w:type="dxa"/>
          <w:trHeight w:val="271" w:hRule="atLeast"/>
        </w:trPr>
        <w:tc>
          <w:tcPr>
            <w:tcW w:w="2877" w:type="dxa"/>
            <w:gridSpan w:val="6"/>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项目完成指标</w:t>
            </w:r>
          </w:p>
        </w:tc>
        <w:tc>
          <w:tcPr>
            <w:tcW w:w="2195" w:type="dxa"/>
            <w:gridSpan w:val="9"/>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数量指标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组织培训活动(次/年）</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≥1</w:t>
            </w:r>
          </w:p>
        </w:tc>
      </w:tr>
      <w:tr>
        <w:tblPrEx>
          <w:tblLayout w:type="fixed"/>
          <w:tblCellMar>
            <w:top w:w="0" w:type="dxa"/>
            <w:left w:w="108" w:type="dxa"/>
            <w:bottom w:w="0" w:type="dxa"/>
            <w:right w:w="108" w:type="dxa"/>
          </w:tblCellMar>
        </w:tblPrEx>
        <w:trPr>
          <w:gridAfter w:val="1"/>
          <w:wAfter w:w="382" w:type="dxa"/>
          <w:trHeight w:val="255"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开展企业实地调研活动</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≥2</w:t>
            </w:r>
          </w:p>
        </w:tc>
      </w:tr>
      <w:tr>
        <w:tblPrEx>
          <w:tblLayout w:type="fixed"/>
          <w:tblCellMar>
            <w:top w:w="0" w:type="dxa"/>
            <w:left w:w="108" w:type="dxa"/>
            <w:bottom w:w="0" w:type="dxa"/>
            <w:right w:w="108" w:type="dxa"/>
          </w:tblCellMar>
        </w:tblPrEx>
        <w:trPr>
          <w:gridAfter w:val="1"/>
          <w:wAfter w:w="382" w:type="dxa"/>
          <w:trHeight w:val="271"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组织银政企对接交流会</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≥1</w:t>
            </w:r>
          </w:p>
        </w:tc>
      </w:tr>
      <w:tr>
        <w:tblPrEx>
          <w:tblLayout w:type="fixed"/>
          <w:tblCellMar>
            <w:top w:w="0" w:type="dxa"/>
            <w:left w:w="108" w:type="dxa"/>
            <w:bottom w:w="0" w:type="dxa"/>
            <w:right w:w="108" w:type="dxa"/>
          </w:tblCellMar>
        </w:tblPrEx>
        <w:trPr>
          <w:gridAfter w:val="1"/>
          <w:wAfter w:w="382" w:type="dxa"/>
          <w:trHeight w:val="517"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质量指标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组织会议出勤率</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≥80</w:t>
            </w:r>
          </w:p>
        </w:tc>
      </w:tr>
      <w:tr>
        <w:tblPrEx>
          <w:tblLayout w:type="fixed"/>
          <w:tblCellMar>
            <w:top w:w="0" w:type="dxa"/>
            <w:left w:w="108" w:type="dxa"/>
            <w:bottom w:w="0" w:type="dxa"/>
            <w:right w:w="108" w:type="dxa"/>
          </w:tblCellMar>
        </w:tblPrEx>
        <w:trPr>
          <w:gridAfter w:val="1"/>
          <w:wAfter w:w="382" w:type="dxa"/>
          <w:trHeight w:val="544"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时效指标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一年内完成</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≥1&amp;&amp;≤12</w:t>
            </w:r>
          </w:p>
        </w:tc>
      </w:tr>
      <w:tr>
        <w:tblPrEx>
          <w:tblLayout w:type="fixed"/>
          <w:tblCellMar>
            <w:top w:w="0" w:type="dxa"/>
            <w:left w:w="108" w:type="dxa"/>
            <w:bottom w:w="0" w:type="dxa"/>
            <w:right w:w="108" w:type="dxa"/>
          </w:tblCellMar>
        </w:tblPrEx>
        <w:trPr>
          <w:gridAfter w:val="1"/>
          <w:wAfter w:w="382" w:type="dxa"/>
          <w:trHeight w:val="421"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成本指标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开展项目资金使用</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≤15</w:t>
            </w:r>
          </w:p>
        </w:tc>
      </w:tr>
      <w:tr>
        <w:tblPrEx>
          <w:tblLayout w:type="fixed"/>
          <w:tblCellMar>
            <w:top w:w="0" w:type="dxa"/>
            <w:left w:w="108" w:type="dxa"/>
            <w:bottom w:w="0" w:type="dxa"/>
            <w:right w:w="108" w:type="dxa"/>
          </w:tblCellMar>
        </w:tblPrEx>
        <w:trPr>
          <w:gridAfter w:val="1"/>
          <w:wAfter w:w="382" w:type="dxa"/>
          <w:trHeight w:val="271" w:hRule="atLeast"/>
        </w:trPr>
        <w:tc>
          <w:tcPr>
            <w:tcW w:w="2877" w:type="dxa"/>
            <w:gridSpan w:val="6"/>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项目效益指标</w:t>
            </w:r>
          </w:p>
        </w:tc>
        <w:tc>
          <w:tcPr>
            <w:tcW w:w="2195" w:type="dxa"/>
            <w:gridSpan w:val="9"/>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社会效益指标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推进企业上市</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推动</w:t>
            </w:r>
          </w:p>
        </w:tc>
      </w:tr>
      <w:tr>
        <w:tblPrEx>
          <w:tblLayout w:type="fixed"/>
          <w:tblCellMar>
            <w:top w:w="0" w:type="dxa"/>
            <w:left w:w="108" w:type="dxa"/>
            <w:bottom w:w="0" w:type="dxa"/>
            <w:right w:w="108" w:type="dxa"/>
          </w:tblCellMar>
        </w:tblPrEx>
        <w:trPr>
          <w:gridAfter w:val="1"/>
          <w:wAfter w:w="382" w:type="dxa"/>
          <w:trHeight w:val="475" w:hRule="atLeast"/>
        </w:trPr>
        <w:tc>
          <w:tcPr>
            <w:tcW w:w="2877"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2195" w:type="dxa"/>
            <w:gridSpan w:val="9"/>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可持续影响指标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中小企业信贷增加</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推动</w:t>
            </w:r>
          </w:p>
        </w:tc>
      </w:tr>
      <w:tr>
        <w:tblPrEx>
          <w:tblLayout w:type="fixed"/>
          <w:tblCellMar>
            <w:top w:w="0" w:type="dxa"/>
            <w:left w:w="108" w:type="dxa"/>
            <w:bottom w:w="0" w:type="dxa"/>
            <w:right w:w="108" w:type="dxa"/>
          </w:tblCellMar>
        </w:tblPrEx>
        <w:trPr>
          <w:gridAfter w:val="1"/>
          <w:wAfter w:w="382" w:type="dxa"/>
          <w:trHeight w:val="530" w:hRule="atLeast"/>
        </w:trPr>
        <w:tc>
          <w:tcPr>
            <w:tcW w:w="2877" w:type="dxa"/>
            <w:gridSpan w:val="6"/>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满意度指标</w:t>
            </w:r>
          </w:p>
        </w:tc>
        <w:tc>
          <w:tcPr>
            <w:tcW w:w="2195" w:type="dxa"/>
            <w:gridSpan w:val="9"/>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服务对象满意度指标</w:t>
            </w:r>
          </w:p>
        </w:tc>
        <w:tc>
          <w:tcPr>
            <w:tcW w:w="3832"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Cs w:val="21"/>
              </w:rPr>
            </w:pPr>
            <w:r>
              <w:rPr>
                <w:rFonts w:hint="eastAsia" w:ascii="宋体" w:hAnsi="宋体" w:cs="宋体"/>
                <w:color w:val="000000"/>
                <w:kern w:val="0"/>
                <w:szCs w:val="21"/>
                <w:lang w:bidi="ar"/>
              </w:rPr>
              <w:t>服务对象满意度</w:t>
            </w:r>
          </w:p>
        </w:tc>
        <w:tc>
          <w:tcPr>
            <w:tcW w:w="4363"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Cs w:val="21"/>
              </w:rPr>
            </w:pPr>
            <w:r>
              <w:rPr>
                <w:rFonts w:hint="eastAsia" w:ascii="宋体" w:hAnsi="宋体" w:cs="宋体"/>
                <w:color w:val="000000"/>
                <w:kern w:val="0"/>
                <w:szCs w:val="21"/>
                <w:lang w:bidi="ar"/>
              </w:rPr>
              <w:t>=100</w:t>
            </w:r>
          </w:p>
        </w:tc>
      </w:tr>
      <w:tr>
        <w:tblPrEx>
          <w:tblLayout w:type="fixed"/>
          <w:tblCellMar>
            <w:top w:w="0" w:type="dxa"/>
            <w:left w:w="108" w:type="dxa"/>
            <w:bottom w:w="0" w:type="dxa"/>
            <w:right w:w="108" w:type="dxa"/>
          </w:tblCellMar>
        </w:tblPrEx>
        <w:trPr>
          <w:trHeight w:val="406" w:hRule="atLeast"/>
        </w:trPr>
        <w:tc>
          <w:tcPr>
            <w:tcW w:w="13649" w:type="dxa"/>
            <w:gridSpan w:val="23"/>
            <w:tcBorders>
              <w:top w:val="nil"/>
              <w:left w:val="nil"/>
              <w:bottom w:val="nil"/>
              <w:right w:val="nil"/>
            </w:tcBorders>
            <w:shd w:val="clear" w:color="auto" w:fill="auto"/>
            <w:noWrap/>
            <w:vAlign w:val="center"/>
          </w:tcPr>
          <w:p>
            <w:pPr>
              <w:widowControl/>
              <w:ind w:firstLine="4518" w:firstLineChars="1500"/>
              <w:textAlignment w:val="center"/>
              <w:rPr>
                <w:rFonts w:ascii="仿宋" w:hAnsi="仿宋" w:eastAsia="仿宋" w:cs="仿宋"/>
                <w:b/>
                <w:bCs/>
                <w:kern w:val="0"/>
                <w:szCs w:val="21"/>
              </w:rPr>
            </w:pPr>
            <w:r>
              <w:rPr>
                <w:rFonts w:hint="eastAsia" w:ascii="宋体" w:hAnsi="宋体" w:cs="宋体"/>
                <w:b/>
                <w:color w:val="000000"/>
                <w:kern w:val="0"/>
                <w:sz w:val="30"/>
                <w:szCs w:val="30"/>
                <w:lang w:bidi="ar"/>
              </w:rPr>
              <w:t xml:space="preserve">  项 目 支 出 绩 效 目 标 表</w:t>
            </w:r>
          </w:p>
        </w:tc>
      </w:tr>
      <w:tr>
        <w:tblPrEx>
          <w:tblLayout w:type="fixed"/>
          <w:tblCellMar>
            <w:top w:w="0" w:type="dxa"/>
            <w:left w:w="108" w:type="dxa"/>
            <w:bottom w:w="0" w:type="dxa"/>
            <w:right w:w="108" w:type="dxa"/>
          </w:tblCellMar>
        </w:tblPrEx>
        <w:trPr>
          <w:trHeight w:val="271" w:hRule="atLeast"/>
        </w:trPr>
        <w:tc>
          <w:tcPr>
            <w:tcW w:w="13649" w:type="dxa"/>
            <w:gridSpan w:val="23"/>
            <w:tcBorders>
              <w:top w:val="nil"/>
              <w:left w:val="nil"/>
              <w:bottom w:val="nil"/>
              <w:right w:val="nil"/>
            </w:tcBorders>
            <w:shd w:val="clear" w:color="auto" w:fill="auto"/>
            <w:noWrap/>
            <w:vAlign w:val="center"/>
          </w:tcPr>
          <w:p>
            <w:pPr>
              <w:widowControl/>
              <w:jc w:val="center"/>
              <w:textAlignment w:val="center"/>
              <w:rPr>
                <w:rFonts w:ascii="仿宋" w:hAnsi="仿宋" w:eastAsia="仿宋" w:cs="仿宋"/>
                <w:color w:val="000000"/>
                <w:kern w:val="0"/>
                <w:szCs w:val="21"/>
              </w:rPr>
            </w:pPr>
            <w:r>
              <w:rPr>
                <w:rFonts w:hint="eastAsia" w:ascii="宋体" w:hAnsi="宋体" w:cs="宋体"/>
                <w:b/>
                <w:color w:val="000000"/>
                <w:kern w:val="0"/>
                <w:szCs w:val="21"/>
                <w:lang w:bidi="ar"/>
              </w:rPr>
              <w:t>（ 2020 年）</w:t>
            </w:r>
          </w:p>
        </w:tc>
      </w:tr>
      <w:tr>
        <w:tblPrEx>
          <w:tblLayout w:type="fixed"/>
          <w:tblCellMar>
            <w:top w:w="0" w:type="dxa"/>
            <w:left w:w="108" w:type="dxa"/>
            <w:bottom w:w="0" w:type="dxa"/>
            <w:right w:w="108" w:type="dxa"/>
          </w:tblCellMar>
        </w:tblPrEx>
        <w:trPr>
          <w:trHeight w:val="271" w:hRule="atLeast"/>
        </w:trPr>
        <w:tc>
          <w:tcPr>
            <w:tcW w:w="7227" w:type="dxa"/>
            <w:gridSpan w:val="19"/>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编制单位:昌吉回族自治州金融工作办公室</w:t>
            </w:r>
          </w:p>
        </w:tc>
        <w:tc>
          <w:tcPr>
            <w:tcW w:w="64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单位:元</w:t>
            </w:r>
          </w:p>
        </w:tc>
      </w:tr>
      <w:tr>
        <w:tblPrEx>
          <w:tblLayout w:type="fixed"/>
          <w:tblCellMar>
            <w:top w:w="0" w:type="dxa"/>
            <w:left w:w="108" w:type="dxa"/>
            <w:bottom w:w="0" w:type="dxa"/>
            <w:right w:w="108" w:type="dxa"/>
          </w:tblCellMar>
        </w:tblPrEx>
        <w:trPr>
          <w:trHeight w:val="451" w:hRule="atLeast"/>
        </w:trPr>
        <w:tc>
          <w:tcPr>
            <w:tcW w:w="1793"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预算单位</w:t>
            </w:r>
          </w:p>
        </w:tc>
        <w:tc>
          <w:tcPr>
            <w:tcW w:w="2606" w:type="dxa"/>
            <w:gridSpan w:val="10"/>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昌吉回族自治州金融工作办公室</w:t>
            </w:r>
          </w:p>
        </w:tc>
        <w:tc>
          <w:tcPr>
            <w:tcW w:w="2828" w:type="dxa"/>
            <w:gridSpan w:val="7"/>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项目名称</w:t>
            </w:r>
          </w:p>
        </w:tc>
        <w:tc>
          <w:tcPr>
            <w:tcW w:w="64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金融风险防范专项业务经费</w:t>
            </w:r>
          </w:p>
        </w:tc>
      </w:tr>
      <w:tr>
        <w:tblPrEx>
          <w:tblLayout w:type="fixed"/>
          <w:tblCellMar>
            <w:top w:w="0" w:type="dxa"/>
            <w:left w:w="108" w:type="dxa"/>
            <w:bottom w:w="0" w:type="dxa"/>
            <w:right w:w="108" w:type="dxa"/>
          </w:tblCellMar>
        </w:tblPrEx>
        <w:trPr>
          <w:trHeight w:val="401" w:hRule="atLeast"/>
        </w:trPr>
        <w:tc>
          <w:tcPr>
            <w:tcW w:w="1793"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项目资金(万元)</w:t>
            </w:r>
          </w:p>
        </w:tc>
        <w:tc>
          <w:tcPr>
            <w:tcW w:w="1452" w:type="dxa"/>
            <w:gridSpan w:val="5"/>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年度资金总额:</w:t>
            </w:r>
          </w:p>
        </w:tc>
        <w:tc>
          <w:tcPr>
            <w:tcW w:w="586"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 xml:space="preserve">30.00 </w:t>
            </w:r>
          </w:p>
        </w:tc>
        <w:tc>
          <w:tcPr>
            <w:tcW w:w="1514" w:type="dxa"/>
            <w:gridSpan w:val="6"/>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其中:财政拨款</w:t>
            </w:r>
          </w:p>
        </w:tc>
        <w:tc>
          <w:tcPr>
            <w:tcW w:w="1882" w:type="dxa"/>
            <w:gridSpan w:val="3"/>
            <w:tcBorders>
              <w:top w:val="nil"/>
              <w:left w:val="nil"/>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 xml:space="preserve">30.00 </w:t>
            </w:r>
          </w:p>
        </w:tc>
        <w:tc>
          <w:tcPr>
            <w:tcW w:w="1677" w:type="dxa"/>
            <w:gridSpan w:val="2"/>
            <w:tcBorders>
              <w:top w:val="nil"/>
              <w:left w:val="nil"/>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其他资金</w:t>
            </w:r>
          </w:p>
        </w:tc>
        <w:tc>
          <w:tcPr>
            <w:tcW w:w="4745" w:type="dxa"/>
            <w:gridSpan w:val="2"/>
            <w:tcBorders>
              <w:top w:val="nil"/>
              <w:left w:val="nil"/>
              <w:bottom w:val="single" w:color="000000" w:sz="4" w:space="0"/>
              <w:right w:val="single" w:color="000000" w:sz="4" w:space="0"/>
            </w:tcBorders>
            <w:shd w:val="clear" w:color="auto" w:fill="auto"/>
            <w:vAlign w:val="center"/>
          </w:tcPr>
          <w:p>
            <w:pPr>
              <w:jc w:val="center"/>
              <w:rPr>
                <w:sz w:val="18"/>
                <w:szCs w:val="18"/>
              </w:rPr>
            </w:pPr>
          </w:p>
        </w:tc>
      </w:tr>
      <w:tr>
        <w:tblPrEx>
          <w:tblLayout w:type="fixed"/>
          <w:tblCellMar>
            <w:top w:w="0" w:type="dxa"/>
            <w:left w:w="108" w:type="dxa"/>
            <w:bottom w:w="0" w:type="dxa"/>
            <w:right w:w="108" w:type="dxa"/>
          </w:tblCellMar>
        </w:tblPrEx>
        <w:trPr>
          <w:trHeight w:val="271" w:hRule="atLeast"/>
        </w:trPr>
        <w:tc>
          <w:tcPr>
            <w:tcW w:w="1793"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项目总体目标</w:t>
            </w:r>
          </w:p>
        </w:tc>
        <w:tc>
          <w:tcPr>
            <w:tcW w:w="11856" w:type="dxa"/>
            <w:gridSpan w:val="21"/>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组织防范和打击非法集资重点宣传每年2次；开展打击非法集资风险专项排查、互联网金融风险专项排查各2次；开展小额贷款公司、融资担保公司检查1次；完成融资担保公司、典当公司年审。</w:t>
            </w:r>
          </w:p>
        </w:tc>
      </w:tr>
      <w:tr>
        <w:tblPrEx>
          <w:tblLayout w:type="fixed"/>
          <w:tblCellMar>
            <w:top w:w="0" w:type="dxa"/>
            <w:left w:w="108" w:type="dxa"/>
            <w:bottom w:w="0" w:type="dxa"/>
            <w:right w:w="108" w:type="dxa"/>
          </w:tblCellMar>
        </w:tblPrEx>
        <w:trPr>
          <w:trHeight w:val="271" w:hRule="atLeast"/>
        </w:trPr>
        <w:tc>
          <w:tcPr>
            <w:tcW w:w="3245" w:type="dxa"/>
            <w:gridSpan w:val="7"/>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一级指标</w:t>
            </w:r>
          </w:p>
        </w:tc>
        <w:tc>
          <w:tcPr>
            <w:tcW w:w="1154" w:type="dxa"/>
            <w:gridSpan w:val="5"/>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二级指标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三级指标</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指标值（包含数字及文字描述）</w:t>
            </w:r>
          </w:p>
        </w:tc>
      </w:tr>
      <w:tr>
        <w:tblPrEx>
          <w:tblLayout w:type="fixed"/>
          <w:tblCellMar>
            <w:top w:w="0" w:type="dxa"/>
            <w:left w:w="108" w:type="dxa"/>
            <w:bottom w:w="0" w:type="dxa"/>
            <w:right w:w="108" w:type="dxa"/>
          </w:tblCellMar>
        </w:tblPrEx>
        <w:trPr>
          <w:trHeight w:val="271" w:hRule="atLeast"/>
        </w:trPr>
        <w:tc>
          <w:tcPr>
            <w:tcW w:w="3245" w:type="dxa"/>
            <w:gridSpan w:val="7"/>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项目完成指标</w:t>
            </w:r>
          </w:p>
        </w:tc>
        <w:tc>
          <w:tcPr>
            <w:tcW w:w="1154" w:type="dxa"/>
            <w:gridSpan w:val="5"/>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数量指标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组织宣传活动（次/年）</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≥2</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县市园区调研指导次数（次/年）</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≥2</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小贷、融资担保、典当行年审</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组织开展会议</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≥2&amp;&amp;≤4</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组织学习培训</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=6</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质量指标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非法集资风险知晓率</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≥0</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时效指标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一年内完成</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≥1&amp;&amp;≤12</w:t>
            </w:r>
          </w:p>
        </w:tc>
      </w:tr>
      <w:tr>
        <w:tblPrEx>
          <w:tblLayout w:type="fixed"/>
          <w:tblCellMar>
            <w:top w:w="0" w:type="dxa"/>
            <w:left w:w="108" w:type="dxa"/>
            <w:bottom w:w="0" w:type="dxa"/>
            <w:right w:w="108" w:type="dxa"/>
          </w:tblCellMar>
        </w:tblPrEx>
        <w:trPr>
          <w:trHeight w:val="271" w:hRule="atLeast"/>
        </w:trPr>
        <w:tc>
          <w:tcPr>
            <w:tcW w:w="3245"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154" w:type="dxa"/>
            <w:gridSpan w:val="5"/>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成本指标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开展项目资金使用</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≤30</w:t>
            </w:r>
          </w:p>
        </w:tc>
      </w:tr>
      <w:tr>
        <w:tblPrEx>
          <w:tblLayout w:type="fixed"/>
          <w:tblCellMar>
            <w:top w:w="0" w:type="dxa"/>
            <w:left w:w="108" w:type="dxa"/>
            <w:bottom w:w="0" w:type="dxa"/>
            <w:right w:w="108" w:type="dxa"/>
          </w:tblCellMar>
        </w:tblPrEx>
        <w:trPr>
          <w:trHeight w:val="271" w:hRule="atLeast"/>
        </w:trPr>
        <w:tc>
          <w:tcPr>
            <w:tcW w:w="3245" w:type="dxa"/>
            <w:gridSpan w:val="7"/>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项目效益指标</w:t>
            </w:r>
          </w:p>
        </w:tc>
        <w:tc>
          <w:tcPr>
            <w:tcW w:w="1154" w:type="dxa"/>
            <w:gridSpan w:val="5"/>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社会效益指标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县市园区宣传活动覆盖率</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=100</w:t>
            </w:r>
          </w:p>
        </w:tc>
      </w:tr>
      <w:tr>
        <w:tblPrEx>
          <w:tblLayout w:type="fixed"/>
          <w:tblCellMar>
            <w:top w:w="0" w:type="dxa"/>
            <w:left w:w="108" w:type="dxa"/>
            <w:bottom w:w="0" w:type="dxa"/>
            <w:right w:w="108" w:type="dxa"/>
          </w:tblCellMar>
        </w:tblPrEx>
        <w:trPr>
          <w:trHeight w:val="283" w:hRule="atLeast"/>
        </w:trPr>
        <w:tc>
          <w:tcPr>
            <w:tcW w:w="3245" w:type="dxa"/>
            <w:gridSpan w:val="7"/>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kern w:val="0"/>
                <w:sz w:val="18"/>
                <w:szCs w:val="18"/>
              </w:rPr>
            </w:pPr>
          </w:p>
        </w:tc>
        <w:tc>
          <w:tcPr>
            <w:tcW w:w="1154" w:type="dxa"/>
            <w:gridSpan w:val="5"/>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可持续影响指标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非法集资涉案参与人员减少</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较上年减少</w:t>
            </w:r>
          </w:p>
        </w:tc>
      </w:tr>
      <w:tr>
        <w:tblPrEx>
          <w:tblLayout w:type="fixed"/>
          <w:tblCellMar>
            <w:top w:w="0" w:type="dxa"/>
            <w:left w:w="108" w:type="dxa"/>
            <w:bottom w:w="0" w:type="dxa"/>
            <w:right w:w="108" w:type="dxa"/>
          </w:tblCellMar>
        </w:tblPrEx>
        <w:trPr>
          <w:trHeight w:val="283" w:hRule="atLeast"/>
        </w:trPr>
        <w:tc>
          <w:tcPr>
            <w:tcW w:w="3245" w:type="dxa"/>
            <w:gridSpan w:val="7"/>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满意度指标</w:t>
            </w:r>
          </w:p>
        </w:tc>
        <w:tc>
          <w:tcPr>
            <w:tcW w:w="1154" w:type="dxa"/>
            <w:gridSpan w:val="5"/>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服务对象满意度指标</w:t>
            </w:r>
          </w:p>
        </w:tc>
        <w:tc>
          <w:tcPr>
            <w:tcW w:w="282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服务对象满意度</w:t>
            </w:r>
          </w:p>
        </w:tc>
        <w:tc>
          <w:tcPr>
            <w:tcW w:w="642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=100</w:t>
            </w:r>
          </w:p>
        </w:tc>
      </w:tr>
      <w:tr>
        <w:tblPrEx>
          <w:tblLayout w:type="fixed"/>
          <w:tblCellMar>
            <w:top w:w="0" w:type="dxa"/>
            <w:left w:w="108" w:type="dxa"/>
            <w:bottom w:w="0" w:type="dxa"/>
            <w:right w:w="108" w:type="dxa"/>
          </w:tblCellMar>
        </w:tblPrEx>
        <w:trPr>
          <w:trHeight w:val="406" w:hRule="atLeast"/>
        </w:trPr>
        <w:tc>
          <w:tcPr>
            <w:tcW w:w="13649" w:type="dxa"/>
            <w:gridSpan w:val="23"/>
            <w:tcBorders>
              <w:top w:val="nil"/>
              <w:left w:val="nil"/>
              <w:bottom w:val="nil"/>
              <w:right w:val="nil"/>
            </w:tcBorders>
            <w:shd w:val="clear" w:color="auto" w:fill="auto"/>
            <w:noWrap/>
            <w:vAlign w:val="center"/>
          </w:tcPr>
          <w:p>
            <w:pPr>
              <w:widowControl/>
              <w:jc w:val="center"/>
              <w:textAlignment w:val="center"/>
              <w:rPr>
                <w:rFonts w:ascii="仿宋" w:hAnsi="仿宋" w:eastAsia="仿宋" w:cs="仿宋"/>
                <w:b/>
                <w:bCs/>
                <w:kern w:val="0"/>
                <w:sz w:val="32"/>
                <w:szCs w:val="32"/>
              </w:rPr>
            </w:pPr>
            <w:r>
              <w:rPr>
                <w:rFonts w:hint="eastAsia" w:ascii="宋体" w:hAnsi="宋体" w:cs="宋体"/>
                <w:b/>
                <w:color w:val="000000"/>
                <w:kern w:val="0"/>
                <w:sz w:val="36"/>
                <w:szCs w:val="36"/>
                <w:lang w:bidi="ar"/>
              </w:rPr>
              <w:t xml:space="preserve">  项 目 支 出 绩 效 目 标 表</w:t>
            </w:r>
          </w:p>
        </w:tc>
      </w:tr>
      <w:tr>
        <w:tblPrEx>
          <w:tblLayout w:type="fixed"/>
          <w:tblCellMar>
            <w:top w:w="0" w:type="dxa"/>
            <w:left w:w="108" w:type="dxa"/>
            <w:bottom w:w="0" w:type="dxa"/>
            <w:right w:w="108" w:type="dxa"/>
          </w:tblCellMar>
        </w:tblPrEx>
        <w:trPr>
          <w:trHeight w:val="271" w:hRule="atLeast"/>
        </w:trPr>
        <w:tc>
          <w:tcPr>
            <w:tcW w:w="13649" w:type="dxa"/>
            <w:gridSpan w:val="23"/>
            <w:tcBorders>
              <w:top w:val="nil"/>
              <w:left w:val="nil"/>
              <w:bottom w:val="nil"/>
              <w:right w:val="nil"/>
            </w:tcBorders>
            <w:shd w:val="clear" w:color="auto" w:fill="auto"/>
            <w:noWrap/>
            <w:vAlign w:val="center"/>
          </w:tcPr>
          <w:p>
            <w:pPr>
              <w:widowControl/>
              <w:jc w:val="center"/>
              <w:textAlignment w:val="center"/>
              <w:rPr>
                <w:rFonts w:ascii="仿宋" w:hAnsi="仿宋" w:eastAsia="仿宋" w:cs="仿宋"/>
                <w:color w:val="000000"/>
                <w:kern w:val="0"/>
                <w:sz w:val="22"/>
              </w:rPr>
            </w:pPr>
            <w:r>
              <w:rPr>
                <w:rFonts w:hint="eastAsia" w:ascii="宋体" w:hAnsi="宋体" w:cs="宋体"/>
                <w:b/>
                <w:color w:val="000000"/>
                <w:kern w:val="0"/>
                <w:sz w:val="28"/>
                <w:szCs w:val="28"/>
                <w:lang w:bidi="ar"/>
              </w:rPr>
              <w:t>（ 2020 年）</w:t>
            </w:r>
          </w:p>
        </w:tc>
      </w:tr>
      <w:tr>
        <w:tblPrEx>
          <w:tblLayout w:type="fixed"/>
          <w:tblCellMar>
            <w:top w:w="0" w:type="dxa"/>
            <w:left w:w="108" w:type="dxa"/>
            <w:bottom w:w="0" w:type="dxa"/>
            <w:right w:w="108" w:type="dxa"/>
          </w:tblCellMar>
        </w:tblPrEx>
        <w:trPr>
          <w:trHeight w:val="271" w:hRule="atLeast"/>
        </w:trPr>
        <w:tc>
          <w:tcPr>
            <w:tcW w:w="6835" w:type="dxa"/>
            <w:gridSpan w:val="1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编制单位:昌吉回族自治州金融工作办公室</w:t>
            </w:r>
          </w:p>
        </w:tc>
        <w:tc>
          <w:tcPr>
            <w:tcW w:w="6814" w:type="dxa"/>
            <w:gridSpan w:val="6"/>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单位:元</w:t>
            </w:r>
          </w:p>
        </w:tc>
      </w:tr>
      <w:tr>
        <w:tblPrEx>
          <w:tblLayout w:type="fixed"/>
          <w:tblCellMar>
            <w:top w:w="0" w:type="dxa"/>
            <w:left w:w="108" w:type="dxa"/>
            <w:bottom w:w="0" w:type="dxa"/>
            <w:right w:w="108" w:type="dxa"/>
          </w:tblCellMar>
        </w:tblPrEx>
        <w:trPr>
          <w:trHeight w:val="451" w:hRule="atLeast"/>
        </w:trPr>
        <w:tc>
          <w:tcPr>
            <w:tcW w:w="1699"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预算单位</w:t>
            </w:r>
          </w:p>
        </w:tc>
        <w:tc>
          <w:tcPr>
            <w:tcW w:w="2190" w:type="dxa"/>
            <w:gridSpan w:val="10"/>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昌吉回族自治州金融工作办公室</w:t>
            </w:r>
          </w:p>
        </w:tc>
        <w:tc>
          <w:tcPr>
            <w:tcW w:w="2946" w:type="dxa"/>
            <w:gridSpan w:val="6"/>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项目名称</w:t>
            </w:r>
          </w:p>
        </w:tc>
        <w:tc>
          <w:tcPr>
            <w:tcW w:w="6814" w:type="dxa"/>
            <w:gridSpan w:val="6"/>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绿色金融专项业务经费</w:t>
            </w:r>
          </w:p>
        </w:tc>
      </w:tr>
      <w:tr>
        <w:tblPrEx>
          <w:tblLayout w:type="fixed"/>
          <w:tblCellMar>
            <w:top w:w="0" w:type="dxa"/>
            <w:left w:w="108" w:type="dxa"/>
            <w:bottom w:w="0" w:type="dxa"/>
            <w:right w:w="108" w:type="dxa"/>
          </w:tblCellMar>
        </w:tblPrEx>
        <w:trPr>
          <w:trHeight w:val="401" w:hRule="atLeast"/>
        </w:trPr>
        <w:tc>
          <w:tcPr>
            <w:tcW w:w="1699"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项目资金(万元)</w:t>
            </w:r>
          </w:p>
        </w:tc>
        <w:tc>
          <w:tcPr>
            <w:tcW w:w="1068" w:type="dxa"/>
            <w:gridSpan w:val="4"/>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年度资金总额:</w:t>
            </w:r>
          </w:p>
        </w:tc>
        <w:tc>
          <w:tcPr>
            <w:tcW w:w="587"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 xml:space="preserve">10.00 </w:t>
            </w:r>
          </w:p>
        </w:tc>
        <w:tc>
          <w:tcPr>
            <w:tcW w:w="1177" w:type="dxa"/>
            <w:gridSpan w:val="5"/>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其中:财政拨款</w:t>
            </w:r>
          </w:p>
        </w:tc>
        <w:tc>
          <w:tcPr>
            <w:tcW w:w="2497" w:type="dxa"/>
            <w:gridSpan w:val="5"/>
            <w:tcBorders>
              <w:top w:val="nil"/>
              <w:left w:val="nil"/>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 xml:space="preserve">10.00 </w:t>
            </w:r>
          </w:p>
        </w:tc>
        <w:tc>
          <w:tcPr>
            <w:tcW w:w="1876" w:type="dxa"/>
            <w:gridSpan w:val="3"/>
            <w:tcBorders>
              <w:top w:val="nil"/>
              <w:left w:val="nil"/>
              <w:bottom w:val="single" w:color="000000" w:sz="4" w:space="0"/>
              <w:right w:val="single" w:color="000000" w:sz="4" w:space="0"/>
            </w:tcBorders>
            <w:shd w:val="clear" w:color="auto" w:fill="auto"/>
            <w:vAlign w:val="center"/>
          </w:tcPr>
          <w:p>
            <w:pPr>
              <w:widowControl/>
              <w:jc w:val="center"/>
              <w:textAlignment w:val="center"/>
              <w:rPr>
                <w:sz w:val="18"/>
                <w:szCs w:val="18"/>
              </w:rPr>
            </w:pPr>
            <w:r>
              <w:rPr>
                <w:rFonts w:hint="eastAsia" w:ascii="宋体" w:hAnsi="宋体" w:cs="宋体"/>
                <w:color w:val="000000"/>
                <w:kern w:val="0"/>
                <w:sz w:val="18"/>
                <w:szCs w:val="18"/>
                <w:lang w:bidi="ar"/>
              </w:rPr>
              <w:t>其他资金</w:t>
            </w:r>
          </w:p>
        </w:tc>
        <w:tc>
          <w:tcPr>
            <w:tcW w:w="4745" w:type="dxa"/>
            <w:gridSpan w:val="2"/>
            <w:tcBorders>
              <w:top w:val="nil"/>
              <w:left w:val="nil"/>
              <w:bottom w:val="single" w:color="000000" w:sz="4" w:space="0"/>
              <w:right w:val="single" w:color="000000" w:sz="4" w:space="0"/>
            </w:tcBorders>
            <w:shd w:val="clear" w:color="auto" w:fill="auto"/>
            <w:vAlign w:val="center"/>
          </w:tcPr>
          <w:p>
            <w:pPr>
              <w:jc w:val="center"/>
              <w:rPr>
                <w:sz w:val="18"/>
                <w:szCs w:val="18"/>
              </w:rPr>
            </w:pPr>
          </w:p>
        </w:tc>
      </w:tr>
      <w:tr>
        <w:tblPrEx>
          <w:tblLayout w:type="fixed"/>
          <w:tblCellMar>
            <w:top w:w="0" w:type="dxa"/>
            <w:left w:w="108" w:type="dxa"/>
            <w:bottom w:w="0" w:type="dxa"/>
            <w:right w:w="108" w:type="dxa"/>
          </w:tblCellMar>
        </w:tblPrEx>
        <w:trPr>
          <w:trHeight w:val="271" w:hRule="atLeast"/>
        </w:trPr>
        <w:tc>
          <w:tcPr>
            <w:tcW w:w="1699"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项目总体目标</w:t>
            </w:r>
          </w:p>
        </w:tc>
        <w:tc>
          <w:tcPr>
            <w:tcW w:w="11950" w:type="dxa"/>
            <w:gridSpan w:val="22"/>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b/>
                <w:bCs/>
                <w:kern w:val="0"/>
                <w:sz w:val="18"/>
                <w:szCs w:val="18"/>
              </w:rPr>
            </w:pPr>
            <w:r>
              <w:rPr>
                <w:rFonts w:hint="eastAsia" w:ascii="宋体" w:hAnsi="宋体" w:cs="宋体"/>
                <w:color w:val="000000"/>
                <w:kern w:val="0"/>
                <w:sz w:val="18"/>
                <w:szCs w:val="18"/>
                <w:lang w:bidi="ar"/>
              </w:rPr>
              <w:t>≧95</w:t>
            </w:r>
          </w:p>
        </w:tc>
      </w:tr>
      <w:tr>
        <w:tblPrEx>
          <w:tblLayout w:type="fixed"/>
          <w:tblCellMar>
            <w:top w:w="0" w:type="dxa"/>
            <w:left w:w="108" w:type="dxa"/>
            <w:bottom w:w="0" w:type="dxa"/>
            <w:right w:w="108" w:type="dxa"/>
          </w:tblCellMar>
        </w:tblPrEx>
        <w:trPr>
          <w:trHeight w:val="271" w:hRule="atLeast"/>
        </w:trPr>
        <w:tc>
          <w:tcPr>
            <w:tcW w:w="1939" w:type="dxa"/>
            <w:gridSpan w:val="4"/>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一级指标</w:t>
            </w:r>
          </w:p>
        </w:tc>
        <w:tc>
          <w:tcPr>
            <w:tcW w:w="1950" w:type="dxa"/>
            <w:gridSpan w:val="7"/>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二级指标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三级指标</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指标值（包含数字及文字描述）</w:t>
            </w:r>
          </w:p>
        </w:tc>
      </w:tr>
      <w:tr>
        <w:tblPrEx>
          <w:tblLayout w:type="fixed"/>
          <w:tblCellMar>
            <w:top w:w="0" w:type="dxa"/>
            <w:left w:w="108" w:type="dxa"/>
            <w:bottom w:w="0" w:type="dxa"/>
            <w:right w:w="108" w:type="dxa"/>
          </w:tblCellMar>
        </w:tblPrEx>
        <w:trPr>
          <w:trHeight w:val="271" w:hRule="atLeast"/>
        </w:trPr>
        <w:tc>
          <w:tcPr>
            <w:tcW w:w="1939" w:type="dxa"/>
            <w:gridSpan w:val="4"/>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项目完成指标</w:t>
            </w:r>
          </w:p>
        </w:tc>
        <w:tc>
          <w:tcPr>
            <w:tcW w:w="1950" w:type="dxa"/>
            <w:gridSpan w:val="7"/>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数量指标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绿色金融调研</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≥2</w:t>
            </w:r>
          </w:p>
        </w:tc>
      </w:tr>
      <w:tr>
        <w:tblPrEx>
          <w:tblLayout w:type="fixed"/>
          <w:tblCellMar>
            <w:top w:w="0" w:type="dxa"/>
            <w:left w:w="108" w:type="dxa"/>
            <w:bottom w:w="0" w:type="dxa"/>
            <w:right w:w="108" w:type="dxa"/>
          </w:tblCellMar>
        </w:tblPrEx>
        <w:trPr>
          <w:trHeight w:val="362"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绿色金融培训</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≥10||≤2</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绿色金融交流学习</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≥1&amp;&amp;≤2</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绿色金融宣传</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绿色金融会务费</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≥1&amp;&amp;≤3</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专家指导/设计费</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质量指标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kern w:val="0"/>
                <w:sz w:val="18"/>
                <w:szCs w:val="18"/>
              </w:rPr>
            </w:pPr>
            <w:r>
              <w:rPr>
                <w:rFonts w:hint="eastAsia" w:ascii="宋体" w:hAnsi="宋体" w:cs="宋体"/>
                <w:color w:val="000000"/>
                <w:kern w:val="0"/>
                <w:sz w:val="18"/>
                <w:szCs w:val="18"/>
                <w:lang w:bidi="ar"/>
              </w:rPr>
              <w:t>组织会议出勤率</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≥80</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时效指标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kern w:val="0"/>
                <w:sz w:val="18"/>
                <w:szCs w:val="18"/>
              </w:rPr>
            </w:pPr>
            <w:r>
              <w:rPr>
                <w:rFonts w:hint="eastAsia" w:ascii="宋体" w:hAnsi="宋体" w:cs="宋体"/>
                <w:color w:val="000000"/>
                <w:kern w:val="0"/>
                <w:sz w:val="18"/>
                <w:szCs w:val="18"/>
                <w:lang w:bidi="ar"/>
              </w:rPr>
              <w:t>一年内完成</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≥1&amp;&amp;≤12</w:t>
            </w:r>
          </w:p>
        </w:tc>
      </w:tr>
      <w:tr>
        <w:tblPrEx>
          <w:tblLayout w:type="fixed"/>
          <w:tblCellMar>
            <w:top w:w="0" w:type="dxa"/>
            <w:left w:w="108" w:type="dxa"/>
            <w:bottom w:w="0" w:type="dxa"/>
            <w:right w:w="108" w:type="dxa"/>
          </w:tblCellMar>
        </w:tblPrEx>
        <w:trPr>
          <w:trHeight w:val="271" w:hRule="atLeast"/>
        </w:trPr>
        <w:tc>
          <w:tcPr>
            <w:tcW w:w="1939" w:type="dxa"/>
            <w:gridSpan w:val="4"/>
            <w:vMerge w:val="continue"/>
            <w:tcBorders>
              <w:top w:val="nil"/>
              <w:left w:val="single" w:color="000000" w:sz="4" w:space="0"/>
              <w:bottom w:val="single" w:color="000000" w:sz="4" w:space="0"/>
              <w:right w:val="single" w:color="auto" w:sz="4" w:space="0"/>
            </w:tcBorders>
            <w:vAlign w:val="center"/>
          </w:tcPr>
          <w:p>
            <w:pPr>
              <w:jc w:val="center"/>
              <w:rPr>
                <w:rFonts w:ascii="仿宋" w:hAnsi="仿宋" w:eastAsia="仿宋" w:cs="仿宋"/>
                <w:kern w:val="0"/>
                <w:sz w:val="18"/>
                <w:szCs w:val="18"/>
              </w:rPr>
            </w:pPr>
          </w:p>
        </w:tc>
        <w:tc>
          <w:tcPr>
            <w:tcW w:w="1950" w:type="dxa"/>
            <w:gridSpan w:val="7"/>
            <w:tcBorders>
              <w:top w:val="nil"/>
              <w:left w:val="single" w:color="000000" w:sz="4" w:space="0"/>
              <w:bottom w:val="single" w:color="000000" w:sz="4" w:space="0"/>
              <w:right w:val="single" w:color="auto"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成本指标</w:t>
            </w:r>
          </w:p>
        </w:tc>
        <w:tc>
          <w:tcPr>
            <w:tcW w:w="2946" w:type="dxa"/>
            <w:gridSpan w:val="6"/>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展项目资金使用</w:t>
            </w:r>
          </w:p>
        </w:tc>
        <w:tc>
          <w:tcPr>
            <w:tcW w:w="6814" w:type="dxa"/>
            <w:gridSpan w:val="6"/>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=10</w:t>
            </w:r>
          </w:p>
        </w:tc>
      </w:tr>
      <w:tr>
        <w:tblPrEx>
          <w:tblLayout w:type="fixed"/>
          <w:tblCellMar>
            <w:top w:w="0" w:type="dxa"/>
            <w:left w:w="108" w:type="dxa"/>
            <w:bottom w:w="0" w:type="dxa"/>
            <w:right w:w="108" w:type="dxa"/>
          </w:tblCellMar>
        </w:tblPrEx>
        <w:trPr>
          <w:trHeight w:val="283" w:hRule="atLeast"/>
        </w:trPr>
        <w:tc>
          <w:tcPr>
            <w:tcW w:w="1939"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项目效益指标</w:t>
            </w:r>
          </w:p>
        </w:tc>
        <w:tc>
          <w:tcPr>
            <w:tcW w:w="1950" w:type="dxa"/>
            <w:gridSpan w:val="7"/>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社会效益指标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 xml:space="preserve">推进绿色金融试验区建设 </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推动</w:t>
            </w:r>
          </w:p>
        </w:tc>
      </w:tr>
      <w:tr>
        <w:tblPrEx>
          <w:tblLayout w:type="fixed"/>
          <w:tblCellMar>
            <w:top w:w="0" w:type="dxa"/>
            <w:left w:w="108" w:type="dxa"/>
            <w:bottom w:w="0" w:type="dxa"/>
            <w:right w:w="108" w:type="dxa"/>
          </w:tblCellMar>
        </w:tblPrEx>
        <w:trPr>
          <w:trHeight w:val="229" w:hRule="atLeast"/>
        </w:trPr>
        <w:tc>
          <w:tcPr>
            <w:tcW w:w="1939" w:type="dxa"/>
            <w:gridSpan w:val="4"/>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kern w:val="0"/>
                <w:sz w:val="18"/>
                <w:szCs w:val="18"/>
              </w:rPr>
            </w:pPr>
          </w:p>
        </w:tc>
        <w:tc>
          <w:tcPr>
            <w:tcW w:w="1950" w:type="dxa"/>
            <w:gridSpan w:val="7"/>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可持续影响指标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推动绿色信贷</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推动</w:t>
            </w:r>
          </w:p>
        </w:tc>
      </w:tr>
      <w:tr>
        <w:tblPrEx>
          <w:tblLayout w:type="fixed"/>
          <w:tblCellMar>
            <w:top w:w="0" w:type="dxa"/>
            <w:left w:w="108" w:type="dxa"/>
            <w:bottom w:w="0" w:type="dxa"/>
            <w:right w:w="108" w:type="dxa"/>
          </w:tblCellMar>
        </w:tblPrEx>
        <w:trPr>
          <w:trHeight w:val="283" w:hRule="atLeast"/>
        </w:trPr>
        <w:tc>
          <w:tcPr>
            <w:tcW w:w="1939" w:type="dxa"/>
            <w:gridSpan w:val="4"/>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满意度指标</w:t>
            </w:r>
          </w:p>
        </w:tc>
        <w:tc>
          <w:tcPr>
            <w:tcW w:w="1950" w:type="dxa"/>
            <w:gridSpan w:val="7"/>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服务对象满意度指标</w:t>
            </w:r>
          </w:p>
        </w:tc>
        <w:tc>
          <w:tcPr>
            <w:tcW w:w="2946"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kern w:val="0"/>
                <w:sz w:val="18"/>
                <w:szCs w:val="18"/>
              </w:rPr>
            </w:pPr>
            <w:r>
              <w:rPr>
                <w:rFonts w:hint="eastAsia" w:ascii="宋体" w:hAnsi="宋体" w:cs="宋体"/>
                <w:color w:val="000000"/>
                <w:kern w:val="0"/>
                <w:sz w:val="18"/>
                <w:szCs w:val="18"/>
                <w:lang w:bidi="ar"/>
              </w:rPr>
              <w:t>服务对象满意度</w:t>
            </w:r>
          </w:p>
        </w:tc>
        <w:tc>
          <w:tcPr>
            <w:tcW w:w="6814"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kern w:val="0"/>
                <w:sz w:val="18"/>
                <w:szCs w:val="18"/>
              </w:rPr>
            </w:pPr>
            <w:r>
              <w:rPr>
                <w:rFonts w:hint="eastAsia" w:ascii="宋体" w:hAnsi="宋体" w:cs="宋体"/>
                <w:color w:val="000000"/>
                <w:kern w:val="0"/>
                <w:sz w:val="18"/>
                <w:szCs w:val="18"/>
                <w:lang w:bidi="ar"/>
              </w:rPr>
              <w:t>=100</w:t>
            </w:r>
          </w:p>
        </w:tc>
      </w:tr>
    </w:tbl>
    <w:p>
      <w:pPr>
        <w:widowControl/>
        <w:spacing w:line="560" w:lineRule="exact"/>
        <w:ind w:firstLine="630" w:firstLineChars="196"/>
        <w:jc w:val="left"/>
        <w:rPr>
          <w:rFonts w:ascii="仿宋" w:hAnsi="仿宋" w:eastAsia="仿宋" w:cs="仿宋"/>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43" w:firstLineChars="200"/>
        <w:jc w:val="left"/>
        <w:rPr>
          <w:rFonts w:ascii="仿宋" w:hAnsi="仿宋" w:eastAsia="仿宋" w:cs="仿宋"/>
          <w:kern w:val="0"/>
          <w:sz w:val="32"/>
          <w:szCs w:val="32"/>
        </w:rPr>
      </w:pPr>
      <w:r>
        <w:rPr>
          <w:rFonts w:hint="eastAsia" w:ascii="仿宋" w:hAnsi="仿宋" w:eastAsia="仿宋" w:cs="仿宋"/>
          <w:b/>
          <w:kern w:val="0"/>
          <w:sz w:val="32"/>
          <w:szCs w:val="32"/>
        </w:rPr>
        <w:t>（五）其他需说明的事项</w:t>
      </w:r>
      <w:r>
        <w:rPr>
          <w:rFonts w:hint="eastAsia" w:ascii="仿宋" w:hAnsi="仿宋" w:eastAsia="仿宋" w:cs="仿宋"/>
          <w:kern w:val="0"/>
          <w:sz w:val="32"/>
          <w:szCs w:val="32"/>
        </w:rPr>
        <w:t xml:space="preserve">    </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highlight w:val="none"/>
        </w:rPr>
        <w:t>无其他需要说明的事项</w:t>
      </w:r>
      <w:r>
        <w:rPr>
          <w:rFonts w:hint="eastAsia" w:ascii="仿宋" w:hAnsi="仿宋" w:eastAsia="仿宋" w:cs="仿宋"/>
          <w:kern w:val="0"/>
          <w:sz w:val="32"/>
          <w:szCs w:val="32"/>
        </w:rPr>
        <w:t xml:space="preserve">。     </w:t>
      </w:r>
    </w:p>
    <w:p>
      <w:pPr>
        <w:widowControl/>
        <w:spacing w:before="156" w:beforeLines="50" w:line="640" w:lineRule="exact"/>
        <w:jc w:val="center"/>
        <w:outlineLvl w:val="1"/>
        <w:rPr>
          <w:rFonts w:ascii="黑体" w:hAnsi="黑体" w:eastAsia="黑体"/>
          <w:kern w:val="0"/>
          <w:sz w:val="32"/>
          <w:szCs w:val="32"/>
        </w:rPr>
      </w:pPr>
      <w:bookmarkStart w:id="0" w:name="_GoBack"/>
      <w:bookmarkEnd w:id="0"/>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6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64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64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64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64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64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64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640" w:lineRule="exact"/>
        <w:jc w:val="left"/>
        <w:rPr>
          <w:rFonts w:ascii="仿宋" w:hAnsi="仿宋" w:eastAsia="仿宋" w:cs="仿宋"/>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 w:hAnsi="仿宋" w:eastAsia="仿宋" w:cs="仿宋"/>
          <w:kern w:val="0"/>
          <w:sz w:val="32"/>
          <w:szCs w:val="32"/>
        </w:rPr>
      </w:pPr>
    </w:p>
    <w:p>
      <w:pPr>
        <w:widowControl/>
        <w:spacing w:line="560" w:lineRule="exact"/>
        <w:jc w:val="left"/>
        <w:rPr>
          <w:rFonts w:ascii="仿宋" w:hAnsi="仿宋" w:eastAsia="仿宋" w:cs="仿宋"/>
          <w:kern w:val="0"/>
          <w:sz w:val="32"/>
          <w:szCs w:val="32"/>
        </w:rPr>
      </w:pPr>
    </w:p>
    <w:p>
      <w:pPr>
        <w:widowControl/>
        <w:spacing w:line="560" w:lineRule="exact"/>
        <w:jc w:val="left"/>
        <w:rPr>
          <w:rFonts w:ascii="仿宋" w:hAnsi="仿宋" w:eastAsia="仿宋" w:cs="仿宋"/>
          <w:kern w:val="0"/>
          <w:sz w:val="32"/>
          <w:szCs w:val="32"/>
        </w:rPr>
      </w:pPr>
      <w:r>
        <w:rPr>
          <w:rFonts w:hint="eastAsia" w:ascii="仿宋" w:hAnsi="仿宋" w:eastAsia="仿宋" w:cs="仿宋"/>
          <w:kern w:val="0"/>
          <w:sz w:val="32"/>
          <w:szCs w:val="32"/>
        </w:rPr>
        <w:t xml:space="preserve">                               昌吉州金融工作办公室</w:t>
      </w:r>
    </w:p>
    <w:p>
      <w:pPr>
        <w:widowControl/>
        <w:spacing w:line="560" w:lineRule="exact"/>
        <w:jc w:val="left"/>
        <w:rPr>
          <w:rFonts w:ascii="仿宋" w:hAnsi="仿宋" w:eastAsia="仿宋" w:cs="仿宋"/>
          <w:kern w:val="0"/>
          <w:sz w:val="32"/>
          <w:szCs w:val="32"/>
        </w:rPr>
      </w:pPr>
      <w:r>
        <w:rPr>
          <w:rFonts w:hint="eastAsia" w:ascii="仿宋" w:hAnsi="仿宋" w:eastAsia="仿宋" w:cs="仿宋"/>
          <w:kern w:val="0"/>
          <w:sz w:val="32"/>
          <w:szCs w:val="32"/>
        </w:rPr>
        <w:t xml:space="preserve">                                 2020年1月22日</w:t>
      </w:r>
    </w:p>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159308"/>
    <w:multiLevelType w:val="singleLevel"/>
    <w:tmpl w:val="DF159308"/>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EB"/>
    <w:rsid w:val="000B78BD"/>
    <w:rsid w:val="000D26F7"/>
    <w:rsid w:val="000F66DD"/>
    <w:rsid w:val="00116B75"/>
    <w:rsid w:val="00172A27"/>
    <w:rsid w:val="001833B0"/>
    <w:rsid w:val="002B5144"/>
    <w:rsid w:val="00317EFF"/>
    <w:rsid w:val="00325B17"/>
    <w:rsid w:val="006C221B"/>
    <w:rsid w:val="00706171"/>
    <w:rsid w:val="007415E7"/>
    <w:rsid w:val="00757310"/>
    <w:rsid w:val="00841512"/>
    <w:rsid w:val="00993906"/>
    <w:rsid w:val="00994509"/>
    <w:rsid w:val="00A525D3"/>
    <w:rsid w:val="00AF5D9D"/>
    <w:rsid w:val="00B46753"/>
    <w:rsid w:val="00B67648"/>
    <w:rsid w:val="00B9733A"/>
    <w:rsid w:val="00C9104A"/>
    <w:rsid w:val="00D0659E"/>
    <w:rsid w:val="00D95B2F"/>
    <w:rsid w:val="00DB50D1"/>
    <w:rsid w:val="00EE458B"/>
    <w:rsid w:val="00FC6ABD"/>
    <w:rsid w:val="00FF1D05"/>
    <w:rsid w:val="01387433"/>
    <w:rsid w:val="03523B55"/>
    <w:rsid w:val="039A569F"/>
    <w:rsid w:val="08E607CF"/>
    <w:rsid w:val="0C54274B"/>
    <w:rsid w:val="0C98479A"/>
    <w:rsid w:val="0F1948C5"/>
    <w:rsid w:val="12817904"/>
    <w:rsid w:val="138D064E"/>
    <w:rsid w:val="17427F34"/>
    <w:rsid w:val="1998259B"/>
    <w:rsid w:val="1BF37C79"/>
    <w:rsid w:val="1F554E5D"/>
    <w:rsid w:val="24EB6195"/>
    <w:rsid w:val="24FA1722"/>
    <w:rsid w:val="31B84004"/>
    <w:rsid w:val="31C402B9"/>
    <w:rsid w:val="32A079B6"/>
    <w:rsid w:val="39C4402D"/>
    <w:rsid w:val="3BFC4E9A"/>
    <w:rsid w:val="3E210A60"/>
    <w:rsid w:val="444F0C0E"/>
    <w:rsid w:val="457726F6"/>
    <w:rsid w:val="459545EA"/>
    <w:rsid w:val="45D768F3"/>
    <w:rsid w:val="47F8481C"/>
    <w:rsid w:val="4A175FB8"/>
    <w:rsid w:val="4AD86434"/>
    <w:rsid w:val="4BF04FCF"/>
    <w:rsid w:val="509D40C5"/>
    <w:rsid w:val="51632376"/>
    <w:rsid w:val="54215E6F"/>
    <w:rsid w:val="56DD0C34"/>
    <w:rsid w:val="592E73D8"/>
    <w:rsid w:val="59D97857"/>
    <w:rsid w:val="5B56562D"/>
    <w:rsid w:val="5CAF52C0"/>
    <w:rsid w:val="5CF11AE0"/>
    <w:rsid w:val="5CFF76A1"/>
    <w:rsid w:val="5E1F6029"/>
    <w:rsid w:val="5E5D530E"/>
    <w:rsid w:val="67E435A3"/>
    <w:rsid w:val="67F566B4"/>
    <w:rsid w:val="69FF17E9"/>
    <w:rsid w:val="6D093A4D"/>
    <w:rsid w:val="6E31052C"/>
    <w:rsid w:val="6FAB068E"/>
    <w:rsid w:val="701C2819"/>
    <w:rsid w:val="725F2EC4"/>
    <w:rsid w:val="77FE08BE"/>
    <w:rsid w:val="78577BF0"/>
    <w:rsid w:val="79C24FD9"/>
    <w:rsid w:val="7A817C9F"/>
    <w:rsid w:val="7DC95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脚 字符"/>
    <w:basedOn w:val="7"/>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7"/>
    <w:link w:val="2"/>
    <w:semiHidden/>
    <w:qFormat/>
    <w:uiPriority w:val="0"/>
    <w:rPr>
      <w:rFonts w:ascii="Times New Roman" w:hAnsi="Times New Roman" w:eastAsia="宋体" w:cs="Times New Roman"/>
      <w:sz w:val="18"/>
      <w:szCs w:val="18"/>
    </w:rPr>
  </w:style>
  <w:style w:type="character" w:customStyle="1" w:styleId="15">
    <w:name w:val="页眉 字符"/>
    <w:basedOn w:val="7"/>
    <w:link w:val="4"/>
    <w:qFormat/>
    <w:uiPriority w:val="0"/>
    <w:rPr>
      <w:rFonts w:ascii="Times New Roman" w:hAnsi="Times New Roman" w:eastAsia="宋体" w:cs="Times New Roman"/>
      <w:sz w:val="18"/>
      <w:szCs w:val="18"/>
    </w:rPr>
  </w:style>
  <w:style w:type="character" w:customStyle="1" w:styleId="16">
    <w:name w:val="正文文本缩进 3 字符"/>
    <w:basedOn w:val="7"/>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408A61-76C4-452E-8C51-C6F7CF0C9F3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1670</Words>
  <Characters>9524</Characters>
  <Lines>79</Lines>
  <Paragraphs>22</Paragraphs>
  <TotalTime>1</TotalTime>
  <ScaleCrop>false</ScaleCrop>
  <LinksUpToDate>false</LinksUpToDate>
  <CharactersWithSpaces>11172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1</cp:lastModifiedBy>
  <cp:lastPrinted>2019-04-19T02:53:00Z</cp:lastPrinted>
  <dcterms:modified xsi:type="dcterms:W3CDTF">2021-05-31T11:30:24Z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