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昌吉州中级人民法院2020年部门预算公开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昌吉州中级人民法院单位概况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eastAsia="仿宋_GB2312"/>
          <w:b/>
          <w:kern w:val="0"/>
          <w:sz w:val="32"/>
          <w:szCs w:val="32"/>
        </w:rPr>
        <w:t>2020年</w:t>
      </w:r>
      <w:r>
        <w:rPr>
          <w:rFonts w:hint="eastAsia" w:ascii="仿宋_GB2312" w:hAnsi="宋体" w:eastAsia="仿宋_GB2312"/>
          <w:b/>
          <w:kern w:val="0"/>
          <w:sz w:val="32"/>
          <w:szCs w:val="32"/>
        </w:rPr>
        <w:t>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2020年部门预算情况说明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一、关于昌吉州中级人民法院2020年收支预算情况的总体说明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二、关于昌吉州中级人民法院2020年收入预算情况说明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三、关于昌吉州中级人民法院2020年支出预算情况说明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四、关于昌吉州中级人民法院2020年财政拨款收支预算情况的总体说明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五、关于昌吉州中级人民法院2020年一般公共预算当年拨款情况说明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六、关于昌吉州中级人民法院2020年一般公共预算基本支出情况说明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七、关于昌吉州中级人民法院2020年项目支出情况说明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八、关于昌吉州中级人民法院2020年一般公共预算“三公”经费预算情况说明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九、关于昌吉州中级人民法院2020年政府性基金预算拨款情况说明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60" w:lineRule="exact"/>
        <w:outlineLvl w:val="1"/>
        <w:rPr>
          <w:rFonts w:ascii="仿宋_GB2312" w:hAnsi="宋体" w:eastAsia="仿宋_GB2312"/>
          <w:b/>
          <w:kern w:val="0"/>
          <w:sz w:val="32"/>
          <w:szCs w:val="32"/>
        </w:rPr>
      </w:pPr>
    </w:p>
    <w:p>
      <w:pPr>
        <w:widowControl/>
        <w:spacing w:line="460" w:lineRule="exact"/>
        <w:outlineLvl w:val="1"/>
        <w:rPr>
          <w:rFonts w:ascii="仿宋_GB2312" w:hAnsi="宋体" w:eastAsia="仿宋_GB2312"/>
          <w:b/>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第一部分  昌吉州中级人民法院概况</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spacing w:line="360" w:lineRule="auto"/>
        <w:ind w:firstLine="627" w:firstLineChars="196"/>
        <w:rPr>
          <w:rFonts w:ascii="仿宋_GB2312" w:hAnsi="宋体" w:eastAsia="仿宋_GB2312"/>
          <w:sz w:val="32"/>
          <w:szCs w:val="32"/>
        </w:rPr>
      </w:pPr>
      <w:r>
        <w:rPr>
          <w:rFonts w:hint="eastAsia" w:ascii="仿宋_GB2312" w:hAnsi="宋体" w:eastAsia="仿宋_GB2312"/>
          <w:sz w:val="32"/>
          <w:szCs w:val="32"/>
        </w:rPr>
        <w:t>昌吉州中级人民法院作为国家审判机关，依法独立行使审判权。依法审判法律规定由昌吉州中级人民法院管辖的和其认为应当由自己审判的刑事、民事、行政等一审案件；依法审判法律规定由昌吉州中级人民法院管辖的刑事、民事、行政等第二审案件；依法办理应由昌吉州中级人民法院管辖的减刑、假释案件；受理不服所辖县（市）人民法院裁判生效的各类申诉和申请再审案件，对其中确有错误的，提审或指令下级人民法院再审；依法审判由昌吉州人民检察院按照审判监督程序提出的抗诉案件；对下级人民法院行使案件指定管辖权；监督下级人民法院的审判工作；依法行使司法执行权和司法决定权；依法决定国家赔偿；开展与法院工作有关的调查研究，针对案件审理中发现的突出问题提出司法建议；在审判工作中宣传法制、教育公民自学遵守宪法和法律；</w:t>
      </w:r>
    </w:p>
    <w:p>
      <w:pPr>
        <w:spacing w:line="360" w:lineRule="auto"/>
        <w:rPr>
          <w:rFonts w:ascii="仿宋_GB2312" w:hAnsi="宋体" w:eastAsia="仿宋_GB2312"/>
          <w:sz w:val="32"/>
          <w:szCs w:val="32"/>
        </w:rPr>
      </w:pPr>
      <w:r>
        <w:rPr>
          <w:rFonts w:hint="eastAsia" w:ascii="仿宋_GB2312" w:hAnsi="宋体" w:eastAsia="仿宋_GB2312"/>
          <w:sz w:val="32"/>
          <w:szCs w:val="32"/>
        </w:rPr>
        <w:t>监督指导全州法院的执行工作；监督指导全州法院的司法警察工作。</w:t>
      </w:r>
    </w:p>
    <w:p>
      <w:pPr>
        <w:widowControl/>
        <w:spacing w:line="560" w:lineRule="exact"/>
        <w:jc w:val="left"/>
        <w:rPr>
          <w:rFonts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spacing w:line="360" w:lineRule="auto"/>
        <w:ind w:firstLine="627" w:firstLineChars="196"/>
        <w:rPr>
          <w:rFonts w:ascii="仿宋_GB2312" w:hAnsi="宋体" w:eastAsia="仿宋_GB2312"/>
          <w:sz w:val="32"/>
          <w:szCs w:val="32"/>
        </w:rPr>
      </w:pPr>
      <w:r>
        <w:rPr>
          <w:rFonts w:hint="eastAsia" w:ascii="仿宋_GB2312" w:hAnsi="宋体" w:eastAsia="仿宋_GB2312"/>
          <w:sz w:val="32"/>
          <w:szCs w:val="32"/>
        </w:rPr>
        <w:t>昌吉州中级人民法院</w:t>
      </w:r>
      <w:r>
        <w:rPr>
          <w:rFonts w:hint="eastAsia" w:ascii="仿宋_GB2312" w:hAnsi="黑体" w:eastAsia="仿宋_GB2312" w:cs="宋体"/>
          <w:bCs/>
          <w:kern w:val="0"/>
          <w:sz w:val="32"/>
          <w:szCs w:val="32"/>
        </w:rPr>
        <w:t>无下属预算单位，下设17个处室，分别是：</w:t>
      </w:r>
      <w:r>
        <w:rPr>
          <w:rFonts w:hint="eastAsia" w:ascii="仿宋_GB2312" w:hAnsi="宋体" w:eastAsia="仿宋_GB2312"/>
          <w:sz w:val="32"/>
          <w:szCs w:val="32"/>
        </w:rPr>
        <w:t>办公室、政治部、立案一庭、立案二庭、刑事审判第一庭、刑事审判第二庭、民事审判第一庭、民事审判第二庭、民事审判第三庭、行政审判庭、审判监督庭、执行局、法律政策研究室、司法警察支队、信息技术处、纪检监察处、审判管理办公室</w:t>
      </w:r>
    </w:p>
    <w:p>
      <w:pPr>
        <w:widowControl/>
        <w:spacing w:line="560" w:lineRule="exact"/>
        <w:ind w:firstLine="800" w:firstLineChars="250"/>
        <w:jc w:val="left"/>
        <w:rPr>
          <w:rFonts w:ascii="仿宋_GB2312" w:hAnsi="宋体" w:eastAsia="仿宋_GB2312" w:cs="宋体"/>
          <w:kern w:val="0"/>
          <w:sz w:val="32"/>
          <w:szCs w:val="32"/>
        </w:rPr>
      </w:pPr>
      <w:r>
        <w:rPr>
          <w:rFonts w:hint="eastAsia" w:ascii="仿宋_GB2312" w:hAnsi="宋体" w:eastAsia="仿宋_GB2312"/>
          <w:sz w:val="32"/>
          <w:szCs w:val="32"/>
        </w:rPr>
        <w:t>昌吉州中级人民法院</w:t>
      </w:r>
      <w:r>
        <w:rPr>
          <w:rFonts w:hint="eastAsia" w:ascii="仿宋_GB2312" w:hAnsi="宋体" w:eastAsia="仿宋_GB2312" w:cs="宋体"/>
          <w:kern w:val="0"/>
          <w:sz w:val="32"/>
          <w:szCs w:val="32"/>
          <w:highlight w:val="none"/>
        </w:rPr>
        <w:t>编制数162人，实有人数154人，其中：在职154人，增加9人；退休69人，增加1人；离休1人，增加或减少0人。</w:t>
      </w:r>
    </w:p>
    <w:p>
      <w:pPr>
        <w:widowControl/>
        <w:jc w:val="center"/>
        <w:outlineLvl w:val="1"/>
        <w:rPr>
          <w:rFonts w:ascii="宋体" w:hAnsi="宋体"/>
          <w:b/>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2020年部门预算公开表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宋体" w:eastAsia="仿宋_GB2312"/>
          <w:kern w:val="0"/>
          <w:sz w:val="18"/>
          <w:szCs w:val="18"/>
        </w:rPr>
        <w:t>昌吉州中级人民法院</w:t>
      </w:r>
      <w:r>
        <w:rPr>
          <w:rFonts w:hint="eastAsia" w:ascii="仿宋_GB2312" w:hAnsi="宋体" w:eastAsia="仿宋_GB2312"/>
          <w:kern w:val="0"/>
          <w:sz w:val="24"/>
        </w:rPr>
        <w:t xml:space="preserve">             单位：万元</w:t>
      </w:r>
    </w:p>
    <w:tbl>
      <w:tblPr>
        <w:tblStyle w:val="6"/>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3573.2</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3573.2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3573.2</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 灾害防治及应急管理支出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3573.2</w:t>
            </w:r>
          </w:p>
        </w:tc>
        <w:tc>
          <w:tcPr>
            <w:tcW w:w="2693"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3573.2</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3573.2</w:t>
            </w:r>
          </w:p>
        </w:tc>
        <w:tc>
          <w:tcPr>
            <w:tcW w:w="2693" w:type="dxa"/>
            <w:tcBorders>
              <w:top w:val="nil"/>
              <w:left w:val="nil"/>
              <w:bottom w:val="single" w:color="auto" w:sz="4" w:space="0"/>
              <w:right w:val="nil"/>
            </w:tcBorders>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3573.2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填报部门： </w:t>
      </w:r>
      <w:r>
        <w:rPr>
          <w:rFonts w:hint="eastAsia" w:ascii="仿宋_GB2312" w:hAnsi="宋体" w:eastAsia="仿宋_GB2312"/>
          <w:kern w:val="0"/>
          <w:sz w:val="18"/>
          <w:szCs w:val="18"/>
        </w:rPr>
        <w:t>昌吉州中级人民法院</w:t>
      </w:r>
      <w:r>
        <w:rPr>
          <w:rFonts w:hint="eastAsia" w:ascii="仿宋_GB2312" w:hAnsi="宋体" w:eastAsia="仿宋_GB2312"/>
          <w:kern w:val="0"/>
          <w:sz w:val="24"/>
        </w:rPr>
        <w:t xml:space="preserve">                       单位：万元</w:t>
      </w:r>
    </w:p>
    <w:tbl>
      <w:tblPr>
        <w:tblStyle w:val="6"/>
        <w:tblW w:w="9654" w:type="dxa"/>
        <w:tblInd w:w="93" w:type="dxa"/>
        <w:tblLayout w:type="fixed"/>
        <w:tblCellMar>
          <w:top w:w="0" w:type="dxa"/>
          <w:left w:w="108" w:type="dxa"/>
          <w:bottom w:w="0" w:type="dxa"/>
          <w:right w:w="108" w:type="dxa"/>
        </w:tblCellMar>
      </w:tblPr>
      <w:tblGrid>
        <w:gridCol w:w="594"/>
        <w:gridCol w:w="481"/>
        <w:gridCol w:w="484"/>
        <w:gridCol w:w="1535"/>
        <w:gridCol w:w="1122"/>
        <w:gridCol w:w="851"/>
        <w:gridCol w:w="509"/>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55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535"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112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85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09"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81"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1535"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112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5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509"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204　</w:t>
            </w:r>
          </w:p>
        </w:tc>
        <w:tc>
          <w:tcPr>
            <w:tcW w:w="481"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484"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01　</w:t>
            </w:r>
          </w:p>
        </w:tc>
        <w:tc>
          <w:tcPr>
            <w:tcW w:w="1535"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行政运行</w:t>
            </w:r>
          </w:p>
        </w:tc>
        <w:tc>
          <w:tcPr>
            <w:tcW w:w="1122"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3553.2　</w:t>
            </w:r>
          </w:p>
        </w:tc>
        <w:tc>
          <w:tcPr>
            <w:tcW w:w="851"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3553.2</w:t>
            </w:r>
          </w:p>
        </w:tc>
        <w:tc>
          <w:tcPr>
            <w:tcW w:w="509"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000000" w:fill="FFFFFF"/>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204　</w:t>
            </w:r>
          </w:p>
        </w:tc>
        <w:tc>
          <w:tcPr>
            <w:tcW w:w="4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05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04　</w:t>
            </w:r>
          </w:p>
        </w:tc>
        <w:tc>
          <w:tcPr>
            <w:tcW w:w="1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案件审判　</w:t>
            </w:r>
          </w:p>
        </w:tc>
        <w:tc>
          <w:tcPr>
            <w:tcW w:w="11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20　</w:t>
            </w:r>
          </w:p>
        </w:tc>
        <w:tc>
          <w:tcPr>
            <w:tcW w:w="5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3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3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3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3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35" w:type="dxa"/>
            <w:tcBorders>
              <w:top w:val="nil"/>
              <w:left w:val="nil"/>
              <w:bottom w:val="single" w:color="auto" w:sz="4" w:space="0"/>
              <w:right w:val="single" w:color="auto" w:sz="4" w:space="0"/>
            </w:tcBorders>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1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5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94" w:type="dxa"/>
            <w:tcBorders>
              <w:top w:val="nil"/>
              <w:left w:val="single" w:color="auto" w:sz="4" w:space="0"/>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8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153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11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3573.2</w:t>
            </w:r>
          </w:p>
        </w:tc>
        <w:tc>
          <w:tcPr>
            <w:tcW w:w="85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3573.2</w:t>
            </w:r>
          </w:p>
        </w:tc>
        <w:tc>
          <w:tcPr>
            <w:tcW w:w="509"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编制部门：  </w:t>
      </w:r>
      <w:r>
        <w:rPr>
          <w:rFonts w:hint="eastAsia" w:ascii="仿宋_GB2312" w:hAnsi="宋体" w:eastAsia="仿宋_GB2312"/>
          <w:kern w:val="0"/>
          <w:sz w:val="18"/>
          <w:szCs w:val="18"/>
        </w:rPr>
        <w:t>昌吉州中级人民法院</w:t>
      </w:r>
      <w:r>
        <w:rPr>
          <w:rFonts w:hint="eastAsia" w:ascii="仿宋_GB2312" w:hAnsi="宋体" w:eastAsia="仿宋_GB2312"/>
          <w:kern w:val="0"/>
          <w:sz w:val="24"/>
        </w:rPr>
        <w:t xml:space="preserve">                         单位：万元</w:t>
      </w:r>
    </w:p>
    <w:tbl>
      <w:tblPr>
        <w:tblStyle w:val="6"/>
        <w:tblW w:w="9229" w:type="dxa"/>
        <w:tblInd w:w="93" w:type="dxa"/>
        <w:tblLayout w:type="fixed"/>
        <w:tblCellMar>
          <w:top w:w="0" w:type="dxa"/>
          <w:left w:w="108" w:type="dxa"/>
          <w:bottom w:w="0" w:type="dxa"/>
          <w:right w:w="108" w:type="dxa"/>
        </w:tblCellMar>
      </w:tblPr>
      <w:tblGrid>
        <w:gridCol w:w="401"/>
        <w:gridCol w:w="400"/>
        <w:gridCol w:w="400"/>
        <w:gridCol w:w="2604"/>
        <w:gridCol w:w="1855"/>
        <w:gridCol w:w="1856"/>
        <w:gridCol w:w="1713"/>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24" w:type="dxa"/>
            <w:gridSpan w:val="3"/>
            <w:tcBorders>
              <w:top w:val="single" w:color="auto" w:sz="4" w:space="0"/>
              <w:left w:val="nil"/>
              <w:bottom w:val="single" w:color="auto" w:sz="4" w:space="0"/>
              <w:right w:val="single" w:color="000000"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01"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604"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13" w:type="dxa"/>
            <w:vMerge w:val="restart"/>
            <w:tcBorders>
              <w:top w:val="nil"/>
              <w:left w:val="single" w:color="auto" w:sz="4" w:space="0"/>
              <w:bottom w:val="single" w:color="000000"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6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204</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05</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01</w:t>
            </w:r>
          </w:p>
        </w:tc>
        <w:tc>
          <w:tcPr>
            <w:tcW w:w="2604" w:type="dxa"/>
            <w:tcBorders>
              <w:top w:val="nil"/>
              <w:left w:val="nil"/>
              <w:bottom w:val="single" w:color="auto" w:sz="4" w:space="0"/>
              <w:right w:val="single" w:color="auto" w:sz="4" w:space="0"/>
            </w:tcBorders>
            <w:vAlign w:val="center"/>
          </w:tcPr>
          <w:p>
            <w:pPr>
              <w:widowControl/>
              <w:rPr>
                <w:rFonts w:ascii="宋体" w:hAnsi="宋体" w:cs="宋体"/>
                <w:b/>
                <w:bCs/>
                <w:color w:val="000000"/>
                <w:kern w:val="0"/>
                <w:sz w:val="22"/>
                <w:szCs w:val="22"/>
              </w:rPr>
            </w:pPr>
            <w:r>
              <w:rPr>
                <w:rFonts w:hint="eastAsia" w:ascii="宋体" w:hAnsi="宋体" w:cs="宋体"/>
                <w:b/>
                <w:bCs/>
                <w:color w:val="000000"/>
                <w:kern w:val="0"/>
                <w:sz w:val="22"/>
                <w:szCs w:val="22"/>
              </w:rPr>
              <w:t>行政运行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3553.2</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3553.2</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204</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05</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04</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案件审判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20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20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5"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3"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0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604"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55"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3573.2</w:t>
            </w:r>
          </w:p>
        </w:tc>
        <w:tc>
          <w:tcPr>
            <w:tcW w:w="1856"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3553.2</w:t>
            </w:r>
          </w:p>
        </w:tc>
        <w:tc>
          <w:tcPr>
            <w:tcW w:w="1713"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p>
    <w:p>
      <w:pPr>
        <w:widowControl/>
        <w:spacing w:before="120" w:beforeLines="50"/>
        <w:outlineLvl w:val="1"/>
        <w:rPr>
          <w:rFonts w:hint="eastAsia" w:ascii="仿宋_GB2312" w:hAnsi="宋体" w:eastAsia="仿宋_GB2312"/>
          <w:b/>
          <w:kern w:val="0"/>
          <w:sz w:val="32"/>
          <w:szCs w:val="32"/>
        </w:rPr>
      </w:pP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18"/>
          <w:szCs w:val="18"/>
        </w:rPr>
        <w:t>昌吉州中级人民法院</w:t>
      </w:r>
      <w:r>
        <w:rPr>
          <w:rFonts w:hint="eastAsia" w:ascii="仿宋_GB2312" w:hAnsi="宋体" w:eastAsia="仿宋_GB2312"/>
          <w:kern w:val="0"/>
          <w:sz w:val="28"/>
          <w:szCs w:val="28"/>
        </w:rPr>
        <w:t xml:space="preserve">                              单位：万元</w:t>
      </w:r>
    </w:p>
    <w:tbl>
      <w:tblPr>
        <w:tblStyle w:val="6"/>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3573.2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3573.2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3573.2</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3573.2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卫生健康支出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 灾害防治及应急管理支出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3573.2</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3573.2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3573.2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3573.2　</w:t>
            </w:r>
          </w:p>
        </w:tc>
        <w:tc>
          <w:tcPr>
            <w:tcW w:w="225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3573.2　</w:t>
            </w:r>
          </w:p>
        </w:tc>
        <w:tc>
          <w:tcPr>
            <w:tcW w:w="1418"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3573.2　</w:t>
            </w:r>
          </w:p>
        </w:tc>
        <w:tc>
          <w:tcPr>
            <w:tcW w:w="1417" w:type="dxa"/>
            <w:tcBorders>
              <w:top w:val="nil"/>
              <w:left w:val="nil"/>
              <w:bottom w:val="single" w:color="auto" w:sz="4" w:space="0"/>
              <w:right w:val="single" w:color="auto" w:sz="4" w:space="0"/>
            </w:tcBorders>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6"/>
        <w:tblW w:w="9087" w:type="dxa"/>
        <w:tblInd w:w="93" w:type="dxa"/>
        <w:tblLayout w:type="fixed"/>
        <w:tblCellMar>
          <w:top w:w="0" w:type="dxa"/>
          <w:left w:w="108" w:type="dxa"/>
          <w:bottom w:w="0" w:type="dxa"/>
          <w:right w:w="108" w:type="dxa"/>
        </w:tblCellMar>
      </w:tblPr>
      <w:tblGrid>
        <w:gridCol w:w="441"/>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087"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860"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18"/>
                <w:szCs w:val="18"/>
              </w:rPr>
              <w:t>昌吉州中级人民法院</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860"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350"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204</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05</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01</w:t>
            </w:r>
          </w:p>
        </w:tc>
        <w:tc>
          <w:tcPr>
            <w:tcW w:w="251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行政运行</w:t>
            </w:r>
          </w:p>
        </w:tc>
        <w:tc>
          <w:tcPr>
            <w:tcW w:w="1684"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3553.2</w:t>
            </w:r>
          </w:p>
        </w:tc>
        <w:tc>
          <w:tcPr>
            <w:tcW w:w="1842" w:type="dxa"/>
            <w:gridSpan w:val="2"/>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3553.2</w:t>
            </w:r>
          </w:p>
        </w:tc>
        <w:tc>
          <w:tcPr>
            <w:tcW w:w="170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204</w:t>
            </w: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05</w:t>
            </w: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04</w:t>
            </w: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案件审判</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20</w:t>
            </w: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441"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3573.2</w:t>
            </w:r>
          </w:p>
        </w:tc>
        <w:tc>
          <w:tcPr>
            <w:tcW w:w="1842"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3553.2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20</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6"/>
        <w:tblW w:w="9087" w:type="dxa"/>
        <w:tblInd w:w="93" w:type="dxa"/>
        <w:tblLayout w:type="fixed"/>
        <w:tblCellMar>
          <w:top w:w="0" w:type="dxa"/>
          <w:left w:w="108" w:type="dxa"/>
          <w:bottom w:w="0" w:type="dxa"/>
          <w:right w:w="108" w:type="dxa"/>
        </w:tblCellMar>
      </w:tblPr>
      <w:tblGrid>
        <w:gridCol w:w="516"/>
        <w:gridCol w:w="577"/>
        <w:gridCol w:w="2891"/>
        <w:gridCol w:w="99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3984"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18"/>
                <w:szCs w:val="18"/>
              </w:rPr>
              <w:t>昌吉州中级人民法院</w:t>
            </w:r>
          </w:p>
        </w:tc>
        <w:tc>
          <w:tcPr>
            <w:tcW w:w="995"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3984"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0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89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89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基本工资</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977.85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977.85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righ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02</w:t>
            </w:r>
          </w:p>
        </w:tc>
        <w:tc>
          <w:tcPr>
            <w:tcW w:w="2891"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0"/>
                <w:szCs w:val="20"/>
              </w:rPr>
            </w:pPr>
            <w:r>
              <w:rPr>
                <w:rFonts w:hint="eastAsia" w:ascii="仿宋_GB2312" w:hAnsi="宋体" w:eastAsia="仿宋_GB2312" w:cs="宋体"/>
                <w:color w:val="000000"/>
                <w:kern w:val="0"/>
                <w:sz w:val="20"/>
                <w:szCs w:val="20"/>
              </w:rPr>
              <w:t>津贴补贴</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429.02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429.02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03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奖金</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宋体" w:hAnsi="宋体" w:cs="宋体"/>
                <w:color w:val="000000"/>
                <w:kern w:val="0"/>
                <w:sz w:val="20"/>
                <w:szCs w:val="20"/>
              </w:rPr>
            </w:pPr>
            <w:r>
              <w:rPr>
                <w:rFonts w:hint="eastAsia" w:ascii="宋体" w:hAnsi="宋体" w:cs="宋体"/>
                <w:color w:val="000000"/>
                <w:kern w:val="0"/>
                <w:sz w:val="20"/>
                <w:szCs w:val="20"/>
              </w:rPr>
              <w:t>58.5</w:t>
            </w:r>
          </w:p>
        </w:tc>
        <w:tc>
          <w:tcPr>
            <w:tcW w:w="1701" w:type="dxa"/>
            <w:gridSpan w:val="2"/>
            <w:tcBorders>
              <w:top w:val="nil"/>
              <w:left w:val="nil"/>
              <w:bottom w:val="single" w:color="auto" w:sz="4" w:space="0"/>
              <w:right w:val="single" w:color="auto" w:sz="4" w:space="0"/>
            </w:tcBorders>
            <w:vAlign w:val="center"/>
          </w:tcPr>
          <w:p>
            <w:pPr>
              <w:widowControl/>
              <w:ind w:right="147" w:rightChars="70"/>
              <w:jc w:val="left"/>
              <w:rPr>
                <w:rFonts w:ascii="宋体" w:hAnsi="宋体" w:cs="宋体"/>
                <w:color w:val="000000"/>
                <w:kern w:val="0"/>
                <w:sz w:val="20"/>
                <w:szCs w:val="20"/>
              </w:rPr>
            </w:pPr>
            <w:r>
              <w:rPr>
                <w:rFonts w:hint="eastAsia" w:ascii="宋体" w:hAnsi="宋体" w:cs="宋体"/>
                <w:color w:val="000000"/>
                <w:kern w:val="0"/>
                <w:sz w:val="20"/>
                <w:szCs w:val="20"/>
              </w:rPr>
              <w:t>　58.5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90"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伙食补助费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194.04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194.04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住房公积金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175.84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175.84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其他工资福利支出</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851.35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851.35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机关事业单位基本养老保险费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234.46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234.46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职工基本医疗保险缴费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142.01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142.01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公务员医疗补助缴费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59.79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59.79</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仿宋_GB2312" w:hAnsi="宋体" w:eastAsia="仿宋_GB2312" w:cs="宋体"/>
                <w:color w:val="000000"/>
                <w:kern w:val="0"/>
                <w:sz w:val="20"/>
                <w:szCs w:val="20"/>
              </w:rPr>
              <w:t>301</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其他社会保障缴费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5.18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5.18</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办公费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02</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印刷费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水费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06</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电费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邮电费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12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物业管理费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差旅费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30.15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维修（护）费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16.49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16.49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16</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培训费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6.89</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6.89</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公务接待费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2.97</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劳务费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28</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工会经费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19.56</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19.56</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029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福利费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44.98</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44.98</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　</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公务用车运行维护费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74.55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74.55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302</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99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其他商品和服务支出</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30.55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30.55</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离休费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13.57</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13.57</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05</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生活补助费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1.2</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07</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医疗补助费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0.1</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09</w:t>
            </w:r>
          </w:p>
        </w:tc>
        <w:tc>
          <w:tcPr>
            <w:tcW w:w="289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奖励金</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7.75</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7.75</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303</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14</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职工住宅取暖费</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22.4</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22.4</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891" w:type="dxa"/>
            <w:tcBorders>
              <w:top w:val="nil"/>
              <w:left w:val="nil"/>
              <w:bottom w:val="single" w:color="auto" w:sz="4" w:space="0"/>
              <w:right w:val="single" w:color="auto" w:sz="4" w:space="0"/>
            </w:tcBorders>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3553.2</w:t>
            </w:r>
          </w:p>
        </w:tc>
        <w:tc>
          <w:tcPr>
            <w:tcW w:w="1701" w:type="dxa"/>
            <w:gridSpan w:val="2"/>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3173.06</w:t>
            </w:r>
          </w:p>
        </w:tc>
        <w:tc>
          <w:tcPr>
            <w:tcW w:w="1701"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380.14</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6"/>
        <w:tblW w:w="9469" w:type="dxa"/>
        <w:tblInd w:w="93" w:type="dxa"/>
        <w:tblLayout w:type="fixed"/>
        <w:tblCellMar>
          <w:top w:w="0" w:type="dxa"/>
          <w:left w:w="108" w:type="dxa"/>
          <w:bottom w:w="0" w:type="dxa"/>
          <w:right w:w="108" w:type="dxa"/>
        </w:tblCellMar>
      </w:tblPr>
      <w:tblGrid>
        <w:gridCol w:w="8"/>
        <w:gridCol w:w="495"/>
        <w:gridCol w:w="435"/>
        <w:gridCol w:w="420"/>
        <w:gridCol w:w="684"/>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18"/>
                <w:szCs w:val="18"/>
              </w:rPr>
              <w:t>昌吉州中级人民法院</w:t>
            </w:r>
          </w:p>
        </w:tc>
        <w:tc>
          <w:tcPr>
            <w:tcW w:w="995"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2426" w:type="dxa"/>
            <w:gridSpan w:val="6"/>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358" w:type="dxa"/>
            <w:gridSpan w:val="4"/>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684"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03" w:type="dxa"/>
            <w:gridSpan w:val="2"/>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35"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20" w:type="dxa"/>
            <w:tcBorders>
              <w:bottom w:val="single" w:color="auto" w:sz="4" w:space="0"/>
            </w:tcBorders>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684" w:type="dxa"/>
            <w:vMerge w:val="continue"/>
            <w:tcBorders>
              <w:bottom w:val="single" w:color="auto" w:sz="4" w:space="0"/>
            </w:tcBorders>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204</w:t>
            </w:r>
          </w:p>
        </w:tc>
        <w:tc>
          <w:tcPr>
            <w:tcW w:w="435"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05　</w:t>
            </w:r>
          </w:p>
        </w:tc>
        <w:tc>
          <w:tcPr>
            <w:tcW w:w="420"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04　</w:t>
            </w:r>
          </w:p>
        </w:tc>
        <w:tc>
          <w:tcPr>
            <w:tcW w:w="684"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案件审判</w:t>
            </w:r>
          </w:p>
        </w:tc>
        <w:tc>
          <w:tcPr>
            <w:tcW w:w="1456" w:type="dxa"/>
          </w:tcPr>
          <w:p>
            <w:pPr>
              <w:widowControl/>
              <w:jc w:val="left"/>
              <w:outlineLvl w:val="1"/>
              <w:rPr>
                <w:rFonts w:ascii="仿宋_GB2312" w:hAnsi="宋体" w:eastAsia="仿宋_GB2312"/>
                <w:kern w:val="0"/>
                <w:sz w:val="18"/>
                <w:szCs w:val="18"/>
              </w:rPr>
            </w:pPr>
            <w:r>
              <w:rPr>
                <w:rFonts w:hint="eastAsia" w:ascii="仿宋_GB2312" w:hAnsi="宋体" w:eastAsia="仿宋_GB2312"/>
                <w:kern w:val="0"/>
                <w:sz w:val="18"/>
                <w:szCs w:val="18"/>
              </w:rPr>
              <w:t>人民陪审员经费</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20</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20</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03"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35"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84"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vAlign w:val="center"/>
          </w:tcPr>
          <w:p>
            <w:pPr>
              <w:widowControl/>
              <w:jc w:val="center"/>
              <w:outlineLvl w:val="1"/>
              <w:rPr>
                <w:rFonts w:ascii="仿宋_GB2312" w:hAnsi="宋体" w:eastAsia="仿宋_GB2312"/>
                <w:kern w:val="0"/>
                <w:szCs w:val="21"/>
              </w:rPr>
            </w:pPr>
            <w:r>
              <w:rPr>
                <w:rFonts w:hint="eastAsia" w:ascii="仿宋_GB2312" w:hAnsi="宋体" w:eastAsia="仿宋_GB2312"/>
                <w:kern w:val="0"/>
                <w:szCs w:val="21"/>
              </w:rPr>
              <w:t>20</w:t>
            </w:r>
          </w:p>
        </w:tc>
        <w:tc>
          <w:tcPr>
            <w:tcW w:w="569"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20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18"/>
          <w:szCs w:val="18"/>
        </w:rPr>
        <w:t>昌吉州中级人民法院</w:t>
      </w:r>
      <w:r>
        <w:rPr>
          <w:rFonts w:hint="eastAsia" w:ascii="仿宋_GB2312" w:hAnsi="宋体" w:eastAsia="仿宋_GB2312"/>
          <w:kern w:val="0"/>
          <w:sz w:val="24"/>
        </w:rPr>
        <w:t xml:space="preserve">                       单位：万元</w:t>
      </w:r>
    </w:p>
    <w:tbl>
      <w:tblPr>
        <w:tblStyle w:val="6"/>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77.52</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74.55</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74.55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2.97</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备注：无内容应公开空表并说明情况。</w:t>
      </w: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Cs w:val="21"/>
        </w:rPr>
        <w:t>昌吉州中级人民法院</w:t>
      </w:r>
      <w:r>
        <w:rPr>
          <w:rFonts w:hint="eastAsia" w:ascii="仿宋_GB2312" w:hAnsi="宋体" w:eastAsia="仿宋_GB2312"/>
          <w:kern w:val="0"/>
          <w:sz w:val="24"/>
        </w:rPr>
        <w:t xml:space="preserve">          单位：万元</w:t>
      </w:r>
    </w:p>
    <w:tbl>
      <w:tblPr>
        <w:tblStyle w:val="6"/>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b/>
          <w:kern w:val="0"/>
          <w:sz w:val="28"/>
          <w:szCs w:val="32"/>
        </w:rPr>
        <w:t>备注：</w:t>
      </w:r>
      <w:r>
        <w:rPr>
          <w:rFonts w:hint="eastAsia" w:ascii="仿宋_GB2312" w:hAnsi="宋体" w:eastAsia="仿宋_GB2312" w:cs="宋体"/>
          <w:kern w:val="0"/>
          <w:sz w:val="28"/>
          <w:szCs w:val="28"/>
        </w:rPr>
        <w:t>昌吉州中级人民法院没有使用政府性基金预算拨款安排的支出，政府性基金预算支出情况表为空表。</w:t>
      </w:r>
    </w:p>
    <w:p>
      <w:pPr>
        <w:widowControl/>
        <w:jc w:val="left"/>
        <w:outlineLvl w:val="1"/>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第三部分2020年部门预算情况说明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关于昌吉州中级人民法院2020年收支预算情况的总体说明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按照全口径预算的原则，昌吉州中级人民法院2020年所有收入和支出均纳入部门预算管理。收支总预算3573.2万元。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收入预算包括：一般公共预算3573.2万元。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支出预算包括：公共安全支出3573.2万元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二、关于昌吉州中级人民法院2020年收入预算情况说明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昌吉州中级人民法院收入预算3573.2元，其中：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一般公共预算3553.2万元，</w:t>
      </w:r>
      <w:r>
        <w:rPr>
          <w:rFonts w:hint="eastAsia" w:ascii="仿宋_GB2312" w:hAnsi="宋体" w:eastAsia="仿宋_GB2312" w:cs="宋体"/>
          <w:kern w:val="0"/>
          <w:sz w:val="32"/>
          <w:szCs w:val="32"/>
          <w:highlight w:val="none"/>
        </w:rPr>
        <w:t>占99.</w:t>
      </w:r>
      <w:r>
        <w:rPr>
          <w:rFonts w:hint="eastAsia" w:ascii="仿宋_GB2312" w:hAnsi="宋体" w:eastAsia="仿宋_GB2312" w:cs="宋体"/>
          <w:kern w:val="0"/>
          <w:sz w:val="32"/>
          <w:szCs w:val="32"/>
          <w:highlight w:val="none"/>
          <w:lang w:val="en-US" w:eastAsia="zh-CN"/>
        </w:rPr>
        <w:t>44</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rPr>
        <w:t xml:space="preserve">比上年增加583.77万元，主要原因是新调入人员13人，聘用书记员60人工资福利支出等收入增加，公用经费较上年增加17.19万元，增长4.33%；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三、关于昌吉州中级人民法院2020年支出预算情况说明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昌吉州中级人民法院2020年支出预算3573.20万元，其中：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基本支出 3553.2万元，占99.</w:t>
      </w:r>
      <w:r>
        <w:rPr>
          <w:rFonts w:hint="eastAsia" w:ascii="仿宋_GB2312" w:hAnsi="宋体" w:eastAsia="仿宋_GB2312" w:cs="宋体"/>
          <w:kern w:val="0"/>
          <w:sz w:val="32"/>
          <w:szCs w:val="32"/>
          <w:lang w:val="en-US" w:eastAsia="zh-CN"/>
        </w:rPr>
        <w:t>44</w:t>
      </w:r>
      <w:r>
        <w:rPr>
          <w:rFonts w:hint="eastAsia" w:ascii="仿宋_GB2312" w:hAnsi="宋体" w:eastAsia="仿宋_GB2312" w:cs="宋体"/>
          <w:kern w:val="0"/>
          <w:sz w:val="32"/>
          <w:szCs w:val="32"/>
        </w:rPr>
        <w:t xml:space="preserve">%，比上年增加396.23万元，主要原因是新调入人员13人，聘用书记员60人工资福利支出等收入增加，公用经费较上年增加17.19万元，增长4.33%；        </w:t>
      </w:r>
    </w:p>
    <w:p>
      <w:pPr>
        <w:widowControl/>
        <w:spacing w:line="580" w:lineRule="exact"/>
        <w:ind w:firstLine="640"/>
        <w:jc w:val="left"/>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项目支出20万元，占 0.01 %，比上年增加（减少）0万元，主要原因</w:t>
      </w:r>
      <w:r>
        <w:rPr>
          <w:rFonts w:hint="eastAsia" w:ascii="仿宋_GB2312" w:hAnsi="宋体" w:eastAsia="仿宋_GB2312" w:cs="宋体"/>
          <w:kern w:val="0"/>
          <w:sz w:val="32"/>
          <w:szCs w:val="32"/>
          <w:lang w:val="en-US" w:eastAsia="zh-CN"/>
        </w:rPr>
        <w:t>无新增项目。</w:t>
      </w:r>
    </w:p>
    <w:p>
      <w:pPr>
        <w:widowControl/>
        <w:spacing w:line="580" w:lineRule="exact"/>
        <w:ind w:firstLine="640"/>
        <w:jc w:val="left"/>
        <w:rPr>
          <w:rFonts w:ascii="黑体" w:hAnsi="黑体" w:eastAsia="黑体" w:cs="宋体"/>
          <w:bCs/>
          <w:kern w:val="0"/>
          <w:sz w:val="32"/>
          <w:szCs w:val="32"/>
        </w:rPr>
      </w:pPr>
      <w:r>
        <w:rPr>
          <w:rFonts w:hint="eastAsia" w:ascii="黑体" w:hAnsi="黑体" w:eastAsia="黑体" w:cs="宋体"/>
          <w:bCs/>
          <w:kern w:val="0"/>
          <w:sz w:val="32"/>
          <w:szCs w:val="32"/>
        </w:rPr>
        <w:t>四、关于昌吉州中级人民法院2020年财政拨款收支预算情况的总体说明</w:t>
      </w:r>
    </w:p>
    <w:p>
      <w:pPr>
        <w:spacing w:line="580" w:lineRule="exact"/>
        <w:ind w:firstLine="640"/>
        <w:rPr>
          <w:rFonts w:ascii="仿宋_GB2312" w:hAnsi="宋体" w:eastAsia="仿宋_GB2312" w:cs="宋体"/>
          <w:spacing w:val="-4"/>
          <w:kern w:val="0"/>
          <w:sz w:val="32"/>
          <w:szCs w:val="32"/>
        </w:rPr>
      </w:pPr>
      <w:r>
        <w:rPr>
          <w:rFonts w:hint="eastAsia" w:ascii="仿宋_GB2312" w:hAnsi="宋体" w:eastAsia="仿宋_GB2312" w:cs="宋体"/>
          <w:kern w:val="0"/>
          <w:sz w:val="32"/>
          <w:szCs w:val="32"/>
        </w:rPr>
        <w:t>2020年财政拨款收支总预算3573.2万元。</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支出预算包括：一般公共服务支出3573.2万元，主要用于公共安全支出。</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五、关于昌吉州中级人民法院2020年一般公共预算当年拨款情况说明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昌吉州中级人民法院2020年一般公共预算拨款基本支出 </w:t>
      </w:r>
      <w:r>
        <w:rPr>
          <w:rFonts w:hint="eastAsia" w:ascii="仿宋_GB2312" w:hAnsi="宋体" w:eastAsia="仿宋_GB2312" w:cs="宋体"/>
          <w:kern w:val="0"/>
          <w:sz w:val="32"/>
          <w:szCs w:val="32"/>
          <w:highlight w:val="none"/>
        </w:rPr>
        <w:t>3573.2万元</w:t>
      </w:r>
      <w:r>
        <w:rPr>
          <w:rFonts w:hint="eastAsia" w:ascii="仿宋_GB2312" w:hAnsi="宋体" w:eastAsia="仿宋_GB2312" w:cs="宋体"/>
          <w:kern w:val="0"/>
          <w:sz w:val="32"/>
          <w:szCs w:val="32"/>
        </w:rPr>
        <w:t xml:space="preserve">，比上年执行数5370.11万元减少1796.91万元，下降33.46%。主要原因是：上年预算执行数人员经费基本工资、奖金支出较预算支出差额较大。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highlight w:val="none"/>
        </w:rPr>
        <w:t>公共安全支出</w:t>
      </w:r>
      <w:r>
        <w:rPr>
          <w:rFonts w:hint="eastAsia" w:ascii="仿宋_GB2312" w:eastAsia="仿宋_GB2312"/>
          <w:sz w:val="32"/>
          <w:szCs w:val="32"/>
          <w:highlight w:val="none"/>
          <w:lang w:eastAsia="zh-CN"/>
        </w:rPr>
        <w:t>（</w:t>
      </w:r>
      <w:r>
        <w:rPr>
          <w:rFonts w:hint="eastAsia" w:ascii="仿宋_GB2312" w:eastAsia="仿宋_GB2312"/>
          <w:sz w:val="32"/>
          <w:szCs w:val="32"/>
          <w:highlight w:val="none"/>
          <w:lang w:val="en-US" w:eastAsia="zh-CN"/>
        </w:rPr>
        <w:t>204</w:t>
      </w:r>
      <w:r>
        <w:rPr>
          <w:rFonts w:hint="eastAsia" w:ascii="仿宋_GB2312" w:eastAsia="仿宋_GB2312"/>
          <w:sz w:val="32"/>
          <w:szCs w:val="32"/>
          <w:highlight w:val="none"/>
          <w:lang w:eastAsia="zh-CN"/>
        </w:rPr>
        <w:t>）</w:t>
      </w:r>
      <w:r>
        <w:rPr>
          <w:rFonts w:hint="eastAsia" w:ascii="仿宋_GB2312" w:eastAsia="仿宋_GB2312"/>
          <w:sz w:val="32"/>
          <w:szCs w:val="32"/>
          <w:highlight w:val="none"/>
        </w:rPr>
        <w:t>3573.2</w:t>
      </w:r>
      <w:r>
        <w:rPr>
          <w:rFonts w:hint="eastAsia" w:ascii="仿宋_GB2312" w:hAnsi="宋体" w:eastAsia="仿宋_GB2312" w:cs="宋体"/>
          <w:kern w:val="0"/>
          <w:sz w:val="32"/>
          <w:szCs w:val="32"/>
          <w:highlight w:val="none"/>
        </w:rPr>
        <w:t>万元，占100%。其中：案件审判支出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2040501</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20万元，占0.0</w:t>
      </w:r>
      <w:r>
        <w:rPr>
          <w:rFonts w:hint="eastAsia" w:ascii="仿宋_GB2312" w:hAnsi="宋体" w:eastAsia="仿宋_GB2312" w:cs="宋体"/>
          <w:kern w:val="0"/>
          <w:sz w:val="32"/>
          <w:szCs w:val="32"/>
          <w:highlight w:val="none"/>
          <w:lang w:val="en-US" w:eastAsia="zh-CN"/>
        </w:rPr>
        <w:t>6</w:t>
      </w:r>
      <w:r>
        <w:rPr>
          <w:rFonts w:hint="eastAsia" w:ascii="仿宋_GB2312" w:hAnsi="宋体" w:eastAsia="仿宋_GB2312" w:cs="宋体"/>
          <w:kern w:val="0"/>
          <w:sz w:val="32"/>
          <w:szCs w:val="32"/>
          <w:highlight w:val="none"/>
        </w:rPr>
        <w:t>%；行政运行支出</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lang w:val="en-US" w:eastAsia="zh-CN"/>
        </w:rPr>
        <w:t>2040504</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highlight w:val="none"/>
        </w:rPr>
        <w:t>3553.2万元，占99.</w:t>
      </w:r>
      <w:r>
        <w:rPr>
          <w:rFonts w:hint="eastAsia" w:ascii="仿宋_GB2312" w:hAnsi="宋体" w:eastAsia="仿宋_GB2312" w:cs="宋体"/>
          <w:kern w:val="0"/>
          <w:sz w:val="32"/>
          <w:szCs w:val="32"/>
          <w:highlight w:val="none"/>
          <w:lang w:val="en-US" w:eastAsia="zh-CN"/>
        </w:rPr>
        <w:t>44</w:t>
      </w:r>
      <w:r>
        <w:rPr>
          <w:rFonts w:hint="eastAsia" w:ascii="仿宋_GB2312" w:hAnsi="宋体" w:eastAsia="仿宋_GB2312" w:cs="宋体"/>
          <w:kern w:val="0"/>
          <w:sz w:val="32"/>
          <w:szCs w:val="32"/>
          <w:highlight w:val="none"/>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highlight w:val="none"/>
        </w:rPr>
      </w:pPr>
      <w:r>
        <w:rPr>
          <w:rFonts w:hint="eastAsia" w:ascii="仿宋_GB2312" w:hAnsi="宋体" w:eastAsia="仿宋_GB2312" w:cs="宋体"/>
          <w:kern w:val="0"/>
          <w:sz w:val="32"/>
          <w:szCs w:val="32"/>
        </w:rPr>
        <w:t>1</w:t>
      </w:r>
      <w:r>
        <w:rPr>
          <w:rFonts w:hint="eastAsia" w:ascii="仿宋_GB2312" w:hAnsi="宋体" w:eastAsia="仿宋_GB2312" w:cs="宋体"/>
          <w:kern w:val="0"/>
          <w:sz w:val="32"/>
          <w:szCs w:val="32"/>
          <w:highlight w:val="none"/>
        </w:rPr>
        <w:t>.公共安全支出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204</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法院（05</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行政</w:t>
      </w:r>
      <w:r>
        <w:rPr>
          <w:rFonts w:ascii="仿宋_GB2312" w:hAnsi="宋体" w:eastAsia="仿宋_GB2312" w:cs="宋体"/>
          <w:kern w:val="0"/>
          <w:sz w:val="32"/>
          <w:szCs w:val="32"/>
          <w:highlight w:val="none"/>
        </w:rPr>
        <w:t>运行（</w:t>
      </w:r>
      <w:r>
        <w:rPr>
          <w:rFonts w:hint="eastAsia" w:ascii="仿宋_GB2312" w:hAnsi="宋体" w:eastAsia="仿宋_GB2312" w:cs="宋体"/>
          <w:kern w:val="0"/>
          <w:sz w:val="32"/>
          <w:szCs w:val="32"/>
          <w:highlight w:val="none"/>
        </w:rPr>
        <w:t>01</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2020年</w:t>
      </w:r>
      <w:r>
        <w:rPr>
          <w:rFonts w:ascii="仿宋_GB2312" w:hAnsi="宋体" w:eastAsia="仿宋_GB2312" w:cs="宋体"/>
          <w:kern w:val="0"/>
          <w:sz w:val="32"/>
          <w:szCs w:val="32"/>
          <w:highlight w:val="none"/>
        </w:rPr>
        <w:t>预算数为</w:t>
      </w:r>
      <w:r>
        <w:rPr>
          <w:rFonts w:hint="eastAsia" w:ascii="仿宋_GB2312" w:hAnsi="宋体" w:eastAsia="仿宋_GB2312" w:cs="宋体"/>
          <w:kern w:val="0"/>
          <w:sz w:val="32"/>
          <w:szCs w:val="32"/>
          <w:highlight w:val="none"/>
        </w:rPr>
        <w:t>3553.2</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比上年执行数3357.29万元减少195.91万元，下降5.51%，主要原因是：上年预算执行数人员经费基本工资、奖金支出较预算支出差额较大，聘用书记员工资，财政予以保障。</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none"/>
        </w:rPr>
        <w:t>2.公共安全支出</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204</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法院</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05</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案件审判</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02</w:t>
      </w:r>
      <w:r>
        <w:rPr>
          <w:rFonts w:ascii="仿宋_GB2312" w:hAnsi="宋体" w:eastAsia="仿宋_GB2312" w:cs="宋体"/>
          <w:kern w:val="0"/>
          <w:sz w:val="32"/>
          <w:szCs w:val="32"/>
          <w:highlight w:val="none"/>
        </w:rPr>
        <w:t>）:</w:t>
      </w:r>
      <w:r>
        <w:rPr>
          <w:rFonts w:hint="eastAsia" w:ascii="仿宋_GB2312" w:hAnsi="宋体" w:eastAsia="仿宋_GB2312" w:cs="宋体"/>
          <w:kern w:val="0"/>
          <w:sz w:val="32"/>
          <w:szCs w:val="32"/>
          <w:highlight w:val="none"/>
        </w:rPr>
        <w:t>2020年</w:t>
      </w:r>
      <w:r>
        <w:rPr>
          <w:rFonts w:ascii="仿宋_GB2312" w:hAnsi="宋体" w:eastAsia="仿宋_GB2312" w:cs="宋体"/>
          <w:kern w:val="0"/>
          <w:sz w:val="32"/>
          <w:szCs w:val="32"/>
          <w:highlight w:val="none"/>
        </w:rPr>
        <w:t>预算数为</w:t>
      </w:r>
      <w:r>
        <w:rPr>
          <w:rFonts w:hint="eastAsia" w:ascii="仿宋_GB2312" w:hAnsi="宋体" w:eastAsia="仿宋_GB2312" w:cs="宋体"/>
          <w:kern w:val="0"/>
          <w:sz w:val="32"/>
          <w:szCs w:val="32"/>
          <w:highlight w:val="none"/>
        </w:rPr>
        <w:t>20</w:t>
      </w:r>
      <w:r>
        <w:rPr>
          <w:rFonts w:ascii="仿宋_GB2312" w:hAnsi="宋体" w:eastAsia="仿宋_GB2312" w:cs="宋体"/>
          <w:kern w:val="0"/>
          <w:sz w:val="32"/>
          <w:szCs w:val="32"/>
          <w:highlight w:val="none"/>
        </w:rPr>
        <w:t>万元，</w:t>
      </w:r>
      <w:r>
        <w:rPr>
          <w:rFonts w:hint="eastAsia" w:ascii="仿宋_GB2312" w:hAnsi="宋体" w:eastAsia="仿宋_GB2312" w:cs="宋体"/>
          <w:kern w:val="0"/>
          <w:sz w:val="32"/>
          <w:szCs w:val="32"/>
          <w:highlight w:val="none"/>
        </w:rPr>
        <w:t>与上年执行数21.18万元减少1.18万元，主要原因：2018年度</w:t>
      </w:r>
      <w:r>
        <w:rPr>
          <w:rFonts w:hint="eastAsia" w:ascii="仿宋_GB2312" w:hAnsi="宋体" w:eastAsia="仿宋_GB2312" w:cs="宋体"/>
          <w:kern w:val="0"/>
          <w:sz w:val="32"/>
          <w:szCs w:val="32"/>
          <w:highlight w:val="none"/>
          <w:lang w:eastAsia="zh-CN"/>
        </w:rPr>
        <w:t>、</w:t>
      </w:r>
      <w:r>
        <w:rPr>
          <w:rFonts w:hint="eastAsia" w:ascii="仿宋_GB2312" w:hAnsi="宋体" w:eastAsia="仿宋_GB2312" w:cs="宋体"/>
          <w:kern w:val="0"/>
          <w:sz w:val="32"/>
          <w:szCs w:val="32"/>
        </w:rPr>
        <w:t>2019年将两年的人民陪审员经费全总部拨付到基层法院。</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六、关于昌吉州中级人民法院2020年一般公共预算基本支出情况说明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昌吉州中级人民法院2020年一般公共预算基本支出3553.2 万元， 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3173.06万元，主要包括：基本工资977.85万元、津贴补贴429.02万元、奖金58.5万元、伙食补助费194.04万元、机关事业单位基本养老保险缴费234.46万元、职工基本医疗保险缴费142.01万元、公务员医疗补助缴费59.79万元、其他社会保障缴费5.18万元、住房公积金175.84万元、其他工资福利支出851.35万元、离休费13.57万元、生活补助1.2万元、医疗费补助0.1万元、奖励金7.75万</w:t>
      </w:r>
      <w:r>
        <w:rPr>
          <w:rFonts w:hint="eastAsia" w:ascii="仿宋_GB2312" w:hAnsi="仿宋_GB2312" w:eastAsia="仿宋_GB2312" w:cs="仿宋_GB2312"/>
          <w:kern w:val="0"/>
          <w:sz w:val="32"/>
          <w:szCs w:val="32"/>
        </w:rPr>
        <w:t>元，职工住宅取暖费22.4</w:t>
      </w:r>
      <w:r>
        <w:rPr>
          <w:rFonts w:hint="eastAsia" w:ascii="仿宋_GB2312" w:hAnsi="仿宋_GB2312" w:eastAsia="仿宋_GB2312" w:cs="仿宋_GB2312"/>
          <w:color w:val="000000"/>
          <w:kern w:val="0"/>
          <w:sz w:val="32"/>
          <w:szCs w:val="32"/>
        </w:rPr>
        <w:t>万元</w:t>
      </w:r>
      <w:r>
        <w:rPr>
          <w:rFonts w:hint="eastAsia" w:ascii="仿宋_GB2312" w:hAnsi="仿宋_GB2312" w:eastAsia="仿宋_GB2312" w:cs="仿宋_GB2312"/>
          <w:kern w:val="0"/>
          <w:sz w:val="32"/>
          <w:szCs w:val="32"/>
        </w:rPr>
        <w:t>。</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380.14万元，主要包括：办公费10万元、印刷费15万元、水费1万元、电费25万元、邮电费12万元、取暖费46万元、物业管理费15万元、差旅费30.15万元、维修（护）费16.49万元、培训费6.89万元、公务接待费2.97万元、劳务费30万元、工会经费19.56万元、福利费44.98万元、公务用车运行维护费74.55万元、</w:t>
      </w:r>
      <w:r>
        <w:rPr>
          <w:rFonts w:hint="eastAsia" w:ascii="仿宋_GB2312" w:hAnsi="宋体" w:eastAsia="仿宋_GB2312" w:cs="宋体"/>
          <w:kern w:val="0"/>
          <w:sz w:val="32"/>
          <w:szCs w:val="32"/>
          <w:highlight w:val="none"/>
        </w:rPr>
        <w:t>其他商品和服务支出30.55万元。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七、关于昌吉州中级人民法院2020年项目支出情况说明</w:t>
      </w:r>
    </w:p>
    <w:p>
      <w:pPr>
        <w:widowControl/>
        <w:spacing w:line="580" w:lineRule="exact"/>
        <w:ind w:firstLine="640"/>
        <w:jc w:val="left"/>
        <w:rPr>
          <w:rFonts w:ascii="仿宋_GB2312" w:hAnsi="黑体" w:eastAsia="仿宋_GB2312"/>
          <w:sz w:val="32"/>
          <w:szCs w:val="32"/>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rPr>
        <w:t>人民陪审员业务经费</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黑体" w:eastAsia="仿宋_GB2312"/>
          <w:sz w:val="32"/>
          <w:szCs w:val="32"/>
          <w:lang w:val="en-US" w:eastAsia="zh-CN"/>
        </w:rPr>
        <w:t>三定方案和单位工作计划</w:t>
      </w:r>
      <w:r>
        <w:rPr>
          <w:rFonts w:hint="eastAsia" w:ascii="仿宋_GB2312" w:hAnsi="宋体" w:eastAsia="仿宋_GB2312" w:cs="宋体"/>
          <w:kern w:val="0"/>
          <w:sz w:val="32"/>
          <w:szCs w:val="32"/>
        </w:rPr>
        <w:t xml:space="preserve"> </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rPr>
        <w:t>年度项目经费20万元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昌吉州中级人民法院本级</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：印刷资料、表彰先进、对陪审员的培训、发放交通补助、发放生活补助等支出</w:t>
      </w:r>
    </w:p>
    <w:p>
      <w:pPr>
        <w:widowControl/>
        <w:spacing w:line="580" w:lineRule="exact"/>
        <w:ind w:firstLine="640"/>
        <w:jc w:val="left"/>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rPr>
        <w:t>2020年度</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八、关于昌吉州中级人民法院2020年一般公共预算“三公”经费预算情况说明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昌吉州中级人民法院2020年“三公”经费财政拨款预算数为 77.52万元，其中：因公出国（境）费 0万元，公务用车购置0万元，公务用车运行费74.55万元，公务接待费2.97万元。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2020年“三公”经费财政拨款预算比上年增加（减少）0</w:t>
      </w:r>
      <w:r>
        <w:rPr>
          <w:rFonts w:hint="eastAsia" w:ascii="仿宋_GB2312" w:hAnsi="宋体" w:eastAsia="仿宋_GB2312" w:cs="宋体"/>
          <w:b/>
          <w:kern w:val="0"/>
          <w:sz w:val="32"/>
          <w:szCs w:val="32"/>
        </w:rPr>
        <w:t>万</w:t>
      </w:r>
      <w:r>
        <w:rPr>
          <w:rFonts w:hint="eastAsia" w:ascii="仿宋_GB2312" w:hAnsi="宋体" w:eastAsia="仿宋_GB2312" w:cs="宋体"/>
          <w:b/>
          <w:kern w:val="0"/>
          <w:sz w:val="32"/>
          <w:szCs w:val="32"/>
          <w:highlight w:val="none"/>
        </w:rPr>
        <w:t>元，其中：</w:t>
      </w:r>
      <w:r>
        <w:rPr>
          <w:rFonts w:hint="eastAsia" w:ascii="仿宋_GB2312" w:hAnsi="宋体" w:eastAsia="仿宋_GB2312" w:cs="宋体"/>
          <w:b/>
          <w:kern w:val="0"/>
          <w:sz w:val="32"/>
          <w:szCs w:val="32"/>
        </w:rPr>
        <w:t>因公出国（境）费增加（减少）0万</w:t>
      </w:r>
      <w:r>
        <w:rPr>
          <w:rFonts w:hint="eastAsia" w:ascii="仿宋_GB2312" w:hAnsi="宋体" w:eastAsia="仿宋_GB2312" w:cs="宋体"/>
          <w:kern w:val="0"/>
          <w:sz w:val="32"/>
          <w:szCs w:val="32"/>
        </w:rPr>
        <w:t>元，主要原因是</w:t>
      </w:r>
      <w:r>
        <w:rPr>
          <w:rFonts w:hint="eastAsia" w:ascii="仿宋_GB2312" w:hAnsi="宋体" w:eastAsia="仿宋_GB2312" w:cs="宋体"/>
          <w:kern w:val="0"/>
          <w:sz w:val="32"/>
          <w:szCs w:val="32"/>
          <w:lang w:val="en-US" w:eastAsia="zh-CN"/>
        </w:rPr>
        <w:t>未安排经费</w:t>
      </w:r>
      <w:r>
        <w:rPr>
          <w:rFonts w:hint="eastAsia" w:ascii="仿宋_GB2312" w:hAnsi="宋体" w:eastAsia="仿宋_GB2312" w:cs="宋体"/>
          <w:kern w:val="0"/>
          <w:sz w:val="32"/>
          <w:szCs w:val="32"/>
        </w:rPr>
        <w:t>；公务用车购置费为0，未安排预算。公务用车运行费增加（减少）0万元，主要原因是厉行节约要求；公务接待费增加（减少）0万元，主要原因是厉行节约要求。</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九、关于昌吉州中级人民法院2020年政府性基金预算拨款情况说明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昌吉州中级人民法院没有使用政府性基金预算拨款安排的支出，政府性基金预算支出情况表为空表。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2020年，本级的机关运行经费财政拨款预算380.14万元，比上年预算数增加17.19万元，</w:t>
      </w:r>
      <w:r>
        <w:rPr>
          <w:rFonts w:hint="eastAsia" w:ascii="仿宋_GB2312" w:hAnsi="宋体" w:eastAsia="仿宋_GB2312" w:cs="宋体"/>
          <w:kern w:val="0"/>
          <w:sz w:val="32"/>
          <w:szCs w:val="32"/>
          <w:highlight w:val="none"/>
        </w:rPr>
        <w:t>增加4.</w:t>
      </w:r>
      <w:r>
        <w:rPr>
          <w:rFonts w:hint="eastAsia" w:ascii="仿宋_GB2312" w:hAnsi="宋体" w:eastAsia="仿宋_GB2312" w:cs="宋体"/>
          <w:kern w:val="0"/>
          <w:sz w:val="32"/>
          <w:szCs w:val="32"/>
          <w:highlight w:val="none"/>
          <w:lang w:val="en-US" w:eastAsia="zh-CN"/>
        </w:rPr>
        <w:t>52</w:t>
      </w:r>
      <w:r>
        <w:rPr>
          <w:rFonts w:hint="eastAsia" w:ascii="仿宋_GB2312" w:hAnsi="宋体" w:eastAsia="仿宋_GB2312" w:cs="宋体"/>
          <w:kern w:val="0"/>
          <w:sz w:val="32"/>
          <w:szCs w:val="32"/>
          <w:highlight w:val="none"/>
        </w:rPr>
        <w:t>%。</w:t>
      </w:r>
      <w:r>
        <w:rPr>
          <w:rFonts w:hint="eastAsia" w:ascii="仿宋_GB2312" w:hAnsi="宋体" w:eastAsia="仿宋_GB2312" w:cs="宋体"/>
          <w:kern w:val="0"/>
          <w:sz w:val="32"/>
          <w:szCs w:val="32"/>
        </w:rPr>
        <w:t>主要原因是 人员增加后使工会经费和福利费有所增加。</w:t>
      </w:r>
      <w:bookmarkStart w:id="0" w:name="_GoBack"/>
      <w:bookmarkEnd w:id="0"/>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2020年，昌吉州中级人民法院政府采购预算1225.75万元，其中：政府采购货物预算289.2万元，政府采购工程预算817万元，政府采购服务预算119.55万元。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2020年度本部门面向中小企业预留政府采购项目预算金额 3万元，其中：面向小微企业预留政府采购项目预算金额3万元。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截至2019年底，我单位单位占用使用国有资产总体情况为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1.房屋19373.33平方米，价值5382.57万元。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2.车辆27辆，价值189.67万元；其中：一般公务用车12辆，价值61.76万元；执法执勤用车12辆，价值127.91万元。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3.办公家具价值197.68万元。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4.其他资产价值1036.69万元。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 2套，单位价值100万元以上大型设备0套。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2020年部门预算未安排购置车辆经费，未安排购置50万元和100万元以上大型设备。</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2020年度，本年度实行绩效管理的项目1个，涉及预算金额20万元。具体情况见下表（按项目分别填报）：</w:t>
      </w: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spacing w:line="500" w:lineRule="exact"/>
        <w:rPr>
          <w:rFonts w:ascii="仿宋_GB2312" w:hAnsi="宋体" w:eastAsia="仿宋_GB2312" w:cs="宋体"/>
          <w:kern w:val="0"/>
          <w:sz w:val="32"/>
          <w:szCs w:val="32"/>
        </w:rPr>
      </w:pPr>
    </w:p>
    <w:p>
      <w:pPr>
        <w:widowControl/>
        <w:spacing w:line="600" w:lineRule="exact"/>
        <w:sectPr>
          <w:pgSz w:w="11906" w:h="16838"/>
          <w:pgMar w:top="1440" w:right="1800" w:bottom="1440" w:left="1800" w:header="851" w:footer="992" w:gutter="0"/>
          <w:cols w:space="720" w:num="1"/>
          <w:docGrid w:type="lines" w:linePitch="312" w:charSpace="0"/>
        </w:sectPr>
      </w:pPr>
    </w:p>
    <w:tbl>
      <w:tblPr>
        <w:tblStyle w:val="6"/>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0"/>
        <w:gridCol w:w="1141"/>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323" w:type="dxa"/>
            <w:tcBorders>
              <w:top w:val="nil"/>
              <w:left w:val="nil"/>
              <w:bottom w:val="nil"/>
              <w:right w:val="nil"/>
            </w:tcBorders>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vAlign w:val="bottom"/>
          </w:tcPr>
          <w:p>
            <w:pPr>
              <w:widowControl/>
              <w:jc w:val="left"/>
              <w:rPr>
                <w:rFonts w:ascii="宋体" w:hAnsi="宋体" w:cs="宋体"/>
                <w:color w:val="000000"/>
                <w:kern w:val="0"/>
                <w:sz w:val="22"/>
              </w:rPr>
            </w:pPr>
          </w:p>
        </w:tc>
        <w:tc>
          <w:tcPr>
            <w:tcW w:w="240" w:type="dxa"/>
            <w:tcBorders>
              <w:top w:val="nil"/>
              <w:left w:val="nil"/>
              <w:bottom w:val="nil"/>
              <w:right w:val="nil"/>
            </w:tcBorders>
            <w:vAlign w:val="bottom"/>
          </w:tcPr>
          <w:p>
            <w:pPr>
              <w:widowControl/>
              <w:jc w:val="left"/>
              <w:rPr>
                <w:rFonts w:ascii="宋体" w:hAnsi="宋体" w:cs="宋体"/>
                <w:color w:val="000000"/>
                <w:kern w:val="0"/>
                <w:sz w:val="22"/>
              </w:rPr>
            </w:pPr>
          </w:p>
        </w:tc>
        <w:tc>
          <w:tcPr>
            <w:tcW w:w="3284" w:type="dxa"/>
            <w:gridSpan w:val="2"/>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c>
          <w:tcPr>
            <w:tcW w:w="249" w:type="dxa"/>
            <w:tcBorders>
              <w:top w:val="nil"/>
              <w:left w:val="nil"/>
              <w:bottom w:val="nil"/>
              <w:right w:val="nil"/>
            </w:tcBorders>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新疆维吾尔自治区昌吉回族自治州中级人民法院</w:t>
            </w:r>
          </w:p>
        </w:tc>
        <w:tc>
          <w:tcPr>
            <w:tcW w:w="19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仿宋_GB2312" w:hAnsi="宋体" w:eastAsia="仿宋_GB2312" w:cs="宋体"/>
                <w:kern w:val="0"/>
                <w:sz w:val="24"/>
              </w:rPr>
              <w:t>人民陪审员业务费</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　</w:t>
            </w:r>
          </w:p>
        </w:tc>
        <w:tc>
          <w:tcPr>
            <w:tcW w:w="1810"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　</w:t>
            </w:r>
          </w:p>
        </w:tc>
        <w:tc>
          <w:tcPr>
            <w:tcW w:w="1381" w:type="dxa"/>
            <w:gridSpan w:val="2"/>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tcPr>
          <w:p>
            <w:pPr>
              <w:widowControl/>
              <w:jc w:val="left"/>
              <w:rPr>
                <w:rFonts w:ascii="宋体" w:hAnsi="宋体" w:cs="宋体"/>
                <w:kern w:val="0"/>
                <w:sz w:val="18"/>
                <w:szCs w:val="18"/>
              </w:rPr>
            </w:pPr>
            <w:r>
              <w:rPr>
                <w:rFonts w:hint="eastAsia" w:ascii="宋体" w:hAnsi="宋体" w:cs="宋体"/>
                <w:kern w:val="0"/>
                <w:sz w:val="18"/>
                <w:szCs w:val="18"/>
              </w:rPr>
              <w:t>　</w:t>
            </w:r>
            <w:r>
              <w:rPr>
                <w:rFonts w:hint="eastAsia" w:ascii="仿宋_GB2312" w:hAnsi="宋体" w:eastAsia="仿宋_GB2312" w:cs="宋体"/>
                <w:kern w:val="0"/>
                <w:sz w:val="24"/>
              </w:rPr>
              <w:t>支出内容包括交通补助费、培训费、资料费、无固定收入人民陪审员的生活补助费、其他费用如对人民陪审员的表彰、奖励等。</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39"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39"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培训费　</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7万元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陪审费　</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13万元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培训完成时间</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2020年12月31日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培训参加人数</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338人次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left"/>
              <w:rPr>
                <w:rFonts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表彰县市</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8个县市园</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培训出勤率</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≧95%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培训合格率</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42"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不断提高司法公信力</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明显提高</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left w:val="single" w:color="000000" w:sz="4" w:space="0"/>
              <w:right w:val="single" w:color="000000" w:sz="4" w:space="0"/>
            </w:tcBorders>
            <w:vAlign w:val="center"/>
          </w:tcPr>
          <w:p>
            <w:pPr>
              <w:widowControl/>
              <w:jc w:val="center"/>
              <w:rPr>
                <w:rFonts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持续提高陪审员的履职能力和业务水平</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长期</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受训人员满意度</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100%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39" w:type="dxa"/>
            <w:gridSpan w:val="7"/>
            <w:tcBorders>
              <w:top w:val="single" w:color="000000" w:sz="4" w:space="0"/>
              <w:left w:val="nil"/>
              <w:bottom w:val="single" w:color="000000" w:sz="4" w:space="0"/>
              <w:right w:val="single" w:color="000000" w:sz="4" w:space="0"/>
            </w:tcBorders>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82" w:type="dxa"/>
            <w:gridSpan w:val="4"/>
            <w:tcBorders>
              <w:top w:val="single" w:color="000000" w:sz="4" w:space="0"/>
              <w:left w:val="nil"/>
              <w:bottom w:val="single" w:color="000000" w:sz="4" w:space="0"/>
              <w:right w:val="single" w:color="000000" w:sz="4" w:space="0"/>
            </w:tcBorders>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411" w:firstLineChars="196"/>
        <w:jc w:val="left"/>
        <w:sectPr>
          <w:pgSz w:w="16838" w:h="11906" w:orient="landscape"/>
          <w:pgMar w:top="1800" w:right="1440" w:bottom="1800" w:left="1440" w:header="851" w:footer="992" w:gutter="0"/>
          <w:cols w:space="720"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无其他需说明的事项</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部门支出预算的组成部分，是州本级部门为完成其特定的行政任务或事业发展目标，在基本支出预算之外编制的年度项目支出计划。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昌吉州中级人民法院</w:t>
      </w:r>
    </w:p>
    <w:p>
      <w:pPr>
        <w:widowControl/>
        <w:spacing w:line="560" w:lineRule="exact"/>
        <w:ind w:firstLine="3840" w:firstLineChars="1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2020</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22</w:t>
      </w:r>
      <w:r>
        <w:rPr>
          <w:rFonts w:ascii="仿宋_GB2312" w:hAnsi="宋体" w:eastAsia="仿宋_GB2312" w:cs="宋体"/>
          <w:kern w:val="0"/>
          <w:sz w:val="32"/>
          <w:szCs w:val="32"/>
        </w:rPr>
        <w:t>日</w:t>
      </w:r>
    </w:p>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6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auto"/>
    <w:pitch w:val="default"/>
    <w:sig w:usb0="00000000" w:usb1="00000000" w:usb2="00000000" w:usb3="00000000" w:csb0="00040000" w:csb1="00000000"/>
  </w:font>
  <w:font w:name="楷体_GB2312">
    <w:altName w:val="楷体"/>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23</w:t>
    </w:r>
    <w:r>
      <w:rPr>
        <w:rFonts w:ascii="宋体" w:hAnsi="宋体" w:eastAsia="宋体"/>
        <w:sz w:val="28"/>
        <w:szCs w:val="28"/>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2"/>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doNotTrackMove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56DF9"/>
    <w:rsid w:val="004E75F3"/>
    <w:rsid w:val="00594C8F"/>
    <w:rsid w:val="005A5B17"/>
    <w:rsid w:val="006C34B7"/>
    <w:rsid w:val="00B1750D"/>
    <w:rsid w:val="00C15CC5"/>
    <w:rsid w:val="00D56DF9"/>
    <w:rsid w:val="00EF1FA1"/>
    <w:rsid w:val="00FD18CD"/>
    <w:rsid w:val="118A2DC9"/>
    <w:rsid w:val="75D47F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rFonts w:eastAsia="黑体"/>
      <w:snapToGrid w:val="0"/>
      <w:kern w:val="0"/>
      <w:sz w:val="18"/>
      <w:szCs w:val="18"/>
    </w:rPr>
  </w:style>
  <w:style w:type="paragraph" w:styleId="3">
    <w:name w:val="header"/>
    <w:basedOn w:val="1"/>
    <w:link w:val="8"/>
    <w:qFormat/>
    <w:uiPriority w:val="0"/>
    <w:pPr>
      <w:pBdr>
        <w:bottom w:val="single" w:color="auto" w:sz="6" w:space="1"/>
      </w:pBdr>
      <w:tabs>
        <w:tab w:val="center" w:pos="4153"/>
        <w:tab w:val="right" w:pos="8306"/>
      </w:tabs>
      <w:snapToGrid w:val="0"/>
      <w:jc w:val="center"/>
    </w:pPr>
    <w:rPr>
      <w:sz w:val="18"/>
      <w:szCs w:val="18"/>
    </w:rPr>
  </w:style>
  <w:style w:type="character" w:styleId="5">
    <w:name w:val="Strong"/>
    <w:qFormat/>
    <w:uiPriority w:val="0"/>
    <w:rPr>
      <w:rFonts w:cs="Times New Roman"/>
      <w:b/>
      <w:bCs/>
    </w:rPr>
  </w:style>
  <w:style w:type="character" w:customStyle="1" w:styleId="7">
    <w:name w:val="页脚 字符"/>
    <w:link w:val="2"/>
    <w:semiHidden/>
    <w:qFormat/>
    <w:uiPriority w:val="0"/>
    <w:rPr>
      <w:rFonts w:ascii="Times New Roman" w:hAnsi="Times New Roman" w:eastAsia="黑体" w:cs="Times New Roman"/>
      <w:snapToGrid w:val="0"/>
      <w:kern w:val="0"/>
      <w:sz w:val="18"/>
      <w:szCs w:val="18"/>
    </w:rPr>
  </w:style>
  <w:style w:type="character" w:customStyle="1" w:styleId="8">
    <w:name w:val="页眉 字符"/>
    <w:link w:val="3"/>
    <w:semiHidden/>
    <w:qFormat/>
    <w:uiPriority w:val="0"/>
    <w:rPr>
      <w:rFonts w:ascii="Times New Roman" w:hAnsi="Times New Roman" w:eastAsia="宋体" w:cs="Times New Roman"/>
      <w:sz w:val="18"/>
      <w:szCs w:val="18"/>
    </w:rPr>
  </w:style>
  <w:style w:type="character" w:customStyle="1" w:styleId="9">
    <w:name w:val="正文文本缩进 3 Char"/>
    <w:link w:val="10"/>
    <w:semiHidden/>
    <w:qFormat/>
    <w:uiPriority w:val="0"/>
    <w:rPr>
      <w:rFonts w:ascii="Times New Roman" w:hAnsi="Times New Roman" w:eastAsia="仿宋_GB2312" w:cs="Times New Roman"/>
      <w:sz w:val="32"/>
      <w:szCs w:val="24"/>
    </w:rPr>
  </w:style>
  <w:style w:type="paragraph" w:customStyle="1" w:styleId="10">
    <w:name w:val="正文文本缩进 31"/>
    <w:basedOn w:val="1"/>
    <w:link w:val="9"/>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customStyle="1" w:styleId="11">
    <w:name w:val="批注框文本 Char Char"/>
    <w:basedOn w:val="1"/>
    <w:link w:val="18"/>
    <w:qFormat/>
    <w:uiPriority w:val="0"/>
    <w:rPr>
      <w:sz w:val="18"/>
      <w:szCs w:val="18"/>
    </w:rPr>
  </w:style>
  <w:style w:type="paragraph" w:customStyle="1" w:styleId="12">
    <w:name w:val="普通(网站)1"/>
    <w:basedOn w:val="1"/>
    <w:qFormat/>
    <w:uiPriority w:val="0"/>
    <w:pPr>
      <w:widowControl/>
      <w:spacing w:before="100" w:beforeAutospacing="1" w:after="100" w:afterAutospacing="1"/>
      <w:jc w:val="left"/>
    </w:pPr>
    <w:rPr>
      <w:rFonts w:ascii="宋体" w:hAnsi="宋体" w:cs="宋体"/>
      <w:kern w:val="0"/>
      <w:sz w:val="24"/>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customStyle="1" w:styleId="14">
    <w:name w:val="列出段落1"/>
    <w:basedOn w:val="1"/>
    <w:qFormat/>
    <w:uiPriority w:val="0"/>
    <w:pPr>
      <w:ind w:firstLine="420" w:firstLineChars="200"/>
    </w:pPr>
    <w:rPr>
      <w:rFonts w:ascii="Calibri" w:hAnsi="Calibri"/>
      <w:szCs w:val="22"/>
    </w:rPr>
  </w:style>
  <w:style w:type="paragraph" w:customStyle="1" w:styleId="15">
    <w:name w:val="普通(网站)11"/>
    <w:basedOn w:val="1"/>
    <w:qFormat/>
    <w:uiPriority w:val="0"/>
    <w:rPr>
      <w:rFonts w:ascii="Calibri" w:hAnsi="Calibri" w:cs="黑体"/>
      <w:sz w:val="24"/>
    </w:rPr>
  </w:style>
  <w:style w:type="paragraph" w:customStyle="1" w:styleId="16">
    <w:name w:val="普通(网站)2"/>
    <w:basedOn w:val="1"/>
    <w:qFormat/>
    <w:uiPriority w:val="0"/>
    <w:rPr>
      <w:rFonts w:ascii="Calibri" w:hAnsi="Calibri" w:cs="黑体"/>
      <w:sz w:val="24"/>
    </w:rPr>
  </w:style>
  <w:style w:type="paragraph" w:customStyle="1" w:styleId="17">
    <w:name w:val="普通(网站)3"/>
    <w:basedOn w:val="1"/>
    <w:qFormat/>
    <w:uiPriority w:val="0"/>
    <w:rPr>
      <w:rFonts w:ascii="Calibri" w:hAnsi="Calibri" w:cs="黑体"/>
      <w:sz w:val="24"/>
    </w:rPr>
  </w:style>
  <w:style w:type="character" w:customStyle="1" w:styleId="18">
    <w:name w:val="批注框文本 Char Char Char"/>
    <w:link w:val="11"/>
    <w:semiHidden/>
    <w:qFormat/>
    <w:uiPriority w:val="0"/>
    <w:rPr>
      <w:rFonts w:ascii="Times New Roman" w:hAnsi="Times New Roman" w:eastAsia="宋体" w:cs="Times New Roman"/>
      <w:sz w:val="18"/>
      <w:szCs w:val="18"/>
    </w:rPr>
  </w:style>
  <w:style w:type="character" w:customStyle="1" w:styleId="19">
    <w:name w:val="页码1"/>
    <w:basedOn w:val="4"/>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24</Pages>
  <Words>1461</Words>
  <Characters>8334</Characters>
  <Lines>69</Lines>
  <Paragraphs>19</Paragraphs>
  <TotalTime>20</TotalTime>
  <ScaleCrop>false</ScaleCrop>
  <LinksUpToDate>false</LinksUpToDate>
  <CharactersWithSpaces>9776</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2020-04-02T03:05:00Z</dcterms:created>
  <dc:creator>王怡</dc:creator>
  <cp:lastModifiedBy>1</cp:lastModifiedBy>
  <cp:lastPrinted>2020-04-02T04:10:00Z</cp:lastPrinted>
  <dcterms:modified xsi:type="dcterms:W3CDTF">2021-05-28T05:32:53Z</dcterms:modified>
  <dc:title>Administrator</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ies>
</file>