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昌吉州人民医院传染病分院2019年部门预算公开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both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>
      <w:pPr>
        <w:widowControl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00" w:lineRule="exact"/>
        <w:jc w:val="center"/>
        <w:outlineLvl w:val="1"/>
        <w:rPr>
          <w:rFonts w:ascii="黑体" w:hAnsi="黑体" w:eastAsia="黑体"/>
          <w:kern w:val="0"/>
          <w:sz w:val="44"/>
          <w:szCs w:val="44"/>
        </w:rPr>
      </w:pPr>
      <w:r>
        <w:rPr>
          <w:rFonts w:hint="eastAsia" w:ascii="黑体" w:hAnsi="黑体" w:eastAsia="黑体"/>
          <w:kern w:val="0"/>
          <w:sz w:val="44"/>
          <w:szCs w:val="44"/>
        </w:rPr>
        <w:t>目录</w:t>
      </w:r>
    </w:p>
    <w:p>
      <w:pPr>
        <w:widowControl/>
        <w:spacing w:line="500" w:lineRule="exact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 州人民医院传染病分院单位概况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第二部分  </w:t>
      </w:r>
      <w:r>
        <w:rPr>
          <w:rFonts w:hint="eastAsia" w:ascii="宋体" w:hAnsi="宋体" w:eastAsia="仿宋_GB2312"/>
          <w:b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年部门预算公开表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一、部门收支总体情况表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二、部门收入总体情况表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三、部门支出总体情况表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第三部分  </w:t>
      </w:r>
      <w:r>
        <w:rPr>
          <w:rFonts w:hint="eastAsia" w:ascii="宋体" w:hAnsi="宋体" w:eastAsia="仿宋_GB2312"/>
          <w:b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一、关于州人民医院传染病分院2019年收支预算情况的总体说明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二、关于州人民医院传染病分院2019年收入预算情况说明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三、关于州人民医院传染病分院2019年支出预算情况说明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州人民医院传染病分院2019年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财政拨款收支预算情况的总体说明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五、关于州人民医院传染病分院2019年一般公共预算当年拨款情况说明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六、关于州人民医院传染病分院2019年一般公共预算基本支出情况说明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七、关于州人民医院传染病分院2019年项目支出情况说明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八、关于州人民医院传染病分院2019年一般公共预算“三公”经费预算情况说明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九、关于州人民医院传染病分院2019年政府性基金预算拨款情况说明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widowControl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   部门单位概况</w:t>
      </w:r>
    </w:p>
    <w:p>
      <w:pPr>
        <w:widowControl/>
        <w:numPr>
          <w:ilvl w:val="0"/>
          <w:numId w:val="1"/>
        </w:numPr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主要职能</w:t>
      </w:r>
    </w:p>
    <w:p>
      <w:pPr>
        <w:spacing w:line="560" w:lineRule="exact"/>
        <w:ind w:firstLine="480" w:firstLineChars="150"/>
        <w:rPr>
          <w:rFonts w:ascii="仿宋_GB2312" w:hAnsi="黑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州人民医院传染病分院主要依托于州人民医院统筹管理，</w:t>
      </w:r>
      <w:r>
        <w:rPr>
          <w:rFonts w:ascii="仿宋_GB2312" w:hAnsi="黑体" w:eastAsia="仿宋_GB2312" w:cs="宋体"/>
          <w:bCs/>
          <w:kern w:val="0"/>
          <w:sz w:val="32"/>
          <w:szCs w:val="32"/>
        </w:rPr>
        <w:t>集医疗、教学、科研、预防、保健、康复、急救为一体的“三级甲等”综合医院和昌吉州医疗中心。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作为</w:t>
      </w:r>
      <w:r>
        <w:rPr>
          <w:rFonts w:ascii="仿宋_GB2312" w:hAnsi="黑体" w:eastAsia="仿宋_GB2312" w:cs="宋体"/>
          <w:bCs/>
          <w:kern w:val="0"/>
          <w:sz w:val="32"/>
          <w:szCs w:val="32"/>
        </w:rPr>
        <w:t>昌吉州传染病医院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，承担各类相关疾病救治工作，</w:t>
      </w:r>
      <w:r>
        <w:rPr>
          <w:rFonts w:ascii="仿宋_GB2312" w:hAnsi="黑体" w:eastAsia="仿宋_GB2312" w:cs="宋体"/>
          <w:bCs/>
          <w:kern w:val="0"/>
          <w:sz w:val="32"/>
          <w:szCs w:val="32"/>
        </w:rPr>
        <w:t>为保障和增进新疆昌吉州各族人民的健康作出了积极贡献。</w:t>
      </w:r>
    </w:p>
    <w:p>
      <w:pPr>
        <w:widowControl/>
        <w:spacing w:line="560" w:lineRule="exact"/>
        <w:ind w:firstLine="640" w:firstLineChars="200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单位无下属预算单位，下设1个处室，分别是：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昌吉州人民医院传染病分院。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民医院传染病分院编制数58人，实有人数58人，其中：在职 58人，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 0人；退休 0 人，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0人；离休 0人，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0人。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第二部分 2019年部门预算公开表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部门收支总体情况表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编制部门：昌吉回族自治州人民医院传染病分院                单位：万元                                 </w:t>
      </w:r>
    </w:p>
    <w:tbl>
      <w:tblPr>
        <w:tblStyle w:val="7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631.48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631.48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财政专户管理资金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39.08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 医疗卫生与计划生育支出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592.4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国土资源气象等支出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631.48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合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631.48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填报部门：昌吉回族自治州人民医院传染病分院        单位：万元                           </w:t>
      </w:r>
    </w:p>
    <w:tbl>
      <w:tblPr>
        <w:tblStyle w:val="7"/>
        <w:tblW w:w="9390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9"/>
        <w:gridCol w:w="449"/>
        <w:gridCol w:w="480"/>
        <w:gridCol w:w="1624"/>
        <w:gridCol w:w="869"/>
        <w:gridCol w:w="855"/>
        <w:gridCol w:w="555"/>
        <w:gridCol w:w="585"/>
        <w:gridCol w:w="600"/>
        <w:gridCol w:w="660"/>
        <w:gridCol w:w="555"/>
        <w:gridCol w:w="720"/>
        <w:gridCol w:w="86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功能分类科目编码</w:t>
            </w:r>
          </w:p>
        </w:tc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功能分类科目名称</w:t>
            </w: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总  计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一般公共预算拨款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政府性基金预算拨款</w:t>
            </w: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财政专户管理资金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事业收入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事业单位经营收入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其他收入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用事业基金弥补收支差额</w:t>
            </w: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单位上年结余（不包括国库集中支付额度结余）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5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类</w:t>
            </w:r>
          </w:p>
        </w:tc>
        <w:tc>
          <w:tcPr>
            <w:tcW w:w="4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款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项</w:t>
            </w:r>
          </w:p>
        </w:tc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631.48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631.48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208　</w:t>
            </w:r>
          </w:p>
        </w:tc>
        <w:tc>
          <w:tcPr>
            <w:tcW w:w="4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05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06　</w:t>
            </w:r>
          </w:p>
        </w:tc>
        <w:tc>
          <w:tcPr>
            <w:tcW w:w="16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机关事业单位职业年金缴费支出　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39.08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39.08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210　</w:t>
            </w:r>
          </w:p>
        </w:tc>
        <w:tc>
          <w:tcPr>
            <w:tcW w:w="4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02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03　</w:t>
            </w:r>
          </w:p>
        </w:tc>
        <w:tc>
          <w:tcPr>
            <w:tcW w:w="16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传染病医院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592.4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592.4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16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16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16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16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16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16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16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16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16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16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16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16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合计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631.48　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631.48　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部门支出总体情况表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编制部门： 昌吉回族自治州人民医院传染病分院               单位：万元                                      </w:t>
      </w:r>
    </w:p>
    <w:tbl>
      <w:tblPr>
        <w:tblStyle w:val="7"/>
        <w:tblW w:w="8775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5"/>
        <w:gridCol w:w="480"/>
        <w:gridCol w:w="480"/>
        <w:gridCol w:w="1770"/>
        <w:gridCol w:w="1965"/>
        <w:gridCol w:w="1875"/>
        <w:gridCol w:w="159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3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项目</w:t>
            </w:r>
          </w:p>
        </w:tc>
        <w:tc>
          <w:tcPr>
            <w:tcW w:w="543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5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177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96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合计</w:t>
            </w:r>
          </w:p>
        </w:tc>
        <w:tc>
          <w:tcPr>
            <w:tcW w:w="187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59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类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款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项</w:t>
            </w:r>
          </w:p>
        </w:tc>
        <w:tc>
          <w:tcPr>
            <w:tcW w:w="177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9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7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9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208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05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06　</w:t>
            </w:r>
          </w:p>
        </w:tc>
        <w:tc>
          <w:tcPr>
            <w:tcW w:w="1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机关事业单位职业年金缴费支出　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39.08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39.08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210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02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03　</w:t>
            </w:r>
          </w:p>
        </w:tc>
        <w:tc>
          <w:tcPr>
            <w:tcW w:w="1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传染病医院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592.4　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592.4　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1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1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1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1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1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1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1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1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1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1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1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合计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631.48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631.48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="120" w:beforeLines="50"/>
        <w:jc w:val="left"/>
        <w:outlineLvl w:val="1"/>
        <w:rPr>
          <w:rFonts w:ascii="仿宋_GB2312" w:hAnsi="宋体" w:eastAsia="仿宋_GB2312"/>
          <w:kern w:val="0"/>
          <w:sz w:val="28"/>
          <w:szCs w:val="28"/>
        </w:rPr>
      </w:pPr>
      <w:r>
        <w:rPr>
          <w:rFonts w:hint="eastAsia" w:ascii="仿宋_GB2312" w:hAnsi="宋体" w:eastAsia="仿宋_GB2312"/>
          <w:kern w:val="0"/>
          <w:sz w:val="28"/>
          <w:szCs w:val="28"/>
        </w:rPr>
        <w:t>编制部门：</w:t>
      </w:r>
      <w:r>
        <w:rPr>
          <w:rFonts w:hint="eastAsia" w:ascii="仿宋_GB2312" w:hAnsi="宋体" w:eastAsia="仿宋_GB2312"/>
          <w:kern w:val="0"/>
          <w:sz w:val="24"/>
        </w:rPr>
        <w:t xml:space="preserve">昌吉回族自治州人民医院传染病分院     </w:t>
      </w:r>
      <w:r>
        <w:rPr>
          <w:rFonts w:hint="eastAsia" w:ascii="仿宋_GB2312" w:hAnsi="宋体" w:eastAsia="仿宋_GB2312"/>
          <w:kern w:val="0"/>
          <w:sz w:val="28"/>
          <w:szCs w:val="28"/>
        </w:rPr>
        <w:t xml:space="preserve">         单位：万元                                </w:t>
      </w:r>
    </w:p>
    <w:tbl>
      <w:tblPr>
        <w:tblStyle w:val="7"/>
        <w:tblW w:w="8925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230"/>
        <w:gridCol w:w="2250"/>
        <w:gridCol w:w="1294"/>
        <w:gridCol w:w="1271"/>
        <w:gridCol w:w="12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07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631.48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631.48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文化体育与传媒支出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39.08　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39.08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</w:rPr>
              <w:t>210 医疗卫生与计划生育支出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592.4　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592.4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国土资源气象等支出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粮油物资管理支出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</w:rPr>
              <w:t>223 国有资本经营预算支出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631.48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631.48　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631.48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7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480"/>
        <w:gridCol w:w="510"/>
        <w:gridCol w:w="2330"/>
        <w:gridCol w:w="1684"/>
        <w:gridCol w:w="216"/>
        <w:gridCol w:w="1626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9087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</w:p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</w:p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7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昌吉回族自治州人民医院传染病分院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8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5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33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类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款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项</w:t>
            </w:r>
          </w:p>
        </w:tc>
        <w:tc>
          <w:tcPr>
            <w:tcW w:w="233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208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05　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06　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机关事业单位职业年金缴费支出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39.08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39.08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210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02　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03　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传染病医院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592.4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592.4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合计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631.48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631.48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7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489"/>
        <w:gridCol w:w="3090"/>
        <w:gridCol w:w="1590"/>
        <w:gridCol w:w="976"/>
        <w:gridCol w:w="725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08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666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昌吉回族自治州人民医院传染病分院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  <w:t>项目</w:t>
            </w:r>
          </w:p>
        </w:tc>
        <w:tc>
          <w:tcPr>
            <w:tcW w:w="499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  <w:t>一般公共预算基本支出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  <w:t>经济分类科目编码</w:t>
            </w:r>
          </w:p>
        </w:tc>
        <w:tc>
          <w:tcPr>
            <w:tcW w:w="309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  <w:t>经济分类科目名称</w:t>
            </w:r>
          </w:p>
        </w:tc>
        <w:tc>
          <w:tcPr>
            <w:tcW w:w="159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  <w:t>小计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  <w:t>公用经费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类</w:t>
            </w:r>
          </w:p>
        </w:tc>
        <w:tc>
          <w:tcPr>
            <w:tcW w:w="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款</w:t>
            </w:r>
          </w:p>
        </w:tc>
        <w:tc>
          <w:tcPr>
            <w:tcW w:w="309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9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301</w:t>
            </w:r>
          </w:p>
        </w:tc>
        <w:tc>
          <w:tcPr>
            <w:tcW w:w="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01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基本工资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271.39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271.39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301</w:t>
            </w:r>
          </w:p>
        </w:tc>
        <w:tc>
          <w:tcPr>
            <w:tcW w:w="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03　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奖金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19.59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147" w:rightChars="7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19.59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301</w:t>
            </w:r>
          </w:p>
        </w:tc>
        <w:tc>
          <w:tcPr>
            <w:tcW w:w="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06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伙食补助费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36.54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36.54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301</w:t>
            </w:r>
          </w:p>
        </w:tc>
        <w:tc>
          <w:tcPr>
            <w:tcW w:w="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07　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绩效工资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79.34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79.34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301</w:t>
            </w:r>
          </w:p>
        </w:tc>
        <w:tc>
          <w:tcPr>
            <w:tcW w:w="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08　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机关事业单位基本养老保险缴费　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97.71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97.71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301</w:t>
            </w:r>
          </w:p>
        </w:tc>
        <w:tc>
          <w:tcPr>
            <w:tcW w:w="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09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职业年金缴费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39.08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39.08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301</w:t>
            </w:r>
          </w:p>
        </w:tc>
        <w:tc>
          <w:tcPr>
            <w:tcW w:w="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10　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职工基本医疗保险缴费　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43.97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43.97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301　</w:t>
            </w:r>
          </w:p>
        </w:tc>
        <w:tc>
          <w:tcPr>
            <w:tcW w:w="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11　 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公务员医疗补助缴费　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34.2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34.2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301　</w:t>
            </w:r>
          </w:p>
        </w:tc>
        <w:tc>
          <w:tcPr>
            <w:tcW w:w="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12　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其他社会保障缴费　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    3.86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3.86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301　</w:t>
            </w:r>
          </w:p>
        </w:tc>
        <w:tc>
          <w:tcPr>
            <w:tcW w:w="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13　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住房公积金　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302</w:t>
            </w:r>
          </w:p>
        </w:tc>
        <w:tc>
          <w:tcPr>
            <w:tcW w:w="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01　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办公费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302</w:t>
            </w:r>
          </w:p>
        </w:tc>
        <w:tc>
          <w:tcPr>
            <w:tcW w:w="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05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水费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302</w:t>
            </w:r>
          </w:p>
        </w:tc>
        <w:tc>
          <w:tcPr>
            <w:tcW w:w="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06　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电费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302</w:t>
            </w:r>
          </w:p>
        </w:tc>
        <w:tc>
          <w:tcPr>
            <w:tcW w:w="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08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取暖费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302</w:t>
            </w:r>
          </w:p>
        </w:tc>
        <w:tc>
          <w:tcPr>
            <w:tcW w:w="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11　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差旅费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302</w:t>
            </w:r>
          </w:p>
        </w:tc>
        <w:tc>
          <w:tcPr>
            <w:tcW w:w="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13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维修（护）费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302</w:t>
            </w:r>
          </w:p>
        </w:tc>
        <w:tc>
          <w:tcPr>
            <w:tcW w:w="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16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培训费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302</w:t>
            </w:r>
          </w:p>
        </w:tc>
        <w:tc>
          <w:tcPr>
            <w:tcW w:w="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28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工会经费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302</w:t>
            </w:r>
          </w:p>
        </w:tc>
        <w:tc>
          <w:tcPr>
            <w:tcW w:w="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29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福利费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302</w:t>
            </w:r>
          </w:p>
        </w:tc>
        <w:tc>
          <w:tcPr>
            <w:tcW w:w="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99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其他商品和服务支出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303</w:t>
            </w:r>
          </w:p>
        </w:tc>
        <w:tc>
          <w:tcPr>
            <w:tcW w:w="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14　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职工住宅取暖费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5.8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5.8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合计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631.48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631.48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7"/>
        <w:tblW w:w="9461" w:type="dxa"/>
        <w:tblInd w:w="10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6"/>
        <w:gridCol w:w="451"/>
        <w:gridCol w:w="450"/>
        <w:gridCol w:w="915"/>
        <w:gridCol w:w="1350"/>
        <w:gridCol w:w="528"/>
        <w:gridCol w:w="569"/>
        <w:gridCol w:w="148"/>
        <w:gridCol w:w="388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375" w:hRule="atLeast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项目支出情况表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405" w:hRule="atLeast"/>
        </w:trPr>
        <w:tc>
          <w:tcPr>
            <w:tcW w:w="4957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昌吉回族自治州人民医院传染病分院  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447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915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350" w:type="dxa"/>
            <w:vMerge w:val="restart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52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97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546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451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450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915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35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28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4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4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91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3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52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4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91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3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52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4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91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3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52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4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91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3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52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4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91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3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52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4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91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3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52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4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91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3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52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4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91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3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52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4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91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3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52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4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91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3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2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447" w:type="dxa"/>
            <w:gridSpan w:val="3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91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3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本单位无项目支出安排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编制单位：昌吉回族自治州人民医院传染病分院                    单位：万元                       </w:t>
      </w:r>
    </w:p>
    <w:tbl>
      <w:tblPr>
        <w:tblStyle w:val="7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5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5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备注：本单位无三公经费支出情况</w:t>
      </w: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编制单位：昌吉回族自治州人民医院传染病分院                    单位：万元</w:t>
      </w:r>
    </w:p>
    <w:tbl>
      <w:tblPr>
        <w:tblStyle w:val="7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457"/>
        <w:gridCol w:w="457"/>
        <w:gridCol w:w="2896"/>
        <w:gridCol w:w="1559"/>
        <w:gridCol w:w="1701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项  目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政府性基金预算支出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3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项</w:t>
            </w:r>
          </w:p>
        </w:tc>
        <w:tc>
          <w:tcPr>
            <w:tcW w:w="28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  <w:sectPr>
          <w:footerReference r:id="rId3" w:type="default"/>
          <w:footerReference r:id="rId4" w:type="even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备注：本单位无政府性基金业务</w:t>
      </w:r>
    </w:p>
    <w:p>
      <w:pPr>
        <w:widowControl/>
        <w:spacing w:before="156" w:beforeLines="50"/>
        <w:jc w:val="center"/>
        <w:outlineLvl w:val="1"/>
        <w:rPr>
          <w:rFonts w:ascii="黑体" w:hAnsi="黑体" w:eastAsia="黑体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/>
          <w:kern w:val="0"/>
          <w:sz w:val="32"/>
          <w:szCs w:val="32"/>
          <w:highlight w:val="none"/>
        </w:rPr>
        <w:t>第</w:t>
      </w:r>
      <w:r>
        <w:rPr>
          <w:rFonts w:hint="eastAsia" w:ascii="黑体" w:hAnsi="黑体" w:eastAsia="黑体"/>
          <w:kern w:val="0"/>
          <w:sz w:val="32"/>
          <w:szCs w:val="32"/>
          <w:highlight w:val="none"/>
          <w:lang w:eastAsia="zh-CN"/>
        </w:rPr>
        <w:t>三</w:t>
      </w:r>
      <w:r>
        <w:rPr>
          <w:rFonts w:hint="eastAsia" w:ascii="黑体" w:hAnsi="黑体" w:eastAsia="黑体"/>
          <w:kern w:val="0"/>
          <w:sz w:val="32"/>
          <w:szCs w:val="32"/>
          <w:highlight w:val="none"/>
        </w:rPr>
        <w:t>部分  2019年部门预算情况说明</w:t>
      </w:r>
    </w:p>
    <w:p>
      <w:pPr>
        <w:widowControl/>
        <w:spacing w:line="600" w:lineRule="exact"/>
        <w:outlineLvl w:val="1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  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关于昌吉州人民医院传染病分院2019年收支预算情况的总体说明</w:t>
      </w:r>
    </w:p>
    <w:p>
      <w:pPr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按照全口径预算的原则，昌吉州人民医院传染病分院2019年所有收入和支出均纳入部门预算管理。收支总预算631.48万元。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支出预算包括：208 社会保障和就业支出及210卫生健康支出。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二、关于昌吉州人民医院传染病分院2019年收入预算情况说明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昌吉州人民医院传染病分院收入预算 631.48万元，其中：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一般公共预算631.48万元，占100%，比上年预算数增加21.11万元，主要原因是人员基本工资上调增加。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政府性基金预算未安排。为0万元，占0%，比上年增加0万元，主要原因是无政府性基金。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三、关于昌吉州人民医院传染病分院2019年支出预算情况说明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昌吉州人民医院传染病分院2019年支出预算631.48万元，其中：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基本支出631.48万元，占 100 %，比上年预算数增加21.11万元，主要原因是人员基本工资上调增加。          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项目支出0万元，主要原因是无项目支出安排。</w:t>
      </w:r>
    </w:p>
    <w:p>
      <w:pPr>
        <w:widowControl/>
        <w:numPr>
          <w:ilvl w:val="0"/>
          <w:numId w:val="2"/>
        </w:numPr>
        <w:spacing w:line="580" w:lineRule="exact"/>
        <w:ind w:firstLine="640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关于昌吉州人民医院传染病分院2019年财政拨款收支预算情况的总体说明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昌吉州人民医院传染病分院2019年财政拨款收支总预算631.48万元。</w:t>
      </w:r>
    </w:p>
    <w:p>
      <w:pPr>
        <w:spacing w:line="580" w:lineRule="exact"/>
        <w:ind w:firstLine="64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收入全部为一般公共预算拨款，无政府性基金预算拨款。</w:t>
      </w:r>
    </w:p>
    <w:p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支出预算为一般公共服务支出631.48万元，主要用于社会保障和就业支出和卫生健康支出，即人员工资、职业年金、医疗保险、生育保险、工伤保险、失业保险、退休人员生活费、职工取暖费等。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五、关于昌吉州人民医院传染病分院2019年一般公共预算当年拨款情况说明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（一）一般公用预算当年拨款规模变化情况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昌吉州人民医院传染病分院2019年一般公共预算拨款基本支出631.48万元，比上年执行数增加21.11万元，增长3.46%。主要原因是人员基本工资上调增加。   </w:t>
      </w:r>
    </w:p>
    <w:p>
      <w:pPr>
        <w:widowControl/>
        <w:spacing w:line="580" w:lineRule="exact"/>
        <w:ind w:firstLine="472" w:firstLineChars="147"/>
        <w:jc w:val="left"/>
        <w:rPr>
          <w:rFonts w:ascii="楷体_GB2312" w:hAnsi="宋体" w:eastAsia="楷体_GB2312" w:cs="宋体"/>
          <w:b/>
          <w:kern w:val="0"/>
          <w:sz w:val="32"/>
          <w:szCs w:val="32"/>
          <w:highlight w:val="none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  <w:highlight w:val="none"/>
        </w:rPr>
        <w:t>（二）一般公共预算当年拨款结构情况</w:t>
      </w:r>
    </w:p>
    <w:p>
      <w:pPr>
        <w:spacing w:line="58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一般公共服务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208</w:t>
      </w:r>
      <w:r>
        <w:rPr>
          <w:rFonts w:hint="eastAsia" w:ascii="仿宋_GB2312" w:eastAsia="仿宋_GB2312"/>
          <w:sz w:val="32"/>
          <w:szCs w:val="32"/>
        </w:rPr>
        <w:t>（类）</w:t>
      </w:r>
      <w:r>
        <w:rPr>
          <w:rFonts w:hint="eastAsia" w:ascii="仿宋_GB2312" w:eastAsia="仿宋_GB2312"/>
          <w:sz w:val="32"/>
          <w:szCs w:val="32"/>
          <w:lang w:eastAsia="zh-CN"/>
        </w:rPr>
        <w:t>社会保障和就业支出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39.08万元，占6.19%。</w:t>
      </w:r>
    </w:p>
    <w:p>
      <w:pPr>
        <w:spacing w:line="58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一般公共服务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210</w:t>
      </w:r>
      <w:r>
        <w:rPr>
          <w:rFonts w:hint="eastAsia" w:ascii="仿宋_GB2312" w:eastAsia="仿宋_GB2312"/>
          <w:sz w:val="32"/>
          <w:szCs w:val="32"/>
        </w:rPr>
        <w:t>（类）</w:t>
      </w:r>
      <w:r>
        <w:rPr>
          <w:rFonts w:hint="eastAsia" w:ascii="仿宋_GB2312" w:eastAsia="仿宋_GB2312"/>
          <w:sz w:val="32"/>
          <w:szCs w:val="32"/>
          <w:lang w:eastAsia="zh-CN"/>
        </w:rPr>
        <w:t>卫生健康支出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592.4万元，占 93.81%。</w:t>
      </w:r>
    </w:p>
    <w:p>
      <w:pPr>
        <w:widowControl/>
        <w:spacing w:line="580" w:lineRule="exact"/>
        <w:ind w:firstLine="472" w:firstLineChars="147"/>
        <w:jc w:val="left"/>
        <w:rPr>
          <w:rFonts w:ascii="楷体_GB2312" w:hAnsi="宋体" w:eastAsia="楷体_GB2312" w:cs="宋体"/>
          <w:b/>
          <w:kern w:val="0"/>
          <w:sz w:val="32"/>
          <w:szCs w:val="32"/>
          <w:highlight w:val="none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  <w:highlight w:val="none"/>
        </w:rPr>
        <w:t>（三）一般公共预算当年拨款具体使用情况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</w:t>
      </w:r>
      <w:r>
        <w:rPr>
          <w:rFonts w:ascii="仿宋_GB2312" w:hAnsi="宋体" w:eastAsia="仿宋_GB2312" w:cs="宋体"/>
          <w:kern w:val="0"/>
          <w:sz w:val="32"/>
          <w:szCs w:val="32"/>
        </w:rPr>
        <w:t>一般公共服务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208</w:t>
      </w:r>
      <w:r>
        <w:rPr>
          <w:rFonts w:ascii="仿宋_GB2312" w:hAnsi="宋体" w:eastAsia="仿宋_GB2312" w:cs="宋体"/>
          <w:kern w:val="0"/>
          <w:sz w:val="32"/>
          <w:szCs w:val="32"/>
        </w:rPr>
        <w:t>（类）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社会保障和就业支出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05（款）</w:t>
      </w:r>
      <w:r>
        <w:rPr>
          <w:rFonts w:ascii="仿宋_GB2312" w:hAnsi="宋体" w:eastAsia="仿宋_GB2312" w:cs="宋体"/>
          <w:kern w:val="0"/>
          <w:sz w:val="32"/>
          <w:szCs w:val="32"/>
        </w:rPr>
        <w:t>行政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事业单位离退休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06（项）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机关事业单位职业年金缴费支出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ascii="仿宋_GB2312" w:hAnsi="宋体" w:eastAsia="仿宋_GB2312" w:cs="宋体"/>
          <w:kern w:val="0"/>
          <w:sz w:val="32"/>
          <w:szCs w:val="32"/>
        </w:rPr>
        <w:t>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39.08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比上年执行数增加39.08万元，增长100%，主要原因是本年新增此项预算拨款支出。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</w:t>
      </w:r>
      <w:r>
        <w:rPr>
          <w:rFonts w:ascii="仿宋_GB2312" w:hAnsi="宋体" w:eastAsia="仿宋_GB2312" w:cs="宋体"/>
          <w:kern w:val="0"/>
          <w:sz w:val="32"/>
          <w:szCs w:val="32"/>
        </w:rPr>
        <w:t>一般公共服务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210</w:t>
      </w:r>
      <w:r>
        <w:rPr>
          <w:rFonts w:ascii="仿宋_GB2312" w:hAnsi="宋体" w:eastAsia="仿宋_GB2312" w:cs="宋体"/>
          <w:kern w:val="0"/>
          <w:sz w:val="32"/>
          <w:szCs w:val="32"/>
        </w:rPr>
        <w:t>（类）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卫生健康支出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02（款）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公立医院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03（项）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传染病医院</w:t>
      </w:r>
      <w:r>
        <w:rPr>
          <w:rFonts w:ascii="仿宋_GB2312" w:hAnsi="宋体" w:eastAsia="仿宋_GB2312" w:cs="宋体"/>
          <w:kern w:val="0"/>
          <w:sz w:val="32"/>
          <w:szCs w:val="32"/>
        </w:rPr>
        <w:t>: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ascii="仿宋_GB2312" w:hAnsi="宋体" w:eastAsia="仿宋_GB2312" w:cs="宋体"/>
          <w:kern w:val="0"/>
          <w:sz w:val="32"/>
          <w:szCs w:val="32"/>
        </w:rPr>
        <w:t>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592.4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比上年执行数减少17.97万元，减少2.94%，主要原因是本年调整人员工资构成。     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六、关于昌吉州人民医院传染病分院2019年一般公共预算基本支出情况说明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昌吉州人民医院传染病分院2019年一般公共预算基本支出631.48万元，其中：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人员经费631.48万元，主要包括：基本工资、奖金、伙食补助费、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绩效工资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、机关事业单位基本养老保险缴费、职业年金缴费、职工基本医疗保险缴费、公务员医疗补助缴费、其他社会保障缴费、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其他对个人和家庭的补助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widowControl/>
        <w:spacing w:line="580" w:lineRule="exact"/>
        <w:ind w:firstLine="640"/>
        <w:jc w:val="left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公用经费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0万元。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七、关于昌吉州人民医院传染病分院2019年项目支出情况说明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无项目支出预算安排</w:t>
      </w:r>
    </w:p>
    <w:p>
      <w:pPr>
        <w:widowControl/>
        <w:spacing w:line="580" w:lineRule="exact"/>
        <w:ind w:firstLine="642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八、关于昌吉州人民医院传染病分院2019年一般公共预算“三公”经费预算情况说明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昌吉州人民医院传染病分院2019年“三公”经费财政拨款预算数为0万元，其中：因公出国（境）费 0万元，公务用车购置 0万元，公务用车运行费 0万元，公务接待费 0万元。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“三公”经费财政拨款预算比上年预算数减少0万元，其中：因公出国（境）费增加0万元，主要原因是无此项预算安排；公务用车购置费为0，未安排此项预算；公务用车运行费减少0万元，主要原因是无此项预算安排；公务接待费增加0万元，主要原因是未安排此项预算支出。</w:t>
      </w:r>
    </w:p>
    <w:p>
      <w:pPr>
        <w:widowControl/>
        <w:spacing w:line="580" w:lineRule="exact"/>
        <w:ind w:firstLine="642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九、关于昌吉州人民医院传染病分院2019年政府性基金预算拨款情况说明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昌吉州人民医院传染病分院2019年没有使用政府性基金预算拨款安排的支出，政府性基金预算支出情况表为空表。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2019年，本级机关运行经费财政拨款预算 0万元，比上年预算数增加（减少）0万元，增长（下降） 0%。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州人民医院传染病分院</w:t>
      </w:r>
      <w:bookmarkStart w:id="0" w:name="_GoBack"/>
      <w:bookmarkEnd w:id="0"/>
      <w:r>
        <w:rPr>
          <w:rFonts w:hint="eastAsia" w:ascii="仿宋_GB2312" w:hAnsi="宋体" w:eastAsia="仿宋_GB2312" w:cs="宋体"/>
          <w:kern w:val="0"/>
          <w:sz w:val="32"/>
          <w:szCs w:val="32"/>
        </w:rPr>
        <w:t>部门及下属单位政府采购预算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万元，其中：政府采购货物预算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万元，政府采购工程预算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万元，政府采购服务预算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lang w:val="en-US" w:eastAsia="zh-CN"/>
        </w:rPr>
        <w:t>2019</w:t>
      </w:r>
      <w:r>
        <w:rPr>
          <w:rFonts w:hint="eastAsia" w:ascii="仿宋_GB2312" w:hAnsi="仿宋_GB2312" w:eastAsia="仿宋_GB2312"/>
          <w:sz w:val="32"/>
        </w:rPr>
        <w:t>年度本部门面向中小企业预留政府采购项目预算金额</w:t>
      </w:r>
      <w:r>
        <w:rPr>
          <w:rFonts w:hint="eastAsia" w:ascii="仿宋_GB2312" w:hAnsi="仿宋_GB2312" w:eastAsia="仿宋_GB2312"/>
          <w:sz w:val="32"/>
          <w:lang w:val="en-US" w:eastAsia="zh-CN"/>
        </w:rPr>
        <w:t>0</w:t>
      </w:r>
      <w:r>
        <w:rPr>
          <w:rFonts w:hint="eastAsia" w:ascii="仿宋_GB2312" w:hAnsi="仿宋_GB2312" w:eastAsia="仿宋_GB2312"/>
          <w:sz w:val="32"/>
        </w:rPr>
        <w:t>万元，其中：面向小微企业预留政府采购项目预算金额</w:t>
      </w:r>
      <w:r>
        <w:rPr>
          <w:rFonts w:hint="eastAsia" w:ascii="仿宋_GB2312" w:hAnsi="仿宋_GB2312" w:eastAsia="仿宋_GB2312"/>
          <w:sz w:val="32"/>
          <w:lang w:val="en-US" w:eastAsia="zh-CN"/>
        </w:rPr>
        <w:t>0</w:t>
      </w:r>
      <w:r>
        <w:rPr>
          <w:rFonts w:hint="eastAsia" w:ascii="仿宋_GB2312" w:hAnsi="仿宋_GB2312" w:eastAsia="仿宋_GB2312"/>
          <w:sz w:val="32"/>
        </w:rPr>
        <w:t>万元。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截至2018年底，昌吉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州人民医院传染病分院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占用使用国有资产总体情况为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1.房屋 97632.35 平方米，价值35082万元。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 16 辆，价值  442.66 万元；其中：一般公务用车 0 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万元；执法执勤用车 0  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万元；其他车辆 7 辆，价值 233.91万元。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 413万元。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 37240万元。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 10台（套），单位价值100万元以上大型设备 53 台（套）。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2019年部门预算未安排购置车辆经费（或安排购置车辆经费0万元），安排购置50万元以上大型设备0台（套），单位价值100万元以上大型设备0台（套）。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年度，本年度实行绩效管理的项目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个，涉及预算金额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万元。具体情况见下表（按项目分别填报）：</w:t>
      </w:r>
    </w:p>
    <w:p>
      <w:pPr>
        <w:spacing w:line="5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600" w:lineRule="exact"/>
        <w:rPr>
          <w:rFonts w:ascii="仿宋_GB2312" w:hAnsi="宋体" w:eastAsia="仿宋_GB2312" w:cs="宋体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7"/>
        <w:tblW w:w="1397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XX单位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XXXXX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60" w:lineRule="exact"/>
        <w:ind w:firstLine="640"/>
        <w:jc w:val="left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无其他需说明的事项 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widowControl/>
        <w:spacing w:line="56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z w:val="32"/>
          <w:szCs w:val="32"/>
        </w:rPr>
        <w:t>包括公共财政拨款（补助）资金、专项收入。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包括事业收入、经营收入、其他收入等。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部门支出预算的组成部分，是自治区本级部门为完成其特定的行政任务或事业发展目标，在基本支出预算之外编制的年度项目支出计划。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自治区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昌吉州人民医院传染病分院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2019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31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13 -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30 -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970F5F"/>
    <w:multiLevelType w:val="multilevel"/>
    <w:tmpl w:val="44970F5F"/>
    <w:lvl w:ilvl="0" w:tentative="0">
      <w:start w:val="1"/>
      <w:numFmt w:val="japaneseCounting"/>
      <w:lvlText w:val="%1、"/>
      <w:lvlJc w:val="left"/>
      <w:pPr>
        <w:tabs>
          <w:tab w:val="left" w:pos="1350"/>
        </w:tabs>
        <w:ind w:left="135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70"/>
        </w:tabs>
        <w:ind w:left="147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90"/>
        </w:tabs>
        <w:ind w:left="1890" w:hanging="420"/>
      </w:pPr>
    </w:lvl>
    <w:lvl w:ilvl="3" w:tentative="0">
      <w:start w:val="1"/>
      <w:numFmt w:val="decimal"/>
      <w:lvlText w:val="%4."/>
      <w:lvlJc w:val="left"/>
      <w:pPr>
        <w:tabs>
          <w:tab w:val="left" w:pos="2310"/>
        </w:tabs>
        <w:ind w:left="231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730"/>
        </w:tabs>
        <w:ind w:left="273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150"/>
        </w:tabs>
        <w:ind w:left="315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70"/>
        </w:tabs>
        <w:ind w:left="357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90"/>
        </w:tabs>
        <w:ind w:left="399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410"/>
        </w:tabs>
        <w:ind w:left="4410" w:hanging="420"/>
      </w:pPr>
    </w:lvl>
  </w:abstractNum>
  <w:abstractNum w:abstractNumId="1">
    <w:nsid w:val="4EF9F3B6"/>
    <w:multiLevelType w:val="singleLevel"/>
    <w:tmpl w:val="4EF9F3B6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B5144"/>
    <w:rsid w:val="001833B0"/>
    <w:rsid w:val="00203052"/>
    <w:rsid w:val="002B5144"/>
    <w:rsid w:val="00325B17"/>
    <w:rsid w:val="00757310"/>
    <w:rsid w:val="00841512"/>
    <w:rsid w:val="008846C9"/>
    <w:rsid w:val="00D95B2F"/>
    <w:rsid w:val="00EE458B"/>
    <w:rsid w:val="00FC6ABD"/>
    <w:rsid w:val="06211941"/>
    <w:rsid w:val="09B7062A"/>
    <w:rsid w:val="10B61399"/>
    <w:rsid w:val="160162C4"/>
    <w:rsid w:val="1EE25498"/>
    <w:rsid w:val="1F4B6AA7"/>
    <w:rsid w:val="1F912BB0"/>
    <w:rsid w:val="29C64619"/>
    <w:rsid w:val="2A13343E"/>
    <w:rsid w:val="305A62C5"/>
    <w:rsid w:val="47152544"/>
    <w:rsid w:val="54B5553A"/>
    <w:rsid w:val="5AD27DF5"/>
    <w:rsid w:val="631307C9"/>
    <w:rsid w:val="6FF67803"/>
    <w:rsid w:val="73D713FC"/>
    <w:rsid w:val="7A6E2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12"/>
    <w:uiPriority w:val="99"/>
    <w:pPr>
      <w:tabs>
        <w:tab w:val="center" w:pos="4153"/>
        <w:tab w:val="right" w:pos="8306"/>
      </w:tabs>
      <w:snapToGrid w:val="0"/>
      <w:jc w:val="left"/>
    </w:pPr>
    <w:rPr>
      <w:rFonts w:eastAsia="黑体"/>
      <w:snapToGrid w:val="0"/>
      <w:kern w:val="0"/>
      <w:sz w:val="18"/>
      <w:szCs w:val="18"/>
    </w:rPr>
  </w:style>
  <w:style w:type="paragraph" w:styleId="4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Indent 3"/>
    <w:basedOn w:val="1"/>
    <w:link w:val="16"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59"/>
    <w:pPr>
      <w:spacing w:line="240" w:lineRule="auto"/>
      <w:jc w:val="left"/>
    </w:pPr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qFormat/>
    <w:uiPriority w:val="0"/>
    <w:rPr>
      <w:rFonts w:cs="Times New Roman"/>
      <w:b/>
      <w:bCs/>
    </w:rPr>
  </w:style>
  <w:style w:type="character" w:styleId="11">
    <w:name w:val="page number"/>
    <w:basedOn w:val="9"/>
    <w:qFormat/>
    <w:uiPriority w:val="0"/>
  </w:style>
  <w:style w:type="character" w:customStyle="1" w:styleId="12">
    <w:name w:val="页脚 Char"/>
    <w:basedOn w:val="9"/>
    <w:link w:val="3"/>
    <w:qFormat/>
    <w:uiPriority w:val="99"/>
    <w:rPr>
      <w:rFonts w:ascii="Times New Roman" w:hAnsi="Times New Roman" w:eastAsia="黑体" w:cs="Times New Roman"/>
      <w:snapToGrid w:val="0"/>
      <w:kern w:val="0"/>
      <w:sz w:val="18"/>
      <w:szCs w:val="18"/>
    </w:rPr>
  </w:style>
  <w:style w:type="paragraph" w:customStyle="1" w:styleId="13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14">
    <w:name w:val="批注框文本 Char"/>
    <w:basedOn w:val="9"/>
    <w:link w:val="2"/>
    <w:semiHidden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页眉 Char"/>
    <w:basedOn w:val="9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正文文本缩进 3 Char"/>
    <w:basedOn w:val="9"/>
    <w:link w:val="5"/>
    <w:qFormat/>
    <w:uiPriority w:val="0"/>
    <w:rPr>
      <w:rFonts w:ascii="Times New Roman" w:hAnsi="Times New Roman" w:eastAsia="仿宋_GB2312" w:cs="Times New Roman"/>
      <w:sz w:val="32"/>
      <w:szCs w:val="24"/>
    </w:rPr>
  </w:style>
  <w:style w:type="paragraph" w:customStyle="1" w:styleId="17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18">
    <w:name w:val="普通(网站)1"/>
    <w:basedOn w:val="1"/>
    <w:uiPriority w:val="0"/>
    <w:rPr>
      <w:rFonts w:ascii="Calibri" w:hAnsi="Calibri" w:cs="黑体"/>
      <w:sz w:val="24"/>
    </w:rPr>
  </w:style>
  <w:style w:type="paragraph" w:customStyle="1" w:styleId="19">
    <w:name w:val="普通(网站)2"/>
    <w:basedOn w:val="1"/>
    <w:uiPriority w:val="0"/>
    <w:rPr>
      <w:rFonts w:ascii="Calibri" w:hAnsi="Calibri" w:cs="黑体"/>
      <w:sz w:val="24"/>
    </w:rPr>
  </w:style>
  <w:style w:type="paragraph" w:customStyle="1" w:styleId="20">
    <w:name w:val="普通(网站)3"/>
    <w:basedOn w:val="1"/>
    <w:qFormat/>
    <w:uiPriority w:val="0"/>
    <w:rPr>
      <w:rFonts w:ascii="Calibri" w:hAnsi="Calibri" w:cs="黑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24</Pages>
  <Words>1579</Words>
  <Characters>9002</Characters>
  <Lines>75</Lines>
  <Paragraphs>21</Paragraphs>
  <TotalTime>0</TotalTime>
  <ScaleCrop>false</ScaleCrop>
  <LinksUpToDate>false</LinksUpToDate>
  <CharactersWithSpaces>10560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2019-01-15T10:37:00Z</dcterms:created>
  <dc:creator>王怡</dc:creator>
  <cp:lastModifiedBy>Administrator</cp:lastModifiedBy>
  <dcterms:modified xsi:type="dcterms:W3CDTF">2021-05-27T09:49:22Z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