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黑体" w:hAnsi="黑体" w:eastAsia="黑体"/>
          <w:sz w:val="32"/>
          <w:szCs w:val="32"/>
          <w:highlight w:val="none"/>
        </w:rPr>
      </w:pPr>
      <w:r>
        <w:rPr>
          <w:rFonts w:hint="eastAsia" w:ascii="黑体" w:hAnsi="黑体" w:eastAsia="黑体"/>
          <w:sz w:val="32"/>
          <w:szCs w:val="32"/>
          <w:highlight w:val="none"/>
        </w:rPr>
        <w:t>附件：</w:t>
      </w:r>
    </w:p>
    <w:p>
      <w:pPr>
        <w:rPr>
          <w:highlight w:val="none"/>
        </w:rPr>
      </w:pPr>
    </w:p>
    <w:p>
      <w:pPr>
        <w:rPr>
          <w:highlight w:val="none"/>
        </w:rPr>
      </w:pPr>
    </w:p>
    <w:p>
      <w:pPr>
        <w:widowControl/>
        <w:spacing w:before="100" w:beforeAutospacing="1" w:after="100" w:afterAutospacing="1"/>
        <w:outlineLvl w:val="1"/>
        <w:rPr>
          <w:rFonts w:ascii="黑体" w:hAnsi="黑体" w:eastAsia="黑体" w:cs="宋体"/>
          <w:kern w:val="0"/>
          <w:sz w:val="32"/>
          <w:szCs w:val="32"/>
          <w:highlight w:val="none"/>
        </w:rPr>
      </w:pPr>
    </w:p>
    <w:p>
      <w:pPr>
        <w:widowControl/>
        <w:spacing w:before="100" w:beforeAutospacing="1" w:after="100" w:afterAutospacing="1"/>
        <w:outlineLvl w:val="1"/>
        <w:rPr>
          <w:rFonts w:ascii="黑体" w:hAnsi="黑体" w:eastAsia="黑体" w:cs="宋体"/>
          <w:kern w:val="0"/>
          <w:sz w:val="32"/>
          <w:szCs w:val="32"/>
          <w:highlight w:val="none"/>
        </w:rPr>
      </w:pPr>
    </w:p>
    <w:p>
      <w:pPr>
        <w:widowControl/>
        <w:spacing w:before="100" w:beforeAutospacing="1" w:after="100" w:afterAutospacing="1"/>
        <w:outlineLvl w:val="1"/>
        <w:rPr>
          <w:rFonts w:ascii="宋体" w:hAnsi="宋体" w:cs="宋体"/>
          <w:b/>
          <w:bCs/>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昌吉州老龄委2019年部门预算公开</w:t>
      </w: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line="500" w:lineRule="exact"/>
        <w:jc w:val="center"/>
        <w:outlineLvl w:val="1"/>
        <w:rPr>
          <w:rFonts w:ascii="黑体" w:hAnsi="黑体" w:eastAsia="黑体"/>
          <w:kern w:val="0"/>
          <w:sz w:val="44"/>
          <w:szCs w:val="44"/>
          <w:highlight w:val="none"/>
        </w:rPr>
      </w:pPr>
      <w:r>
        <w:rPr>
          <w:rFonts w:hint="eastAsia" w:ascii="黑体" w:hAnsi="黑体" w:eastAsia="黑体"/>
          <w:kern w:val="0"/>
          <w:sz w:val="44"/>
          <w:szCs w:val="44"/>
          <w:highlight w:val="none"/>
        </w:rPr>
        <w:t>目录</w:t>
      </w:r>
    </w:p>
    <w:p>
      <w:pPr>
        <w:widowControl/>
        <w:spacing w:line="500" w:lineRule="exact"/>
        <w:jc w:val="center"/>
        <w:outlineLvl w:val="1"/>
        <w:rPr>
          <w:rFonts w:ascii="宋体" w:hAnsi="宋体"/>
          <w:b/>
          <w:kern w:val="0"/>
          <w:sz w:val="44"/>
          <w:szCs w:val="44"/>
          <w:highlight w:val="none"/>
        </w:rPr>
      </w:pP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第一部分  昌吉州老龄委单位概况</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一、主要职能</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二、机构设置及人员情况</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 xml:space="preserve">第二部分  </w:t>
      </w:r>
      <w:r>
        <w:rPr>
          <w:rFonts w:hint="eastAsia" w:ascii="宋体" w:hAnsi="宋体" w:eastAsia="仿宋_GB2312"/>
          <w:b/>
          <w:kern w:val="0"/>
          <w:sz w:val="32"/>
          <w:szCs w:val="32"/>
          <w:highlight w:val="none"/>
        </w:rPr>
        <w:t>2019</w:t>
      </w:r>
      <w:r>
        <w:rPr>
          <w:rFonts w:hint="eastAsia" w:ascii="仿宋_GB2312" w:hAnsi="宋体" w:eastAsia="仿宋_GB2312"/>
          <w:b/>
          <w:kern w:val="0"/>
          <w:sz w:val="32"/>
          <w:szCs w:val="32"/>
          <w:highlight w:val="none"/>
        </w:rPr>
        <w:t>年部门预算公开表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一、部门收支总体情况表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二、部门收入总体情况表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三、部门支出总体情况表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四、财政拨款收支总体情况表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五、一般公共预算支出情况表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六、一般公共预算基本支出情况表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w:t>
      </w:r>
      <w:r>
        <w:rPr>
          <w:rFonts w:hint="eastAsia" w:ascii="仿宋_GB2312" w:hAnsi="宋体" w:eastAsia="仿宋_GB2312"/>
          <w:bCs/>
          <w:kern w:val="0"/>
          <w:sz w:val="32"/>
          <w:szCs w:val="32"/>
          <w:highlight w:val="none"/>
        </w:rPr>
        <w:t>项目支出情况表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八、一般公共预算“三公”经费支出情况表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九、政府性基金预算支出情况表</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 xml:space="preserve">第三部分  </w:t>
      </w:r>
      <w:r>
        <w:rPr>
          <w:rFonts w:hint="eastAsia" w:ascii="宋体" w:hAnsi="宋体" w:eastAsia="仿宋_GB2312"/>
          <w:b/>
          <w:kern w:val="0"/>
          <w:sz w:val="32"/>
          <w:szCs w:val="32"/>
          <w:highlight w:val="none"/>
        </w:rPr>
        <w:t>2019</w:t>
      </w:r>
      <w:r>
        <w:rPr>
          <w:rFonts w:hint="eastAsia" w:ascii="仿宋_GB2312" w:hAnsi="宋体" w:eastAsia="仿宋_GB2312"/>
          <w:b/>
          <w:kern w:val="0"/>
          <w:sz w:val="32"/>
          <w:szCs w:val="32"/>
          <w:highlight w:val="none"/>
        </w:rPr>
        <w:t>年部门预算情况说明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一、关于昌吉州老龄委2019年收支预算情况的总体说明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二、关于昌吉州老龄委2019年收入预算情况说明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三、关于昌吉州老龄委2019年支出预算情况说明</w:t>
      </w:r>
    </w:p>
    <w:p>
      <w:pPr>
        <w:widowControl/>
        <w:spacing w:line="460" w:lineRule="exact"/>
        <w:outlineLvl w:val="1"/>
        <w:rPr>
          <w:rFonts w:ascii="仿宋_GB2312" w:hAnsi="宋体" w:eastAsia="仿宋_GB2312"/>
          <w:bCs/>
          <w:kern w:val="0"/>
          <w:sz w:val="32"/>
          <w:szCs w:val="32"/>
          <w:highlight w:val="none"/>
        </w:rPr>
      </w:pPr>
      <w:r>
        <w:rPr>
          <w:rFonts w:hint="eastAsia" w:ascii="仿宋_GB2312" w:hAnsi="宋体" w:eastAsia="仿宋_GB2312"/>
          <w:bCs/>
          <w:kern w:val="0"/>
          <w:sz w:val="32"/>
          <w:szCs w:val="32"/>
          <w:highlight w:val="none"/>
        </w:rPr>
        <w:t>四、关于昌吉州老龄委2019年财政拨款收支预算情况的总体说明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五、关于昌吉州老龄委2019年一般公共预算当年拨款情况说明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六、关于昌吉州老龄委2019年一般公共预算基本支出情况说明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七、关于昌吉州老龄委2019年项目支出情况说明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八、关于昌吉州老龄委2019年一般公共预算“三公”经费预算情况说明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九、关于昌吉州老龄委2019年政府性基金预算拨款情况说明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十、其他重要事项的情况说明</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第四部分  名词解释</w:t>
      </w:r>
    </w:p>
    <w:p>
      <w:pPr>
        <w:widowControl/>
        <w:jc w:val="center"/>
        <w:outlineLvl w:val="1"/>
        <w:rPr>
          <w:rFonts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   昌吉州老龄委单位概况</w:t>
      </w:r>
    </w:p>
    <w:p>
      <w:pPr>
        <w:widowControl/>
        <w:jc w:val="center"/>
        <w:outlineLvl w:val="1"/>
        <w:rPr>
          <w:rFonts w:ascii="宋体" w:hAnsi="宋体"/>
          <w:b/>
          <w:kern w:val="0"/>
          <w:sz w:val="32"/>
          <w:szCs w:val="32"/>
          <w:highlight w:val="none"/>
        </w:rPr>
      </w:pPr>
    </w:p>
    <w:p>
      <w:pPr>
        <w:widowControl/>
        <w:spacing w:line="560" w:lineRule="exact"/>
        <w:ind w:firstLine="640" w:firstLineChars="20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一、主要职能</w:t>
      </w:r>
    </w:p>
    <w:p>
      <w:pPr>
        <w:widowControl/>
        <w:spacing w:line="560" w:lineRule="exact"/>
        <w:ind w:firstLine="640" w:firstLineChars="20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自治州老龄工作委员会是州党委、州人民政府工作的主管全州老龄的议事协调机构，自治州老龄工作委员会办公室是自治州老龄工作委员会的办事机构，其主要职责：</w:t>
      </w:r>
    </w:p>
    <w:p>
      <w:pPr>
        <w:widowControl/>
        <w:spacing w:line="560" w:lineRule="exact"/>
        <w:ind w:firstLine="640" w:firstLineChars="20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w:t>
      </w:r>
      <w:r>
        <w:rPr>
          <w:rFonts w:hint="eastAsia" w:ascii="仿宋" w:hAnsi="仿宋" w:eastAsia="仿宋" w:cs="宋体"/>
          <w:kern w:val="0"/>
          <w:sz w:val="32"/>
          <w:szCs w:val="32"/>
          <w:highlight w:val="none"/>
          <w:lang w:eastAsia="zh-CN"/>
        </w:rPr>
        <w:t>一</w:t>
      </w:r>
      <w:r>
        <w:rPr>
          <w:rFonts w:hint="eastAsia" w:ascii="仿宋" w:hAnsi="仿宋" w:eastAsia="仿宋" w:cs="宋体"/>
          <w:kern w:val="0"/>
          <w:sz w:val="32"/>
          <w:szCs w:val="32"/>
          <w:highlight w:val="none"/>
        </w:rPr>
        <w:t>）认真贯彻执行党和国家及自治区有关老龄工作的方针、政策、法规，研究制定自治州老龄工作发展的方针，政策和规划，拟定实施办法，积极协调各级政府老龄工作部门和有关单位组织实施。</w:t>
      </w:r>
    </w:p>
    <w:p>
      <w:pPr>
        <w:widowControl/>
        <w:spacing w:line="560" w:lineRule="exact"/>
        <w:ind w:firstLine="640" w:firstLineChars="20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w:t>
      </w:r>
      <w:r>
        <w:rPr>
          <w:rFonts w:hint="eastAsia" w:ascii="仿宋" w:hAnsi="仿宋" w:eastAsia="仿宋" w:cs="宋体"/>
          <w:kern w:val="0"/>
          <w:sz w:val="32"/>
          <w:szCs w:val="32"/>
          <w:highlight w:val="none"/>
          <w:lang w:eastAsia="zh-CN"/>
        </w:rPr>
        <w:t>二</w:t>
      </w:r>
      <w:r>
        <w:rPr>
          <w:rFonts w:hint="eastAsia" w:ascii="仿宋" w:hAnsi="仿宋" w:eastAsia="仿宋" w:cs="宋体"/>
          <w:kern w:val="0"/>
          <w:sz w:val="32"/>
          <w:szCs w:val="32"/>
          <w:highlight w:val="none"/>
        </w:rPr>
        <w:t>）负责全州老龄工作的宏观指导和综合管理，切实做好维护老年人合法权益工作，推动全社会开展有利于老年人身心健康的各种活动。</w:t>
      </w:r>
    </w:p>
    <w:p>
      <w:pPr>
        <w:widowControl/>
        <w:spacing w:line="560" w:lineRule="exact"/>
        <w:ind w:firstLine="640" w:firstLineChars="20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w:t>
      </w:r>
      <w:r>
        <w:rPr>
          <w:rFonts w:hint="eastAsia" w:ascii="仿宋" w:hAnsi="仿宋" w:eastAsia="仿宋" w:cs="宋体"/>
          <w:kern w:val="0"/>
          <w:sz w:val="32"/>
          <w:szCs w:val="32"/>
          <w:highlight w:val="none"/>
          <w:lang w:eastAsia="zh-CN"/>
        </w:rPr>
        <w:t>三</w:t>
      </w:r>
      <w:r>
        <w:rPr>
          <w:rFonts w:hint="eastAsia" w:ascii="仿宋" w:hAnsi="仿宋" w:eastAsia="仿宋" w:cs="宋体"/>
          <w:kern w:val="0"/>
          <w:sz w:val="32"/>
          <w:szCs w:val="32"/>
          <w:highlight w:val="none"/>
        </w:rPr>
        <w:t>）负责老龄工作委员会成员单位的协调联络工作，督促检查老龄工作委员会决定事项在各部门和各县（市）贯彻落实情况；指导和检查各县（市）和部门、各单位的老龄工作。</w:t>
      </w:r>
    </w:p>
    <w:p>
      <w:pPr>
        <w:widowControl/>
        <w:spacing w:line="560" w:lineRule="exact"/>
        <w:ind w:firstLine="640" w:firstLineChars="20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w:t>
      </w:r>
      <w:r>
        <w:rPr>
          <w:rFonts w:hint="eastAsia" w:ascii="仿宋" w:hAnsi="仿宋" w:eastAsia="仿宋" w:cs="宋体"/>
          <w:kern w:val="0"/>
          <w:sz w:val="32"/>
          <w:szCs w:val="32"/>
          <w:highlight w:val="none"/>
          <w:lang w:eastAsia="zh-CN"/>
        </w:rPr>
        <w:t>四</w:t>
      </w:r>
      <w:r>
        <w:rPr>
          <w:rFonts w:hint="eastAsia" w:ascii="仿宋" w:hAnsi="仿宋" w:eastAsia="仿宋" w:cs="宋体"/>
          <w:kern w:val="0"/>
          <w:sz w:val="32"/>
          <w:szCs w:val="32"/>
          <w:highlight w:val="none"/>
        </w:rPr>
        <w:t>）负责组织实施自治州有关人口老龄化的调查研究工作，为自治州党委、人民政府解决人口老龄化问题提供决策依据。</w:t>
      </w:r>
    </w:p>
    <w:p>
      <w:pPr>
        <w:widowControl/>
        <w:spacing w:line="560" w:lineRule="exact"/>
        <w:ind w:firstLine="640" w:firstLineChars="20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w:t>
      </w:r>
      <w:r>
        <w:rPr>
          <w:rFonts w:hint="eastAsia" w:ascii="仿宋" w:hAnsi="仿宋" w:eastAsia="仿宋" w:cs="宋体"/>
          <w:kern w:val="0"/>
          <w:sz w:val="32"/>
          <w:szCs w:val="32"/>
          <w:highlight w:val="none"/>
          <w:lang w:eastAsia="zh-CN"/>
        </w:rPr>
        <w:t>五</w:t>
      </w:r>
      <w:r>
        <w:rPr>
          <w:rFonts w:hint="eastAsia" w:ascii="仿宋" w:hAnsi="仿宋" w:eastAsia="仿宋" w:cs="宋体"/>
          <w:kern w:val="0"/>
          <w:sz w:val="32"/>
          <w:szCs w:val="32"/>
          <w:highlight w:val="none"/>
        </w:rPr>
        <w:t>）负责收集、整理老龄工作有关情况、信息资料，开找老龄问题的信息交流，及时总结推广先进经验。</w:t>
      </w:r>
    </w:p>
    <w:p>
      <w:pPr>
        <w:widowControl/>
        <w:spacing w:line="560" w:lineRule="exact"/>
        <w:ind w:firstLine="640" w:firstLineChars="20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w:t>
      </w:r>
      <w:r>
        <w:rPr>
          <w:rFonts w:hint="eastAsia" w:ascii="仿宋" w:hAnsi="仿宋" w:eastAsia="仿宋" w:cs="宋体"/>
          <w:kern w:val="0"/>
          <w:sz w:val="32"/>
          <w:szCs w:val="32"/>
          <w:highlight w:val="none"/>
          <w:lang w:eastAsia="zh-CN"/>
        </w:rPr>
        <w:t>六</w:t>
      </w:r>
      <w:r>
        <w:rPr>
          <w:rFonts w:hint="eastAsia" w:ascii="仿宋" w:hAnsi="仿宋" w:eastAsia="仿宋" w:cs="宋体"/>
          <w:kern w:val="0"/>
          <w:sz w:val="32"/>
          <w:szCs w:val="32"/>
          <w:highlight w:val="none"/>
        </w:rPr>
        <w:t>）负责协调和推动各级政府部门、社会团体、群众组织认真做好老龄事业的宣传教育工作。围绕“老有所养、老有所医、老有所教、老有所学、老有所为、老有所乐”的工作目标，大力发展老年社会福利事业，开展“助老工程”活动。</w:t>
      </w:r>
    </w:p>
    <w:p>
      <w:pPr>
        <w:widowControl/>
        <w:spacing w:line="560" w:lineRule="exact"/>
        <w:ind w:firstLine="640" w:firstLineChars="20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w:t>
      </w:r>
      <w:r>
        <w:rPr>
          <w:rFonts w:hint="eastAsia" w:ascii="仿宋" w:hAnsi="仿宋" w:eastAsia="仿宋" w:cs="宋体"/>
          <w:kern w:val="0"/>
          <w:sz w:val="32"/>
          <w:szCs w:val="32"/>
          <w:highlight w:val="none"/>
          <w:lang w:eastAsia="zh-CN"/>
        </w:rPr>
        <w:t>七</w:t>
      </w:r>
      <w:r>
        <w:rPr>
          <w:rFonts w:hint="eastAsia" w:ascii="仿宋" w:hAnsi="仿宋" w:eastAsia="仿宋" w:cs="宋体"/>
          <w:kern w:val="0"/>
          <w:sz w:val="32"/>
          <w:szCs w:val="32"/>
          <w:highlight w:val="none"/>
        </w:rPr>
        <w:t>）负责自治州老龄工作对外交流活动。</w:t>
      </w:r>
    </w:p>
    <w:p>
      <w:pPr>
        <w:widowControl/>
        <w:spacing w:line="560" w:lineRule="exact"/>
        <w:ind w:firstLine="640" w:firstLineChars="20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w:t>
      </w:r>
      <w:r>
        <w:rPr>
          <w:rFonts w:hint="eastAsia" w:ascii="仿宋" w:hAnsi="仿宋" w:eastAsia="仿宋" w:cs="宋体"/>
          <w:kern w:val="0"/>
          <w:sz w:val="32"/>
          <w:szCs w:val="32"/>
          <w:highlight w:val="none"/>
          <w:lang w:eastAsia="zh-CN"/>
        </w:rPr>
        <w:t>八</w:t>
      </w:r>
      <w:r>
        <w:rPr>
          <w:rFonts w:hint="eastAsia" w:ascii="仿宋" w:hAnsi="仿宋" w:eastAsia="仿宋" w:cs="宋体"/>
          <w:kern w:val="0"/>
          <w:sz w:val="32"/>
          <w:szCs w:val="32"/>
          <w:highlight w:val="none"/>
        </w:rPr>
        <w:t>）负责承办自治州党委、自治州人民政府交办的其他事项。</w:t>
      </w:r>
    </w:p>
    <w:p>
      <w:pPr>
        <w:widowControl/>
        <w:spacing w:line="560" w:lineRule="exact"/>
        <w:ind w:firstLine="640" w:firstLineChars="20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二、机构设置及人员情况</w:t>
      </w:r>
    </w:p>
    <w:p>
      <w:pPr>
        <w:widowControl/>
        <w:spacing w:line="560" w:lineRule="exact"/>
        <w:ind w:firstLine="640" w:firstLineChars="200"/>
        <w:jc w:val="left"/>
        <w:rPr>
          <w:rFonts w:hint="eastAsia" w:ascii="仿宋" w:hAnsi="仿宋" w:eastAsia="仿宋" w:cs="宋体"/>
          <w:kern w:val="0"/>
          <w:sz w:val="32"/>
          <w:szCs w:val="32"/>
          <w:highlight w:val="none"/>
        </w:rPr>
      </w:pPr>
      <w:r>
        <w:rPr>
          <w:rFonts w:hint="eastAsia" w:ascii="仿宋" w:hAnsi="仿宋" w:eastAsia="仿宋" w:cs="宋体"/>
          <w:kern w:val="0"/>
          <w:sz w:val="32"/>
          <w:szCs w:val="32"/>
          <w:highlight w:val="none"/>
          <w:lang w:eastAsia="zh-CN"/>
        </w:rPr>
        <w:t>昌吉</w:t>
      </w:r>
      <w:r>
        <w:rPr>
          <w:rFonts w:hint="eastAsia" w:ascii="仿宋" w:hAnsi="仿宋" w:eastAsia="仿宋" w:cs="宋体"/>
          <w:kern w:val="0"/>
          <w:sz w:val="32"/>
          <w:szCs w:val="32"/>
          <w:highlight w:val="none"/>
        </w:rPr>
        <w:t>州老龄委无下属预算单位，下设3个处室，分别是：综合科、维权科、宣传教育科。</w:t>
      </w:r>
    </w:p>
    <w:p>
      <w:pPr>
        <w:widowControl/>
        <w:spacing w:line="560" w:lineRule="exact"/>
        <w:ind w:firstLine="640" w:firstLineChars="200"/>
        <w:jc w:val="left"/>
        <w:rPr>
          <w:rFonts w:hint="eastAsia" w:ascii="仿宋" w:hAnsi="仿宋" w:eastAsia="仿宋" w:cs="宋体"/>
          <w:kern w:val="0"/>
          <w:sz w:val="32"/>
          <w:szCs w:val="32"/>
          <w:highlight w:val="none"/>
        </w:rPr>
      </w:pPr>
      <w:r>
        <w:rPr>
          <w:rFonts w:hint="eastAsia" w:ascii="仿宋" w:hAnsi="仿宋" w:eastAsia="仿宋" w:cs="宋体"/>
          <w:kern w:val="0"/>
          <w:sz w:val="32"/>
          <w:szCs w:val="32"/>
          <w:highlight w:val="none"/>
          <w:lang w:eastAsia="zh-CN"/>
        </w:rPr>
        <w:t>昌吉</w:t>
      </w:r>
      <w:r>
        <w:rPr>
          <w:rFonts w:hint="eastAsia" w:ascii="仿宋" w:hAnsi="仿宋" w:eastAsia="仿宋" w:cs="宋体"/>
          <w:kern w:val="0"/>
          <w:sz w:val="32"/>
          <w:szCs w:val="32"/>
          <w:highlight w:val="none"/>
        </w:rPr>
        <w:t>州老龄委编制数11人，实有人数11人，其中：在职11人，</w:t>
      </w:r>
      <w:r>
        <w:rPr>
          <w:rFonts w:hint="eastAsia" w:ascii="仿宋" w:hAnsi="仿宋" w:eastAsia="仿宋" w:cs="宋体"/>
          <w:kern w:val="0"/>
          <w:sz w:val="32"/>
          <w:szCs w:val="32"/>
          <w:highlight w:val="none"/>
          <w:lang w:eastAsia="zh-CN"/>
        </w:rPr>
        <w:t>增加（减少）均为</w:t>
      </w:r>
      <w:r>
        <w:rPr>
          <w:rFonts w:hint="eastAsia" w:ascii="仿宋" w:hAnsi="仿宋" w:eastAsia="仿宋" w:cs="宋体"/>
          <w:kern w:val="0"/>
          <w:sz w:val="32"/>
          <w:szCs w:val="32"/>
          <w:highlight w:val="none"/>
          <w:lang w:val="en-US" w:eastAsia="zh-CN"/>
        </w:rPr>
        <w:t>0</w:t>
      </w:r>
      <w:r>
        <w:rPr>
          <w:rFonts w:hint="eastAsia" w:ascii="仿宋" w:hAnsi="仿宋" w:eastAsia="仿宋" w:cs="宋体"/>
          <w:kern w:val="0"/>
          <w:sz w:val="32"/>
          <w:szCs w:val="32"/>
          <w:highlight w:val="none"/>
        </w:rPr>
        <w:t>；退休10 人，</w:t>
      </w:r>
      <w:r>
        <w:rPr>
          <w:rFonts w:hint="eastAsia" w:ascii="仿宋" w:hAnsi="仿宋" w:eastAsia="仿宋" w:cs="宋体"/>
          <w:kern w:val="0"/>
          <w:sz w:val="32"/>
          <w:szCs w:val="32"/>
          <w:highlight w:val="none"/>
          <w:lang w:eastAsia="zh-CN"/>
        </w:rPr>
        <w:t>增加（减少）均为</w:t>
      </w:r>
      <w:r>
        <w:rPr>
          <w:rFonts w:hint="eastAsia" w:ascii="仿宋" w:hAnsi="仿宋" w:eastAsia="仿宋" w:cs="宋体"/>
          <w:kern w:val="0"/>
          <w:sz w:val="32"/>
          <w:szCs w:val="32"/>
          <w:highlight w:val="none"/>
          <w:lang w:val="en-US" w:eastAsia="zh-CN"/>
        </w:rPr>
        <w:t>0</w:t>
      </w:r>
      <w:r>
        <w:rPr>
          <w:rFonts w:hint="eastAsia" w:ascii="仿宋" w:hAnsi="仿宋" w:eastAsia="仿宋" w:cs="宋体"/>
          <w:kern w:val="0"/>
          <w:sz w:val="32"/>
          <w:szCs w:val="32"/>
          <w:highlight w:val="none"/>
        </w:rPr>
        <w:t>；离休</w:t>
      </w:r>
      <w:r>
        <w:rPr>
          <w:rFonts w:hint="eastAsia" w:ascii="仿宋" w:hAnsi="仿宋" w:eastAsia="仿宋" w:cs="宋体"/>
          <w:kern w:val="0"/>
          <w:sz w:val="32"/>
          <w:szCs w:val="32"/>
          <w:highlight w:val="none"/>
          <w:lang w:val="en-US" w:eastAsia="zh-CN"/>
        </w:rPr>
        <w:t>0人，</w:t>
      </w:r>
      <w:r>
        <w:rPr>
          <w:rFonts w:hint="eastAsia" w:ascii="仿宋" w:hAnsi="仿宋" w:eastAsia="仿宋" w:cs="宋体"/>
          <w:kern w:val="0"/>
          <w:sz w:val="32"/>
          <w:szCs w:val="32"/>
          <w:highlight w:val="none"/>
          <w:lang w:eastAsia="zh-CN"/>
        </w:rPr>
        <w:t>增加（减少）均为</w:t>
      </w:r>
      <w:r>
        <w:rPr>
          <w:rFonts w:hint="eastAsia" w:ascii="仿宋" w:hAnsi="仿宋" w:eastAsia="仿宋" w:cs="宋体"/>
          <w:kern w:val="0"/>
          <w:sz w:val="32"/>
          <w:szCs w:val="32"/>
          <w:highlight w:val="none"/>
          <w:lang w:val="en-US" w:eastAsia="zh-CN"/>
        </w:rPr>
        <w:t>0</w:t>
      </w:r>
      <w:r>
        <w:rPr>
          <w:rFonts w:hint="eastAsia" w:ascii="仿宋" w:hAnsi="仿宋" w:eastAsia="仿宋" w:cs="宋体"/>
          <w:kern w:val="0"/>
          <w:sz w:val="32"/>
          <w:szCs w:val="32"/>
          <w:highlight w:val="none"/>
        </w:rPr>
        <w:t>。</w:t>
      </w:r>
    </w:p>
    <w:p>
      <w:pPr>
        <w:widowControl/>
        <w:spacing w:line="560" w:lineRule="exact"/>
        <w:jc w:val="left"/>
        <w:rPr>
          <w:rFonts w:ascii="仿宋_GB2312" w:hAnsi="宋体" w:eastAsia="仿宋_GB2312" w:cs="宋体"/>
          <w:kern w:val="0"/>
          <w:sz w:val="32"/>
          <w:szCs w:val="32"/>
          <w:highlight w:val="none"/>
        </w:rPr>
      </w:pPr>
    </w:p>
    <w:p>
      <w:pPr>
        <w:widowControl/>
        <w:spacing w:line="560" w:lineRule="exact"/>
        <w:ind w:firstLine="640" w:firstLineChars="200"/>
        <w:jc w:val="left"/>
        <w:rPr>
          <w:rFonts w:hint="eastAsia" w:ascii="仿宋" w:hAnsi="仿宋" w:eastAsia="仿宋" w:cs="宋体"/>
          <w:kern w:val="0"/>
          <w:sz w:val="32"/>
          <w:szCs w:val="32"/>
          <w:highlight w:val="none"/>
        </w:rPr>
      </w:pPr>
    </w:p>
    <w:p>
      <w:pPr>
        <w:widowControl/>
        <w:spacing w:before="120" w:beforeLines="50"/>
        <w:ind w:firstLine="640" w:firstLineChars="200"/>
        <w:outlineLvl w:val="1"/>
        <w:rPr>
          <w:rFonts w:ascii="仿宋_GB2312" w:hAnsi="宋体" w:eastAsia="仿宋_GB2312" w:cs="宋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both"/>
        <w:outlineLvl w:val="1"/>
        <w:rPr>
          <w:rFonts w:hint="eastAsia" w:ascii="黑体" w:hAnsi="黑体" w:eastAsia="黑体"/>
          <w:kern w:val="0"/>
          <w:sz w:val="32"/>
          <w:szCs w:val="32"/>
          <w:highlight w:val="none"/>
        </w:rPr>
      </w:pPr>
    </w:p>
    <w:p>
      <w:pPr>
        <w:widowControl/>
        <w:spacing w:before="120" w:beforeLines="50"/>
        <w:jc w:val="both"/>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第二部分  2019年部门预算公开表</w:t>
      </w:r>
    </w:p>
    <w:p>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表一：</w:t>
      </w:r>
    </w:p>
    <w:p>
      <w:pPr>
        <w:widowControl/>
        <w:spacing w:before="120" w:beforeLines="50"/>
        <w:ind w:firstLine="640" w:firstLineChars="200"/>
        <w:outlineLvl w:val="1"/>
        <w:rPr>
          <w:rFonts w:ascii="仿宋_GB2312" w:hAnsi="宋体" w:eastAsia="仿宋_GB2312" w:cs="宋体"/>
          <w:kern w:val="0"/>
          <w:sz w:val="32"/>
          <w:szCs w:val="32"/>
          <w:highlight w:val="none"/>
        </w:rPr>
      </w:pP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部门收支总体情况表</w:t>
      </w:r>
    </w:p>
    <w:p>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 xml:space="preserve">编制部门：州老龄委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 xml:space="preserve">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301.87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301.87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301.87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301.87</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301.87</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highlight w:val="none"/>
              </w:rPr>
            </w:pPr>
            <w:r>
              <w:rPr>
                <w:rFonts w:hint="eastAsia" w:ascii="仿宋_GB2312" w:hAnsi="宋体" w:eastAsia="仿宋_GB2312" w:cs="宋体"/>
                <w:kern w:val="0"/>
                <w:sz w:val="18"/>
                <w:szCs w:val="18"/>
                <w:highlight w:val="none"/>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301.87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301.87　</w:t>
            </w:r>
          </w:p>
        </w:tc>
      </w:tr>
    </w:tbl>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部门收入总体情况表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填报部门： 州老龄委                 单位：万元</w:t>
      </w:r>
    </w:p>
    <w:tbl>
      <w:tblPr>
        <w:tblStyle w:val="4"/>
        <w:tblW w:w="9654" w:type="dxa"/>
        <w:tblInd w:w="93" w:type="dxa"/>
        <w:tblLayout w:type="fixed"/>
        <w:tblCellMar>
          <w:top w:w="0" w:type="dxa"/>
          <w:left w:w="108" w:type="dxa"/>
          <w:bottom w:w="0" w:type="dxa"/>
          <w:right w:w="108" w:type="dxa"/>
        </w:tblCellMar>
      </w:tblPr>
      <w:tblGrid>
        <w:gridCol w:w="417"/>
        <w:gridCol w:w="417"/>
        <w:gridCol w:w="417"/>
        <w:gridCol w:w="2145"/>
        <w:gridCol w:w="820"/>
        <w:gridCol w:w="929"/>
        <w:gridCol w:w="431"/>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92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43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单位上年结余（不包括国库集中支付额度结余）</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2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43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Cs w:val="21"/>
                <w:highlight w:val="none"/>
              </w:rPr>
            </w:pPr>
            <w:r>
              <w:rPr>
                <w:rFonts w:hint="eastAsia" w:ascii="仿宋_GB2312" w:eastAsia="仿宋_GB2312"/>
                <w:color w:val="000000"/>
                <w:szCs w:val="21"/>
                <w:highlight w:val="none"/>
              </w:rPr>
              <w:t>210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Cs w:val="21"/>
                <w:highlight w:val="none"/>
              </w:rPr>
            </w:pPr>
            <w:r>
              <w:rPr>
                <w:rFonts w:hint="eastAsia" w:ascii="仿宋_GB2312" w:eastAsia="仿宋_GB2312"/>
                <w:color w:val="000000"/>
                <w:szCs w:val="21"/>
                <w:highlight w:val="none"/>
              </w:rPr>
              <w:t>16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Cs w:val="21"/>
                <w:highlight w:val="none"/>
              </w:rPr>
            </w:pPr>
            <w:r>
              <w:rPr>
                <w:rFonts w:hint="eastAsia" w:ascii="仿宋_GB2312" w:eastAsia="仿宋_GB2312"/>
                <w:color w:val="000000"/>
                <w:szCs w:val="21"/>
                <w:highlight w:val="none"/>
              </w:rPr>
              <w:t>01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Cs w:val="21"/>
                <w:highlight w:val="none"/>
              </w:rPr>
            </w:pPr>
            <w:r>
              <w:rPr>
                <w:rFonts w:hint="eastAsia" w:ascii="仿宋_GB2312" w:eastAsia="仿宋_GB2312"/>
                <w:color w:val="000000"/>
                <w:szCs w:val="21"/>
                <w:highlight w:val="none"/>
              </w:rPr>
              <w:t>　老龄卫生健康事务</w:t>
            </w:r>
          </w:p>
        </w:tc>
        <w:tc>
          <w:tcPr>
            <w:tcW w:w="820" w:type="dxa"/>
            <w:tcBorders>
              <w:top w:val="nil"/>
              <w:left w:val="nil"/>
              <w:bottom w:val="single" w:color="auto" w:sz="4" w:space="0"/>
              <w:right w:val="single" w:color="auto" w:sz="4" w:space="0"/>
            </w:tcBorders>
            <w:shd w:val="clear" w:color="000000" w:fill="FFFFFF"/>
            <w:vAlign w:val="center"/>
          </w:tcPr>
          <w:p>
            <w:pPr>
              <w:widowControl/>
              <w:jc w:val="right"/>
              <w:textAlignment w:val="center"/>
              <w:rPr>
                <w:rFonts w:ascii="仿宋_GB2312" w:hAnsi="宋体" w:eastAsia="仿宋_GB2312" w:cs="宋体"/>
                <w:color w:val="000000"/>
                <w:szCs w:val="21"/>
                <w:highlight w:val="none"/>
              </w:rPr>
            </w:pPr>
            <w:r>
              <w:rPr>
                <w:rFonts w:ascii="Dialog" w:hAnsi="Dialog" w:eastAsia="Dialog" w:cs="Dialog"/>
                <w:color w:val="000000"/>
                <w:kern w:val="0"/>
                <w:szCs w:val="21"/>
                <w:highlight w:val="none"/>
                <w:lang w:bidi="ar"/>
              </w:rPr>
              <w:t>301.87</w:t>
            </w:r>
          </w:p>
        </w:tc>
        <w:tc>
          <w:tcPr>
            <w:tcW w:w="929" w:type="dxa"/>
            <w:tcBorders>
              <w:top w:val="nil"/>
              <w:left w:val="nil"/>
              <w:bottom w:val="single" w:color="auto" w:sz="4" w:space="0"/>
              <w:right w:val="single" w:color="auto" w:sz="4" w:space="0"/>
            </w:tcBorders>
            <w:shd w:val="clear" w:color="000000" w:fill="FFFFFF"/>
            <w:vAlign w:val="center"/>
          </w:tcPr>
          <w:p>
            <w:pPr>
              <w:widowControl/>
              <w:jc w:val="right"/>
              <w:textAlignment w:val="center"/>
              <w:rPr>
                <w:rFonts w:ascii="仿宋_GB2312" w:hAnsi="宋体" w:eastAsia="仿宋_GB2312" w:cs="宋体"/>
                <w:color w:val="000000"/>
                <w:szCs w:val="21"/>
                <w:highlight w:val="none"/>
              </w:rPr>
            </w:pPr>
            <w:r>
              <w:rPr>
                <w:rFonts w:ascii="Dialog" w:hAnsi="Dialog" w:eastAsia="Dialog" w:cs="Dialog"/>
                <w:color w:val="000000"/>
                <w:kern w:val="0"/>
                <w:szCs w:val="21"/>
                <w:highlight w:val="none"/>
                <w:lang w:bidi="ar"/>
              </w:rPr>
              <w:t>301.87</w:t>
            </w:r>
          </w:p>
        </w:tc>
        <w:tc>
          <w:tcPr>
            <w:tcW w:w="43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合计</w:t>
            </w:r>
          </w:p>
        </w:tc>
        <w:tc>
          <w:tcPr>
            <w:tcW w:w="82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Cs w:val="21"/>
                <w:highlight w:val="none"/>
              </w:rPr>
            </w:pPr>
            <w:r>
              <w:rPr>
                <w:rFonts w:ascii="Dialog" w:hAnsi="Dialog" w:eastAsia="Dialog" w:cs="Dialog"/>
                <w:color w:val="000000"/>
                <w:kern w:val="0"/>
                <w:szCs w:val="21"/>
                <w:highlight w:val="none"/>
                <w:lang w:bidi="ar"/>
              </w:rPr>
              <w:t>301.87</w:t>
            </w:r>
          </w:p>
        </w:tc>
        <w:tc>
          <w:tcPr>
            <w:tcW w:w="929"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Cs w:val="21"/>
                <w:highlight w:val="none"/>
              </w:rPr>
            </w:pPr>
            <w:r>
              <w:rPr>
                <w:rFonts w:ascii="Dialog" w:hAnsi="Dialog" w:eastAsia="Dialog" w:cs="Dialog"/>
                <w:color w:val="000000"/>
                <w:kern w:val="0"/>
                <w:szCs w:val="21"/>
                <w:highlight w:val="none"/>
                <w:lang w:bidi="ar"/>
              </w:rPr>
              <w:t>301.87</w:t>
            </w:r>
          </w:p>
        </w:tc>
        <w:tc>
          <w:tcPr>
            <w:tcW w:w="4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outlineLvl w:val="1"/>
        <w:rPr>
          <w:rFonts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部门支出总体情况表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 州老龄委                                     单位：万元</w:t>
      </w:r>
    </w:p>
    <w:tbl>
      <w:tblPr>
        <w:tblStyle w:val="4"/>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highlight w:val="none"/>
              </w:rPr>
            </w:pPr>
            <w:r>
              <w:rPr>
                <w:rFonts w:hint="eastAsia" w:ascii="仿宋_GB2312" w:eastAsia="仿宋_GB2312"/>
                <w:color w:val="000000"/>
                <w:szCs w:val="21"/>
                <w:highlight w:val="none"/>
              </w:rPr>
              <w:t>210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highlight w:val="none"/>
              </w:rPr>
            </w:pPr>
            <w:r>
              <w:rPr>
                <w:rFonts w:hint="eastAsia" w:ascii="仿宋_GB2312" w:eastAsia="仿宋_GB2312"/>
                <w:color w:val="000000"/>
                <w:szCs w:val="21"/>
                <w:highlight w:val="none"/>
              </w:rPr>
              <w:t>16　</w:t>
            </w:r>
          </w:p>
        </w:tc>
        <w:tc>
          <w:tcPr>
            <w:tcW w:w="400"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highlight w:val="none"/>
              </w:rPr>
            </w:pPr>
            <w:r>
              <w:rPr>
                <w:rFonts w:hint="eastAsia" w:ascii="仿宋_GB2312" w:eastAsia="仿宋_GB2312"/>
                <w:color w:val="000000"/>
                <w:szCs w:val="21"/>
                <w:highlight w:val="none"/>
              </w:rPr>
              <w:t>01　</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highlight w:val="none"/>
              </w:rPr>
            </w:pPr>
            <w:r>
              <w:rPr>
                <w:rFonts w:hint="eastAsia" w:ascii="仿宋_GB2312" w:eastAsia="仿宋_GB2312"/>
                <w:color w:val="000000"/>
                <w:szCs w:val="21"/>
                <w:highlight w:val="none"/>
              </w:rPr>
              <w:t>　老龄卫生健康事务</w:t>
            </w:r>
          </w:p>
        </w:tc>
        <w:tc>
          <w:tcPr>
            <w:tcW w:w="18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Cs w:val="21"/>
                <w:highlight w:val="none"/>
              </w:rPr>
            </w:pPr>
            <w:r>
              <w:rPr>
                <w:rFonts w:ascii="Dialog" w:hAnsi="Dialog" w:eastAsia="Dialog" w:cs="Dialog"/>
                <w:color w:val="000000"/>
                <w:kern w:val="0"/>
                <w:szCs w:val="21"/>
                <w:highlight w:val="none"/>
                <w:lang w:bidi="ar"/>
              </w:rPr>
              <w:t>301.87</w:t>
            </w: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Cs w:val="21"/>
                <w:highlight w:val="none"/>
              </w:rPr>
            </w:pPr>
            <w:r>
              <w:rPr>
                <w:rFonts w:ascii="Dialog" w:hAnsi="Dialog" w:eastAsia="Dialog" w:cs="Dialog"/>
                <w:color w:val="000000"/>
                <w:kern w:val="0"/>
                <w:szCs w:val="21"/>
                <w:highlight w:val="none"/>
                <w:lang w:bidi="ar"/>
              </w:rPr>
              <w:t>173.87</w:t>
            </w: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Cs w:val="21"/>
                <w:highlight w:val="none"/>
              </w:rPr>
            </w:pPr>
            <w:r>
              <w:rPr>
                <w:rFonts w:ascii="Dialog" w:hAnsi="Dialog" w:eastAsia="Dialog" w:cs="Dialog"/>
                <w:color w:val="000000"/>
                <w:kern w:val="0"/>
                <w:szCs w:val="21"/>
                <w:highlight w:val="none"/>
                <w:lang w:bidi="ar"/>
              </w:rPr>
              <w:t>128</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合计</w:t>
            </w:r>
          </w:p>
        </w:tc>
        <w:tc>
          <w:tcPr>
            <w:tcW w:w="1855"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b/>
                <w:bCs/>
                <w:color w:val="000000"/>
                <w:kern w:val="0"/>
                <w:szCs w:val="21"/>
                <w:highlight w:val="none"/>
              </w:rPr>
            </w:pPr>
            <w:r>
              <w:rPr>
                <w:rFonts w:ascii="Dialog" w:hAnsi="Dialog" w:eastAsia="Dialog" w:cs="Dialog"/>
                <w:color w:val="000000"/>
                <w:kern w:val="0"/>
                <w:szCs w:val="21"/>
                <w:highlight w:val="none"/>
                <w:lang w:bidi="ar"/>
              </w:rPr>
              <w:t>301.87</w:t>
            </w: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Cs w:val="21"/>
                <w:highlight w:val="none"/>
              </w:rPr>
            </w:pPr>
            <w:r>
              <w:rPr>
                <w:rFonts w:ascii="Dialog" w:hAnsi="Dialog" w:eastAsia="Dialog" w:cs="Dialog"/>
                <w:color w:val="000000"/>
                <w:kern w:val="0"/>
                <w:szCs w:val="21"/>
                <w:highlight w:val="none"/>
                <w:lang w:bidi="ar"/>
              </w:rPr>
              <w:t>173.87</w:t>
            </w: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Cs w:val="21"/>
                <w:highlight w:val="none"/>
              </w:rPr>
            </w:pPr>
            <w:r>
              <w:rPr>
                <w:rFonts w:ascii="Dialog" w:hAnsi="Dialog" w:eastAsia="Dialog" w:cs="Dialog"/>
                <w:color w:val="000000"/>
                <w:kern w:val="0"/>
                <w:szCs w:val="21"/>
                <w:highlight w:val="none"/>
                <w:lang w:bidi="ar"/>
              </w:rPr>
              <w:t>128</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spacing w:before="120" w:beforeLines="50"/>
        <w:outlineLvl w:val="1"/>
        <w:rPr>
          <w:rFonts w:hint="eastAsia" w:ascii="仿宋_GB2312" w:hAnsi="宋体" w:eastAsia="仿宋_GB2312"/>
          <w:b/>
          <w:kern w:val="0"/>
          <w:sz w:val="32"/>
          <w:szCs w:val="32"/>
          <w:highlight w:val="none"/>
        </w:rPr>
      </w:pPr>
    </w:p>
    <w:p>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表四：</w:t>
      </w:r>
    </w:p>
    <w:p>
      <w:pPr>
        <w:widowControl/>
        <w:spacing w:before="120" w:beforeLines="50"/>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120" w:beforeLines="50"/>
        <w:outlineLvl w:val="1"/>
        <w:rPr>
          <w:rFonts w:ascii="仿宋_GB2312" w:hAnsi="宋体" w:eastAsia="仿宋_GB2312"/>
          <w:kern w:val="0"/>
          <w:sz w:val="28"/>
          <w:szCs w:val="28"/>
          <w:highlight w:val="none"/>
        </w:rPr>
      </w:pPr>
      <w:r>
        <w:rPr>
          <w:rFonts w:hint="eastAsia" w:ascii="仿宋_GB2312" w:hAnsi="宋体" w:eastAsia="仿宋_GB2312"/>
          <w:kern w:val="0"/>
          <w:sz w:val="28"/>
          <w:szCs w:val="28"/>
          <w:highlight w:val="none"/>
        </w:rPr>
        <w:t>编制部门： 州老龄委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23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22"/>
                <w:szCs w:val="22"/>
                <w:highlight w:val="none"/>
              </w:rPr>
            </w:pPr>
            <w:r>
              <w:rPr>
                <w:rFonts w:ascii="Dialog" w:hAnsi="Dialog" w:eastAsia="Dialog" w:cs="Dialog"/>
                <w:color w:val="000000"/>
                <w:kern w:val="0"/>
                <w:sz w:val="24"/>
                <w:highlight w:val="none"/>
                <w:lang w:bidi="ar"/>
              </w:rPr>
              <w:t>301.87</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22"/>
                <w:szCs w:val="22"/>
                <w:highlight w:val="none"/>
              </w:rPr>
            </w:pPr>
            <w:r>
              <w:rPr>
                <w:rFonts w:ascii="Dialog" w:hAnsi="Dialog" w:eastAsia="Dialog" w:cs="Dialog"/>
                <w:color w:val="000000"/>
                <w:kern w:val="0"/>
                <w:sz w:val="24"/>
                <w:highlight w:val="none"/>
                <w:lang w:bidi="ar"/>
              </w:rPr>
              <w:t>301.87</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highlight w:val="none"/>
              </w:rPr>
            </w:pPr>
            <w:r>
              <w:rPr>
                <w:rFonts w:hint="eastAsia" w:ascii="仿宋_GB2312" w:hAnsi="宋体" w:eastAsia="仿宋_GB2312" w:cs="宋体"/>
                <w:kern w:val="0"/>
                <w:sz w:val="15"/>
                <w:szCs w:val="15"/>
                <w:highlight w:val="none"/>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8"/>
                <w:szCs w:val="18"/>
                <w:highlight w:val="none"/>
              </w:rPr>
            </w:pPr>
            <w:r>
              <w:rPr>
                <w:rFonts w:ascii="Dialog" w:hAnsi="Dialog" w:eastAsia="Dialog" w:cs="Dialog"/>
                <w:color w:val="000000"/>
                <w:kern w:val="0"/>
                <w:sz w:val="24"/>
                <w:highlight w:val="none"/>
                <w:lang w:bidi="ar"/>
              </w:rPr>
              <w:t>301.87</w:t>
            </w:r>
          </w:p>
        </w:tc>
        <w:tc>
          <w:tcPr>
            <w:tcW w:w="1418"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8"/>
                <w:szCs w:val="18"/>
                <w:highlight w:val="none"/>
              </w:rPr>
            </w:pPr>
            <w:r>
              <w:rPr>
                <w:rFonts w:ascii="Dialog" w:hAnsi="Dialog" w:eastAsia="Dialog" w:cs="Dialog"/>
                <w:color w:val="000000"/>
                <w:kern w:val="0"/>
                <w:sz w:val="24"/>
                <w:highlight w:val="none"/>
                <w:lang w:bidi="ar"/>
              </w:rPr>
              <w:t>301.87</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highlight w:val="none"/>
              </w:rPr>
            </w:pPr>
            <w:r>
              <w:rPr>
                <w:rFonts w:hint="eastAsia" w:ascii="仿宋_GB2312" w:hAnsi="宋体" w:eastAsia="仿宋_GB2312" w:cs="宋体"/>
                <w:kern w:val="0"/>
                <w:sz w:val="15"/>
                <w:szCs w:val="15"/>
                <w:highlight w:val="none"/>
              </w:rPr>
              <w:t>2</w:t>
            </w:r>
            <w:r>
              <w:rPr>
                <w:rFonts w:hint="eastAsia" w:ascii="仿宋_GB2312" w:hAnsi="宋体" w:eastAsia="仿宋_GB2312" w:cs="宋体"/>
                <w:color w:val="000000"/>
                <w:kern w:val="0"/>
                <w:sz w:val="15"/>
                <w:szCs w:val="15"/>
                <w:highlight w:val="none"/>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w:t>
            </w:r>
            <w:r>
              <w:rPr>
                <w:rFonts w:hint="eastAsia" w:ascii="仿宋_GB2312" w:hAnsi="宋体" w:eastAsia="仿宋_GB2312" w:cs="宋体"/>
                <w:color w:val="000000"/>
                <w:kern w:val="0"/>
                <w:sz w:val="18"/>
                <w:szCs w:val="18"/>
                <w:highlight w:val="none"/>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w:t>
            </w:r>
            <w:r>
              <w:rPr>
                <w:rFonts w:hint="eastAsia" w:ascii="仿宋_GB2312" w:hAnsi="宋体" w:eastAsia="仿宋_GB2312" w:cs="宋体"/>
                <w:color w:val="000000"/>
                <w:kern w:val="0"/>
                <w:sz w:val="18"/>
                <w:szCs w:val="18"/>
                <w:highlight w:val="none"/>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w:t>
            </w:r>
            <w:r>
              <w:rPr>
                <w:rFonts w:hint="eastAsia" w:ascii="仿宋_GB2312" w:hAnsi="宋体" w:eastAsia="仿宋_GB2312" w:cs="宋体"/>
                <w:color w:val="000000"/>
                <w:kern w:val="0"/>
                <w:sz w:val="18"/>
                <w:szCs w:val="18"/>
                <w:highlight w:val="none"/>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kern w:val="0"/>
                <w:sz w:val="20"/>
                <w:szCs w:val="20"/>
                <w:highlight w:val="none"/>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r>
              <w:rPr>
                <w:rFonts w:ascii="Dialog" w:hAnsi="Dialog" w:eastAsia="Dialog" w:cs="Dialog"/>
                <w:color w:val="000000"/>
                <w:kern w:val="0"/>
                <w:sz w:val="24"/>
                <w:highlight w:val="none"/>
                <w:lang w:bidi="ar"/>
              </w:rPr>
              <w:t>301.87</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           计</w:t>
            </w:r>
          </w:p>
        </w:tc>
        <w:tc>
          <w:tcPr>
            <w:tcW w:w="129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8"/>
                <w:szCs w:val="18"/>
                <w:highlight w:val="none"/>
              </w:rPr>
            </w:pPr>
            <w:r>
              <w:rPr>
                <w:rFonts w:ascii="Dialog" w:hAnsi="Dialog" w:eastAsia="Dialog" w:cs="Dialog"/>
                <w:color w:val="000000"/>
                <w:kern w:val="0"/>
                <w:sz w:val="24"/>
                <w:highlight w:val="none"/>
                <w:lang w:bidi="ar"/>
              </w:rPr>
              <w:t>301.87</w:t>
            </w:r>
          </w:p>
        </w:tc>
        <w:tc>
          <w:tcPr>
            <w:tcW w:w="1418"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8"/>
                <w:szCs w:val="18"/>
                <w:highlight w:val="none"/>
              </w:rPr>
            </w:pPr>
            <w:r>
              <w:rPr>
                <w:rFonts w:ascii="Dialog" w:hAnsi="Dialog" w:eastAsia="Dialog" w:cs="Dialog"/>
                <w:color w:val="000000"/>
                <w:kern w:val="0"/>
                <w:sz w:val="24"/>
                <w:highlight w:val="none"/>
                <w:lang w:bidi="ar"/>
              </w:rPr>
              <w:t>301.87</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ascii="Dialog" w:hAnsi="Dialog" w:eastAsia="Dialog" w:cs="Dialog"/>
                <w:color w:val="000000"/>
                <w:kern w:val="0"/>
                <w:sz w:val="24"/>
                <w:highlight w:val="none"/>
                <w:lang w:bidi="ar"/>
              </w:rPr>
              <w:t>301.87</w:t>
            </w: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294"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8"/>
                <w:szCs w:val="18"/>
                <w:highlight w:val="none"/>
              </w:rPr>
            </w:pPr>
            <w:r>
              <w:rPr>
                <w:rFonts w:ascii="Dialog" w:hAnsi="Dialog" w:eastAsia="Dialog" w:cs="Dialog"/>
                <w:color w:val="000000"/>
                <w:kern w:val="0"/>
                <w:sz w:val="24"/>
                <w:highlight w:val="none"/>
                <w:lang w:bidi="ar"/>
              </w:rPr>
              <w:t>301.87</w:t>
            </w:r>
          </w:p>
        </w:tc>
        <w:tc>
          <w:tcPr>
            <w:tcW w:w="1418"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kern w:val="0"/>
                <w:sz w:val="18"/>
                <w:szCs w:val="18"/>
                <w:highlight w:val="none"/>
              </w:rPr>
            </w:pPr>
            <w:r>
              <w:rPr>
                <w:rFonts w:ascii="Dialog" w:hAnsi="Dialog" w:eastAsia="Dialog" w:cs="Dialog"/>
                <w:color w:val="000000"/>
                <w:kern w:val="0"/>
                <w:sz w:val="24"/>
                <w:highlight w:val="none"/>
                <w:lang w:bidi="ar"/>
              </w:rPr>
              <w:t>301.87</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highlight w:val="none"/>
              </w:rPr>
            </w:pPr>
            <w:r>
              <w:rPr>
                <w:rFonts w:hint="eastAsia" w:ascii="宋体" w:hAnsi="宋体" w:cs="宋体"/>
                <w:kern w:val="0"/>
                <w:sz w:val="18"/>
                <w:szCs w:val="18"/>
                <w:highlight w:val="none"/>
              </w:rPr>
              <w:t>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4"/>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编制部门：州老龄委</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highlight w:val="none"/>
              </w:rPr>
            </w:pPr>
            <w:r>
              <w:rPr>
                <w:rFonts w:hint="eastAsia" w:ascii="仿宋_GB2312" w:eastAsia="仿宋_GB2312"/>
                <w:color w:val="000000"/>
                <w:szCs w:val="21"/>
                <w:highlight w:val="none"/>
              </w:rPr>
              <w:t>210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highlight w:val="none"/>
              </w:rPr>
            </w:pPr>
            <w:r>
              <w:rPr>
                <w:rFonts w:hint="eastAsia" w:ascii="仿宋_GB2312" w:eastAsia="仿宋_GB2312"/>
                <w:color w:val="000000"/>
                <w:szCs w:val="21"/>
                <w:highlight w:val="none"/>
              </w:rPr>
              <w:t>16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highlight w:val="none"/>
              </w:rPr>
            </w:pPr>
            <w:r>
              <w:rPr>
                <w:rFonts w:hint="eastAsia" w:ascii="仿宋_GB2312" w:eastAsia="仿宋_GB2312"/>
                <w:color w:val="000000"/>
                <w:szCs w:val="21"/>
                <w:highlight w:val="none"/>
              </w:rPr>
              <w:t>01　</w:t>
            </w:r>
          </w:p>
        </w:tc>
        <w:tc>
          <w:tcPr>
            <w:tcW w:w="2510" w:type="dxa"/>
            <w:tcBorders>
              <w:top w:val="nil"/>
              <w:left w:val="nil"/>
              <w:bottom w:val="single" w:color="auto" w:sz="4" w:space="0"/>
              <w:right w:val="single" w:color="auto" w:sz="4" w:space="0"/>
            </w:tcBorders>
            <w:vAlign w:val="center"/>
          </w:tcPr>
          <w:p>
            <w:pPr>
              <w:ind w:firstLine="300" w:firstLineChars="200"/>
              <w:jc w:val="both"/>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5"/>
                <w:szCs w:val="15"/>
                <w:highlight w:val="none"/>
              </w:rPr>
              <w:t xml:space="preserve"> 医疗卫生与计划生育支出</w:t>
            </w:r>
          </w:p>
        </w:tc>
        <w:tc>
          <w:tcPr>
            <w:tcW w:w="1684"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b/>
                <w:color w:val="000000"/>
                <w:kern w:val="0"/>
                <w:sz w:val="20"/>
                <w:szCs w:val="20"/>
                <w:highlight w:val="none"/>
              </w:rPr>
            </w:pPr>
            <w:r>
              <w:rPr>
                <w:rFonts w:ascii="Dialog" w:hAnsi="Dialog" w:eastAsia="Dialog" w:cs="Dialog"/>
                <w:color w:val="000000"/>
                <w:kern w:val="0"/>
                <w:szCs w:val="21"/>
                <w:highlight w:val="none"/>
                <w:lang w:bidi="ar"/>
              </w:rPr>
              <w:t>301.87</w:t>
            </w: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highlight w:val="none"/>
              </w:rPr>
            </w:pPr>
            <w:r>
              <w:rPr>
                <w:rFonts w:ascii="Dialog" w:hAnsi="Dialog" w:eastAsia="Dialog" w:cs="Dialog"/>
                <w:color w:val="000000"/>
                <w:kern w:val="0"/>
                <w:szCs w:val="21"/>
                <w:highlight w:val="none"/>
                <w:lang w:bidi="ar"/>
              </w:rPr>
              <w:t>173.87</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highlight w:val="none"/>
              </w:rPr>
            </w:pPr>
            <w:r>
              <w:rPr>
                <w:rFonts w:ascii="Dialog" w:hAnsi="Dialog" w:eastAsia="Dialog" w:cs="Dialog"/>
                <w:color w:val="000000"/>
                <w:kern w:val="0"/>
                <w:szCs w:val="21"/>
                <w:highlight w:val="none"/>
                <w:lang w:bidi="ar"/>
              </w:rPr>
              <w:t>128</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合计</w:t>
            </w:r>
          </w:p>
        </w:tc>
        <w:tc>
          <w:tcPr>
            <w:tcW w:w="1684"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highlight w:val="none"/>
              </w:rPr>
            </w:pPr>
            <w:r>
              <w:rPr>
                <w:rFonts w:ascii="Dialog" w:hAnsi="Dialog" w:eastAsia="Dialog" w:cs="Dialog"/>
                <w:color w:val="000000"/>
                <w:kern w:val="0"/>
                <w:szCs w:val="21"/>
                <w:highlight w:val="none"/>
                <w:lang w:bidi="ar"/>
              </w:rPr>
              <w:t>301.87</w:t>
            </w: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Cs w:val="21"/>
                <w:highlight w:val="none"/>
                <w:lang w:bidi="ar"/>
              </w:rPr>
              <w:t>173.87</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Cs w:val="21"/>
                <w:highlight w:val="none"/>
                <w:lang w:bidi="ar"/>
              </w:rPr>
              <w:t>128</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表六：</w:t>
      </w:r>
    </w:p>
    <w:tbl>
      <w:tblPr>
        <w:tblStyle w:val="4"/>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编制部门：州老龄委</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highlight w:val="none"/>
              </w:rPr>
            </w:pPr>
            <w:r>
              <w:rPr>
                <w:rFonts w:ascii="Dialog" w:hAnsi="Dialog" w:eastAsia="Dialog" w:cs="Dialog"/>
                <w:color w:val="000000"/>
                <w:kern w:val="0"/>
                <w:sz w:val="24"/>
                <w:highlight w:val="none"/>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highlight w:val="none"/>
              </w:rPr>
            </w:pPr>
            <w:r>
              <w:rPr>
                <w:rFonts w:ascii="Dialog" w:hAnsi="Dialog" w:eastAsia="Dialog" w:cs="Dialog"/>
                <w:color w:val="000000"/>
                <w:kern w:val="0"/>
                <w:sz w:val="24"/>
                <w:highlight w:val="none"/>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highlight w:val="none"/>
              </w:rPr>
            </w:pPr>
            <w:r>
              <w:rPr>
                <w:rFonts w:ascii="Dialog" w:hAnsi="Dialog" w:eastAsia="Dialog" w:cs="Dialog"/>
                <w:color w:val="000000"/>
                <w:kern w:val="0"/>
                <w:sz w:val="24"/>
                <w:highlight w:val="none"/>
                <w:lang w:bidi="ar"/>
              </w:rPr>
              <w:t>基本工资</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54.21</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54.21</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highlight w:val="none"/>
              </w:rPr>
            </w:pPr>
            <w:r>
              <w:rPr>
                <w:rFonts w:ascii="Dialog" w:hAnsi="Dialog" w:eastAsia="Dialog" w:cs="Dialog"/>
                <w:color w:val="000000"/>
                <w:kern w:val="0"/>
                <w:sz w:val="24"/>
                <w:highlight w:val="none"/>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highlight w:val="none"/>
              </w:rPr>
            </w:pPr>
            <w:r>
              <w:rPr>
                <w:rFonts w:ascii="Dialog" w:hAnsi="Dialog" w:eastAsia="Dialog" w:cs="Dialog"/>
                <w:color w:val="000000"/>
                <w:kern w:val="0"/>
                <w:sz w:val="24"/>
                <w:highlight w:val="none"/>
                <w:lang w:bidi="ar"/>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highlight w:val="none"/>
              </w:rPr>
            </w:pPr>
            <w:r>
              <w:rPr>
                <w:rFonts w:ascii="Dialog" w:hAnsi="Dialog" w:eastAsia="Dialog" w:cs="Dialog"/>
                <w:color w:val="000000"/>
                <w:kern w:val="0"/>
                <w:sz w:val="24"/>
                <w:highlight w:val="none"/>
                <w:lang w:bidi="ar"/>
              </w:rPr>
              <w:t>津贴补贴</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27.28</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27.28</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奖金</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3.74</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3.74</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伙食补助费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12.6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12.6</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绩效工资</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2.46</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2.46</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17.53</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17.53</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10</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14.1</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14.1</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10.97</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10.97</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0.32</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0.32</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住房公积金</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10.52</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10.52</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办公费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4.67</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4.67</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差旅费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3.84</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3.84</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公务招待费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0.5</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工会经费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1.08</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1.08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福利费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2.55</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2.55</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公务车运行维护费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2.08</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2.08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2.53</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2.53</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奖励金</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0.99</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0.99</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14</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职工住宅取暖费</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1.9</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1.9</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合计</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173.87</w:t>
            </w:r>
          </w:p>
        </w:tc>
        <w:tc>
          <w:tcPr>
            <w:tcW w:w="1701"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156.62</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highlight w:val="none"/>
              </w:rPr>
            </w:pPr>
            <w:r>
              <w:rPr>
                <w:rFonts w:ascii="Dialog" w:hAnsi="Dialog" w:eastAsia="Dialog" w:cs="Dialog"/>
                <w:color w:val="000000"/>
                <w:kern w:val="0"/>
                <w:sz w:val="24"/>
                <w:highlight w:val="none"/>
                <w:lang w:bidi="ar"/>
              </w:rPr>
              <w:t>17.25</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表七：</w:t>
      </w:r>
    </w:p>
    <w:tbl>
      <w:tblPr>
        <w:tblStyle w:val="4"/>
        <w:tblW w:w="9469" w:type="dxa"/>
        <w:tblInd w:w="93" w:type="dxa"/>
        <w:tblLayout w:type="fixed"/>
        <w:tblCellMar>
          <w:top w:w="0" w:type="dxa"/>
          <w:left w:w="108" w:type="dxa"/>
          <w:bottom w:w="0" w:type="dxa"/>
          <w:right w:w="108" w:type="dxa"/>
        </w:tblCellMar>
      </w:tblPr>
      <w:tblGrid>
        <w:gridCol w:w="8"/>
        <w:gridCol w:w="502"/>
        <w:gridCol w:w="375"/>
        <w:gridCol w:w="306"/>
        <w:gridCol w:w="851"/>
        <w:gridCol w:w="1456"/>
        <w:gridCol w:w="750"/>
        <w:gridCol w:w="110"/>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编制部门：州老龄委</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851"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456"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0"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375"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06"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pPr>
              <w:widowControl/>
              <w:jc w:val="right"/>
              <w:textAlignment w:val="center"/>
              <w:rPr>
                <w:rFonts w:ascii="仿宋_GB2312" w:hAnsi="宋体" w:eastAsia="仿宋_GB2312"/>
                <w:kern w:val="0"/>
                <w:sz w:val="18"/>
                <w:szCs w:val="18"/>
                <w:highlight w:val="none"/>
              </w:rPr>
            </w:pPr>
            <w:r>
              <w:rPr>
                <w:rFonts w:ascii="Dialog" w:hAnsi="Dialog" w:eastAsia="Dialog" w:cs="Dialog"/>
                <w:color w:val="000000"/>
                <w:kern w:val="0"/>
                <w:sz w:val="18"/>
                <w:szCs w:val="18"/>
                <w:highlight w:val="none"/>
                <w:lang w:bidi="ar"/>
              </w:rPr>
              <w:t>210</w:t>
            </w:r>
          </w:p>
        </w:tc>
        <w:tc>
          <w:tcPr>
            <w:tcW w:w="375" w:type="dxa"/>
            <w:vAlign w:val="center"/>
          </w:tcPr>
          <w:p>
            <w:pPr>
              <w:widowControl/>
              <w:jc w:val="right"/>
              <w:textAlignment w:val="center"/>
              <w:rPr>
                <w:rFonts w:ascii="仿宋_GB2312" w:hAnsi="宋体" w:eastAsia="仿宋_GB2312"/>
                <w:kern w:val="0"/>
                <w:sz w:val="18"/>
                <w:szCs w:val="18"/>
                <w:highlight w:val="none"/>
              </w:rPr>
            </w:pPr>
            <w:r>
              <w:rPr>
                <w:rFonts w:ascii="Dialog" w:hAnsi="Dialog" w:eastAsia="Dialog" w:cs="Dialog"/>
                <w:color w:val="000000"/>
                <w:kern w:val="0"/>
                <w:sz w:val="18"/>
                <w:szCs w:val="18"/>
                <w:highlight w:val="none"/>
                <w:lang w:bidi="ar"/>
              </w:rPr>
              <w:t>16</w:t>
            </w:r>
          </w:p>
        </w:tc>
        <w:tc>
          <w:tcPr>
            <w:tcW w:w="306" w:type="dxa"/>
            <w:vAlign w:val="center"/>
          </w:tcPr>
          <w:p>
            <w:pPr>
              <w:widowControl/>
              <w:jc w:val="right"/>
              <w:textAlignment w:val="center"/>
              <w:rPr>
                <w:rFonts w:ascii="仿宋_GB2312" w:hAnsi="宋体" w:eastAsia="仿宋_GB2312"/>
                <w:kern w:val="0"/>
                <w:sz w:val="18"/>
                <w:szCs w:val="18"/>
                <w:highlight w:val="none"/>
              </w:rPr>
            </w:pPr>
            <w:r>
              <w:rPr>
                <w:rFonts w:ascii="Dialog" w:hAnsi="Dialog" w:eastAsia="Dialog" w:cs="Dialog"/>
                <w:color w:val="000000"/>
                <w:kern w:val="0"/>
                <w:sz w:val="18"/>
                <w:szCs w:val="18"/>
                <w:highlight w:val="none"/>
                <w:lang w:bidi="ar"/>
              </w:rPr>
              <w:t>01</w:t>
            </w:r>
          </w:p>
        </w:tc>
        <w:tc>
          <w:tcPr>
            <w:tcW w:w="851" w:type="dxa"/>
            <w:vAlign w:val="center"/>
          </w:tcPr>
          <w:p>
            <w:pPr>
              <w:widowControl/>
              <w:jc w:val="right"/>
              <w:textAlignment w:val="center"/>
              <w:rPr>
                <w:rFonts w:ascii="仿宋_GB2312" w:hAnsi="宋体" w:eastAsia="仿宋_GB2312"/>
                <w:kern w:val="0"/>
                <w:sz w:val="18"/>
                <w:szCs w:val="18"/>
                <w:highlight w:val="none"/>
              </w:rPr>
            </w:pPr>
            <w:r>
              <w:rPr>
                <w:rFonts w:ascii="Dialog" w:hAnsi="Dialog" w:eastAsia="Dialog" w:cs="Dialog"/>
                <w:color w:val="000000"/>
                <w:kern w:val="0"/>
                <w:sz w:val="18"/>
                <w:szCs w:val="18"/>
                <w:highlight w:val="none"/>
                <w:lang w:bidi="ar"/>
              </w:rPr>
              <w:t>2101601</w:t>
            </w:r>
          </w:p>
        </w:tc>
        <w:tc>
          <w:tcPr>
            <w:tcW w:w="1456" w:type="dxa"/>
            <w:vAlign w:val="center"/>
          </w:tcPr>
          <w:p>
            <w:pPr>
              <w:widowControl/>
              <w:jc w:val="right"/>
              <w:textAlignment w:val="center"/>
              <w:rPr>
                <w:rFonts w:ascii="仿宋_GB2312" w:hAnsi="宋体" w:eastAsia="仿宋_GB2312"/>
                <w:kern w:val="0"/>
                <w:sz w:val="18"/>
                <w:szCs w:val="18"/>
                <w:highlight w:val="none"/>
              </w:rPr>
            </w:pPr>
            <w:r>
              <w:rPr>
                <w:rFonts w:hint="eastAsia" w:ascii="Dialog" w:hAnsi="Dialog" w:eastAsia="Dialog" w:cs="Dialog"/>
                <w:color w:val="000000"/>
                <w:kern w:val="0"/>
                <w:sz w:val="18"/>
                <w:szCs w:val="18"/>
                <w:highlight w:val="none"/>
                <w:lang w:bidi="ar"/>
              </w:rPr>
              <w:t>敬老宣传月经费</w:t>
            </w:r>
          </w:p>
        </w:tc>
        <w:tc>
          <w:tcPr>
            <w:tcW w:w="750"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5　</w:t>
            </w:r>
          </w:p>
        </w:tc>
        <w:tc>
          <w:tcPr>
            <w:tcW w:w="569" w:type="dxa"/>
            <w:gridSpan w:val="2"/>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36" w:type="dxa"/>
            <w:vAlign w:val="center"/>
          </w:tcPr>
          <w:p>
            <w:pPr>
              <w:widowControl/>
              <w:jc w:val="right"/>
              <w:textAlignment w:val="center"/>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5</w:t>
            </w:r>
          </w:p>
        </w:tc>
        <w:tc>
          <w:tcPr>
            <w:tcW w:w="652"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652"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78" w:type="dxa"/>
            <w:gridSpan w:val="2"/>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19"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78"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20"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20"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397" w:type="dxa"/>
            <w:gridSpan w:val="2"/>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210</w:t>
            </w:r>
          </w:p>
        </w:tc>
        <w:tc>
          <w:tcPr>
            <w:tcW w:w="375"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16</w:t>
            </w:r>
          </w:p>
        </w:tc>
        <w:tc>
          <w:tcPr>
            <w:tcW w:w="306"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01</w:t>
            </w:r>
          </w:p>
        </w:tc>
        <w:tc>
          <w:tcPr>
            <w:tcW w:w="851"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2101601</w:t>
            </w:r>
          </w:p>
        </w:tc>
        <w:tc>
          <w:tcPr>
            <w:tcW w:w="1456" w:type="dxa"/>
            <w:vAlign w:val="center"/>
          </w:tcPr>
          <w:p>
            <w:pPr>
              <w:widowControl/>
              <w:jc w:val="right"/>
              <w:textAlignment w:val="center"/>
              <w:rPr>
                <w:rFonts w:ascii="Dialog" w:hAnsi="Dialog" w:eastAsia="Dialog" w:cs="Dialog"/>
                <w:color w:val="000000"/>
                <w:kern w:val="0"/>
                <w:sz w:val="18"/>
                <w:szCs w:val="18"/>
                <w:highlight w:val="none"/>
                <w:lang w:bidi="ar"/>
              </w:rPr>
            </w:pPr>
            <w:r>
              <w:rPr>
                <w:rFonts w:hint="eastAsia" w:ascii="Dialog" w:hAnsi="Dialog" w:eastAsia="Dialog" w:cs="Dialog"/>
                <w:color w:val="000000"/>
                <w:kern w:val="0"/>
                <w:sz w:val="18"/>
                <w:szCs w:val="18"/>
                <w:highlight w:val="none"/>
                <w:lang w:bidi="ar"/>
              </w:rPr>
              <w:t>老年保健协会经费</w:t>
            </w:r>
          </w:p>
        </w:tc>
        <w:tc>
          <w:tcPr>
            <w:tcW w:w="750"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569" w:type="dxa"/>
            <w:gridSpan w:val="2"/>
          </w:tcPr>
          <w:p>
            <w:pPr>
              <w:widowControl/>
              <w:jc w:val="left"/>
              <w:outlineLvl w:val="1"/>
              <w:rPr>
                <w:rFonts w:ascii="仿宋_GB2312" w:hAnsi="宋体" w:eastAsia="仿宋_GB2312"/>
                <w:kern w:val="0"/>
                <w:sz w:val="18"/>
                <w:szCs w:val="18"/>
                <w:highlight w:val="none"/>
              </w:rPr>
            </w:pPr>
          </w:p>
        </w:tc>
        <w:tc>
          <w:tcPr>
            <w:tcW w:w="536" w:type="dxa"/>
            <w:vAlign w:val="center"/>
          </w:tcPr>
          <w:p>
            <w:pPr>
              <w:widowControl/>
              <w:jc w:val="right"/>
              <w:textAlignment w:val="center"/>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652" w:type="dxa"/>
          </w:tcPr>
          <w:p>
            <w:pPr>
              <w:widowControl/>
              <w:jc w:val="left"/>
              <w:outlineLvl w:val="1"/>
              <w:rPr>
                <w:rFonts w:ascii="仿宋_GB2312" w:hAnsi="宋体" w:eastAsia="仿宋_GB2312"/>
                <w:kern w:val="0"/>
                <w:sz w:val="18"/>
                <w:szCs w:val="18"/>
                <w:highlight w:val="none"/>
              </w:rPr>
            </w:pPr>
          </w:p>
        </w:tc>
        <w:tc>
          <w:tcPr>
            <w:tcW w:w="652" w:type="dxa"/>
          </w:tcPr>
          <w:p>
            <w:pPr>
              <w:widowControl/>
              <w:jc w:val="left"/>
              <w:outlineLvl w:val="1"/>
              <w:rPr>
                <w:rFonts w:ascii="仿宋_GB2312" w:hAnsi="宋体" w:eastAsia="仿宋_GB2312"/>
                <w:kern w:val="0"/>
                <w:sz w:val="18"/>
                <w:szCs w:val="18"/>
                <w:highlight w:val="none"/>
              </w:rPr>
            </w:pPr>
          </w:p>
        </w:tc>
        <w:tc>
          <w:tcPr>
            <w:tcW w:w="578" w:type="dxa"/>
            <w:gridSpan w:val="2"/>
          </w:tcPr>
          <w:p>
            <w:pPr>
              <w:widowControl/>
              <w:jc w:val="left"/>
              <w:outlineLvl w:val="1"/>
              <w:rPr>
                <w:rFonts w:ascii="仿宋_GB2312" w:hAnsi="宋体" w:eastAsia="仿宋_GB2312"/>
                <w:kern w:val="0"/>
                <w:sz w:val="18"/>
                <w:szCs w:val="18"/>
                <w:highlight w:val="none"/>
              </w:rPr>
            </w:pPr>
          </w:p>
        </w:tc>
        <w:tc>
          <w:tcPr>
            <w:tcW w:w="419" w:type="dxa"/>
          </w:tcPr>
          <w:p>
            <w:pPr>
              <w:widowControl/>
              <w:jc w:val="left"/>
              <w:outlineLvl w:val="1"/>
              <w:rPr>
                <w:rFonts w:ascii="仿宋_GB2312" w:hAnsi="宋体" w:eastAsia="仿宋_GB2312"/>
                <w:kern w:val="0"/>
                <w:sz w:val="18"/>
                <w:szCs w:val="18"/>
                <w:highlight w:val="none"/>
              </w:rPr>
            </w:pPr>
          </w:p>
        </w:tc>
        <w:tc>
          <w:tcPr>
            <w:tcW w:w="578" w:type="dxa"/>
          </w:tcPr>
          <w:p>
            <w:pPr>
              <w:widowControl/>
              <w:jc w:val="left"/>
              <w:outlineLvl w:val="1"/>
              <w:rPr>
                <w:rFonts w:ascii="仿宋_GB2312" w:hAnsi="宋体" w:eastAsia="仿宋_GB2312"/>
                <w:kern w:val="0"/>
                <w:sz w:val="18"/>
                <w:szCs w:val="18"/>
                <w:highlight w:val="none"/>
              </w:rPr>
            </w:pPr>
          </w:p>
        </w:tc>
        <w:tc>
          <w:tcPr>
            <w:tcW w:w="420" w:type="dxa"/>
          </w:tcPr>
          <w:p>
            <w:pPr>
              <w:widowControl/>
              <w:jc w:val="left"/>
              <w:outlineLvl w:val="1"/>
              <w:rPr>
                <w:rFonts w:ascii="仿宋_GB2312" w:hAnsi="宋体" w:eastAsia="仿宋_GB2312"/>
                <w:kern w:val="0"/>
                <w:sz w:val="18"/>
                <w:szCs w:val="18"/>
                <w:highlight w:val="none"/>
              </w:rPr>
            </w:pPr>
          </w:p>
        </w:tc>
        <w:tc>
          <w:tcPr>
            <w:tcW w:w="420" w:type="dxa"/>
          </w:tcPr>
          <w:p>
            <w:pPr>
              <w:widowControl/>
              <w:jc w:val="left"/>
              <w:outlineLvl w:val="1"/>
              <w:rPr>
                <w:rFonts w:ascii="仿宋_GB2312" w:hAnsi="宋体" w:eastAsia="仿宋_GB2312"/>
                <w:kern w:val="0"/>
                <w:sz w:val="18"/>
                <w:szCs w:val="18"/>
                <w:highlight w:val="none"/>
              </w:rPr>
            </w:pPr>
          </w:p>
        </w:tc>
        <w:tc>
          <w:tcPr>
            <w:tcW w:w="397" w:type="dxa"/>
            <w:gridSpan w:val="2"/>
          </w:tcPr>
          <w:p>
            <w:pPr>
              <w:widowControl/>
              <w:jc w:val="left"/>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210</w:t>
            </w:r>
          </w:p>
        </w:tc>
        <w:tc>
          <w:tcPr>
            <w:tcW w:w="375"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16</w:t>
            </w:r>
          </w:p>
        </w:tc>
        <w:tc>
          <w:tcPr>
            <w:tcW w:w="306"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01</w:t>
            </w:r>
          </w:p>
        </w:tc>
        <w:tc>
          <w:tcPr>
            <w:tcW w:w="851"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2101601</w:t>
            </w:r>
          </w:p>
        </w:tc>
        <w:tc>
          <w:tcPr>
            <w:tcW w:w="1456" w:type="dxa"/>
            <w:vAlign w:val="center"/>
          </w:tcPr>
          <w:p>
            <w:pPr>
              <w:widowControl/>
              <w:jc w:val="right"/>
              <w:textAlignment w:val="center"/>
              <w:rPr>
                <w:rFonts w:ascii="Dialog" w:hAnsi="Dialog" w:eastAsia="Dialog" w:cs="Dialog"/>
                <w:color w:val="000000"/>
                <w:kern w:val="0"/>
                <w:sz w:val="18"/>
                <w:szCs w:val="18"/>
                <w:highlight w:val="none"/>
                <w:lang w:bidi="ar"/>
              </w:rPr>
            </w:pPr>
            <w:r>
              <w:rPr>
                <w:rFonts w:hint="eastAsia" w:ascii="Dialog" w:hAnsi="Dialog" w:eastAsia="Dialog" w:cs="Dialog"/>
                <w:color w:val="000000"/>
                <w:kern w:val="0"/>
                <w:sz w:val="18"/>
                <w:szCs w:val="18"/>
                <w:highlight w:val="none"/>
                <w:lang w:bidi="ar"/>
              </w:rPr>
              <w:t>老年大学经费</w:t>
            </w:r>
          </w:p>
        </w:tc>
        <w:tc>
          <w:tcPr>
            <w:tcW w:w="750"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569" w:type="dxa"/>
            <w:gridSpan w:val="2"/>
          </w:tcPr>
          <w:p>
            <w:pPr>
              <w:widowControl/>
              <w:jc w:val="left"/>
              <w:outlineLvl w:val="1"/>
              <w:rPr>
                <w:rFonts w:ascii="仿宋_GB2312" w:hAnsi="宋体" w:eastAsia="仿宋_GB2312"/>
                <w:kern w:val="0"/>
                <w:sz w:val="18"/>
                <w:szCs w:val="18"/>
                <w:highlight w:val="none"/>
              </w:rPr>
            </w:pPr>
          </w:p>
        </w:tc>
        <w:tc>
          <w:tcPr>
            <w:tcW w:w="536" w:type="dxa"/>
            <w:vAlign w:val="center"/>
          </w:tcPr>
          <w:p>
            <w:pPr>
              <w:widowControl/>
              <w:jc w:val="right"/>
              <w:textAlignment w:val="center"/>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652" w:type="dxa"/>
          </w:tcPr>
          <w:p>
            <w:pPr>
              <w:widowControl/>
              <w:jc w:val="left"/>
              <w:outlineLvl w:val="1"/>
              <w:rPr>
                <w:rFonts w:ascii="仿宋_GB2312" w:hAnsi="宋体" w:eastAsia="仿宋_GB2312"/>
                <w:kern w:val="0"/>
                <w:sz w:val="18"/>
                <w:szCs w:val="18"/>
                <w:highlight w:val="none"/>
              </w:rPr>
            </w:pPr>
          </w:p>
        </w:tc>
        <w:tc>
          <w:tcPr>
            <w:tcW w:w="652" w:type="dxa"/>
          </w:tcPr>
          <w:p>
            <w:pPr>
              <w:widowControl/>
              <w:jc w:val="left"/>
              <w:outlineLvl w:val="1"/>
              <w:rPr>
                <w:rFonts w:ascii="仿宋_GB2312" w:hAnsi="宋体" w:eastAsia="仿宋_GB2312"/>
                <w:kern w:val="0"/>
                <w:sz w:val="18"/>
                <w:szCs w:val="18"/>
                <w:highlight w:val="none"/>
              </w:rPr>
            </w:pPr>
          </w:p>
        </w:tc>
        <w:tc>
          <w:tcPr>
            <w:tcW w:w="578" w:type="dxa"/>
            <w:gridSpan w:val="2"/>
          </w:tcPr>
          <w:p>
            <w:pPr>
              <w:widowControl/>
              <w:jc w:val="left"/>
              <w:outlineLvl w:val="1"/>
              <w:rPr>
                <w:rFonts w:ascii="仿宋_GB2312" w:hAnsi="宋体" w:eastAsia="仿宋_GB2312"/>
                <w:kern w:val="0"/>
                <w:sz w:val="18"/>
                <w:szCs w:val="18"/>
                <w:highlight w:val="none"/>
              </w:rPr>
            </w:pPr>
          </w:p>
        </w:tc>
        <w:tc>
          <w:tcPr>
            <w:tcW w:w="419" w:type="dxa"/>
          </w:tcPr>
          <w:p>
            <w:pPr>
              <w:widowControl/>
              <w:jc w:val="left"/>
              <w:outlineLvl w:val="1"/>
              <w:rPr>
                <w:rFonts w:ascii="仿宋_GB2312" w:hAnsi="宋体" w:eastAsia="仿宋_GB2312"/>
                <w:kern w:val="0"/>
                <w:sz w:val="18"/>
                <w:szCs w:val="18"/>
                <w:highlight w:val="none"/>
              </w:rPr>
            </w:pPr>
          </w:p>
        </w:tc>
        <w:tc>
          <w:tcPr>
            <w:tcW w:w="578" w:type="dxa"/>
          </w:tcPr>
          <w:p>
            <w:pPr>
              <w:widowControl/>
              <w:jc w:val="left"/>
              <w:outlineLvl w:val="1"/>
              <w:rPr>
                <w:rFonts w:ascii="仿宋_GB2312" w:hAnsi="宋体" w:eastAsia="仿宋_GB2312"/>
                <w:kern w:val="0"/>
                <w:sz w:val="18"/>
                <w:szCs w:val="18"/>
                <w:highlight w:val="none"/>
              </w:rPr>
            </w:pPr>
          </w:p>
        </w:tc>
        <w:tc>
          <w:tcPr>
            <w:tcW w:w="420" w:type="dxa"/>
          </w:tcPr>
          <w:p>
            <w:pPr>
              <w:widowControl/>
              <w:jc w:val="left"/>
              <w:outlineLvl w:val="1"/>
              <w:rPr>
                <w:rFonts w:ascii="仿宋_GB2312" w:hAnsi="宋体" w:eastAsia="仿宋_GB2312"/>
                <w:kern w:val="0"/>
                <w:sz w:val="18"/>
                <w:szCs w:val="18"/>
                <w:highlight w:val="none"/>
              </w:rPr>
            </w:pPr>
          </w:p>
        </w:tc>
        <w:tc>
          <w:tcPr>
            <w:tcW w:w="420" w:type="dxa"/>
          </w:tcPr>
          <w:p>
            <w:pPr>
              <w:widowControl/>
              <w:jc w:val="left"/>
              <w:outlineLvl w:val="1"/>
              <w:rPr>
                <w:rFonts w:ascii="仿宋_GB2312" w:hAnsi="宋体" w:eastAsia="仿宋_GB2312"/>
                <w:kern w:val="0"/>
                <w:sz w:val="18"/>
                <w:szCs w:val="18"/>
                <w:highlight w:val="none"/>
              </w:rPr>
            </w:pPr>
          </w:p>
        </w:tc>
        <w:tc>
          <w:tcPr>
            <w:tcW w:w="397" w:type="dxa"/>
            <w:gridSpan w:val="2"/>
          </w:tcPr>
          <w:p>
            <w:pPr>
              <w:widowControl/>
              <w:jc w:val="left"/>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210</w:t>
            </w:r>
          </w:p>
        </w:tc>
        <w:tc>
          <w:tcPr>
            <w:tcW w:w="375"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16</w:t>
            </w:r>
          </w:p>
        </w:tc>
        <w:tc>
          <w:tcPr>
            <w:tcW w:w="306"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01</w:t>
            </w:r>
          </w:p>
        </w:tc>
        <w:tc>
          <w:tcPr>
            <w:tcW w:w="851"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2101601</w:t>
            </w:r>
          </w:p>
        </w:tc>
        <w:tc>
          <w:tcPr>
            <w:tcW w:w="1456" w:type="dxa"/>
            <w:vAlign w:val="center"/>
          </w:tcPr>
          <w:p>
            <w:pPr>
              <w:widowControl/>
              <w:jc w:val="right"/>
              <w:textAlignment w:val="center"/>
              <w:rPr>
                <w:rFonts w:ascii="Dialog" w:hAnsi="Dialog" w:eastAsia="Dialog" w:cs="Dialog"/>
                <w:color w:val="000000"/>
                <w:kern w:val="0"/>
                <w:sz w:val="18"/>
                <w:szCs w:val="18"/>
                <w:highlight w:val="none"/>
                <w:lang w:bidi="ar"/>
              </w:rPr>
            </w:pPr>
            <w:r>
              <w:rPr>
                <w:rFonts w:hint="eastAsia" w:ascii="Dialog" w:hAnsi="Dialog" w:eastAsia="Dialog" w:cs="Dialog"/>
                <w:color w:val="000000"/>
                <w:kern w:val="0"/>
                <w:sz w:val="18"/>
                <w:szCs w:val="18"/>
                <w:highlight w:val="none"/>
                <w:lang w:bidi="ar"/>
              </w:rPr>
              <w:t>老年事业费</w:t>
            </w:r>
          </w:p>
        </w:tc>
        <w:tc>
          <w:tcPr>
            <w:tcW w:w="750"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50</w:t>
            </w:r>
          </w:p>
        </w:tc>
        <w:tc>
          <w:tcPr>
            <w:tcW w:w="569" w:type="dxa"/>
            <w:gridSpan w:val="2"/>
          </w:tcPr>
          <w:p>
            <w:pPr>
              <w:widowControl/>
              <w:jc w:val="left"/>
              <w:outlineLvl w:val="1"/>
              <w:rPr>
                <w:rFonts w:ascii="仿宋_GB2312" w:hAnsi="宋体" w:eastAsia="仿宋_GB2312"/>
                <w:kern w:val="0"/>
                <w:sz w:val="18"/>
                <w:szCs w:val="18"/>
                <w:highlight w:val="none"/>
              </w:rPr>
            </w:pPr>
          </w:p>
        </w:tc>
        <w:tc>
          <w:tcPr>
            <w:tcW w:w="536" w:type="dxa"/>
            <w:vAlign w:val="center"/>
          </w:tcPr>
          <w:p>
            <w:pPr>
              <w:widowControl/>
              <w:jc w:val="right"/>
              <w:textAlignment w:val="center"/>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50</w:t>
            </w:r>
          </w:p>
        </w:tc>
        <w:tc>
          <w:tcPr>
            <w:tcW w:w="652" w:type="dxa"/>
          </w:tcPr>
          <w:p>
            <w:pPr>
              <w:widowControl/>
              <w:jc w:val="left"/>
              <w:outlineLvl w:val="1"/>
              <w:rPr>
                <w:rFonts w:ascii="仿宋_GB2312" w:hAnsi="宋体" w:eastAsia="仿宋_GB2312"/>
                <w:kern w:val="0"/>
                <w:sz w:val="18"/>
                <w:szCs w:val="18"/>
                <w:highlight w:val="none"/>
              </w:rPr>
            </w:pPr>
          </w:p>
        </w:tc>
        <w:tc>
          <w:tcPr>
            <w:tcW w:w="652" w:type="dxa"/>
          </w:tcPr>
          <w:p>
            <w:pPr>
              <w:widowControl/>
              <w:jc w:val="left"/>
              <w:outlineLvl w:val="1"/>
              <w:rPr>
                <w:rFonts w:ascii="仿宋_GB2312" w:hAnsi="宋体" w:eastAsia="仿宋_GB2312"/>
                <w:kern w:val="0"/>
                <w:sz w:val="18"/>
                <w:szCs w:val="18"/>
                <w:highlight w:val="none"/>
              </w:rPr>
            </w:pPr>
          </w:p>
        </w:tc>
        <w:tc>
          <w:tcPr>
            <w:tcW w:w="578" w:type="dxa"/>
            <w:gridSpan w:val="2"/>
          </w:tcPr>
          <w:p>
            <w:pPr>
              <w:widowControl/>
              <w:jc w:val="left"/>
              <w:outlineLvl w:val="1"/>
              <w:rPr>
                <w:rFonts w:ascii="仿宋_GB2312" w:hAnsi="宋体" w:eastAsia="仿宋_GB2312"/>
                <w:kern w:val="0"/>
                <w:sz w:val="18"/>
                <w:szCs w:val="18"/>
                <w:highlight w:val="none"/>
              </w:rPr>
            </w:pPr>
          </w:p>
        </w:tc>
        <w:tc>
          <w:tcPr>
            <w:tcW w:w="419" w:type="dxa"/>
          </w:tcPr>
          <w:p>
            <w:pPr>
              <w:widowControl/>
              <w:jc w:val="left"/>
              <w:outlineLvl w:val="1"/>
              <w:rPr>
                <w:rFonts w:ascii="仿宋_GB2312" w:hAnsi="宋体" w:eastAsia="仿宋_GB2312"/>
                <w:kern w:val="0"/>
                <w:sz w:val="18"/>
                <w:szCs w:val="18"/>
                <w:highlight w:val="none"/>
              </w:rPr>
            </w:pPr>
          </w:p>
        </w:tc>
        <w:tc>
          <w:tcPr>
            <w:tcW w:w="578" w:type="dxa"/>
          </w:tcPr>
          <w:p>
            <w:pPr>
              <w:widowControl/>
              <w:jc w:val="left"/>
              <w:outlineLvl w:val="1"/>
              <w:rPr>
                <w:rFonts w:ascii="仿宋_GB2312" w:hAnsi="宋体" w:eastAsia="仿宋_GB2312"/>
                <w:kern w:val="0"/>
                <w:sz w:val="18"/>
                <w:szCs w:val="18"/>
                <w:highlight w:val="none"/>
              </w:rPr>
            </w:pPr>
          </w:p>
        </w:tc>
        <w:tc>
          <w:tcPr>
            <w:tcW w:w="420" w:type="dxa"/>
          </w:tcPr>
          <w:p>
            <w:pPr>
              <w:widowControl/>
              <w:jc w:val="left"/>
              <w:outlineLvl w:val="1"/>
              <w:rPr>
                <w:rFonts w:ascii="仿宋_GB2312" w:hAnsi="宋体" w:eastAsia="仿宋_GB2312"/>
                <w:kern w:val="0"/>
                <w:sz w:val="18"/>
                <w:szCs w:val="18"/>
                <w:highlight w:val="none"/>
              </w:rPr>
            </w:pPr>
          </w:p>
        </w:tc>
        <w:tc>
          <w:tcPr>
            <w:tcW w:w="420" w:type="dxa"/>
          </w:tcPr>
          <w:p>
            <w:pPr>
              <w:widowControl/>
              <w:jc w:val="left"/>
              <w:outlineLvl w:val="1"/>
              <w:rPr>
                <w:rFonts w:ascii="仿宋_GB2312" w:hAnsi="宋体" w:eastAsia="仿宋_GB2312"/>
                <w:kern w:val="0"/>
                <w:sz w:val="18"/>
                <w:szCs w:val="18"/>
                <w:highlight w:val="none"/>
              </w:rPr>
            </w:pPr>
          </w:p>
        </w:tc>
        <w:tc>
          <w:tcPr>
            <w:tcW w:w="397" w:type="dxa"/>
            <w:gridSpan w:val="2"/>
          </w:tcPr>
          <w:p>
            <w:pPr>
              <w:widowControl/>
              <w:jc w:val="left"/>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210</w:t>
            </w:r>
          </w:p>
        </w:tc>
        <w:tc>
          <w:tcPr>
            <w:tcW w:w="375"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16</w:t>
            </w:r>
          </w:p>
        </w:tc>
        <w:tc>
          <w:tcPr>
            <w:tcW w:w="306"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01</w:t>
            </w:r>
          </w:p>
        </w:tc>
        <w:tc>
          <w:tcPr>
            <w:tcW w:w="851"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2101601</w:t>
            </w:r>
          </w:p>
        </w:tc>
        <w:tc>
          <w:tcPr>
            <w:tcW w:w="1456" w:type="dxa"/>
            <w:vAlign w:val="center"/>
          </w:tcPr>
          <w:p>
            <w:pPr>
              <w:widowControl/>
              <w:jc w:val="right"/>
              <w:textAlignment w:val="center"/>
              <w:rPr>
                <w:rFonts w:ascii="Dialog" w:hAnsi="Dialog" w:eastAsia="Dialog" w:cs="Dialog"/>
                <w:color w:val="000000"/>
                <w:kern w:val="0"/>
                <w:sz w:val="18"/>
                <w:szCs w:val="18"/>
                <w:highlight w:val="none"/>
                <w:lang w:bidi="ar"/>
              </w:rPr>
            </w:pPr>
            <w:r>
              <w:rPr>
                <w:rFonts w:hint="eastAsia" w:ascii="Dialog" w:hAnsi="Dialog" w:eastAsia="Dialog" w:cs="Dialog"/>
                <w:color w:val="000000"/>
                <w:kern w:val="0"/>
                <w:sz w:val="18"/>
                <w:szCs w:val="18"/>
                <w:highlight w:val="none"/>
                <w:lang w:bidi="ar"/>
              </w:rPr>
              <w:t>老年文化艺术协会经费</w:t>
            </w:r>
          </w:p>
        </w:tc>
        <w:tc>
          <w:tcPr>
            <w:tcW w:w="750"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569" w:type="dxa"/>
            <w:gridSpan w:val="2"/>
          </w:tcPr>
          <w:p>
            <w:pPr>
              <w:widowControl/>
              <w:jc w:val="left"/>
              <w:outlineLvl w:val="1"/>
              <w:rPr>
                <w:rFonts w:ascii="仿宋_GB2312" w:hAnsi="宋体" w:eastAsia="仿宋_GB2312"/>
                <w:kern w:val="0"/>
                <w:sz w:val="18"/>
                <w:szCs w:val="18"/>
                <w:highlight w:val="none"/>
              </w:rPr>
            </w:pPr>
          </w:p>
        </w:tc>
        <w:tc>
          <w:tcPr>
            <w:tcW w:w="536" w:type="dxa"/>
            <w:vAlign w:val="center"/>
          </w:tcPr>
          <w:p>
            <w:pPr>
              <w:widowControl/>
              <w:jc w:val="right"/>
              <w:textAlignment w:val="center"/>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652" w:type="dxa"/>
          </w:tcPr>
          <w:p>
            <w:pPr>
              <w:widowControl/>
              <w:jc w:val="left"/>
              <w:outlineLvl w:val="1"/>
              <w:rPr>
                <w:rFonts w:ascii="仿宋_GB2312" w:hAnsi="宋体" w:eastAsia="仿宋_GB2312"/>
                <w:kern w:val="0"/>
                <w:sz w:val="18"/>
                <w:szCs w:val="18"/>
                <w:highlight w:val="none"/>
              </w:rPr>
            </w:pPr>
          </w:p>
        </w:tc>
        <w:tc>
          <w:tcPr>
            <w:tcW w:w="652" w:type="dxa"/>
          </w:tcPr>
          <w:p>
            <w:pPr>
              <w:widowControl/>
              <w:jc w:val="left"/>
              <w:outlineLvl w:val="1"/>
              <w:rPr>
                <w:rFonts w:ascii="仿宋_GB2312" w:hAnsi="宋体" w:eastAsia="仿宋_GB2312"/>
                <w:kern w:val="0"/>
                <w:sz w:val="18"/>
                <w:szCs w:val="18"/>
                <w:highlight w:val="none"/>
              </w:rPr>
            </w:pPr>
          </w:p>
        </w:tc>
        <w:tc>
          <w:tcPr>
            <w:tcW w:w="578" w:type="dxa"/>
            <w:gridSpan w:val="2"/>
          </w:tcPr>
          <w:p>
            <w:pPr>
              <w:widowControl/>
              <w:jc w:val="left"/>
              <w:outlineLvl w:val="1"/>
              <w:rPr>
                <w:rFonts w:ascii="仿宋_GB2312" w:hAnsi="宋体" w:eastAsia="仿宋_GB2312"/>
                <w:kern w:val="0"/>
                <w:sz w:val="18"/>
                <w:szCs w:val="18"/>
                <w:highlight w:val="none"/>
              </w:rPr>
            </w:pPr>
          </w:p>
        </w:tc>
        <w:tc>
          <w:tcPr>
            <w:tcW w:w="419" w:type="dxa"/>
          </w:tcPr>
          <w:p>
            <w:pPr>
              <w:widowControl/>
              <w:jc w:val="left"/>
              <w:outlineLvl w:val="1"/>
              <w:rPr>
                <w:rFonts w:ascii="仿宋_GB2312" w:hAnsi="宋体" w:eastAsia="仿宋_GB2312"/>
                <w:kern w:val="0"/>
                <w:sz w:val="18"/>
                <w:szCs w:val="18"/>
                <w:highlight w:val="none"/>
              </w:rPr>
            </w:pPr>
          </w:p>
        </w:tc>
        <w:tc>
          <w:tcPr>
            <w:tcW w:w="578" w:type="dxa"/>
          </w:tcPr>
          <w:p>
            <w:pPr>
              <w:widowControl/>
              <w:jc w:val="left"/>
              <w:outlineLvl w:val="1"/>
              <w:rPr>
                <w:rFonts w:ascii="仿宋_GB2312" w:hAnsi="宋体" w:eastAsia="仿宋_GB2312"/>
                <w:kern w:val="0"/>
                <w:sz w:val="18"/>
                <w:szCs w:val="18"/>
                <w:highlight w:val="none"/>
              </w:rPr>
            </w:pPr>
          </w:p>
        </w:tc>
        <w:tc>
          <w:tcPr>
            <w:tcW w:w="420" w:type="dxa"/>
          </w:tcPr>
          <w:p>
            <w:pPr>
              <w:widowControl/>
              <w:jc w:val="left"/>
              <w:outlineLvl w:val="1"/>
              <w:rPr>
                <w:rFonts w:ascii="仿宋_GB2312" w:hAnsi="宋体" w:eastAsia="仿宋_GB2312"/>
                <w:kern w:val="0"/>
                <w:sz w:val="18"/>
                <w:szCs w:val="18"/>
                <w:highlight w:val="none"/>
              </w:rPr>
            </w:pPr>
          </w:p>
        </w:tc>
        <w:tc>
          <w:tcPr>
            <w:tcW w:w="420" w:type="dxa"/>
          </w:tcPr>
          <w:p>
            <w:pPr>
              <w:widowControl/>
              <w:jc w:val="left"/>
              <w:outlineLvl w:val="1"/>
              <w:rPr>
                <w:rFonts w:ascii="仿宋_GB2312" w:hAnsi="宋体" w:eastAsia="仿宋_GB2312"/>
                <w:kern w:val="0"/>
                <w:sz w:val="18"/>
                <w:szCs w:val="18"/>
                <w:highlight w:val="none"/>
              </w:rPr>
            </w:pPr>
          </w:p>
        </w:tc>
        <w:tc>
          <w:tcPr>
            <w:tcW w:w="397" w:type="dxa"/>
            <w:gridSpan w:val="2"/>
          </w:tcPr>
          <w:p>
            <w:pPr>
              <w:widowControl/>
              <w:jc w:val="left"/>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210</w:t>
            </w:r>
          </w:p>
        </w:tc>
        <w:tc>
          <w:tcPr>
            <w:tcW w:w="375"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16</w:t>
            </w:r>
          </w:p>
        </w:tc>
        <w:tc>
          <w:tcPr>
            <w:tcW w:w="306"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01</w:t>
            </w:r>
          </w:p>
        </w:tc>
        <w:tc>
          <w:tcPr>
            <w:tcW w:w="851" w:type="dxa"/>
            <w:vAlign w:val="center"/>
          </w:tcPr>
          <w:p>
            <w:pPr>
              <w:widowControl/>
              <w:jc w:val="right"/>
              <w:textAlignment w:val="center"/>
              <w:rPr>
                <w:rFonts w:ascii="Dialog" w:hAnsi="Dialog" w:eastAsia="Dialog" w:cs="Dialog"/>
                <w:color w:val="000000"/>
                <w:kern w:val="0"/>
                <w:sz w:val="18"/>
                <w:szCs w:val="18"/>
                <w:highlight w:val="none"/>
                <w:lang w:bidi="ar"/>
              </w:rPr>
            </w:pPr>
            <w:r>
              <w:rPr>
                <w:rFonts w:ascii="Dialog" w:hAnsi="Dialog" w:eastAsia="Dialog" w:cs="Dialog"/>
                <w:color w:val="000000"/>
                <w:kern w:val="0"/>
                <w:sz w:val="18"/>
                <w:szCs w:val="18"/>
                <w:highlight w:val="none"/>
                <w:lang w:bidi="ar"/>
              </w:rPr>
              <w:t>2101601</w:t>
            </w:r>
          </w:p>
        </w:tc>
        <w:tc>
          <w:tcPr>
            <w:tcW w:w="1456" w:type="dxa"/>
            <w:vAlign w:val="center"/>
          </w:tcPr>
          <w:p>
            <w:pPr>
              <w:widowControl/>
              <w:jc w:val="right"/>
              <w:textAlignment w:val="center"/>
              <w:rPr>
                <w:rFonts w:ascii="Dialog" w:hAnsi="Dialog" w:eastAsia="Dialog" w:cs="Dialog"/>
                <w:color w:val="000000"/>
                <w:kern w:val="0"/>
                <w:sz w:val="18"/>
                <w:szCs w:val="18"/>
                <w:highlight w:val="none"/>
                <w:lang w:bidi="ar"/>
              </w:rPr>
            </w:pPr>
            <w:r>
              <w:rPr>
                <w:rFonts w:hint="eastAsia" w:ascii="Dialog" w:hAnsi="Dialog" w:eastAsia="Dialog" w:cs="Dialog"/>
                <w:color w:val="000000"/>
                <w:kern w:val="0"/>
                <w:sz w:val="18"/>
                <w:szCs w:val="18"/>
                <w:highlight w:val="none"/>
                <w:lang w:bidi="ar"/>
              </w:rPr>
              <w:t>助老工程费</w:t>
            </w:r>
          </w:p>
        </w:tc>
        <w:tc>
          <w:tcPr>
            <w:tcW w:w="750"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3</w:t>
            </w:r>
          </w:p>
        </w:tc>
        <w:tc>
          <w:tcPr>
            <w:tcW w:w="569" w:type="dxa"/>
            <w:gridSpan w:val="2"/>
          </w:tcPr>
          <w:p>
            <w:pPr>
              <w:widowControl/>
              <w:jc w:val="left"/>
              <w:outlineLvl w:val="1"/>
              <w:rPr>
                <w:rFonts w:ascii="仿宋_GB2312" w:hAnsi="宋体" w:eastAsia="仿宋_GB2312"/>
                <w:kern w:val="0"/>
                <w:sz w:val="18"/>
                <w:szCs w:val="18"/>
                <w:highlight w:val="none"/>
              </w:rPr>
            </w:pPr>
          </w:p>
        </w:tc>
        <w:tc>
          <w:tcPr>
            <w:tcW w:w="536" w:type="dxa"/>
            <w:vAlign w:val="center"/>
          </w:tcPr>
          <w:p>
            <w:pPr>
              <w:widowControl/>
              <w:jc w:val="right"/>
              <w:textAlignment w:val="center"/>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3</w:t>
            </w:r>
          </w:p>
        </w:tc>
        <w:tc>
          <w:tcPr>
            <w:tcW w:w="652" w:type="dxa"/>
          </w:tcPr>
          <w:p>
            <w:pPr>
              <w:widowControl/>
              <w:jc w:val="left"/>
              <w:outlineLvl w:val="1"/>
              <w:rPr>
                <w:rFonts w:ascii="仿宋_GB2312" w:hAnsi="宋体" w:eastAsia="仿宋_GB2312"/>
                <w:kern w:val="0"/>
                <w:sz w:val="18"/>
                <w:szCs w:val="18"/>
                <w:highlight w:val="none"/>
              </w:rPr>
            </w:pPr>
          </w:p>
        </w:tc>
        <w:tc>
          <w:tcPr>
            <w:tcW w:w="652" w:type="dxa"/>
          </w:tcPr>
          <w:p>
            <w:pPr>
              <w:widowControl/>
              <w:jc w:val="left"/>
              <w:outlineLvl w:val="1"/>
              <w:rPr>
                <w:rFonts w:ascii="仿宋_GB2312" w:hAnsi="宋体" w:eastAsia="仿宋_GB2312"/>
                <w:kern w:val="0"/>
                <w:sz w:val="18"/>
                <w:szCs w:val="18"/>
                <w:highlight w:val="none"/>
              </w:rPr>
            </w:pPr>
          </w:p>
        </w:tc>
        <w:tc>
          <w:tcPr>
            <w:tcW w:w="578" w:type="dxa"/>
            <w:gridSpan w:val="2"/>
          </w:tcPr>
          <w:p>
            <w:pPr>
              <w:widowControl/>
              <w:jc w:val="left"/>
              <w:outlineLvl w:val="1"/>
              <w:rPr>
                <w:rFonts w:ascii="仿宋_GB2312" w:hAnsi="宋体" w:eastAsia="仿宋_GB2312"/>
                <w:kern w:val="0"/>
                <w:sz w:val="18"/>
                <w:szCs w:val="18"/>
                <w:highlight w:val="none"/>
              </w:rPr>
            </w:pPr>
          </w:p>
        </w:tc>
        <w:tc>
          <w:tcPr>
            <w:tcW w:w="419" w:type="dxa"/>
          </w:tcPr>
          <w:p>
            <w:pPr>
              <w:widowControl/>
              <w:jc w:val="left"/>
              <w:outlineLvl w:val="1"/>
              <w:rPr>
                <w:rFonts w:ascii="仿宋_GB2312" w:hAnsi="宋体" w:eastAsia="仿宋_GB2312"/>
                <w:kern w:val="0"/>
                <w:sz w:val="18"/>
                <w:szCs w:val="18"/>
                <w:highlight w:val="none"/>
              </w:rPr>
            </w:pPr>
          </w:p>
        </w:tc>
        <w:tc>
          <w:tcPr>
            <w:tcW w:w="578" w:type="dxa"/>
          </w:tcPr>
          <w:p>
            <w:pPr>
              <w:widowControl/>
              <w:jc w:val="left"/>
              <w:outlineLvl w:val="1"/>
              <w:rPr>
                <w:rFonts w:ascii="仿宋_GB2312" w:hAnsi="宋体" w:eastAsia="仿宋_GB2312"/>
                <w:kern w:val="0"/>
                <w:sz w:val="18"/>
                <w:szCs w:val="18"/>
                <w:highlight w:val="none"/>
              </w:rPr>
            </w:pPr>
          </w:p>
        </w:tc>
        <w:tc>
          <w:tcPr>
            <w:tcW w:w="420" w:type="dxa"/>
          </w:tcPr>
          <w:p>
            <w:pPr>
              <w:widowControl/>
              <w:jc w:val="left"/>
              <w:outlineLvl w:val="1"/>
              <w:rPr>
                <w:rFonts w:ascii="仿宋_GB2312" w:hAnsi="宋体" w:eastAsia="仿宋_GB2312"/>
                <w:kern w:val="0"/>
                <w:sz w:val="18"/>
                <w:szCs w:val="18"/>
                <w:highlight w:val="none"/>
              </w:rPr>
            </w:pPr>
          </w:p>
        </w:tc>
        <w:tc>
          <w:tcPr>
            <w:tcW w:w="420" w:type="dxa"/>
          </w:tcPr>
          <w:p>
            <w:pPr>
              <w:widowControl/>
              <w:jc w:val="left"/>
              <w:outlineLvl w:val="1"/>
              <w:rPr>
                <w:rFonts w:ascii="仿宋_GB2312" w:hAnsi="宋体" w:eastAsia="仿宋_GB2312"/>
                <w:kern w:val="0"/>
                <w:sz w:val="18"/>
                <w:szCs w:val="18"/>
                <w:highlight w:val="none"/>
              </w:rPr>
            </w:pPr>
          </w:p>
        </w:tc>
        <w:tc>
          <w:tcPr>
            <w:tcW w:w="397" w:type="dxa"/>
            <w:gridSpan w:val="2"/>
          </w:tcPr>
          <w:p>
            <w:pPr>
              <w:widowControl/>
              <w:jc w:val="left"/>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pPr>
              <w:widowControl/>
              <w:jc w:val="right"/>
              <w:textAlignment w:val="center"/>
              <w:rPr>
                <w:rFonts w:ascii="仿宋_GB2312" w:hAnsi="宋体" w:eastAsia="仿宋_GB2312"/>
                <w:kern w:val="0"/>
                <w:sz w:val="18"/>
                <w:szCs w:val="18"/>
                <w:highlight w:val="none"/>
              </w:rPr>
            </w:pPr>
            <w:r>
              <w:rPr>
                <w:rFonts w:ascii="Dialog" w:hAnsi="Dialog" w:eastAsia="Dialog" w:cs="Dialog"/>
                <w:color w:val="000000"/>
                <w:kern w:val="0"/>
                <w:sz w:val="18"/>
                <w:szCs w:val="18"/>
                <w:highlight w:val="none"/>
                <w:lang w:bidi="ar"/>
              </w:rPr>
              <w:t>210</w:t>
            </w:r>
          </w:p>
        </w:tc>
        <w:tc>
          <w:tcPr>
            <w:tcW w:w="375" w:type="dxa"/>
            <w:vAlign w:val="center"/>
          </w:tcPr>
          <w:p>
            <w:pPr>
              <w:widowControl/>
              <w:jc w:val="right"/>
              <w:textAlignment w:val="center"/>
              <w:rPr>
                <w:rFonts w:ascii="仿宋_GB2312" w:hAnsi="宋体" w:eastAsia="仿宋_GB2312"/>
                <w:kern w:val="0"/>
                <w:sz w:val="18"/>
                <w:szCs w:val="18"/>
                <w:highlight w:val="none"/>
              </w:rPr>
            </w:pPr>
            <w:r>
              <w:rPr>
                <w:rFonts w:ascii="Dialog" w:hAnsi="Dialog" w:eastAsia="Dialog" w:cs="Dialog"/>
                <w:color w:val="000000"/>
                <w:kern w:val="0"/>
                <w:sz w:val="18"/>
                <w:szCs w:val="18"/>
                <w:highlight w:val="none"/>
                <w:lang w:bidi="ar"/>
              </w:rPr>
              <w:t>16</w:t>
            </w:r>
          </w:p>
        </w:tc>
        <w:tc>
          <w:tcPr>
            <w:tcW w:w="306" w:type="dxa"/>
            <w:vAlign w:val="center"/>
          </w:tcPr>
          <w:p>
            <w:pPr>
              <w:widowControl/>
              <w:jc w:val="right"/>
              <w:textAlignment w:val="center"/>
              <w:rPr>
                <w:rFonts w:ascii="仿宋_GB2312" w:hAnsi="宋体" w:eastAsia="仿宋_GB2312"/>
                <w:kern w:val="0"/>
                <w:sz w:val="18"/>
                <w:szCs w:val="18"/>
                <w:highlight w:val="none"/>
              </w:rPr>
            </w:pPr>
            <w:r>
              <w:rPr>
                <w:rFonts w:ascii="Dialog" w:hAnsi="Dialog" w:eastAsia="Dialog" w:cs="Dialog"/>
                <w:color w:val="000000"/>
                <w:kern w:val="0"/>
                <w:sz w:val="18"/>
                <w:szCs w:val="18"/>
                <w:highlight w:val="none"/>
                <w:lang w:bidi="ar"/>
              </w:rPr>
              <w:t>01</w:t>
            </w:r>
          </w:p>
        </w:tc>
        <w:tc>
          <w:tcPr>
            <w:tcW w:w="851" w:type="dxa"/>
            <w:vAlign w:val="center"/>
          </w:tcPr>
          <w:p>
            <w:pPr>
              <w:widowControl/>
              <w:jc w:val="right"/>
              <w:textAlignment w:val="center"/>
              <w:rPr>
                <w:rFonts w:ascii="仿宋_GB2312" w:hAnsi="宋体" w:eastAsia="仿宋_GB2312"/>
                <w:kern w:val="0"/>
                <w:sz w:val="18"/>
                <w:szCs w:val="18"/>
                <w:highlight w:val="none"/>
              </w:rPr>
            </w:pPr>
            <w:r>
              <w:rPr>
                <w:rFonts w:ascii="Dialog" w:hAnsi="Dialog" w:eastAsia="Dialog" w:cs="Dialog"/>
                <w:color w:val="000000"/>
                <w:kern w:val="0"/>
                <w:sz w:val="18"/>
                <w:szCs w:val="18"/>
                <w:highlight w:val="none"/>
                <w:lang w:bidi="ar"/>
              </w:rPr>
              <w:t>2101601</w:t>
            </w:r>
          </w:p>
        </w:tc>
        <w:tc>
          <w:tcPr>
            <w:tcW w:w="1456" w:type="dxa"/>
            <w:vAlign w:val="center"/>
          </w:tcPr>
          <w:p>
            <w:pPr>
              <w:widowControl/>
              <w:jc w:val="right"/>
              <w:textAlignment w:val="center"/>
              <w:rPr>
                <w:rFonts w:ascii="仿宋_GB2312" w:hAnsi="宋体" w:eastAsia="仿宋_GB2312"/>
                <w:kern w:val="0"/>
                <w:sz w:val="18"/>
                <w:szCs w:val="18"/>
                <w:highlight w:val="none"/>
              </w:rPr>
            </w:pPr>
            <w:r>
              <w:rPr>
                <w:rFonts w:ascii="Dialog" w:hAnsi="Dialog" w:eastAsia="Dialog" w:cs="Dialog"/>
                <w:color w:val="000000"/>
                <w:kern w:val="0"/>
                <w:sz w:val="18"/>
                <w:szCs w:val="18"/>
                <w:highlight w:val="none"/>
                <w:lang w:bidi="ar"/>
              </w:rPr>
              <w:t>老龄</w:t>
            </w:r>
            <w:r>
              <w:rPr>
                <w:rFonts w:hint="eastAsia" w:ascii="Dialog" w:hAnsi="Dialog" w:eastAsia="Dialog" w:cs="Dialog"/>
                <w:color w:val="000000"/>
                <w:kern w:val="0"/>
                <w:sz w:val="18"/>
                <w:szCs w:val="18"/>
                <w:highlight w:val="none"/>
                <w:lang w:bidi="ar"/>
              </w:rPr>
              <w:t>事业费</w:t>
            </w:r>
          </w:p>
        </w:tc>
        <w:tc>
          <w:tcPr>
            <w:tcW w:w="750"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40</w:t>
            </w:r>
          </w:p>
        </w:tc>
        <w:tc>
          <w:tcPr>
            <w:tcW w:w="569" w:type="dxa"/>
            <w:gridSpan w:val="2"/>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36"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652"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652"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78" w:type="dxa"/>
            <w:gridSpan w:val="2"/>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19"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578"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20"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420" w:type="dxa"/>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　</w:t>
            </w:r>
          </w:p>
        </w:tc>
        <w:tc>
          <w:tcPr>
            <w:tcW w:w="397" w:type="dxa"/>
            <w:gridSpan w:val="2"/>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0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0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0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0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75"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0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Cs w:val="21"/>
                <w:highlight w:val="none"/>
              </w:rPr>
              <w:t>合计</w:t>
            </w:r>
          </w:p>
        </w:tc>
        <w:tc>
          <w:tcPr>
            <w:tcW w:w="750" w:type="dxa"/>
            <w:vAlign w:val="center"/>
          </w:tcPr>
          <w:p>
            <w:pPr>
              <w:widowControl/>
              <w:jc w:val="center"/>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128</w:t>
            </w:r>
          </w:p>
        </w:tc>
        <w:tc>
          <w:tcPr>
            <w:tcW w:w="569" w:type="dxa"/>
            <w:gridSpan w:val="2"/>
          </w:tcPr>
          <w:p>
            <w:pPr>
              <w:widowControl/>
              <w:jc w:val="lef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　</w:t>
            </w:r>
          </w:p>
        </w:tc>
        <w:tc>
          <w:tcPr>
            <w:tcW w:w="536" w:type="dxa"/>
          </w:tcPr>
          <w:p>
            <w:pPr>
              <w:widowControl/>
              <w:jc w:val="lef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　88</w:t>
            </w:r>
          </w:p>
        </w:tc>
        <w:tc>
          <w:tcPr>
            <w:tcW w:w="652" w:type="dxa"/>
          </w:tcPr>
          <w:p>
            <w:pPr>
              <w:widowControl/>
              <w:jc w:val="lef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　</w:t>
            </w:r>
          </w:p>
        </w:tc>
        <w:tc>
          <w:tcPr>
            <w:tcW w:w="652" w:type="dxa"/>
          </w:tcPr>
          <w:p>
            <w:pPr>
              <w:widowControl/>
              <w:jc w:val="lef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　</w:t>
            </w:r>
          </w:p>
        </w:tc>
        <w:tc>
          <w:tcPr>
            <w:tcW w:w="578" w:type="dxa"/>
            <w:gridSpan w:val="2"/>
          </w:tcPr>
          <w:p>
            <w:pPr>
              <w:widowControl/>
              <w:jc w:val="lef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　</w:t>
            </w:r>
          </w:p>
        </w:tc>
        <w:tc>
          <w:tcPr>
            <w:tcW w:w="419" w:type="dxa"/>
          </w:tcPr>
          <w:p>
            <w:pPr>
              <w:widowControl/>
              <w:jc w:val="lef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　</w:t>
            </w:r>
          </w:p>
        </w:tc>
        <w:tc>
          <w:tcPr>
            <w:tcW w:w="578" w:type="dxa"/>
          </w:tcPr>
          <w:p>
            <w:pPr>
              <w:widowControl/>
              <w:jc w:val="lef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　</w:t>
            </w:r>
          </w:p>
        </w:tc>
        <w:tc>
          <w:tcPr>
            <w:tcW w:w="420" w:type="dxa"/>
          </w:tcPr>
          <w:p>
            <w:pPr>
              <w:widowControl/>
              <w:jc w:val="lef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　</w:t>
            </w:r>
          </w:p>
        </w:tc>
        <w:tc>
          <w:tcPr>
            <w:tcW w:w="420" w:type="dxa"/>
          </w:tcPr>
          <w:p>
            <w:pPr>
              <w:widowControl/>
              <w:jc w:val="lef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　</w:t>
            </w:r>
          </w:p>
        </w:tc>
        <w:tc>
          <w:tcPr>
            <w:tcW w:w="397" w:type="dxa"/>
            <w:gridSpan w:val="2"/>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40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表八：</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编制单位：州老龄委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textAlignment w:val="center"/>
              <w:rPr>
                <w:rFonts w:ascii="宋体" w:hAnsi="宋体" w:cs="宋体"/>
                <w:color w:val="000000"/>
                <w:kern w:val="0"/>
                <w:sz w:val="24"/>
                <w:highlight w:val="none"/>
              </w:rPr>
            </w:pPr>
            <w:r>
              <w:rPr>
                <w:rFonts w:ascii="Dialog" w:hAnsi="Dialog" w:eastAsia="Dialog" w:cs="Dialog"/>
                <w:color w:val="000000"/>
                <w:kern w:val="0"/>
                <w:sz w:val="24"/>
                <w:highlight w:val="none"/>
                <w:lang w:bidi="ar"/>
              </w:rPr>
              <w:t>2.58</w:t>
            </w:r>
          </w:p>
        </w:tc>
        <w:tc>
          <w:tcPr>
            <w:tcW w:w="1417"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highlight w:val="none"/>
              </w:rPr>
            </w:pPr>
            <w:r>
              <w:rPr>
                <w:rFonts w:ascii="Dialog" w:hAnsi="Dialog" w:eastAsia="Dialog" w:cs="Dialog"/>
                <w:color w:val="000000"/>
                <w:kern w:val="0"/>
                <w:sz w:val="24"/>
                <w:highlight w:val="none"/>
                <w:lang w:bidi="ar"/>
              </w:rPr>
              <w:t>0</w:t>
            </w:r>
          </w:p>
        </w:tc>
        <w:tc>
          <w:tcPr>
            <w:tcW w:w="1559"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highlight w:val="none"/>
              </w:rPr>
            </w:pPr>
            <w:r>
              <w:rPr>
                <w:rFonts w:ascii="Dialog" w:hAnsi="Dialog" w:eastAsia="Dialog" w:cs="Dialog"/>
                <w:color w:val="000000"/>
                <w:kern w:val="0"/>
                <w:sz w:val="24"/>
                <w:highlight w:val="none"/>
                <w:lang w:bidi="ar"/>
              </w:rPr>
              <w:t>2.08</w:t>
            </w:r>
          </w:p>
        </w:tc>
        <w:tc>
          <w:tcPr>
            <w:tcW w:w="1418"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highlight w:val="none"/>
              </w:rPr>
            </w:pPr>
            <w:r>
              <w:rPr>
                <w:rFonts w:ascii="Dialog" w:hAnsi="Dialog" w:eastAsia="Dialog" w:cs="Dialog"/>
                <w:color w:val="000000"/>
                <w:kern w:val="0"/>
                <w:sz w:val="24"/>
                <w:highlight w:val="none"/>
                <w:lang w:bidi="ar"/>
              </w:rPr>
              <w:t>0</w:t>
            </w:r>
          </w:p>
        </w:tc>
        <w:tc>
          <w:tcPr>
            <w:tcW w:w="1559"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highlight w:val="none"/>
              </w:rPr>
            </w:pPr>
            <w:r>
              <w:rPr>
                <w:rFonts w:ascii="Dialog" w:hAnsi="Dialog" w:eastAsia="Dialog" w:cs="Dialog"/>
                <w:color w:val="000000"/>
                <w:kern w:val="0"/>
                <w:sz w:val="24"/>
                <w:highlight w:val="none"/>
                <w:lang w:bidi="ar"/>
              </w:rPr>
              <w:t>2.08</w:t>
            </w:r>
          </w:p>
        </w:tc>
        <w:tc>
          <w:tcPr>
            <w:tcW w:w="1559"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4"/>
                <w:highlight w:val="none"/>
              </w:rPr>
            </w:pPr>
            <w:r>
              <w:rPr>
                <w:rFonts w:ascii="Dialog" w:hAnsi="Dialog" w:eastAsia="Dialog" w:cs="Dialog"/>
                <w:color w:val="000000"/>
                <w:kern w:val="0"/>
                <w:sz w:val="24"/>
                <w:highlight w:val="none"/>
                <w:lang w:bidi="ar"/>
              </w:rPr>
              <w:t>0.5</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hint="eastAsia" w:ascii="仿宋_GB2312" w:hAnsi="宋体" w:eastAsia="仿宋_GB2312"/>
          <w:kern w:val="0"/>
          <w:sz w:val="32"/>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hint="eastAsia" w:ascii="仿宋_GB2312" w:hAnsi="宋体" w:eastAsia="仿宋_GB2312"/>
          <w:kern w:val="0"/>
          <w:sz w:val="32"/>
          <w:szCs w:val="32"/>
          <w:highlight w:val="none"/>
        </w:rPr>
      </w:pPr>
    </w:p>
    <w:p>
      <w:pPr>
        <w:widowControl/>
        <w:outlineLvl w:val="1"/>
        <w:rPr>
          <w:rFonts w:hint="eastAsia"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表九：</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编制单位：州老龄委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w:t>
      </w:r>
      <w:r>
        <w:rPr>
          <w:rFonts w:hint="eastAsia" w:ascii="仿宋_GB2312" w:hAnsi="宋体" w:eastAsia="仿宋_GB2312" w:cs="宋体"/>
          <w:kern w:val="0"/>
          <w:sz w:val="28"/>
          <w:szCs w:val="28"/>
          <w:highlight w:val="none"/>
        </w:rPr>
        <w:t>昌吉州老龄委2019年没有使用政府性基金预算拨款安排的支出，政府性基金预算支出情况表为空表</w:t>
      </w:r>
      <w:r>
        <w:rPr>
          <w:rFonts w:hint="eastAsia" w:ascii="仿宋_GB2312" w:hAnsi="宋体" w:eastAsia="仿宋_GB2312" w:cs="宋体"/>
          <w:kern w:val="0"/>
          <w:sz w:val="32"/>
          <w:szCs w:val="32"/>
          <w:highlight w:val="none"/>
        </w:rPr>
        <w:t>。</w:t>
      </w:r>
    </w:p>
    <w:p>
      <w:pPr>
        <w:widowControl/>
        <w:jc w:val="left"/>
        <w:outlineLvl w:val="1"/>
        <w:rPr>
          <w:highlight w:val="none"/>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第三部分 2019年部门预算情况说明</w:t>
      </w:r>
    </w:p>
    <w:p>
      <w:pPr>
        <w:widowControl/>
        <w:spacing w:line="580" w:lineRule="exact"/>
        <w:ind w:firstLine="640"/>
        <w:jc w:val="left"/>
        <w:rPr>
          <w:rFonts w:ascii="黑体" w:hAnsi="宋体" w:eastAsia="黑体" w:cs="宋体"/>
          <w:kern w:val="0"/>
          <w:sz w:val="32"/>
          <w:szCs w:val="32"/>
          <w:highlight w:val="none"/>
        </w:rPr>
      </w:pPr>
      <w:r>
        <w:rPr>
          <w:rFonts w:hint="eastAsia" w:ascii="黑体" w:hAnsi="黑体" w:eastAsia="黑体" w:cs="宋体"/>
          <w:bCs/>
          <w:kern w:val="0"/>
          <w:sz w:val="32"/>
          <w:szCs w:val="32"/>
          <w:highlight w:val="none"/>
        </w:rPr>
        <w:t>一、</w:t>
      </w:r>
      <w:r>
        <w:rPr>
          <w:rFonts w:hint="eastAsia" w:ascii="黑体" w:hAnsi="宋体" w:eastAsia="黑体" w:cs="宋体"/>
          <w:kern w:val="0"/>
          <w:sz w:val="32"/>
          <w:szCs w:val="32"/>
          <w:highlight w:val="none"/>
        </w:rPr>
        <w:t>关于昌吉州老龄委2019年收支预算情况的总体说明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按照全口径预算的原则，昌吉州老龄委2019年所有收入和支出均纳入部门预算管理。收支总预算301.87 万元。</w:t>
      </w:r>
    </w:p>
    <w:p>
      <w:pPr>
        <w:widowControl/>
        <w:spacing w:line="580" w:lineRule="exact"/>
        <w:ind w:firstLine="64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收入预算包括：一般公共预算301.87 万元。</w:t>
      </w:r>
    </w:p>
    <w:p>
      <w:pPr>
        <w:widowControl/>
        <w:spacing w:line="580" w:lineRule="exact"/>
        <w:ind w:firstLine="64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w:t>
      </w:r>
      <w:r>
        <w:rPr>
          <w:rFonts w:hint="eastAsia" w:ascii="仿宋_GB2312" w:hAnsi="宋体" w:eastAsia="仿宋_GB2312" w:cs="宋体"/>
          <w:kern w:val="0"/>
          <w:sz w:val="18"/>
          <w:szCs w:val="18"/>
          <w:highlight w:val="none"/>
        </w:rPr>
        <w:t xml:space="preserve"> </w:t>
      </w:r>
      <w:r>
        <w:rPr>
          <w:rFonts w:hint="eastAsia" w:ascii="仿宋_GB2312" w:hAnsi="宋体" w:eastAsia="仿宋_GB2312" w:cs="宋体"/>
          <w:kern w:val="0"/>
          <w:sz w:val="32"/>
          <w:szCs w:val="32"/>
          <w:highlight w:val="none"/>
        </w:rPr>
        <w:t>医疗卫生与计划生育支出301.87 万元。</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二、关于昌吉州老龄委2019年收入预算情况说明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州老龄委收入预算301.87</w:t>
      </w:r>
      <w:r>
        <w:rPr>
          <w:rFonts w:hint="eastAsia" w:ascii="仿宋_GB2312" w:hAnsi="宋体" w:eastAsia="仿宋_GB2312" w:cs="宋体"/>
          <w:kern w:val="0"/>
          <w:sz w:val="32"/>
          <w:szCs w:val="32"/>
          <w:highlight w:val="none"/>
          <w:lang w:val="en-US" w:eastAsia="zh-CN"/>
        </w:rPr>
        <w:t>万</w:t>
      </w:r>
      <w:r>
        <w:rPr>
          <w:rFonts w:hint="eastAsia" w:ascii="仿宋_GB2312" w:hAnsi="宋体" w:eastAsia="仿宋_GB2312" w:cs="宋体"/>
          <w:kern w:val="0"/>
          <w:sz w:val="32"/>
          <w:szCs w:val="32"/>
          <w:highlight w:val="none"/>
        </w:rPr>
        <w:t>元，其中：</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一般公共预算301.87万元，占100%，比上年减少12.08万元，主要原因是调出1人</w:t>
      </w:r>
      <w:r>
        <w:rPr>
          <w:rFonts w:hint="eastAsia" w:ascii="仿宋_GB2312" w:hAnsi="宋体" w:eastAsia="仿宋_GB2312" w:cs="宋体"/>
          <w:kern w:val="0"/>
          <w:sz w:val="32"/>
          <w:szCs w:val="32"/>
          <w:highlight w:val="none"/>
          <w:lang w:eastAsia="zh-CN"/>
        </w:rPr>
        <w:t>，经费有所减少</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政府性基金预算未安排，0万元，占0 %，比上年增加</w:t>
      </w:r>
      <w:r>
        <w:rPr>
          <w:rFonts w:hint="eastAsia" w:ascii="仿宋_GB2312" w:hAnsi="宋体" w:eastAsia="仿宋_GB2312" w:cs="宋体"/>
          <w:kern w:val="0"/>
          <w:sz w:val="32"/>
          <w:szCs w:val="32"/>
          <w:highlight w:val="none"/>
          <w:lang w:eastAsia="zh-CN"/>
        </w:rPr>
        <w:t>（减少）为</w:t>
      </w:r>
      <w:r>
        <w:rPr>
          <w:rFonts w:hint="eastAsia" w:ascii="仿宋_GB2312" w:hAnsi="宋体" w:eastAsia="仿宋_GB2312" w:cs="宋体"/>
          <w:kern w:val="0"/>
          <w:sz w:val="32"/>
          <w:szCs w:val="32"/>
          <w:highlight w:val="none"/>
        </w:rPr>
        <w:t xml:space="preserve"> 0 万元，主要原因是无政府性基金安排的预算支出；</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三、关于州老龄委单位2019年支出预算情况说明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州老龄委单位2019年支出预算301.87 </w:t>
      </w:r>
      <w:r>
        <w:rPr>
          <w:rFonts w:hint="eastAsia" w:ascii="仿宋_GB2312" w:hAnsi="宋体" w:eastAsia="仿宋_GB2312" w:cs="宋体"/>
          <w:kern w:val="0"/>
          <w:sz w:val="32"/>
          <w:szCs w:val="32"/>
          <w:highlight w:val="none"/>
          <w:lang w:val="en-US" w:eastAsia="zh-CN"/>
        </w:rPr>
        <w:t>万</w:t>
      </w:r>
      <w:r>
        <w:rPr>
          <w:rFonts w:hint="eastAsia" w:ascii="仿宋_GB2312" w:hAnsi="宋体" w:eastAsia="仿宋_GB2312" w:cs="宋体"/>
          <w:kern w:val="0"/>
          <w:sz w:val="32"/>
          <w:szCs w:val="32"/>
          <w:highlight w:val="none"/>
        </w:rPr>
        <w:t>元，其中：</w:t>
      </w:r>
    </w:p>
    <w:p>
      <w:pPr>
        <w:widowControl/>
        <w:spacing w:line="58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基本支出173.87万元，占57.6%，比上年减少7.08万元，主要原因是调出1人</w:t>
      </w:r>
      <w:r>
        <w:rPr>
          <w:rFonts w:hint="eastAsia" w:ascii="仿宋_GB2312" w:hAnsi="宋体" w:eastAsia="仿宋_GB2312" w:cs="宋体"/>
          <w:kern w:val="0"/>
          <w:sz w:val="32"/>
          <w:szCs w:val="32"/>
          <w:highlight w:val="none"/>
          <w:lang w:eastAsia="zh-CN"/>
        </w:rPr>
        <w:t>，经费有所减少</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 128万元，占42.4%，比上年减少5万元，主要原因是老年大学预算减少5万元。</w:t>
      </w:r>
    </w:p>
    <w:p>
      <w:pPr>
        <w:widowControl/>
        <w:spacing w:line="580" w:lineRule="exact"/>
        <w:ind w:firstLine="64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四、关于昌吉州老龄委2019年财政拨款收支预算情况的总体说明</w:t>
      </w:r>
    </w:p>
    <w:p>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2019年财政拨款收支总预算301.87万元。</w:t>
      </w:r>
    </w:p>
    <w:p>
      <w:pPr>
        <w:spacing w:line="580" w:lineRule="exact"/>
        <w:ind w:firstLine="64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pPr>
        <w:spacing w:line="58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eastAsia="zh-CN"/>
        </w:rPr>
        <w:t>支出预算包括：一般公共服务支出</w:t>
      </w:r>
      <w:r>
        <w:rPr>
          <w:rFonts w:hint="eastAsia" w:ascii="仿宋_GB2312" w:hAnsi="宋体" w:eastAsia="仿宋_GB2312" w:cs="宋体"/>
          <w:kern w:val="0"/>
          <w:sz w:val="32"/>
          <w:szCs w:val="32"/>
          <w:highlight w:val="none"/>
          <w:lang w:val="en-US" w:eastAsia="zh-CN"/>
        </w:rPr>
        <w:t>301.87万元，主要用于</w:t>
      </w:r>
      <w:r>
        <w:rPr>
          <w:rFonts w:hint="eastAsia" w:ascii="仿宋_GB2312" w:hAnsi="宋体" w:eastAsia="仿宋_GB2312" w:cs="宋体"/>
          <w:kern w:val="0"/>
          <w:sz w:val="32"/>
          <w:szCs w:val="32"/>
          <w:highlight w:val="none"/>
        </w:rPr>
        <w:t>医疗卫生与计划生育支出</w:t>
      </w:r>
      <w:r>
        <w:rPr>
          <w:rFonts w:hint="eastAsia" w:ascii="仿宋_GB2312" w:hAnsi="宋体" w:eastAsia="仿宋_GB2312" w:cs="宋体"/>
          <w:kern w:val="0"/>
          <w:sz w:val="32"/>
          <w:szCs w:val="32"/>
          <w:highlight w:val="none"/>
          <w:lang w:val="en-US" w:eastAsia="zh-CN"/>
        </w:rPr>
        <w:t>。</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五、关于昌吉州老龄委2019年一般公共预算当年拨款情况说明</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（一）一般公用预算当年拨款规模变化情况</w:t>
      </w:r>
    </w:p>
    <w:p>
      <w:pPr>
        <w:widowControl/>
        <w:spacing w:line="580" w:lineRule="exact"/>
        <w:ind w:firstLine="64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昌吉州老龄委</w:t>
      </w:r>
      <w:r>
        <w:rPr>
          <w:rFonts w:hint="eastAsia" w:ascii="仿宋_GB2312" w:hAnsi="宋体" w:eastAsia="仿宋_GB2312" w:cs="宋体"/>
          <w:kern w:val="0"/>
          <w:sz w:val="32"/>
          <w:szCs w:val="32"/>
          <w:highlight w:val="none"/>
          <w:lang w:eastAsia="zh-CN"/>
        </w:rPr>
        <w:t>部门</w:t>
      </w:r>
      <w:r>
        <w:rPr>
          <w:rFonts w:hint="eastAsia" w:ascii="仿宋_GB2312" w:hAnsi="宋体" w:eastAsia="仿宋_GB2312" w:cs="宋体"/>
          <w:kern w:val="0"/>
          <w:sz w:val="32"/>
          <w:szCs w:val="32"/>
          <w:highlight w:val="none"/>
        </w:rPr>
        <w:t>2019年一般公共预算拨款基本支出  173.87万元，比上年执行数减少7.08 万元，下降3.9</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%。主要原因是：人员调出，</w:t>
      </w:r>
      <w:r>
        <w:rPr>
          <w:rFonts w:hint="eastAsia" w:ascii="仿宋_GB2312" w:hAnsi="宋体" w:eastAsia="仿宋_GB2312" w:cs="宋体"/>
          <w:kern w:val="0"/>
          <w:sz w:val="32"/>
          <w:szCs w:val="32"/>
          <w:highlight w:val="none"/>
          <w:lang w:eastAsia="zh-CN"/>
        </w:rPr>
        <w:t>人员经</w:t>
      </w:r>
      <w:r>
        <w:rPr>
          <w:rFonts w:hint="eastAsia" w:ascii="仿宋_GB2312" w:hAnsi="宋体" w:eastAsia="仿宋_GB2312" w:cs="宋体"/>
          <w:kern w:val="0"/>
          <w:sz w:val="32"/>
          <w:szCs w:val="32"/>
          <w:highlight w:val="none"/>
        </w:rPr>
        <w:t xml:space="preserve">费减少。    </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医疗卫生与计划生育支出（类）</w:t>
      </w:r>
      <w:r>
        <w:rPr>
          <w:rFonts w:hint="eastAsia" w:ascii="仿宋_GB2312" w:hAnsi="宋体" w:eastAsia="仿宋_GB2312" w:cs="宋体"/>
          <w:kern w:val="0"/>
          <w:sz w:val="32"/>
          <w:szCs w:val="32"/>
          <w:highlight w:val="none"/>
          <w:lang w:val="en-US" w:eastAsia="zh-CN"/>
        </w:rPr>
        <w:t>301.87</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 xml:space="preserve"> %。</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医疗卫生与计划生育支出</w:t>
      </w:r>
      <w:r>
        <w:rPr>
          <w:rFonts w:ascii="仿宋_GB2312" w:hAnsi="宋体" w:eastAsia="仿宋_GB2312" w:cs="宋体"/>
          <w:kern w:val="0"/>
          <w:sz w:val="32"/>
          <w:szCs w:val="32"/>
          <w:highlight w:val="none"/>
        </w:rPr>
        <w:t>（类）</w:t>
      </w:r>
      <w:r>
        <w:rPr>
          <w:rFonts w:hint="eastAsia" w:ascii="仿宋_GB2312" w:eastAsia="仿宋_GB2312"/>
          <w:sz w:val="32"/>
          <w:szCs w:val="32"/>
          <w:highlight w:val="none"/>
        </w:rPr>
        <w:t>老龄卫生健康事务</w:t>
      </w:r>
      <w:r>
        <w:rPr>
          <w:rFonts w:ascii="仿宋_GB2312" w:hAnsi="宋体" w:eastAsia="仿宋_GB2312" w:cs="宋体"/>
          <w:kern w:val="0"/>
          <w:sz w:val="32"/>
          <w:szCs w:val="32"/>
          <w:highlight w:val="none"/>
        </w:rPr>
        <w:t>（款）</w:t>
      </w:r>
      <w:r>
        <w:rPr>
          <w:rFonts w:hint="eastAsia" w:ascii="仿宋_GB2312" w:eastAsia="仿宋_GB2312"/>
          <w:sz w:val="32"/>
          <w:szCs w:val="32"/>
          <w:highlight w:val="none"/>
        </w:rPr>
        <w:t>老龄卫生健康事务</w:t>
      </w:r>
      <w:r>
        <w:rPr>
          <w:rFonts w:ascii="仿宋_GB2312" w:hAnsi="宋体" w:eastAsia="仿宋_GB2312" w:cs="宋体"/>
          <w:kern w:val="0"/>
          <w:sz w:val="32"/>
          <w:szCs w:val="32"/>
          <w:highlight w:val="none"/>
        </w:rPr>
        <w:t>（项）:</w:t>
      </w:r>
      <w:r>
        <w:rPr>
          <w:rFonts w:hint="eastAsia" w:ascii="仿宋_GB2312" w:hAnsi="宋体" w:eastAsia="仿宋_GB2312" w:cs="宋体"/>
          <w:kern w:val="0"/>
          <w:sz w:val="32"/>
          <w:szCs w:val="32"/>
          <w:highlight w:val="none"/>
        </w:rPr>
        <w:t>2019年</w:t>
      </w:r>
      <w:r>
        <w:rPr>
          <w:rFonts w:ascii="仿宋_GB2312" w:hAnsi="宋体" w:eastAsia="仿宋_GB2312" w:cs="宋体"/>
          <w:kern w:val="0"/>
          <w:sz w:val="32"/>
          <w:szCs w:val="32"/>
          <w:highlight w:val="none"/>
        </w:rPr>
        <w:t>预算数为</w:t>
      </w:r>
      <w:r>
        <w:rPr>
          <w:rFonts w:hint="eastAsia" w:ascii="仿宋_GB2312" w:hAnsi="宋体" w:eastAsia="仿宋_GB2312" w:cs="宋体"/>
          <w:kern w:val="0"/>
          <w:sz w:val="32"/>
          <w:szCs w:val="32"/>
          <w:highlight w:val="none"/>
        </w:rPr>
        <w:t>301.87</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比上年执行数减少12.08万元，下降3.8</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rPr>
        <w:t>%，主要原因是：人员调出</w:t>
      </w:r>
      <w:r>
        <w:rPr>
          <w:rFonts w:hint="eastAsia" w:ascii="仿宋_GB2312" w:hAnsi="宋体" w:eastAsia="仿宋_GB2312" w:cs="宋体"/>
          <w:kern w:val="0"/>
          <w:sz w:val="32"/>
          <w:szCs w:val="32"/>
          <w:highlight w:val="none"/>
          <w:lang w:eastAsia="zh-CN"/>
        </w:rPr>
        <w:t>，经费减少</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六、关于昌吉州老龄委2019年一般公共预算基本支出情况说明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昌吉州老龄委2019年一般公共预算基本支出173.87 万元，其中：</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人员经费156.62万元，主要包括：基本工资、津贴补贴、奖金、伙食补助费、绩效工资、机关事业单位基本养老保险缴费、职工基本医疗保险缴费、公务员医疗补助缴费、其他社会保障缴费、住房公积金等。</w:t>
      </w:r>
    </w:p>
    <w:p>
      <w:pPr>
        <w:widowControl/>
        <w:spacing w:line="58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 17.25万元，主要包括：办公费、差旅费、公务接待费、工会经费、福利费、公务用车运行维护费、其他商品和服务支出等。</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七、关于昌吉州老龄委2019年项目支出情况说明</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1、项目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：敬老宣传月经费</w:t>
      </w:r>
    </w:p>
    <w:p>
      <w:pPr>
        <w:widowControl/>
        <w:spacing w:line="580" w:lineRule="exact"/>
        <w:ind w:firstLine="640" w:firstLineChars="200"/>
        <w:jc w:val="left"/>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：昌吉州老龄委</w:t>
      </w:r>
      <w:r>
        <w:rPr>
          <w:rFonts w:hint="eastAsia" w:ascii="仿宋_GB2312" w:hAnsi="黑体" w:eastAsia="仿宋_GB2312"/>
          <w:sz w:val="32"/>
          <w:szCs w:val="32"/>
          <w:highlight w:val="none"/>
          <w:lang w:eastAsia="zh-CN"/>
        </w:rPr>
        <w:t>三定方案和工作计划。</w:t>
      </w:r>
    </w:p>
    <w:p>
      <w:pPr>
        <w:widowControl/>
        <w:spacing w:line="580" w:lineRule="exact"/>
        <w:ind w:firstLine="640" w:firstLineChars="200"/>
        <w:jc w:val="left"/>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：5万元</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：昌吉州老龄委</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：商品服务支出</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：2019年度</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2、项目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：老年保健协会经费</w:t>
      </w:r>
    </w:p>
    <w:p>
      <w:pPr>
        <w:widowControl/>
        <w:spacing w:line="580" w:lineRule="exact"/>
        <w:ind w:firstLine="640"/>
        <w:jc w:val="left"/>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：昌吉州老龄委</w:t>
      </w:r>
      <w:r>
        <w:rPr>
          <w:rFonts w:hint="eastAsia" w:ascii="仿宋_GB2312" w:hAnsi="黑体" w:eastAsia="仿宋_GB2312"/>
          <w:sz w:val="32"/>
          <w:szCs w:val="32"/>
          <w:highlight w:val="none"/>
          <w:lang w:eastAsia="zh-CN"/>
        </w:rPr>
        <w:t>三定方案和工作计划。</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：10万元</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：昌吉州老龄委</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：商品服务支出</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：2019年度</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3、项目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：老年大学</w:t>
      </w:r>
    </w:p>
    <w:p>
      <w:pPr>
        <w:widowControl/>
        <w:spacing w:line="580" w:lineRule="exact"/>
        <w:ind w:firstLine="640"/>
        <w:jc w:val="left"/>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：昌吉州老龄委</w:t>
      </w:r>
      <w:r>
        <w:rPr>
          <w:rFonts w:hint="eastAsia" w:ascii="仿宋_GB2312" w:hAnsi="黑体" w:eastAsia="仿宋_GB2312"/>
          <w:sz w:val="32"/>
          <w:szCs w:val="32"/>
          <w:highlight w:val="none"/>
          <w:lang w:eastAsia="zh-CN"/>
        </w:rPr>
        <w:t>三定方案和工作计划。</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：10万元</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：昌吉州老龄委</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：商品服务支出</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：2019年度</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4、项目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：老年事业经费</w:t>
      </w:r>
    </w:p>
    <w:p>
      <w:pPr>
        <w:widowControl/>
        <w:spacing w:line="580" w:lineRule="exact"/>
        <w:ind w:firstLine="640"/>
        <w:jc w:val="left"/>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设立的政策依据：昌吉州老龄委</w:t>
      </w:r>
      <w:r>
        <w:rPr>
          <w:rFonts w:hint="eastAsia" w:ascii="仿宋_GB2312" w:hAnsi="黑体" w:eastAsia="仿宋_GB2312"/>
          <w:sz w:val="32"/>
          <w:szCs w:val="32"/>
          <w:highlight w:val="none"/>
          <w:lang w:eastAsia="zh-CN"/>
        </w:rPr>
        <w:t>三定方案和工作计划。</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：90万元</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：昌吉州老龄委</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：商品服务支出</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：2019年度</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5、项目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：老年文化艺术协会经费</w:t>
      </w:r>
    </w:p>
    <w:p>
      <w:pPr>
        <w:widowControl/>
        <w:spacing w:line="580" w:lineRule="exact"/>
        <w:ind w:firstLine="640"/>
        <w:jc w:val="left"/>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：昌吉州老龄委</w:t>
      </w:r>
      <w:r>
        <w:rPr>
          <w:rFonts w:hint="eastAsia" w:ascii="仿宋_GB2312" w:hAnsi="黑体" w:eastAsia="仿宋_GB2312"/>
          <w:sz w:val="32"/>
          <w:szCs w:val="32"/>
          <w:highlight w:val="none"/>
          <w:lang w:eastAsia="zh-CN"/>
        </w:rPr>
        <w:t>三定方案和工作计划。</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：10万元</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：昌吉州老龄委</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：商品服务支出</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：2019年度</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6、项目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：助老工程</w:t>
      </w:r>
    </w:p>
    <w:p>
      <w:pPr>
        <w:widowControl/>
        <w:spacing w:line="580" w:lineRule="exact"/>
        <w:ind w:firstLine="640"/>
        <w:jc w:val="left"/>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：昌吉州老龄委</w:t>
      </w:r>
      <w:r>
        <w:rPr>
          <w:rFonts w:hint="eastAsia" w:ascii="仿宋_GB2312" w:hAnsi="黑体" w:eastAsia="仿宋_GB2312"/>
          <w:sz w:val="32"/>
          <w:szCs w:val="32"/>
          <w:highlight w:val="none"/>
          <w:lang w:eastAsia="zh-CN"/>
        </w:rPr>
        <w:t>三定方案和工作计划。</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：3万元</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：昌吉州老龄委</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：商品服务支出</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：2019年度</w:t>
      </w:r>
    </w:p>
    <w:p>
      <w:pPr>
        <w:widowControl/>
        <w:spacing w:line="580" w:lineRule="exact"/>
        <w:ind w:firstLine="642"/>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八、关于昌吉州老龄委2019年一般公共预算“三公”经费预算情况说明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昌吉州老龄委2019年“三公”经费财政拨款预算数为2.58万元，其中：因公出国（境）费0万元，公务用车购置0万元，公务用车运行费2.08万元，公务接待费0.5万元。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2019年“三公”经费财政拨款预算比上年增加0万元，其中：因公出国（境）费增加0万元，主要原因是</w:t>
      </w:r>
      <w:r>
        <w:rPr>
          <w:rFonts w:hint="eastAsia" w:ascii="仿宋_GB2312" w:hAnsi="宋体" w:eastAsia="仿宋_GB2312" w:cs="宋体"/>
          <w:kern w:val="0"/>
          <w:sz w:val="32"/>
          <w:szCs w:val="32"/>
          <w:highlight w:val="none"/>
          <w:lang w:eastAsia="zh-CN"/>
        </w:rPr>
        <w:t>未安排</w:t>
      </w:r>
      <w:r>
        <w:rPr>
          <w:rFonts w:hint="eastAsia" w:ascii="仿宋_GB2312" w:hAnsi="宋体" w:eastAsia="仿宋_GB2312" w:cs="宋体"/>
          <w:kern w:val="0"/>
          <w:sz w:val="32"/>
          <w:szCs w:val="32"/>
          <w:highlight w:val="none"/>
        </w:rPr>
        <w:t>未安排因公出国工作；公务用车购置费为0，未安排预算。公务用车运行费增加0万元，主要原因是严格“八项”规定，合理派车 ；公务接待费增加0万元，</w:t>
      </w:r>
      <w:r>
        <w:rPr>
          <w:rFonts w:hint="eastAsia" w:ascii="仿宋_GB2312" w:hAnsi="宋体" w:eastAsia="仿宋_GB2312" w:cs="宋体"/>
          <w:kern w:val="0"/>
          <w:sz w:val="32"/>
          <w:szCs w:val="32"/>
          <w:highlight w:val="none"/>
        </w:rPr>
        <w:t>主要原因是</w:t>
      </w:r>
      <w:r>
        <w:rPr>
          <w:rFonts w:hint="eastAsia" w:ascii="仿宋_GB2312" w:hAnsi="宋体" w:eastAsia="仿宋_GB2312"/>
          <w:sz w:val="32"/>
          <w:szCs w:val="32"/>
          <w:highlight w:val="none"/>
        </w:rPr>
        <w:t>严格执行中央八项规定和自治区十条规定，压缩三公经费开支</w:t>
      </w:r>
      <w:r>
        <w:rPr>
          <w:rFonts w:hint="eastAsia" w:ascii="仿宋_GB2312" w:hAnsi="宋体" w:eastAsia="仿宋_GB2312" w:cs="宋体"/>
          <w:kern w:val="0"/>
          <w:sz w:val="32"/>
          <w:szCs w:val="32"/>
          <w:highlight w:val="none"/>
        </w:rPr>
        <w:t>。</w:t>
      </w:r>
      <w:bookmarkStart w:id="0" w:name="_GoBack"/>
      <w:bookmarkEnd w:id="0"/>
    </w:p>
    <w:p>
      <w:pPr>
        <w:widowControl/>
        <w:spacing w:line="580" w:lineRule="exact"/>
        <w:ind w:firstLine="642"/>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九、关于昌吉州老龄委2019年政府性基金预算拨款情况说明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昌吉州老龄委2019年没有使用政府性基金预算拨款安排的支出，政府性基金预算支出情况表为空表。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十、其他重要事项的情况说明</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（一）机关运行经费情况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2019年，州老龄委本级是参公管理事业单位的机关运行经费财政拨款预算17.25万元，比上年预算减少0.72万元，下降4%。主要原因是调出一人。</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2019年，州老龄委及下属单位政府采购预算13.2万元，其中：政府采购货物预算3.2万元，政府采购工程预算0万元，政府采购服务预算10万元。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仿宋_GB2312" w:eastAsia="仿宋_GB2312"/>
          <w:sz w:val="32"/>
          <w:highlight w:val="none"/>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pPr>
        <w:widowControl/>
        <w:spacing w:line="580" w:lineRule="exact"/>
        <w:ind w:firstLine="640"/>
        <w:jc w:val="left"/>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截至2018年底，</w:t>
      </w:r>
      <w:r>
        <w:rPr>
          <w:rFonts w:hint="eastAsia" w:ascii="仿宋_GB2312" w:hAnsi="宋体" w:eastAsia="仿宋_GB2312" w:cs="宋体"/>
          <w:kern w:val="0"/>
          <w:sz w:val="32"/>
          <w:szCs w:val="32"/>
          <w:highlight w:val="none"/>
          <w:lang w:eastAsia="zh-CN"/>
        </w:rPr>
        <w:t>昌吉</w:t>
      </w:r>
      <w:r>
        <w:rPr>
          <w:rFonts w:hint="eastAsia" w:ascii="仿宋_GB2312" w:hAnsi="宋体" w:eastAsia="仿宋_GB2312" w:cs="宋体"/>
          <w:kern w:val="0"/>
          <w:sz w:val="32"/>
          <w:szCs w:val="32"/>
          <w:highlight w:val="none"/>
        </w:rPr>
        <w:t>州老龄委及下属各预算单位占用使用国有资产总体情况为</w:t>
      </w:r>
      <w:r>
        <w:rPr>
          <w:rFonts w:hint="eastAsia" w:ascii="仿宋_GB2312" w:hAnsi="宋体" w:eastAsia="仿宋_GB2312" w:cs="宋体"/>
          <w:kern w:val="0"/>
          <w:sz w:val="32"/>
          <w:szCs w:val="32"/>
          <w:highlight w:val="none"/>
          <w:lang w:eastAsia="zh-CN"/>
        </w:rPr>
        <w:t>：</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1.房屋130.4平方米，价值5.56万元。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2.车辆2辆，价值28.38万元；其中：一般公务用车0辆，价值0万元；执法执勤用车0辆，价值0万元；其他车辆2辆，价值28.38万元。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3.办公家具价值0万元。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4.其他资产价值 28.38万元。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单位价值50万元以上大型设备0台（套），单位价值100万元以上大型设备0台（套）。</w:t>
      </w:r>
    </w:p>
    <w:p>
      <w:pPr>
        <w:widowControl/>
        <w:spacing w:line="580" w:lineRule="exact"/>
        <w:ind w:firstLine="64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2019年部门预算未安排购置车辆经费，安排购置50万元以上大型设备0台（套），单位价值100万元以上大型设备0台（套）。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（四）预算绩效情况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2019年度，本年度实行绩效管理的项目6个，涉及预算金额128万元。具体情况见下表（按项目分别填报）：</w:t>
      </w:r>
    </w:p>
    <w:p>
      <w:pPr>
        <w:spacing w:line="500" w:lineRule="exact"/>
        <w:rPr>
          <w:rFonts w:ascii="仿宋_GB2312" w:hAnsi="宋体" w:eastAsia="仿宋_GB2312" w:cs="宋体"/>
          <w:kern w:val="0"/>
          <w:sz w:val="32"/>
          <w:szCs w:val="32"/>
          <w:highlight w:val="none"/>
        </w:rPr>
      </w:pPr>
    </w:p>
    <w:p>
      <w:pPr>
        <w:spacing w:line="500" w:lineRule="exact"/>
        <w:rPr>
          <w:rFonts w:ascii="仿宋_GB2312" w:hAnsi="宋体" w:eastAsia="仿宋_GB2312" w:cs="宋体"/>
          <w:kern w:val="0"/>
          <w:sz w:val="32"/>
          <w:szCs w:val="32"/>
          <w:highlight w:val="none"/>
        </w:rPr>
        <w:sectPr>
          <w:pgSz w:w="11906" w:h="16838"/>
          <w:pgMar w:top="1440" w:right="1800" w:bottom="1440" w:left="1800" w:header="851" w:footer="992" w:gutter="0"/>
          <w:cols w:space="425" w:num="1"/>
          <w:docGrid w:type="lines" w:linePitch="312" w:charSpace="0"/>
        </w:sectPr>
      </w:pPr>
    </w:p>
    <w:p>
      <w:pPr>
        <w:spacing w:line="500" w:lineRule="exact"/>
        <w:rPr>
          <w:rFonts w:ascii="仿宋_GB2312" w:hAnsi="宋体" w:eastAsia="仿宋_GB2312" w:cs="宋体"/>
          <w:kern w:val="0"/>
          <w:sz w:val="32"/>
          <w:szCs w:val="32"/>
          <w:highlight w:val="none"/>
        </w:rPr>
      </w:pPr>
    </w:p>
    <w:tbl>
      <w:tblPr>
        <w:tblStyle w:val="4"/>
        <w:tblpPr w:leftFromText="180" w:rightFromText="180" w:vertAnchor="text" w:horzAnchor="page" w:tblpX="1760" w:tblpY="276"/>
        <w:tblOverlap w:val="never"/>
        <w:tblW w:w="13714" w:type="dxa"/>
        <w:tblInd w:w="0" w:type="dxa"/>
        <w:tblLayout w:type="fixed"/>
        <w:tblCellMar>
          <w:top w:w="0" w:type="dxa"/>
          <w:left w:w="0" w:type="dxa"/>
          <w:bottom w:w="0" w:type="dxa"/>
          <w:right w:w="0" w:type="dxa"/>
        </w:tblCellMar>
      </w:tblPr>
      <w:tblGrid>
        <w:gridCol w:w="735"/>
        <w:gridCol w:w="735"/>
        <w:gridCol w:w="1485"/>
        <w:gridCol w:w="3855"/>
        <w:gridCol w:w="1485"/>
        <w:gridCol w:w="1515"/>
        <w:gridCol w:w="3814"/>
        <w:gridCol w:w="90"/>
      </w:tblGrid>
      <w:tr>
        <w:tblPrEx>
          <w:tblCellMar>
            <w:top w:w="0" w:type="dxa"/>
            <w:left w:w="0" w:type="dxa"/>
            <w:bottom w:w="0" w:type="dxa"/>
            <w:right w:w="0" w:type="dxa"/>
          </w:tblCellMar>
        </w:tblPrEx>
        <w:trPr>
          <w:gridAfter w:val="1"/>
          <w:wAfter w:w="90" w:type="dxa"/>
          <w:trHeight w:val="675" w:hRule="atLeast"/>
        </w:trPr>
        <w:tc>
          <w:tcPr>
            <w:tcW w:w="13624" w:type="dxa"/>
            <w:gridSpan w:val="7"/>
            <w:tcBorders>
              <w:top w:val="nil"/>
              <w:left w:val="nil"/>
              <w:bottom w:val="nil"/>
              <w:right w:val="nil"/>
            </w:tcBorders>
            <w:shd w:val="clear" w:color="auto" w:fill="auto"/>
            <w:tcMar>
              <w:top w:w="15" w:type="dxa"/>
              <w:left w:w="15" w:type="dxa"/>
              <w:right w:w="15" w:type="dxa"/>
            </w:tcMar>
            <w:vAlign w:val="center"/>
          </w:tcPr>
          <w:p>
            <w:pPr>
              <w:widowControl/>
              <w:ind w:firstLine="4176" w:firstLineChars="1300"/>
              <w:textAlignment w:val="center"/>
              <w:rPr>
                <w:rFonts w:ascii="宋体" w:hAnsi="宋体" w:cs="宋体"/>
                <w:b/>
                <w:color w:val="000000"/>
                <w:sz w:val="32"/>
                <w:szCs w:val="32"/>
                <w:highlight w:val="none"/>
              </w:rPr>
            </w:pPr>
            <w:r>
              <w:rPr>
                <w:rFonts w:hint="eastAsia" w:ascii="宋体" w:hAnsi="宋体" w:cs="宋体"/>
                <w:b/>
                <w:color w:val="000000"/>
                <w:kern w:val="0"/>
                <w:sz w:val="32"/>
                <w:szCs w:val="32"/>
                <w:highlight w:val="none"/>
                <w:lang w:bidi="ar"/>
              </w:rPr>
              <w:t>部门预算项目支出绩效目标表</w:t>
            </w:r>
          </w:p>
        </w:tc>
      </w:tr>
      <w:tr>
        <w:tblPrEx>
          <w:tblCellMar>
            <w:top w:w="0" w:type="dxa"/>
            <w:left w:w="0" w:type="dxa"/>
            <w:bottom w:w="0" w:type="dxa"/>
            <w:right w:w="0" w:type="dxa"/>
          </w:tblCellMar>
        </w:tblPrEx>
        <w:trPr>
          <w:gridAfter w:val="1"/>
          <w:wAfter w:w="90" w:type="dxa"/>
          <w:trHeight w:val="285" w:hRule="atLeast"/>
        </w:trPr>
        <w:tc>
          <w:tcPr>
            <w:tcW w:w="13624" w:type="dxa"/>
            <w:gridSpan w:val="7"/>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（2019年度）</w:t>
            </w:r>
          </w:p>
        </w:tc>
      </w:tr>
      <w:tr>
        <w:tblPrEx>
          <w:tblCellMar>
            <w:top w:w="0" w:type="dxa"/>
            <w:left w:w="0" w:type="dxa"/>
            <w:bottom w:w="0" w:type="dxa"/>
            <w:right w:w="0" w:type="dxa"/>
          </w:tblCellMar>
        </w:tblPrEx>
        <w:trPr>
          <w:gridAfter w:val="1"/>
          <w:wAfter w:w="90" w:type="dxa"/>
          <w:trHeight w:val="435" w:hRule="atLeast"/>
        </w:trPr>
        <w:tc>
          <w:tcPr>
            <w:tcW w:w="735"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color w:val="000000"/>
                <w:sz w:val="24"/>
                <w:highlight w:val="none"/>
              </w:rPr>
            </w:pPr>
          </w:p>
        </w:tc>
        <w:tc>
          <w:tcPr>
            <w:tcW w:w="735" w:type="dxa"/>
            <w:tcBorders>
              <w:top w:val="nil"/>
              <w:left w:val="nil"/>
              <w:bottom w:val="single" w:color="000000" w:sz="4" w:space="0"/>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485"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3855"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485"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515"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3814"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r>
      <w:tr>
        <w:tblPrEx>
          <w:tblCellMar>
            <w:top w:w="0" w:type="dxa"/>
            <w:left w:w="0" w:type="dxa"/>
            <w:bottom w:w="0" w:type="dxa"/>
            <w:right w:w="0" w:type="dxa"/>
          </w:tblCellMar>
        </w:tblPrEx>
        <w:trPr>
          <w:gridAfter w:val="1"/>
          <w:wAfter w:w="90" w:type="dxa"/>
          <w:trHeight w:val="439" w:hRule="atLeast"/>
        </w:trPr>
        <w:tc>
          <w:tcPr>
            <w:tcW w:w="2955"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项目名称</w:t>
            </w:r>
          </w:p>
        </w:tc>
        <w:tc>
          <w:tcPr>
            <w:tcW w:w="106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老年保健协会经费</w:t>
            </w:r>
          </w:p>
        </w:tc>
      </w:tr>
      <w:tr>
        <w:tblPrEx>
          <w:tblCellMar>
            <w:top w:w="0" w:type="dxa"/>
            <w:left w:w="0" w:type="dxa"/>
            <w:bottom w:w="0" w:type="dxa"/>
            <w:right w:w="0" w:type="dxa"/>
          </w:tblCellMar>
        </w:tblPrEx>
        <w:trPr>
          <w:gridAfter w:val="1"/>
          <w:wAfter w:w="90" w:type="dxa"/>
          <w:trHeight w:val="439" w:hRule="atLeast"/>
        </w:trPr>
        <w:tc>
          <w:tcPr>
            <w:tcW w:w="2955"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预算单位</w:t>
            </w:r>
          </w:p>
        </w:tc>
        <w:tc>
          <w:tcPr>
            <w:tcW w:w="106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highlight w:val="none"/>
              </w:rPr>
            </w:pPr>
            <w:r>
              <w:rPr>
                <w:rFonts w:hint="eastAsia" w:ascii="宋体" w:hAnsi="宋体" w:cs="宋体"/>
                <w:color w:val="000000"/>
                <w:kern w:val="0"/>
                <w:sz w:val="24"/>
                <w:highlight w:val="none"/>
                <w:lang w:bidi="ar"/>
              </w:rPr>
              <w:t>昌吉回族自治州老龄工作委员会</w:t>
            </w:r>
          </w:p>
        </w:tc>
      </w:tr>
      <w:tr>
        <w:tblPrEx>
          <w:tblCellMar>
            <w:top w:w="0" w:type="dxa"/>
            <w:left w:w="0" w:type="dxa"/>
            <w:bottom w:w="0" w:type="dxa"/>
            <w:right w:w="0" w:type="dxa"/>
          </w:tblCellMar>
        </w:tblPrEx>
        <w:trPr>
          <w:gridAfter w:val="1"/>
          <w:wAfter w:w="90" w:type="dxa"/>
          <w:trHeight w:val="459" w:hRule="atLeast"/>
        </w:trPr>
        <w:tc>
          <w:tcPr>
            <w:tcW w:w="295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项目资金</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（万元）</w:t>
            </w:r>
          </w:p>
        </w:tc>
        <w:tc>
          <w:tcPr>
            <w:tcW w:w="106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年度资金总额：10</w:t>
            </w:r>
          </w:p>
        </w:tc>
      </w:tr>
      <w:tr>
        <w:tblPrEx>
          <w:tblCellMar>
            <w:top w:w="0" w:type="dxa"/>
            <w:left w:w="0" w:type="dxa"/>
            <w:bottom w:w="0" w:type="dxa"/>
            <w:right w:w="0" w:type="dxa"/>
          </w:tblCellMar>
        </w:tblPrEx>
        <w:trPr>
          <w:gridAfter w:val="1"/>
          <w:wAfter w:w="90" w:type="dxa"/>
          <w:trHeight w:val="439" w:hRule="atLeast"/>
        </w:trPr>
        <w:tc>
          <w:tcPr>
            <w:tcW w:w="29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6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highlight w:val="none"/>
              </w:rPr>
            </w:pPr>
            <w:r>
              <w:rPr>
                <w:rFonts w:hint="eastAsia" w:ascii="宋体" w:hAnsi="宋体" w:cs="宋体"/>
                <w:color w:val="000000"/>
                <w:kern w:val="0"/>
                <w:sz w:val="24"/>
                <w:highlight w:val="none"/>
                <w:lang w:bidi="ar"/>
              </w:rPr>
              <w:t xml:space="preserve">       其中：财政拨款10</w:t>
            </w:r>
          </w:p>
        </w:tc>
      </w:tr>
      <w:tr>
        <w:tblPrEx>
          <w:tblCellMar>
            <w:top w:w="0" w:type="dxa"/>
            <w:left w:w="0" w:type="dxa"/>
            <w:bottom w:w="0" w:type="dxa"/>
            <w:right w:w="0" w:type="dxa"/>
          </w:tblCellMar>
        </w:tblPrEx>
        <w:trPr>
          <w:gridAfter w:val="1"/>
          <w:wAfter w:w="90" w:type="dxa"/>
          <w:trHeight w:val="439" w:hRule="atLeast"/>
        </w:trPr>
        <w:tc>
          <w:tcPr>
            <w:tcW w:w="29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66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其他资金：0</w:t>
            </w:r>
          </w:p>
        </w:tc>
      </w:tr>
      <w:tr>
        <w:tblPrEx>
          <w:tblCellMar>
            <w:top w:w="0" w:type="dxa"/>
            <w:left w:w="0" w:type="dxa"/>
            <w:bottom w:w="0" w:type="dxa"/>
            <w:right w:w="0" w:type="dxa"/>
          </w:tblCellMar>
        </w:tblPrEx>
        <w:trPr>
          <w:gridAfter w:val="1"/>
          <w:wAfter w:w="90" w:type="dxa"/>
          <w:trHeight w:val="439"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总</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体</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目</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128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年度目标</w:t>
            </w:r>
          </w:p>
        </w:tc>
      </w:tr>
      <w:tr>
        <w:tblPrEx>
          <w:tblCellMar>
            <w:top w:w="0" w:type="dxa"/>
            <w:left w:w="0" w:type="dxa"/>
            <w:bottom w:w="0" w:type="dxa"/>
            <w:right w:w="0" w:type="dxa"/>
          </w:tblCellMar>
        </w:tblPrEx>
        <w:trPr>
          <w:gridAfter w:val="1"/>
          <w:wAfter w:w="90" w:type="dxa"/>
          <w:trHeight w:val="309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288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highlight w:val="none"/>
              </w:rPr>
            </w:pP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州老年保健协会于1998年成立，多年来，昌吉州老年保健协会通过举办健康讲座，学习班，制作健康教育宣传版面，印发保健书籍、简报、资料，组织开展文艺活动等形式，大力宣传普及老年保健知识和保健技能，增强了会员的自我保健意识和自我保健能力，提高了会员的身心健康水平。协会先后邀请区、州专家近百名，开设健康讲座200多次，组织自治区、自治州医学和保健养生专家，编印《老年保健手册》、《老年保健养生指南（一）》、《老年保健养生指南（二）》等书籍，免费发给协会全体会员学习。</w:t>
            </w:r>
          </w:p>
        </w:tc>
      </w:tr>
      <w:tr>
        <w:tblPrEx>
          <w:tblCellMar>
            <w:top w:w="0" w:type="dxa"/>
            <w:left w:w="0" w:type="dxa"/>
            <w:bottom w:w="0" w:type="dxa"/>
            <w:right w:w="0" w:type="dxa"/>
          </w:tblCellMar>
        </w:tblPrEx>
        <w:trPr>
          <w:gridAfter w:val="1"/>
          <w:wAfter w:w="90" w:type="dxa"/>
          <w:trHeight w:val="795" w:hRule="atLeast"/>
        </w:trPr>
        <w:tc>
          <w:tcPr>
            <w:tcW w:w="735" w:type="dxa"/>
            <w:vMerge w:val="restart"/>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绩</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效</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指</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一级</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指标</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二级指标</w:t>
            </w: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三级指标</w:t>
            </w:r>
          </w:p>
        </w:tc>
        <w:tc>
          <w:tcPr>
            <w:tcW w:w="68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指标值（包含数字及文字描述）</w:t>
            </w:r>
          </w:p>
        </w:tc>
      </w:tr>
      <w:tr>
        <w:tblPrEx>
          <w:tblCellMar>
            <w:top w:w="0" w:type="dxa"/>
            <w:left w:w="0" w:type="dxa"/>
            <w:bottom w:w="0" w:type="dxa"/>
            <w:right w:w="0" w:type="dxa"/>
          </w:tblCellMar>
        </w:tblPrEx>
        <w:trPr>
          <w:gridAfter w:val="1"/>
          <w:wAfter w:w="90" w:type="dxa"/>
          <w:trHeight w:val="540" w:hRule="atLeast"/>
        </w:trPr>
        <w:tc>
          <w:tcPr>
            <w:tcW w:w="735"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产出指标</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数量</w:t>
            </w: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编制《老年保健养生指南》书籍费用3万元。</w:t>
            </w:r>
          </w:p>
        </w:tc>
        <w:tc>
          <w:tcPr>
            <w:tcW w:w="68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活动经费4万元，完成指标值95%</w:t>
            </w:r>
          </w:p>
        </w:tc>
      </w:tr>
      <w:tr>
        <w:tblPrEx>
          <w:tblCellMar>
            <w:top w:w="0" w:type="dxa"/>
            <w:left w:w="0" w:type="dxa"/>
            <w:bottom w:w="0" w:type="dxa"/>
            <w:right w:w="0" w:type="dxa"/>
          </w:tblCellMar>
        </w:tblPrEx>
        <w:trPr>
          <w:gridAfter w:val="1"/>
          <w:wAfter w:w="90" w:type="dxa"/>
          <w:trHeight w:val="780" w:hRule="atLeast"/>
        </w:trPr>
        <w:tc>
          <w:tcPr>
            <w:tcW w:w="735"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全年开展老年保健讲座活动</w:t>
            </w:r>
          </w:p>
        </w:tc>
        <w:tc>
          <w:tcPr>
            <w:tcW w:w="68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全年开展6场次保健讲座，完成80%以上，经费3万元。</w:t>
            </w:r>
          </w:p>
        </w:tc>
      </w:tr>
      <w:tr>
        <w:tblPrEx>
          <w:tblCellMar>
            <w:top w:w="0" w:type="dxa"/>
            <w:left w:w="0" w:type="dxa"/>
            <w:bottom w:w="0" w:type="dxa"/>
            <w:right w:w="0" w:type="dxa"/>
          </w:tblCellMar>
        </w:tblPrEx>
        <w:trPr>
          <w:gridAfter w:val="1"/>
          <w:wAfter w:w="90" w:type="dxa"/>
          <w:trHeight w:val="675" w:hRule="atLeast"/>
        </w:trPr>
        <w:tc>
          <w:tcPr>
            <w:tcW w:w="735"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保健协会活动丰富多彩，会员数每年增加50人。</w:t>
            </w:r>
          </w:p>
        </w:tc>
        <w:tc>
          <w:tcPr>
            <w:tcW w:w="68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FFFFFF"/>
                <w:sz w:val="22"/>
                <w:szCs w:val="22"/>
                <w:highlight w:val="none"/>
              </w:rPr>
            </w:pPr>
            <w:r>
              <w:rPr>
                <w:rFonts w:hint="eastAsia" w:ascii="宋体" w:hAnsi="宋体" w:cs="宋体"/>
                <w:color w:val="FFFFFF"/>
                <w:kern w:val="0"/>
                <w:sz w:val="22"/>
                <w:szCs w:val="22"/>
                <w:highlight w:val="none"/>
                <w:lang w:bidi="ar"/>
              </w:rPr>
              <w:t>逐年增</w:t>
            </w:r>
            <w:r>
              <w:rPr>
                <w:rFonts w:hint="eastAsia" w:ascii="宋体" w:hAnsi="宋体" w:cs="宋体"/>
                <w:color w:val="000000"/>
                <w:kern w:val="0"/>
                <w:sz w:val="22"/>
                <w:szCs w:val="22"/>
                <w:highlight w:val="none"/>
                <w:lang w:bidi="ar"/>
              </w:rPr>
              <w:t>逐年增加50人。</w:t>
            </w:r>
            <w:r>
              <w:rPr>
                <w:rFonts w:hint="eastAsia" w:ascii="宋体" w:hAnsi="宋体" w:cs="宋体"/>
                <w:color w:val="FFFFFF"/>
                <w:kern w:val="0"/>
                <w:sz w:val="22"/>
                <w:szCs w:val="22"/>
                <w:highlight w:val="none"/>
                <w:lang w:bidi="ar"/>
              </w:rPr>
              <w:t>足年逐年增加50人增加50还人50人</w:t>
            </w:r>
          </w:p>
        </w:tc>
      </w:tr>
      <w:tr>
        <w:tblPrEx>
          <w:tblCellMar>
            <w:top w:w="0" w:type="dxa"/>
            <w:left w:w="0" w:type="dxa"/>
            <w:bottom w:w="0" w:type="dxa"/>
            <w:right w:w="0" w:type="dxa"/>
          </w:tblCellMar>
        </w:tblPrEx>
        <w:trPr>
          <w:trHeight w:val="630" w:hRule="atLeast"/>
        </w:trPr>
        <w:tc>
          <w:tcPr>
            <w:tcW w:w="735"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每年开展健康教育经验交流、研讨、论坛1次。</w:t>
            </w:r>
          </w:p>
        </w:tc>
        <w:tc>
          <w:tcPr>
            <w:tcW w:w="68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FFFFFF"/>
                <w:sz w:val="22"/>
                <w:szCs w:val="22"/>
                <w:highlight w:val="none"/>
              </w:rPr>
            </w:pPr>
            <w:r>
              <w:rPr>
                <w:rFonts w:hint="eastAsia" w:ascii="宋体" w:hAnsi="宋体" w:cs="宋体"/>
                <w:color w:val="000000"/>
                <w:kern w:val="0"/>
                <w:sz w:val="22"/>
                <w:szCs w:val="22"/>
                <w:highlight w:val="none"/>
                <w:lang w:bidi="ar"/>
              </w:rPr>
              <w:t>开展率达100%</w:t>
            </w:r>
          </w:p>
        </w:tc>
        <w:tc>
          <w:tcPr>
            <w:tcW w:w="90" w:type="dxa"/>
            <w:shd w:val="clear" w:color="auto" w:fill="auto"/>
            <w:vAlign w:val="center"/>
          </w:tcPr>
          <w:p>
            <w:pPr>
              <w:widowControl/>
              <w:jc w:val="left"/>
              <w:textAlignment w:val="center"/>
              <w:rPr>
                <w:highlight w:val="none"/>
              </w:rPr>
            </w:pPr>
          </w:p>
        </w:tc>
      </w:tr>
      <w:tr>
        <w:tblPrEx>
          <w:tblCellMar>
            <w:top w:w="0" w:type="dxa"/>
            <w:left w:w="0" w:type="dxa"/>
            <w:bottom w:w="0" w:type="dxa"/>
            <w:right w:w="0" w:type="dxa"/>
          </w:tblCellMar>
        </w:tblPrEx>
        <w:trPr>
          <w:gridAfter w:val="1"/>
          <w:wAfter w:w="90" w:type="dxa"/>
          <w:trHeight w:val="585" w:hRule="atLeast"/>
        </w:trPr>
        <w:tc>
          <w:tcPr>
            <w:tcW w:w="735"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表彰奖励优秀团队和先进个人.。</w:t>
            </w:r>
          </w:p>
        </w:tc>
        <w:tc>
          <w:tcPr>
            <w:tcW w:w="68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表彰奖励经费1万元。</w:t>
            </w:r>
          </w:p>
        </w:tc>
      </w:tr>
      <w:tr>
        <w:tblPrEx>
          <w:tblCellMar>
            <w:top w:w="0" w:type="dxa"/>
            <w:left w:w="0" w:type="dxa"/>
            <w:bottom w:w="0" w:type="dxa"/>
            <w:right w:w="0" w:type="dxa"/>
          </w:tblCellMar>
        </w:tblPrEx>
        <w:trPr>
          <w:gridAfter w:val="1"/>
          <w:wAfter w:w="90" w:type="dxa"/>
          <w:trHeight w:val="510" w:hRule="atLeast"/>
        </w:trPr>
        <w:tc>
          <w:tcPr>
            <w:tcW w:w="735"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组织老年人开展文艺活动。</w:t>
            </w:r>
          </w:p>
        </w:tc>
        <w:tc>
          <w:tcPr>
            <w:tcW w:w="68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每年组织开展文艺活动5次，完成80%以上，活动费用1万。</w:t>
            </w:r>
          </w:p>
        </w:tc>
      </w:tr>
      <w:tr>
        <w:tblPrEx>
          <w:tblCellMar>
            <w:top w:w="0" w:type="dxa"/>
            <w:left w:w="0" w:type="dxa"/>
            <w:bottom w:w="0" w:type="dxa"/>
            <w:right w:w="0" w:type="dxa"/>
          </w:tblCellMar>
        </w:tblPrEx>
        <w:trPr>
          <w:gridAfter w:val="1"/>
          <w:wAfter w:w="90" w:type="dxa"/>
          <w:trHeight w:val="540" w:hRule="atLeast"/>
        </w:trPr>
        <w:tc>
          <w:tcPr>
            <w:tcW w:w="735"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满意度</w:t>
            </w:r>
          </w:p>
        </w:tc>
        <w:tc>
          <w:tcPr>
            <w:tcW w:w="14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满意度指标</w:t>
            </w:r>
          </w:p>
        </w:tc>
        <w:tc>
          <w:tcPr>
            <w:tcW w:w="3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在老年群体中发放满意度测评表。</w:t>
            </w:r>
          </w:p>
        </w:tc>
        <w:tc>
          <w:tcPr>
            <w:tcW w:w="68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老年人满意率达80%以上。</w:t>
            </w:r>
          </w:p>
        </w:tc>
      </w:tr>
    </w:tbl>
    <w:p>
      <w:pPr>
        <w:spacing w:line="500" w:lineRule="exact"/>
        <w:rPr>
          <w:rFonts w:ascii="仿宋_GB2312" w:hAnsi="宋体" w:eastAsia="仿宋_GB2312" w:cs="宋体"/>
          <w:kern w:val="0"/>
          <w:sz w:val="32"/>
          <w:szCs w:val="32"/>
          <w:highlight w:val="none"/>
        </w:rPr>
      </w:pPr>
    </w:p>
    <w:p>
      <w:pPr>
        <w:spacing w:line="500" w:lineRule="exact"/>
        <w:rPr>
          <w:rFonts w:ascii="仿宋_GB2312" w:hAnsi="宋体" w:eastAsia="仿宋_GB2312" w:cs="宋体"/>
          <w:kern w:val="0"/>
          <w:sz w:val="32"/>
          <w:szCs w:val="32"/>
          <w:highlight w:val="none"/>
        </w:rPr>
      </w:pPr>
    </w:p>
    <w:p>
      <w:pPr>
        <w:widowControl/>
        <w:spacing w:line="600" w:lineRule="exact"/>
        <w:rPr>
          <w:highlight w:val="none"/>
        </w:rPr>
        <w:sectPr>
          <w:pgSz w:w="16838" w:h="11906" w:orient="landscape"/>
          <w:pgMar w:top="1800" w:right="1440" w:bottom="1800" w:left="1440" w:header="851" w:footer="992" w:gutter="0"/>
          <w:cols w:space="425" w:num="1"/>
          <w:docGrid w:type="lines" w:linePitch="312" w:charSpace="0"/>
        </w:sectPr>
      </w:pPr>
    </w:p>
    <w:tbl>
      <w:tblPr>
        <w:tblStyle w:val="4"/>
        <w:tblW w:w="13144" w:type="dxa"/>
        <w:tblInd w:w="93" w:type="dxa"/>
        <w:tblLayout w:type="fixed"/>
        <w:tblCellMar>
          <w:top w:w="0" w:type="dxa"/>
          <w:left w:w="108" w:type="dxa"/>
          <w:bottom w:w="0" w:type="dxa"/>
          <w:right w:w="108" w:type="dxa"/>
        </w:tblCellMar>
      </w:tblPr>
      <w:tblGrid>
        <w:gridCol w:w="649"/>
        <w:gridCol w:w="86"/>
        <w:gridCol w:w="163"/>
        <w:gridCol w:w="236"/>
        <w:gridCol w:w="336"/>
        <w:gridCol w:w="221"/>
        <w:gridCol w:w="1264"/>
        <w:gridCol w:w="669"/>
        <w:gridCol w:w="3186"/>
        <w:gridCol w:w="669"/>
        <w:gridCol w:w="816"/>
        <w:gridCol w:w="669"/>
        <w:gridCol w:w="846"/>
        <w:gridCol w:w="669"/>
        <w:gridCol w:w="2170"/>
        <w:gridCol w:w="495"/>
      </w:tblGrid>
      <w:tr>
        <w:tblPrEx>
          <w:tblCellMar>
            <w:top w:w="0" w:type="dxa"/>
            <w:left w:w="108" w:type="dxa"/>
            <w:bottom w:w="0" w:type="dxa"/>
            <w:right w:w="108" w:type="dxa"/>
          </w:tblCellMar>
        </w:tblPrEx>
        <w:trPr>
          <w:gridBefore w:val="1"/>
          <w:gridAfter w:val="12"/>
          <w:wBefore w:w="649" w:type="dxa"/>
          <w:wAfter w:w="12010" w:type="dxa"/>
          <w:trHeight w:val="271" w:hRule="atLeast"/>
        </w:trPr>
        <w:tc>
          <w:tcPr>
            <w:tcW w:w="249" w:type="dxa"/>
            <w:gridSpan w:val="2"/>
            <w:tcBorders>
              <w:top w:val="nil"/>
              <w:left w:val="nil"/>
              <w:bottom w:val="nil"/>
              <w:right w:val="nil"/>
            </w:tcBorders>
            <w:vAlign w:val="bottom"/>
          </w:tcPr>
          <w:p>
            <w:pPr>
              <w:widowControl/>
              <w:jc w:val="left"/>
              <w:rPr>
                <w:rFonts w:ascii="宋体" w:hAnsi="宋体" w:cs="宋体"/>
                <w:color w:val="000000"/>
                <w:kern w:val="0"/>
                <w:sz w:val="22"/>
                <w:highlight w:val="none"/>
              </w:rPr>
            </w:pPr>
          </w:p>
        </w:tc>
        <w:tc>
          <w:tcPr>
            <w:tcW w:w="236" w:type="dxa"/>
            <w:tcBorders>
              <w:top w:val="nil"/>
              <w:left w:val="nil"/>
              <w:bottom w:val="nil"/>
              <w:right w:val="nil"/>
            </w:tcBorders>
            <w:vAlign w:val="bottom"/>
          </w:tcPr>
          <w:p>
            <w:pPr>
              <w:widowControl/>
              <w:jc w:val="left"/>
              <w:rPr>
                <w:rFonts w:ascii="宋体" w:hAnsi="宋体" w:cs="宋体"/>
                <w:color w:val="000000"/>
                <w:kern w:val="0"/>
                <w:sz w:val="22"/>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330" w:hRule="atLeast"/>
        </w:trPr>
        <w:tc>
          <w:tcPr>
            <w:tcW w:w="649" w:type="dxa"/>
            <w:tcBorders>
              <w:top w:val="nil"/>
              <w:left w:val="nil"/>
              <w:bottom w:val="nil"/>
              <w:right w:val="nil"/>
            </w:tcBorders>
            <w:shd w:val="clear" w:color="auto" w:fill="auto"/>
            <w:noWrap/>
            <w:tcMar>
              <w:top w:w="15" w:type="dxa"/>
              <w:left w:w="15" w:type="dxa"/>
              <w:right w:w="15" w:type="dxa"/>
            </w:tcMar>
            <w:vAlign w:val="center"/>
          </w:tcPr>
          <w:p>
            <w:pPr>
              <w:widowControl/>
              <w:jc w:val="left"/>
              <w:textAlignment w:val="center"/>
              <w:rPr>
                <w:rFonts w:ascii="黑体" w:hAnsi="宋体" w:eastAsia="黑体" w:cs="黑体"/>
                <w:color w:val="000000"/>
                <w:sz w:val="24"/>
                <w:highlight w:val="none"/>
              </w:rPr>
            </w:pPr>
            <w:r>
              <w:rPr>
                <w:rFonts w:hint="eastAsia" w:ascii="黑体" w:hAnsi="宋体" w:eastAsia="黑体" w:cs="黑体"/>
                <w:color w:val="000000"/>
                <w:kern w:val="0"/>
                <w:sz w:val="24"/>
                <w:highlight w:val="none"/>
                <w:lang w:bidi="ar"/>
              </w:rPr>
              <w:t>附件1：</w:t>
            </w:r>
          </w:p>
        </w:tc>
        <w:tc>
          <w:tcPr>
            <w:tcW w:w="821" w:type="dxa"/>
            <w:gridSpan w:val="4"/>
            <w:tcBorders>
              <w:top w:val="nil"/>
              <w:left w:val="nil"/>
              <w:bottom w:val="nil"/>
              <w:right w:val="nil"/>
            </w:tcBorders>
            <w:shd w:val="clear" w:color="auto" w:fill="auto"/>
            <w:tcMar>
              <w:top w:w="15" w:type="dxa"/>
              <w:left w:w="15" w:type="dxa"/>
              <w:right w:w="15" w:type="dxa"/>
            </w:tcMar>
            <w:vAlign w:val="center"/>
          </w:tcPr>
          <w:p>
            <w:pPr>
              <w:rPr>
                <w:rFonts w:ascii="黑体" w:hAnsi="宋体" w:eastAsia="黑体" w:cs="黑体"/>
                <w:color w:val="000000"/>
                <w:sz w:val="24"/>
                <w:highlight w:val="none"/>
              </w:rPr>
            </w:pPr>
          </w:p>
        </w:tc>
        <w:tc>
          <w:tcPr>
            <w:tcW w:w="1485" w:type="dxa"/>
            <w:gridSpan w:val="2"/>
            <w:tcBorders>
              <w:top w:val="nil"/>
              <w:left w:val="nil"/>
              <w:bottom w:val="nil"/>
              <w:right w:val="nil"/>
            </w:tcBorders>
            <w:shd w:val="clear" w:color="auto" w:fill="auto"/>
            <w:tcMar>
              <w:top w:w="15" w:type="dxa"/>
              <w:left w:w="15" w:type="dxa"/>
              <w:right w:w="15" w:type="dxa"/>
            </w:tcMar>
            <w:vAlign w:val="center"/>
          </w:tcPr>
          <w:p>
            <w:pPr>
              <w:rPr>
                <w:rFonts w:ascii="黑体" w:hAnsi="宋体" w:eastAsia="黑体" w:cs="黑体"/>
                <w:color w:val="000000"/>
                <w:sz w:val="24"/>
                <w:highlight w:val="none"/>
              </w:rPr>
            </w:pPr>
          </w:p>
        </w:tc>
        <w:tc>
          <w:tcPr>
            <w:tcW w:w="3855" w:type="dxa"/>
            <w:gridSpan w:val="2"/>
            <w:tcBorders>
              <w:top w:val="nil"/>
              <w:left w:val="nil"/>
              <w:bottom w:val="nil"/>
              <w:right w:val="nil"/>
            </w:tcBorders>
            <w:shd w:val="clear" w:color="auto" w:fill="auto"/>
            <w:tcMar>
              <w:top w:w="15" w:type="dxa"/>
              <w:left w:w="15" w:type="dxa"/>
              <w:right w:w="15" w:type="dxa"/>
            </w:tcMar>
            <w:vAlign w:val="center"/>
          </w:tcPr>
          <w:p>
            <w:pPr>
              <w:rPr>
                <w:rFonts w:ascii="黑体" w:hAnsi="宋体" w:eastAsia="黑体" w:cs="黑体"/>
                <w:color w:val="000000"/>
                <w:sz w:val="24"/>
                <w:highlight w:val="none"/>
              </w:rPr>
            </w:pPr>
          </w:p>
        </w:tc>
        <w:tc>
          <w:tcPr>
            <w:tcW w:w="148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51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3334" w:type="dxa"/>
            <w:gridSpan w:val="3"/>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675" w:hRule="atLeast"/>
        </w:trPr>
        <w:tc>
          <w:tcPr>
            <w:tcW w:w="13144" w:type="dxa"/>
            <w:gridSpan w:val="16"/>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highlight w:val="none"/>
              </w:rPr>
            </w:pPr>
            <w:r>
              <w:rPr>
                <w:rFonts w:hint="eastAsia" w:ascii="宋体" w:hAnsi="宋体" w:cs="宋体"/>
                <w:b/>
                <w:color w:val="000000"/>
                <w:kern w:val="0"/>
                <w:sz w:val="32"/>
                <w:szCs w:val="32"/>
                <w:highlight w:val="none"/>
                <w:lang w:bidi="ar"/>
              </w:rPr>
              <w:t>部门预算项目支出绩效目标表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285" w:hRule="atLeast"/>
        </w:trPr>
        <w:tc>
          <w:tcPr>
            <w:tcW w:w="13144" w:type="dxa"/>
            <w:gridSpan w:val="16"/>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（2019年度）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35" w:hRule="atLeast"/>
        </w:trPr>
        <w:tc>
          <w:tcPr>
            <w:tcW w:w="649"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color w:val="000000"/>
                <w:sz w:val="24"/>
                <w:highlight w:val="none"/>
              </w:rPr>
            </w:pPr>
          </w:p>
        </w:tc>
        <w:tc>
          <w:tcPr>
            <w:tcW w:w="821" w:type="dxa"/>
            <w:gridSpan w:val="4"/>
            <w:tcBorders>
              <w:top w:val="nil"/>
              <w:left w:val="nil"/>
              <w:bottom w:val="single" w:color="000000" w:sz="4" w:space="0"/>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48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385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48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51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3334" w:type="dxa"/>
            <w:gridSpan w:val="3"/>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39" w:hRule="atLeast"/>
        </w:trPr>
        <w:tc>
          <w:tcPr>
            <w:tcW w:w="2955" w:type="dxa"/>
            <w:gridSpan w:val="7"/>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项目名称</w:t>
            </w:r>
          </w:p>
        </w:tc>
        <w:tc>
          <w:tcPr>
            <w:tcW w:w="10189"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敬老宣传月经费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39" w:hRule="atLeast"/>
        </w:trPr>
        <w:tc>
          <w:tcPr>
            <w:tcW w:w="2955" w:type="dxa"/>
            <w:gridSpan w:val="7"/>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预算单位</w:t>
            </w:r>
          </w:p>
        </w:tc>
        <w:tc>
          <w:tcPr>
            <w:tcW w:w="10189"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昌吉回族自治州老龄工作委员会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39" w:hRule="atLeast"/>
        </w:trPr>
        <w:tc>
          <w:tcPr>
            <w:tcW w:w="295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项目资金</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（万元）</w:t>
            </w:r>
          </w:p>
        </w:tc>
        <w:tc>
          <w:tcPr>
            <w:tcW w:w="10189"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年度资金总额：5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39" w:hRule="atLeast"/>
        </w:trPr>
        <w:tc>
          <w:tcPr>
            <w:tcW w:w="295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189"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其中：财政拨款5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39" w:hRule="atLeast"/>
        </w:trPr>
        <w:tc>
          <w:tcPr>
            <w:tcW w:w="295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189"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其他资金：0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39"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总</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体</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目</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12495"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年度目标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2835"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2495"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highlight w:val="none"/>
              </w:rPr>
            </w:pP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每年9月和10月是自治区和国家确定“敬老宣传月”，州老龄办利用2个月时间，在全州广泛深入开展中华民族尊老、敬老传统美德，在全社会营造孝老、敬老、养老良好氛围，组织709个老年社团组织，开展600余场次丰富多彩的老年文体活动，发挥486个志愿服务团队，开展153项为老服务活动，大力宣传老龄工作的方针政策和法律法规，体现党和政府关心爱护老年人的重要举措。把党和政府对老年人的关怀送到了每个社区和千家万户，使老龄工作的方针政策、法律法规做到“家喻户晓、人人皆知”，达到宣传老龄工作的目的，推动我州老龄工作的发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660" w:hRule="atLeast"/>
        </w:trPr>
        <w:tc>
          <w:tcPr>
            <w:tcW w:w="735" w:type="dxa"/>
            <w:gridSpan w:val="2"/>
            <w:vMerge w:val="restart"/>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绩</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效</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指</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7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一级</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指标</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二级指标</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三级指标</w:t>
            </w:r>
          </w:p>
        </w:tc>
        <w:tc>
          <w:tcPr>
            <w:tcW w:w="63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指标值（包含数字及文字描述）</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1005"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产出指标</w:t>
            </w:r>
          </w:p>
        </w:tc>
        <w:tc>
          <w:tcPr>
            <w:tcW w:w="14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数量</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在昌吉日报社开办敬老宣传栏目</w:t>
            </w:r>
          </w:p>
        </w:tc>
        <w:tc>
          <w:tcPr>
            <w:tcW w:w="63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1期</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1095"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在全州建立敬老孝老养老教育基地</w:t>
            </w:r>
          </w:p>
        </w:tc>
        <w:tc>
          <w:tcPr>
            <w:tcW w:w="63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1所</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690"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组织青少年到敬老宣传教育基地参观，营造敬老孝老养老社会氛围。</w:t>
            </w:r>
          </w:p>
        </w:tc>
        <w:tc>
          <w:tcPr>
            <w:tcW w:w="63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至少1次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810"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在各大新闻媒体刊登老有所为的事迹和为老服务好事实事。</w:t>
            </w:r>
          </w:p>
        </w:tc>
        <w:tc>
          <w:tcPr>
            <w:tcW w:w="63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新闻媒体刊登</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825"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印发敬老宣传单</w:t>
            </w:r>
          </w:p>
        </w:tc>
        <w:tc>
          <w:tcPr>
            <w:tcW w:w="63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1万份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615"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8月底召开敬老宣传月新闻发布会，发布相关消息。</w:t>
            </w:r>
          </w:p>
        </w:tc>
        <w:tc>
          <w:tcPr>
            <w:tcW w:w="63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发布新闻会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35"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7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组织老年人开展大型活动</w:t>
            </w:r>
          </w:p>
        </w:tc>
        <w:tc>
          <w:tcPr>
            <w:tcW w:w="633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675" w:hRule="atLeast"/>
        </w:trPr>
        <w:tc>
          <w:tcPr>
            <w:tcW w:w="12649" w:type="dxa"/>
            <w:gridSpan w:val="1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32"/>
                <w:szCs w:val="32"/>
                <w:highlight w:val="none"/>
                <w:lang w:bidi="ar"/>
              </w:rPr>
            </w:pPr>
          </w:p>
          <w:p>
            <w:pPr>
              <w:widowControl/>
              <w:jc w:val="center"/>
              <w:textAlignment w:val="center"/>
              <w:rPr>
                <w:rFonts w:ascii="宋体" w:hAnsi="宋体" w:cs="宋体"/>
                <w:b/>
                <w:color w:val="000000"/>
                <w:kern w:val="0"/>
                <w:sz w:val="32"/>
                <w:szCs w:val="32"/>
                <w:highlight w:val="none"/>
                <w:lang w:bidi="ar"/>
              </w:rPr>
            </w:pPr>
          </w:p>
          <w:p>
            <w:pPr>
              <w:widowControl/>
              <w:jc w:val="center"/>
              <w:textAlignment w:val="center"/>
              <w:rPr>
                <w:rFonts w:ascii="宋体" w:hAnsi="宋体" w:cs="宋体"/>
                <w:b/>
                <w:color w:val="000000"/>
                <w:sz w:val="32"/>
                <w:szCs w:val="32"/>
                <w:highlight w:val="none"/>
              </w:rPr>
            </w:pPr>
            <w:r>
              <w:rPr>
                <w:rFonts w:hint="eastAsia" w:ascii="宋体" w:hAnsi="宋体" w:cs="宋体"/>
                <w:b/>
                <w:color w:val="000000"/>
                <w:kern w:val="0"/>
                <w:sz w:val="32"/>
                <w:szCs w:val="32"/>
                <w:highlight w:val="none"/>
                <w:lang w:bidi="ar"/>
              </w:rPr>
              <w:t>部门预算项目支出绩效目标表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285" w:hRule="atLeast"/>
        </w:trPr>
        <w:tc>
          <w:tcPr>
            <w:tcW w:w="12649" w:type="dxa"/>
            <w:gridSpan w:val="1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（2019年度）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5" w:hRule="atLeast"/>
        </w:trPr>
        <w:tc>
          <w:tcPr>
            <w:tcW w:w="735" w:type="dxa"/>
            <w:gridSpan w:val="2"/>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color w:val="000000"/>
                <w:sz w:val="24"/>
                <w:highlight w:val="none"/>
              </w:rPr>
            </w:pPr>
          </w:p>
        </w:tc>
        <w:tc>
          <w:tcPr>
            <w:tcW w:w="956" w:type="dxa"/>
            <w:gridSpan w:val="4"/>
            <w:tcBorders>
              <w:top w:val="nil"/>
              <w:left w:val="nil"/>
              <w:bottom w:val="single" w:color="000000" w:sz="4" w:space="0"/>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933"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385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48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51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2170"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项目名称</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助老工程费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预算单位</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昌吉回族自治州老龄工作委员会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项目资金</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（万元）</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年度资金总额：3</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其中：财政拨款3</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其他资金：0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7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总</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体</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目</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11914"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年度目标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159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1914"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highlight w:val="none"/>
              </w:rPr>
            </w:pP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春节、元旦、少数民族两节和敬老宣传月期间，州老龄办将组织人员慰问全州各族高龄老人、特困老人、空巢老人、失能老人等各层面的老年人家庭，发放慰问金和慰问品，引领全社会都来关心关注关爱老年群体，把党和政府对老年人的关怀送到每个社区和千家万户。</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80" w:hRule="atLeast"/>
        </w:trPr>
        <w:tc>
          <w:tcPr>
            <w:tcW w:w="735" w:type="dxa"/>
            <w:gridSpan w:val="2"/>
            <w:vMerge w:val="restart"/>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绩</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效</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指</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95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一级</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指标</w:t>
            </w:r>
          </w:p>
        </w:tc>
        <w:tc>
          <w:tcPr>
            <w:tcW w:w="1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二级指标</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三级指标</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指标值（包含数字及文字描述）</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585"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5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产出指标</w:t>
            </w:r>
          </w:p>
        </w:tc>
        <w:tc>
          <w:tcPr>
            <w:tcW w:w="19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数量</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人社部门全面启动贫困老年人生活补贴制度</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建立贫困老年人生活补贴机制，申请补贴资金，救助面达到30以上。</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1050"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5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民政部门将贫困老年人全部纳入低保范围。</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纳入低保达80%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540"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5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民政部门在农村建立互助幸福院，达到自然村的50%以上。</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在全建立互助幸福院260个以上，达到自然村的50%以上。</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600"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5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全州慰问高龄、空巢、困难、贫困老年人60人，每位老人500元。</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全州七县市慰问60人，每个老人享受500元，全年达到100%。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525"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5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人社部门重度失能老人护理补贴制度</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建立重度失能老年人生活补贴机制，申请补贴资金，救助面达到30以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690"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5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效益指标</w:t>
            </w:r>
          </w:p>
        </w:tc>
        <w:tc>
          <w:tcPr>
            <w:tcW w:w="19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社会效益指标</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在社会发放满意度调查表。</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老年人满意度达80%以上。</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825" w:hRule="atLeast"/>
        </w:trPr>
        <w:tc>
          <w:tcPr>
            <w:tcW w:w="735" w:type="dxa"/>
            <w:gridSpan w:val="2"/>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5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社会各界慰问老年人数量上升</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逐年上升80%以上</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675" w:hRule="atLeast"/>
        </w:trPr>
        <w:tc>
          <w:tcPr>
            <w:tcW w:w="12649" w:type="dxa"/>
            <w:gridSpan w:val="1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highlight w:val="none"/>
              </w:rPr>
            </w:pPr>
            <w:r>
              <w:rPr>
                <w:rFonts w:hint="eastAsia" w:ascii="宋体" w:hAnsi="宋体" w:cs="宋体"/>
                <w:b/>
                <w:color w:val="000000"/>
                <w:kern w:val="0"/>
                <w:sz w:val="32"/>
                <w:szCs w:val="32"/>
                <w:highlight w:val="none"/>
                <w:lang w:bidi="ar"/>
              </w:rPr>
              <w:t>部门预算项目支出绩效目标表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285" w:hRule="atLeast"/>
        </w:trPr>
        <w:tc>
          <w:tcPr>
            <w:tcW w:w="12649" w:type="dxa"/>
            <w:gridSpan w:val="1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（2019年度）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5" w:hRule="atLeast"/>
        </w:trPr>
        <w:tc>
          <w:tcPr>
            <w:tcW w:w="735" w:type="dxa"/>
            <w:gridSpan w:val="2"/>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color w:val="000000"/>
                <w:sz w:val="24"/>
                <w:highlight w:val="none"/>
              </w:rPr>
            </w:pPr>
          </w:p>
        </w:tc>
        <w:tc>
          <w:tcPr>
            <w:tcW w:w="956" w:type="dxa"/>
            <w:gridSpan w:val="4"/>
            <w:tcBorders>
              <w:top w:val="nil"/>
              <w:left w:val="nil"/>
              <w:bottom w:val="single" w:color="000000" w:sz="4" w:space="0"/>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933"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385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48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51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2170"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项目名称</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老年大学经费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预算单位</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昌吉回族自治州老龄工作委员会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项目资金</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（万元）</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年度资金总额：10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其中：财政拨款:10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其他资金：0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总</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体</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目</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1200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年度目标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30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200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highlight w:val="none"/>
              </w:rPr>
            </w:pP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州老年大学根据老年人的需求和兴趣办学，陆续设置了声乐、器乐、舞蹈、书法、国画和电脑等六个专业，开设各类班级18个，聘任兼职任教老师14人，招收学员1600余人。为反映学校动态和学员心声，展示学员学习成果，学校创办《昌吉州老年大学通讯》，加强了各地老年学校的交流和联系。每学期举行结业典礼和教学成果汇报演出活动，表彰奖励优秀学员、优秀班长和文明班级，展示教学成果。假期期间，积极组织学校老年文艺骨干到机关、企业、学校、部队、敬老院、幼儿园、少管所、农村、社区等单位宣传演出活动，并多次参加自治区和自治州的大型比赛和文艺演出。同时还在各班级开展维护稳定和长治久安宣讲活动，鼓励老年人积极参与公益事业、社会治安、移风易俗、民事调解、关心下一代、社区文化活动等社会事务。使老年大学成为老年人增长知识，丰富生活，陶冶情操、促进健康、服务社会的场所。</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855" w:hRule="atLeast"/>
        </w:trPr>
        <w:tc>
          <w:tcPr>
            <w:tcW w:w="649" w:type="dxa"/>
            <w:vMerge w:val="restart"/>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绩</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效</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指</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10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一级</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指标</w:t>
            </w:r>
          </w:p>
        </w:tc>
        <w:tc>
          <w:tcPr>
            <w:tcW w:w="1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二级指标</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三级指标</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指标值（包含数字及文字描述）</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660"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产出指标</w:t>
            </w:r>
          </w:p>
        </w:tc>
        <w:tc>
          <w:tcPr>
            <w:tcW w:w="19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数量</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全年组织舞蹈，声乐，器乐，书画班，、健身等各类20个班级，</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老师代课费用11万，完成指标80%。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720"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全年春秋两季招生，招收学员1600余人次。</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教学耗材2万元，完成90%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615"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全年培训天数176天</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水、电、暖气费用1万元，完成指标100%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825"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全年开设声乐、电子琴、国画、书法、舞蹈、国标、太极拳、素描8门课程</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完成指标100%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720"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组织学校老年文艺到社区参加演出活动</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sz w:val="22"/>
                <w:szCs w:val="22"/>
                <w:highlight w:val="none"/>
              </w:rPr>
              <w:t>参加人员达90%.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765"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效益指标</w:t>
            </w:r>
          </w:p>
        </w:tc>
        <w:tc>
          <w:tcPr>
            <w:tcW w:w="1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社会效益指标</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在老年大学开展稳定大宣讲活动。</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老年大学参加人数在90%以上。</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870"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满意度</w:t>
            </w:r>
          </w:p>
        </w:tc>
        <w:tc>
          <w:tcPr>
            <w:tcW w:w="1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满意度指标</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学员满意度达到90%以上</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100%完成</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675" w:hRule="atLeast"/>
        </w:trPr>
        <w:tc>
          <w:tcPr>
            <w:tcW w:w="12649" w:type="dxa"/>
            <w:gridSpan w:val="1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highlight w:val="none"/>
              </w:rPr>
            </w:pPr>
            <w:r>
              <w:rPr>
                <w:rFonts w:hint="eastAsia" w:ascii="宋体" w:hAnsi="宋体" w:cs="宋体"/>
                <w:b/>
                <w:color w:val="000000"/>
                <w:kern w:val="0"/>
                <w:sz w:val="32"/>
                <w:szCs w:val="32"/>
                <w:highlight w:val="none"/>
                <w:lang w:bidi="ar"/>
              </w:rPr>
              <w:t>部门预算项目支出绩效目标表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285" w:hRule="atLeast"/>
        </w:trPr>
        <w:tc>
          <w:tcPr>
            <w:tcW w:w="12649" w:type="dxa"/>
            <w:gridSpan w:val="1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（2019年度）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5" w:hRule="atLeast"/>
        </w:trPr>
        <w:tc>
          <w:tcPr>
            <w:tcW w:w="649"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color w:val="000000"/>
                <w:sz w:val="24"/>
                <w:highlight w:val="none"/>
              </w:rPr>
            </w:pPr>
          </w:p>
        </w:tc>
        <w:tc>
          <w:tcPr>
            <w:tcW w:w="1042" w:type="dxa"/>
            <w:gridSpan w:val="5"/>
            <w:tcBorders>
              <w:top w:val="nil"/>
              <w:left w:val="nil"/>
              <w:bottom w:val="single" w:color="000000" w:sz="4" w:space="0"/>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933"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385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48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51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2170"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项目名称</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老年文化艺术协会经费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预算单位</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昌吉回族自治州老龄工作委员会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项目资金</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（万元）</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年度资金总额：10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其中：财政拨款10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其他资金：0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总</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体</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目</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1200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年度目标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2865"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200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highlight w:val="none"/>
              </w:rPr>
            </w:pP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州老年文化艺术协会于2011年成立，自成立以来，积极克服种种困难，引领广大老年人开展各类文化娱乐活动，极大地丰富了老年了精神文化生活，提升了老年人幸福指数，组织广大老年文艺爱好者先后排练文化艺术节目193个，深入基层演出451场次，发展协会会员1100多人。不仅为广大老年文化艺术爱好者搭建了展现才艺的平台，也给昌吉市各街道、社区及社会各界送去了欢乐和艺术享受，已成为自治州精神文明建设和社会文化事业发展的一支重要力量，在促进民族团结和维护社会稳定方面做出了积极贡献。</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540" w:hRule="atLeast"/>
        </w:trPr>
        <w:tc>
          <w:tcPr>
            <w:tcW w:w="649" w:type="dxa"/>
            <w:vMerge w:val="restart"/>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绩</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效</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指</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10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一级</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指标</w:t>
            </w:r>
          </w:p>
        </w:tc>
        <w:tc>
          <w:tcPr>
            <w:tcW w:w="1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二级指标</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三级指标</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指标值（包含数字及文字描述）</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915"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产出指标</w:t>
            </w:r>
          </w:p>
        </w:tc>
        <w:tc>
          <w:tcPr>
            <w:tcW w:w="19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数量</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开展文化进社区、农村、企业等活动，组织演出10场次，费用4万元。</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组织演出活动10场次，完成90%以上，费用4万元。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615"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参加州内的各类演出活动5次，费用2万元。</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全年演出5场次，完成80以上，经费3万元。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780"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每年表彰奖励优秀团队和先进个人</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经费0.5万元。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675"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参加自治区演出1次，费用1.5万元。</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参加自治区演出1次，完成100%，经费1.5万元。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540"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省外开展文化艺术交流活动1次，费用1万元。</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指标完成值100%。费用1万元。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795"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效益指标</w:t>
            </w:r>
          </w:p>
        </w:tc>
        <w:tc>
          <w:tcPr>
            <w:tcW w:w="19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社会效益指标</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宣传党和国家及区、州有关文化艺术工作的方针、政策。</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印发宣传资料。</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585" w:hRule="atLeast"/>
        </w:trPr>
        <w:tc>
          <w:tcPr>
            <w:tcW w:w="649" w:type="dxa"/>
            <w:vMerge w:val="continue"/>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在文化艺术协会开展发生亮剑活动。</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开展一次发声亮剑活动。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675" w:hRule="atLeast"/>
        </w:trPr>
        <w:tc>
          <w:tcPr>
            <w:tcW w:w="12649" w:type="dxa"/>
            <w:gridSpan w:val="1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32"/>
                <w:szCs w:val="32"/>
                <w:highlight w:val="none"/>
              </w:rPr>
            </w:pPr>
            <w:r>
              <w:rPr>
                <w:rFonts w:hint="eastAsia" w:ascii="宋体" w:hAnsi="宋体" w:cs="宋体"/>
                <w:b/>
                <w:color w:val="000000"/>
                <w:kern w:val="0"/>
                <w:sz w:val="32"/>
                <w:szCs w:val="32"/>
                <w:highlight w:val="none"/>
                <w:lang w:bidi="ar"/>
              </w:rPr>
              <w:t>部门预算项目支出绩效目标表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285" w:hRule="atLeast"/>
        </w:trPr>
        <w:tc>
          <w:tcPr>
            <w:tcW w:w="12649" w:type="dxa"/>
            <w:gridSpan w:val="15"/>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（2019年度）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5" w:hRule="atLeast"/>
        </w:trPr>
        <w:tc>
          <w:tcPr>
            <w:tcW w:w="649"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color w:val="000000"/>
                <w:sz w:val="24"/>
                <w:highlight w:val="none"/>
              </w:rPr>
            </w:pPr>
          </w:p>
        </w:tc>
        <w:tc>
          <w:tcPr>
            <w:tcW w:w="1042" w:type="dxa"/>
            <w:gridSpan w:val="5"/>
            <w:tcBorders>
              <w:top w:val="nil"/>
              <w:left w:val="nil"/>
              <w:bottom w:val="single" w:color="000000" w:sz="4" w:space="0"/>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933"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385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48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515" w:type="dxa"/>
            <w:gridSpan w:val="2"/>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2170"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4"/>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项目名称</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老年事业费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预算单位</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昌吉回族自治州老龄工作委员会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项目资金</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（万元）</w:t>
            </w: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年度资金总额：90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其中：财政拨款90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3624"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902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 xml:space="preserve">             其他资金：0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439"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总</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体</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目</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1200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年度目标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333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200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left"/>
              <w:textAlignment w:val="top"/>
              <w:rPr>
                <w:rFonts w:ascii="宋体" w:hAnsi="宋体" w:cs="宋体"/>
                <w:color w:val="000000"/>
                <w:sz w:val="24"/>
                <w:highlight w:val="none"/>
              </w:rPr>
            </w:pP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督导落实国务院老年人照顾服务项目，扎实开展涉老问题调研工作，撰写有价值的调研报告，报党委、政府决策参考。深入开展《老年人权益保障法》执法检查，全面落实各项涉老优待政策。结合乡村振兴和美丽乡村（社区）建设，开展孝养乡村（社区）建设，提升老年人幸福指数。在老年群众中广泛开展聚焦总目标 维护社会稳定大宣讲和发声亮剑活动。扎实开展第三届“敬老文明号”创建工作，充分发挥各行业优势，深入开展为老服务，命名表彰30个自治州“敬老文明号”单位，使老年人共享改革发展成果。健全老年人才库建设，围绕卫生、文化、教育等开展区域内“银铃行动”，发挥老有所为的引领作用。规范基层老年协会建设和发展，组织老年人开展丰富多彩的文体活动。继续开展规范化老年创建活动，提高教学水平，指导吉木萨尔县老年大学开展州级规范化老年大学创建工作。让我州老年人享受到看得见、摸得着的实惠，切实增加获得感、幸福感，共享经济发展成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750"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绩</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效</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指</w:t>
            </w:r>
            <w:r>
              <w:rPr>
                <w:rFonts w:hint="eastAsia" w:ascii="宋体" w:hAnsi="宋体" w:cs="宋体"/>
                <w:color w:val="000000"/>
                <w:kern w:val="0"/>
                <w:sz w:val="24"/>
                <w:highlight w:val="none"/>
                <w:lang w:bidi="ar"/>
              </w:rPr>
              <w:br w:type="textWrapping"/>
            </w:r>
            <w:r>
              <w:rPr>
                <w:rFonts w:hint="eastAsia" w:ascii="宋体" w:hAnsi="宋体" w:cs="宋体"/>
                <w:color w:val="000000"/>
                <w:kern w:val="0"/>
                <w:sz w:val="24"/>
                <w:highlight w:val="none"/>
                <w:lang w:bidi="ar"/>
              </w:rPr>
              <w:t>标</w:t>
            </w:r>
          </w:p>
        </w:tc>
        <w:tc>
          <w:tcPr>
            <w:tcW w:w="10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一级</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指标</w:t>
            </w:r>
          </w:p>
        </w:tc>
        <w:tc>
          <w:tcPr>
            <w:tcW w:w="1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二级指标</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三级指标</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指标值（包含数字及文字描述）</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105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产出指标</w:t>
            </w:r>
          </w:p>
        </w:tc>
        <w:tc>
          <w:tcPr>
            <w:tcW w:w="19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数量</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我州共有各类养老机构70余家，在敬老宣传月期间慰问养老机构12家，每家1万元。</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慰问养老机构9家，达到71以上，慰问金12万元。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1035"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全州已建居家养老服务中心102个，每个补助3万元。</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每个中心补助3万元以上</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1035"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计划15家居家养老服务中心给予补贴，</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全年给予11家居家养老服务中心运营补贴，达到71%以上，运营补贴45万元。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1275"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召开全州农村互助幸福院现场观摩会。</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参会人员150人，会议2天，会议经费8万元。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1245"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4"/>
                <w:highlight w:val="none"/>
              </w:rPr>
            </w:pPr>
          </w:p>
        </w:tc>
        <w:tc>
          <w:tcPr>
            <w:tcW w:w="104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1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szCs w:val="22"/>
                <w:highlight w:val="none"/>
              </w:rPr>
            </w:pP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慰问县市高龄、空巢、困难、贫困老年人500人，慰问金每人500元。</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全年慰问360人以上，达到71%,以上，全年慰问金25万元。。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6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0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效益指标</w:t>
            </w:r>
          </w:p>
        </w:tc>
        <w:tc>
          <w:tcPr>
            <w:tcW w:w="1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社会效益指标</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老年事业不断发展</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老年事业各项工作水平不断提高</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gridAfter w:val="1"/>
          <w:wAfter w:w="495" w:type="dxa"/>
          <w:trHeight w:val="285"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4"/>
                <w:highlight w:val="none"/>
              </w:rPr>
            </w:pPr>
          </w:p>
        </w:tc>
        <w:tc>
          <w:tcPr>
            <w:tcW w:w="104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满意度</w:t>
            </w:r>
          </w:p>
        </w:tc>
        <w:tc>
          <w:tcPr>
            <w:tcW w:w="1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满意度指标</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互助幸福院满意度不断提升</w:t>
            </w:r>
          </w:p>
        </w:tc>
        <w:tc>
          <w:tcPr>
            <w:tcW w:w="5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kern w:val="0"/>
                <w:sz w:val="24"/>
                <w:highlight w:val="none"/>
                <w:lang w:bidi="ar"/>
              </w:rPr>
              <w:t>达到90%以上</w:t>
            </w:r>
          </w:p>
        </w:tc>
      </w:tr>
    </w:tbl>
    <w:p>
      <w:pPr>
        <w:widowControl/>
        <w:spacing w:line="560" w:lineRule="exact"/>
        <w:jc w:val="left"/>
        <w:rPr>
          <w:highlight w:val="none"/>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highlight w:val="none"/>
        </w:rPr>
      </w:pPr>
    </w:p>
    <w:p>
      <w:pPr>
        <w:widowControl/>
        <w:spacing w:line="560" w:lineRule="exact"/>
        <w:ind w:firstLine="630" w:firstLineChars="196"/>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widowControl/>
        <w:spacing w:line="560" w:lineRule="exact"/>
        <w:ind w:firstLine="1280" w:firstLineChars="4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无     </w:t>
      </w:r>
    </w:p>
    <w:p>
      <w:pPr>
        <w:widowControl/>
        <w:spacing w:before="156"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widowControl/>
        <w:spacing w:line="56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名词解释：</w:t>
      </w:r>
    </w:p>
    <w:p>
      <w:pPr>
        <w:numPr>
          <w:ilvl w:val="0"/>
          <w:numId w:val="1"/>
        </w:num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财政拨款：</w:t>
      </w:r>
      <w:r>
        <w:rPr>
          <w:rFonts w:hint="eastAsia" w:ascii="仿宋_GB2312" w:eastAsia="仿宋_GB2312"/>
          <w:sz w:val="32"/>
          <w:szCs w:val="32"/>
          <w:highlight w:val="none"/>
        </w:rPr>
        <w:t>指由一般公共预算、</w:t>
      </w:r>
    </w:p>
    <w:p>
      <w:pPr>
        <w:spacing w:line="550" w:lineRule="exact"/>
        <w:ind w:firstLine="640" w:firstLineChars="200"/>
        <w:rPr>
          <w:rFonts w:ascii="仿宋_GB2312" w:eastAsia="仿宋_GB2312"/>
          <w:sz w:val="32"/>
          <w:szCs w:val="32"/>
          <w:highlight w:val="none"/>
        </w:rPr>
      </w:pPr>
      <w:r>
        <w:rPr>
          <w:rFonts w:hint="eastAsia" w:ascii="黑体" w:hAnsi="黑体" w:eastAsia="黑体"/>
          <w:sz w:val="32"/>
          <w:szCs w:val="32"/>
          <w:highlight w:val="none"/>
        </w:rPr>
        <w:t>二、一般公共预算：</w:t>
      </w:r>
      <w:r>
        <w:rPr>
          <w:rFonts w:hint="eastAsia" w:ascii="仿宋_GB2312" w:eastAsia="仿宋_GB2312"/>
          <w:sz w:val="32"/>
          <w:szCs w:val="32"/>
          <w:highlight w:val="none"/>
        </w:rPr>
        <w:t>包括公共财政拨款（补助）资金、专项收入。</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四、其他资金：</w:t>
      </w:r>
      <w:r>
        <w:rPr>
          <w:rFonts w:hint="eastAsia" w:ascii="仿宋_GB2312" w:eastAsia="仿宋_GB2312"/>
          <w:sz w:val="32"/>
          <w:szCs w:val="32"/>
          <w:highlight w:val="none"/>
        </w:rPr>
        <w:t>包括事业收入、经营收入、其他收入等。</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五、基本支出：</w:t>
      </w:r>
      <w:r>
        <w:rPr>
          <w:rFonts w:hint="eastAsia" w:ascii="仿宋_GB2312" w:eastAsia="仿宋_GB2312"/>
          <w:sz w:val="32"/>
          <w:szCs w:val="32"/>
          <w:highlight w:val="none"/>
        </w:rPr>
        <w:t>包括人员经费、商品和服务支出（定额）。其中，人员经费包括工资福利支出、对个人和家庭的补助。</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六、项目支出：</w:t>
      </w:r>
      <w:r>
        <w:rPr>
          <w:rFonts w:hint="eastAsia" w:ascii="仿宋_GB2312" w:eastAsia="仿宋_GB2312"/>
          <w:sz w:val="32"/>
          <w:szCs w:val="32"/>
          <w:highlight w:val="none"/>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七、“三公”经费：</w:t>
      </w:r>
      <w:r>
        <w:rPr>
          <w:rFonts w:hint="eastAsia" w:ascii="仿宋_GB2312" w:eastAsia="仿宋_GB2312"/>
          <w:sz w:val="32"/>
          <w:szCs w:val="32"/>
          <w:highlight w:val="none"/>
        </w:rPr>
        <w:t>指自治区本级部门用一般公共预算财政拨款安排的车辆运行费和公务接待费。其中，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八、机关运行经费：</w:t>
      </w:r>
      <w:r>
        <w:rPr>
          <w:rFonts w:hint="eastAsia" w:ascii="仿宋_GB2312" w:eastAsia="仿宋_GB2312"/>
          <w:sz w:val="32"/>
          <w:szCs w:val="32"/>
          <w:highlight w:val="none"/>
        </w:rPr>
        <w:t>指各部门的公用经费，包括办公及差旅费、会议费、福利费、日常维修费、办公用房取暖费、办公用房物业管理费、公务用车运行维护费及其他费用。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昌吉州老龄委</w:t>
      </w:r>
    </w:p>
    <w:p>
      <w:pPr>
        <w:widowControl/>
        <w:spacing w:line="56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2019</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1</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 xml:space="preserve">31 </w:t>
      </w:r>
      <w:r>
        <w:rPr>
          <w:rFonts w:ascii="仿宋_GB2312" w:hAnsi="宋体" w:eastAsia="仿宋_GB2312" w:cs="宋体"/>
          <w:kern w:val="0"/>
          <w:sz w:val="32"/>
          <w:szCs w:val="32"/>
          <w:highlight w:val="none"/>
        </w:rPr>
        <w:t>日</w:t>
      </w:r>
    </w:p>
    <w:p>
      <w:pPr>
        <w:rPr>
          <w:highlight w:val="none"/>
        </w:rPr>
      </w:pP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方正小标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33</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BE1B76"/>
    <w:multiLevelType w:val="singleLevel"/>
    <w:tmpl w:val="A9BE1B7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7A07"/>
    <w:rsid w:val="000F149B"/>
    <w:rsid w:val="001250C4"/>
    <w:rsid w:val="00B67A07"/>
    <w:rsid w:val="0117262A"/>
    <w:rsid w:val="014270DF"/>
    <w:rsid w:val="06115DF2"/>
    <w:rsid w:val="074826BA"/>
    <w:rsid w:val="077F79DB"/>
    <w:rsid w:val="07EA006C"/>
    <w:rsid w:val="0A617A06"/>
    <w:rsid w:val="0AAF255D"/>
    <w:rsid w:val="0C6B7932"/>
    <w:rsid w:val="0CF21136"/>
    <w:rsid w:val="0E0D5381"/>
    <w:rsid w:val="0E945E04"/>
    <w:rsid w:val="0EB32883"/>
    <w:rsid w:val="10EB7A81"/>
    <w:rsid w:val="19E27D53"/>
    <w:rsid w:val="1BF028A3"/>
    <w:rsid w:val="1ECB6423"/>
    <w:rsid w:val="20F9098C"/>
    <w:rsid w:val="213F21C8"/>
    <w:rsid w:val="21BC6457"/>
    <w:rsid w:val="25B0039A"/>
    <w:rsid w:val="271820C9"/>
    <w:rsid w:val="2AD36197"/>
    <w:rsid w:val="2E745357"/>
    <w:rsid w:val="391D2F17"/>
    <w:rsid w:val="3A2C19C7"/>
    <w:rsid w:val="3B6C0AE8"/>
    <w:rsid w:val="3BA23B97"/>
    <w:rsid w:val="3BD27938"/>
    <w:rsid w:val="3C413794"/>
    <w:rsid w:val="3F596848"/>
    <w:rsid w:val="3FB01B0C"/>
    <w:rsid w:val="3FD630BA"/>
    <w:rsid w:val="412D7F21"/>
    <w:rsid w:val="42A2042E"/>
    <w:rsid w:val="436E0412"/>
    <w:rsid w:val="44012EA7"/>
    <w:rsid w:val="445C4C91"/>
    <w:rsid w:val="44D16DA2"/>
    <w:rsid w:val="48353F22"/>
    <w:rsid w:val="4A666012"/>
    <w:rsid w:val="4C5367F4"/>
    <w:rsid w:val="4C5C6276"/>
    <w:rsid w:val="4CA113BC"/>
    <w:rsid w:val="4D7548FC"/>
    <w:rsid w:val="50285E16"/>
    <w:rsid w:val="55164C95"/>
    <w:rsid w:val="56E752CF"/>
    <w:rsid w:val="5DB27BA4"/>
    <w:rsid w:val="5DF5585D"/>
    <w:rsid w:val="60EE5152"/>
    <w:rsid w:val="61D51558"/>
    <w:rsid w:val="66591655"/>
    <w:rsid w:val="68945C7A"/>
    <w:rsid w:val="6A782A9E"/>
    <w:rsid w:val="6BB22656"/>
    <w:rsid w:val="6BCA0BF0"/>
    <w:rsid w:val="6CF04D6D"/>
    <w:rsid w:val="6F40547B"/>
    <w:rsid w:val="6F6E10D7"/>
    <w:rsid w:val="6FAE15F8"/>
    <w:rsid w:val="7079216B"/>
    <w:rsid w:val="75FA2F6E"/>
    <w:rsid w:val="795D56A8"/>
    <w:rsid w:val="79991A95"/>
    <w:rsid w:val="7D252987"/>
    <w:rsid w:val="7DFF7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paragraph" w:customStyle="1" w:styleId="7">
    <w:name w:val="批注框文本1"/>
    <w:basedOn w:val="1"/>
    <w:link w:val="8"/>
    <w:qFormat/>
    <w:uiPriority w:val="0"/>
    <w:rPr>
      <w:sz w:val="18"/>
      <w:szCs w:val="18"/>
    </w:rPr>
  </w:style>
  <w:style w:type="character" w:customStyle="1" w:styleId="8">
    <w:name w:val="批注框文本 Char"/>
    <w:link w:val="7"/>
    <w:semiHidden/>
    <w:qFormat/>
    <w:uiPriority w:val="0"/>
    <w:rPr>
      <w:rFonts w:ascii="Times New Roman" w:hAnsi="Times New Roman" w:eastAsia="宋体" w:cs="Times New Roman"/>
      <w:sz w:val="18"/>
      <w:szCs w:val="18"/>
    </w:rPr>
  </w:style>
  <w:style w:type="character" w:customStyle="1" w:styleId="9">
    <w:name w:val="页脚 Char"/>
    <w:link w:val="2"/>
    <w:semiHidden/>
    <w:qFormat/>
    <w:uiPriority w:val="0"/>
    <w:rPr>
      <w:rFonts w:ascii="Times New Roman" w:hAnsi="Times New Roman" w:eastAsia="黑体" w:cs="Times New Roman"/>
      <w:snapToGrid w:val="0"/>
      <w:kern w:val="0"/>
      <w:sz w:val="18"/>
      <w:szCs w:val="18"/>
    </w:rPr>
  </w:style>
  <w:style w:type="character" w:customStyle="1" w:styleId="10">
    <w:name w:val="页眉 Char"/>
    <w:link w:val="3"/>
    <w:semiHidden/>
    <w:qFormat/>
    <w:uiPriority w:val="0"/>
    <w:rPr>
      <w:rFonts w:ascii="Times New Roman" w:hAnsi="Times New Roman" w:eastAsia="宋体" w:cs="Times New Roman"/>
      <w:sz w:val="18"/>
      <w:szCs w:val="18"/>
    </w:rPr>
  </w:style>
  <w:style w:type="character" w:customStyle="1" w:styleId="11">
    <w:name w:val="正文文本缩进 3 Char"/>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34</Pages>
  <Words>2117</Words>
  <Characters>12071</Characters>
  <Lines>100</Lines>
  <Paragraphs>28</Paragraphs>
  <TotalTime>18</TotalTime>
  <ScaleCrop>false</ScaleCrop>
  <LinksUpToDate>false</LinksUpToDate>
  <CharactersWithSpaces>14160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Administrator</cp:lastModifiedBy>
  <dcterms:modified xsi:type="dcterms:W3CDTF">2021-05-28T09:33:07Z</dcterms:modified>
  <dc:title>王怡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74A6F3E6F361433BB65E2207CFDF7011</vt:lpwstr>
  </property>
</Properties>
</file>