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highlight w:val="none"/>
        </w:rPr>
      </w:pPr>
      <w:r>
        <w:rPr>
          <w:rFonts w:hint="eastAsia" w:ascii="黑体" w:hAnsi="黑体" w:eastAsia="黑体"/>
          <w:sz w:val="32"/>
          <w:szCs w:val="32"/>
          <w:highlight w:val="none"/>
        </w:rPr>
        <w:t>附件：</w:t>
      </w:r>
    </w:p>
    <w:p>
      <w:pPr>
        <w:rPr>
          <w:highlight w:val="none"/>
        </w:rPr>
      </w:pPr>
    </w:p>
    <w:p>
      <w:pPr>
        <w:rPr>
          <w:highlight w:val="none"/>
        </w:rPr>
      </w:pPr>
    </w:p>
    <w:p>
      <w:pPr>
        <w:widowControl/>
        <w:spacing w:before="100" w:beforeAutospacing="1" w:after="100" w:afterAutospacing="1"/>
        <w:outlineLvl w:val="1"/>
        <w:rPr>
          <w:rFonts w:ascii="黑体" w:hAnsi="黑体" w:eastAsia="黑体" w:cs="宋体"/>
          <w:kern w:val="0"/>
          <w:sz w:val="32"/>
          <w:szCs w:val="32"/>
          <w:highlight w:val="none"/>
        </w:rPr>
      </w:pPr>
    </w:p>
    <w:p>
      <w:pPr>
        <w:widowControl/>
        <w:spacing w:before="100" w:beforeAutospacing="1" w:after="100" w:afterAutospacing="1"/>
        <w:outlineLvl w:val="1"/>
        <w:rPr>
          <w:rFonts w:ascii="黑体" w:hAnsi="黑体" w:eastAsia="黑体" w:cs="宋体"/>
          <w:kern w:val="0"/>
          <w:sz w:val="32"/>
          <w:szCs w:val="32"/>
          <w:highlight w:val="none"/>
        </w:rPr>
      </w:pPr>
    </w:p>
    <w:p>
      <w:pPr>
        <w:widowControl/>
        <w:spacing w:before="100" w:beforeAutospacing="1" w:after="100" w:afterAutospacing="1"/>
        <w:outlineLvl w:val="1"/>
        <w:rPr>
          <w:rFonts w:ascii="宋体" w:hAnsi="宋体" w:cs="宋体"/>
          <w:b/>
          <w:bCs/>
          <w:kern w:val="0"/>
          <w:sz w:val="44"/>
          <w:szCs w:val="44"/>
          <w:highlight w:val="none"/>
        </w:rPr>
      </w:pPr>
    </w:p>
    <w:p>
      <w:pPr>
        <w:widowControl/>
        <w:spacing w:before="100" w:beforeAutospacing="1" w:after="100" w:afterAutospacing="1"/>
        <w:jc w:val="center"/>
        <w:outlineLvl w:val="1"/>
        <w:rPr>
          <w:rFonts w:ascii="方正小标宋_GBK" w:hAnsi="宋体" w:eastAsia="方正小标宋_GBK"/>
          <w:kern w:val="0"/>
          <w:sz w:val="36"/>
          <w:szCs w:val="36"/>
          <w:highlight w:val="none"/>
        </w:rPr>
      </w:pPr>
      <w:r>
        <w:rPr>
          <w:rFonts w:hint="eastAsia" w:ascii="方正小标宋_GBK" w:hAnsi="宋体" w:eastAsia="方正小标宋_GBK"/>
          <w:kern w:val="0"/>
          <w:sz w:val="36"/>
          <w:szCs w:val="36"/>
          <w:highlight w:val="none"/>
        </w:rPr>
        <w:t>昌吉州人力资源和社会保障局2019年部门预算公开</w:t>
      </w: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before="100" w:beforeAutospacing="1" w:after="100" w:afterAutospacing="1"/>
        <w:jc w:val="center"/>
        <w:outlineLvl w:val="1"/>
        <w:rPr>
          <w:rFonts w:ascii="宋体" w:hAnsi="宋体"/>
          <w:b/>
          <w:kern w:val="0"/>
          <w:sz w:val="44"/>
          <w:szCs w:val="44"/>
          <w:highlight w:val="none"/>
        </w:rPr>
      </w:pPr>
    </w:p>
    <w:p>
      <w:pPr>
        <w:widowControl/>
        <w:spacing w:line="500" w:lineRule="exact"/>
        <w:jc w:val="center"/>
        <w:outlineLvl w:val="1"/>
        <w:rPr>
          <w:rFonts w:ascii="黑体" w:hAnsi="黑体" w:eastAsia="黑体"/>
          <w:kern w:val="0"/>
          <w:sz w:val="44"/>
          <w:szCs w:val="44"/>
          <w:highlight w:val="none"/>
        </w:rPr>
      </w:pPr>
      <w:r>
        <w:rPr>
          <w:rFonts w:hint="eastAsia" w:ascii="黑体" w:hAnsi="黑体" w:eastAsia="黑体"/>
          <w:kern w:val="0"/>
          <w:sz w:val="44"/>
          <w:szCs w:val="44"/>
          <w:highlight w:val="none"/>
        </w:rPr>
        <w:t>目录</w:t>
      </w:r>
    </w:p>
    <w:p>
      <w:pPr>
        <w:widowControl/>
        <w:spacing w:line="500" w:lineRule="exact"/>
        <w:jc w:val="center"/>
        <w:outlineLvl w:val="1"/>
        <w:rPr>
          <w:rFonts w:ascii="宋体" w:hAnsi="宋体"/>
          <w:b/>
          <w:kern w:val="0"/>
          <w:sz w:val="44"/>
          <w:szCs w:val="44"/>
          <w:highlight w:val="none"/>
        </w:rPr>
      </w:pP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第一部分  昌吉州人力资源和社会保障局部门单位概况</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一、主要职能</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二、机构设置及人员情况</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第二部分  2019年部门预算公开表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一、部门收支总体情况表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二、部门收入总体情况表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三、部门支出总体情况表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四、财政拨款收支总体情况表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五、一般公共预算支出情况表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六、一般公共预算基本支出情况表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w:t>
      </w:r>
      <w:r>
        <w:rPr>
          <w:rFonts w:hint="eastAsia" w:ascii="仿宋_GB2312" w:hAnsi="宋体" w:eastAsia="仿宋_GB2312"/>
          <w:bCs/>
          <w:kern w:val="0"/>
          <w:sz w:val="32"/>
          <w:szCs w:val="32"/>
          <w:highlight w:val="none"/>
        </w:rPr>
        <w:t>项目支出情况表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八、一般公共预算“三公”经费支出情况表</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九、政府性基金预算支出情况表</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第三部分  2019年部门预算情况说明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一、关于昌吉州人力资源和社会保障局部门2019年收支预算情况的总体说明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二、关于昌吉州人力资源和社会保障局部门2019年收入预算情况说明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三、关于昌吉州人力资源和社会保障局部门2019年支出预算情况说明</w:t>
      </w:r>
    </w:p>
    <w:p>
      <w:pPr>
        <w:widowControl/>
        <w:spacing w:line="460" w:lineRule="exact"/>
        <w:outlineLvl w:val="1"/>
        <w:rPr>
          <w:rFonts w:ascii="仿宋_GB2312" w:hAnsi="宋体" w:eastAsia="仿宋_GB2312"/>
          <w:bCs/>
          <w:kern w:val="0"/>
          <w:sz w:val="32"/>
          <w:szCs w:val="32"/>
          <w:highlight w:val="none"/>
        </w:rPr>
      </w:pPr>
      <w:r>
        <w:rPr>
          <w:rFonts w:hint="eastAsia" w:ascii="仿宋_GB2312" w:hAnsi="宋体" w:eastAsia="仿宋_GB2312"/>
          <w:bCs/>
          <w:kern w:val="0"/>
          <w:sz w:val="32"/>
          <w:szCs w:val="32"/>
          <w:highlight w:val="none"/>
        </w:rPr>
        <w:t>四、</w:t>
      </w:r>
      <w:r>
        <w:rPr>
          <w:rFonts w:hint="eastAsia" w:ascii="仿宋_GB2312" w:hAnsi="宋体" w:eastAsia="仿宋_GB2312"/>
          <w:kern w:val="0"/>
          <w:sz w:val="32"/>
          <w:szCs w:val="32"/>
          <w:highlight w:val="none"/>
        </w:rPr>
        <w:t>关于昌吉州人力资源和社会保障局部门2019年</w:t>
      </w:r>
      <w:r>
        <w:rPr>
          <w:rFonts w:hint="eastAsia" w:ascii="仿宋_GB2312" w:hAnsi="宋体" w:eastAsia="仿宋_GB2312"/>
          <w:bCs/>
          <w:kern w:val="0"/>
          <w:sz w:val="32"/>
          <w:szCs w:val="32"/>
          <w:highlight w:val="none"/>
        </w:rPr>
        <w:t>财政拨款收支预算情况的总体说明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五、关于昌吉州人力资源和社会保障局部门2019年一般公共预算当年拨款情况说明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六、关于昌吉州人力资源和社会保障局部门2019年一般公共预算基本支出情况说明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七、关于昌吉州人力资源和社会保障局部门2019年项目支出情况说明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八、关于昌吉州人力资源和社会保障局部门2019年一般公共预算“三公”经费预算情况说明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九、关于昌吉州人力资源和社会保障局部门2019年政府性基金预算拨款情况说明</w:t>
      </w:r>
    </w:p>
    <w:p>
      <w:pPr>
        <w:widowControl/>
        <w:spacing w:line="460" w:lineRule="exact"/>
        <w:outlineLvl w:val="1"/>
        <w:rPr>
          <w:rFonts w:ascii="仿宋_GB2312" w:hAnsi="宋体" w:eastAsia="仿宋_GB2312"/>
          <w:kern w:val="0"/>
          <w:sz w:val="32"/>
          <w:szCs w:val="32"/>
          <w:highlight w:val="none"/>
        </w:rPr>
      </w:pPr>
      <w:r>
        <w:rPr>
          <w:rFonts w:hint="eastAsia" w:ascii="仿宋_GB2312" w:hAnsi="宋体" w:eastAsia="仿宋_GB2312"/>
          <w:kern w:val="0"/>
          <w:sz w:val="32"/>
          <w:szCs w:val="32"/>
          <w:highlight w:val="none"/>
        </w:rPr>
        <w:t>十、其他重要事项的情况说明</w:t>
      </w:r>
    </w:p>
    <w:p>
      <w:pPr>
        <w:widowControl/>
        <w:spacing w:line="460" w:lineRule="exac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第四部分  名词解释</w:t>
      </w:r>
    </w:p>
    <w:p>
      <w:pPr>
        <w:widowControl/>
        <w:spacing w:line="460" w:lineRule="exact"/>
        <w:outlineLvl w:val="1"/>
        <w:rPr>
          <w:rFonts w:ascii="仿宋_GB2312" w:hAnsi="宋体" w:eastAsia="仿宋_GB2312"/>
          <w:b/>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hint="eastAsia" w:ascii="黑体" w:hAnsi="黑体" w:eastAsia="黑体"/>
          <w:kern w:val="0"/>
          <w:sz w:val="32"/>
          <w:szCs w:val="32"/>
          <w:highlight w:val="none"/>
        </w:rPr>
      </w:pPr>
    </w:p>
    <w:p>
      <w:pPr>
        <w:widowControl/>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第一部分   昌吉州人力资源和社会保障局部门单位概况</w:t>
      </w:r>
    </w:p>
    <w:p>
      <w:pPr>
        <w:widowControl/>
        <w:jc w:val="center"/>
        <w:outlineLvl w:val="1"/>
        <w:rPr>
          <w:rFonts w:ascii="宋体" w:hAnsi="宋体"/>
          <w:b/>
          <w:kern w:val="0"/>
          <w:sz w:val="32"/>
          <w:szCs w:val="32"/>
          <w:highlight w:val="none"/>
        </w:rPr>
      </w:pPr>
    </w:p>
    <w:p>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一、主要职能</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1、贯彻执行国家、自治区人力资源和社会保障事业发展规划、政策；拟订人力资源和社会保障相关措施并组织实施和监督检查。</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2、拟订并组织实施全州人力资源市场发展规划，组织实施人力资源流动政策，建立全州统一规范的人力资源市场，促进人力资源合理流动、有效配置。</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3、负责促进就业和创业工作。拟订统筹城乡就业和创业发展规划，组织实施城乡就业政策，完善公共就业和创业服务体系；组织落实就业援助制度、职业资格制度相关政策，统筹建立面向城乡劳动者的职业培训制度；组织落实高校毕业生就业政策，会同有关部门组织实施高技能人才、农村实用人才培养和激励政策。</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4、统筹建立覆盖城乡的社会保障体系，组织实施城乡社会保险及其它保险政策。组织实施城乡社会保险及其补充保险政策和标准；统筹实施企事业单位基本养老保险政策；会同有关部门拟订社会保险及其补充保险基金管理和监督办法，审核全州社会保险基金预决算草案；拟订全州社会保险基金保值增值方案。</w:t>
      </w:r>
    </w:p>
    <w:p>
      <w:pPr>
        <w:spacing w:line="540" w:lineRule="exact"/>
        <w:ind w:firstLine="480" w:firstLineChars="150"/>
        <w:rPr>
          <w:rFonts w:ascii="仿宋_GB2312" w:hAnsi="宋体" w:eastAsia="仿宋_GB2312"/>
          <w:sz w:val="32"/>
          <w:szCs w:val="32"/>
          <w:highlight w:val="none"/>
        </w:rPr>
      </w:pPr>
      <w:r>
        <w:rPr>
          <w:rFonts w:hint="eastAsia" w:ascii="仿宋_GB2312" w:hAnsi="宋体" w:eastAsia="仿宋_GB2312"/>
          <w:sz w:val="32"/>
          <w:szCs w:val="32"/>
          <w:highlight w:val="none"/>
        </w:rPr>
        <w:t xml:space="preserve"> 5、负责就业、失业、社会保险基金预测预警和信息引导；拟订应对预案，实施预防、调节和控制，保持就业形势稳定和社会保险基金总体收支平衡。</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6、会同有关部门落实机关、事业单位人员工资收入分配制度改革实施意见，落实国家、自治区机关企事业单位人员工资正常增长和支付保障政策；组织落实机关企事业单位人员福利和离退休政策；参与州级企业劳动模范评定工作。</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7、会同有关部门指导事业单位人事制度改革，组织落实事业单位人员和机关工勤人员管理政策，参与人才开发管理工作，组织落实专业技术人员管理和继续教育政策；牵头推进深化职称制度改革工作；负责全州博士后管理工作；负责全州专业技术人才选拔和培养工作。</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8、会同有关部门组织落实军队转业干部安置政策，拟定军队转业干部安置计划，负责军队转业干部教育培训工作，组织落实企业军队转业干部解困和稳定政策，负责自主择业军队转业干部管理服务工作。</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9、负责行政机关公务员综合管理；拟订有关人员调配政策和特殊人员安置政策；会同有关部门组织落实国家荣誉制度，拟订并组织实施政府奖励制度。</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10、会同有关部门组织落实农民工工作综合性政策，拟订农民工工作规划，协调解决重点难点问题，维护农民工合法权益。</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11、统筹实施劳动、人事争议调解仲裁制度；组织落实劳动关系政策，完善劳动关系协调机制；监督落实消除非法使用童工政策和女工、未成年工的特殊劳动保护政策；组织实施劳动监察，协调劳动者维权工作，依法查处重大案件。</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12、综合管理外国专家工作；负责管理全州引进国(境)外人才和智力工作；综合管理来本州工作的外国专家；负责来本州工作的优秀外国专家表彰奖励工作；组织开展国际交流与合作工作；归口管理全州出国(境)培训工作。</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13、受理全州人力资源和社会保障方面信访事项，拟订信访维稳工作预案;会同有关部门协调处理有关劳动、人事方面的重大信访事件或突发事件。</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14、承担全州人力资源和社会保障系统的宣传、培训、统计和信息工作。组织建设全州人力资源和社会保障系统信息网络，定期发布人力资源和社会保障系统事业统计公报、信息资料及发展预测报告。</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15、指导、监督各县市人力资源和社会保障行政部门、各直属单位的人力资源和社会保障管理工作；指导所属相关学会、协会等社团工作。</w:t>
      </w:r>
    </w:p>
    <w:p>
      <w:pPr>
        <w:spacing w:line="540" w:lineRule="exact"/>
        <w:ind w:firstLine="640" w:firstLineChars="200"/>
        <w:rPr>
          <w:rFonts w:ascii="仿宋_GB2312" w:hAnsi="宋体" w:eastAsia="仿宋_GB2312"/>
          <w:sz w:val="32"/>
          <w:szCs w:val="32"/>
          <w:highlight w:val="none"/>
        </w:rPr>
      </w:pPr>
      <w:r>
        <w:rPr>
          <w:rFonts w:hint="eastAsia" w:ascii="仿宋_GB2312" w:hAnsi="宋体" w:eastAsia="仿宋_GB2312"/>
          <w:sz w:val="32"/>
          <w:szCs w:val="32"/>
          <w:highlight w:val="none"/>
        </w:rPr>
        <w:t>16、承办自治州人民政府交办的其他事项。</w:t>
      </w:r>
    </w:p>
    <w:p>
      <w:pPr>
        <w:widowControl/>
        <w:spacing w:line="560" w:lineRule="exact"/>
        <w:jc w:val="left"/>
        <w:rPr>
          <w:rFonts w:ascii="黑体" w:hAnsi="黑体" w:eastAsia="黑体" w:cs="宋体"/>
          <w:bCs/>
          <w:kern w:val="0"/>
          <w:sz w:val="32"/>
          <w:szCs w:val="32"/>
          <w:highlight w:val="none"/>
        </w:rPr>
      </w:pPr>
      <w:r>
        <w:rPr>
          <w:rFonts w:hint="eastAsia" w:ascii="仿宋_GB2312" w:hAnsi="宋体" w:eastAsia="仿宋_GB2312" w:cs="宋体"/>
          <w:kern w:val="0"/>
          <w:sz w:val="32"/>
          <w:szCs w:val="32"/>
          <w:highlight w:val="none"/>
        </w:rPr>
        <w:t xml:space="preserve">　  </w:t>
      </w:r>
      <w:r>
        <w:rPr>
          <w:rFonts w:hint="eastAsia" w:ascii="黑体" w:hAnsi="黑体" w:eastAsia="黑体" w:cs="宋体"/>
          <w:bCs/>
          <w:kern w:val="0"/>
          <w:sz w:val="32"/>
          <w:szCs w:val="32"/>
          <w:highlight w:val="none"/>
        </w:rPr>
        <w:t>二、机构设置及人员情况</w:t>
      </w:r>
    </w:p>
    <w:p>
      <w:pPr>
        <w:widowControl/>
        <w:spacing w:line="56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从预算单位构成看，昌吉回族自治州人力资源和社会保障局部门的部门预算包括：州人社局本级预算及下属5家预算单位在内的汇总预算。</w:t>
      </w:r>
    </w:p>
    <w:p>
      <w:pPr>
        <w:widowControl/>
        <w:spacing w:line="560" w:lineRule="exact"/>
        <w:ind w:firstLine="640" w:firstLineChars="200"/>
        <w:jc w:val="left"/>
        <w:rPr>
          <w:rFonts w:ascii="仿宋_GB2312" w:hAnsi="宋体" w:eastAsia="仿宋_GB2312"/>
          <w:sz w:val="32"/>
          <w:szCs w:val="32"/>
          <w:highlight w:val="none"/>
        </w:rPr>
      </w:pPr>
      <w:r>
        <w:rPr>
          <w:rFonts w:hint="eastAsia" w:ascii="仿宋_GB2312" w:hAnsi="宋体" w:eastAsia="仿宋_GB2312" w:cs="宋体"/>
          <w:kern w:val="0"/>
          <w:sz w:val="32"/>
          <w:szCs w:val="32"/>
          <w:highlight w:val="none"/>
        </w:rPr>
        <w:t>昌吉回族自治州人力资源和社会保障局部门本级</w:t>
      </w:r>
      <w:r>
        <w:rPr>
          <w:rFonts w:hint="eastAsia" w:ascii="仿宋_GB2312" w:hAnsi="黑体" w:eastAsia="仿宋_GB2312" w:cs="宋体"/>
          <w:bCs/>
          <w:kern w:val="0"/>
          <w:sz w:val="32"/>
          <w:szCs w:val="32"/>
          <w:highlight w:val="none"/>
        </w:rPr>
        <w:t>下设17个内设处室，分别是：</w:t>
      </w:r>
      <w:r>
        <w:rPr>
          <w:rFonts w:hint="eastAsia" w:ascii="仿宋_GB2312" w:hAnsi="宋体" w:eastAsia="仿宋_GB2312"/>
          <w:sz w:val="32"/>
          <w:szCs w:val="32"/>
          <w:highlight w:val="none"/>
        </w:rPr>
        <w:t>办公室、法规科、规划财务科、人力资源开发管理科、军官转业安置科、就业促进科、职业能力建设科、专业技术人员管理科、事业单位人事管理科、农民工工作科、劳动关系和工资福利科、养老保险科、医疗生育保险科、工伤保险科、农村社会保险科、调解仲裁管理科、劳动监察科。</w:t>
      </w:r>
    </w:p>
    <w:p>
      <w:pPr>
        <w:widowControl/>
        <w:spacing w:line="56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本部门中，行政单位2家，参公管理事业单位1家,事业单位3家，纳入昌吉回族自治州人力资源和社会保障局2018年部门预算编制范围的二级预算单位包括：</w:t>
      </w:r>
    </w:p>
    <w:p>
      <w:pPr>
        <w:widowControl/>
        <w:spacing w:line="560" w:lineRule="exact"/>
        <w:ind w:firstLine="640"/>
        <w:jc w:val="left"/>
        <w:rPr>
          <w:rFonts w:ascii="仿宋_GB2312" w:hAnsi="宋体" w:eastAsia="仿宋_GB2312"/>
          <w:sz w:val="32"/>
          <w:szCs w:val="32"/>
          <w:highlight w:val="none"/>
        </w:rPr>
      </w:pPr>
      <w:r>
        <w:rPr>
          <w:rFonts w:hint="eastAsia" w:ascii="仿宋_GB2312" w:hAnsi="宋体" w:eastAsia="仿宋_GB2312" w:cs="宋体"/>
          <w:kern w:val="0"/>
          <w:sz w:val="32"/>
          <w:szCs w:val="32"/>
          <w:highlight w:val="none"/>
        </w:rPr>
        <w:t>1.</w:t>
      </w:r>
      <w:r>
        <w:rPr>
          <w:rFonts w:hint="eastAsia" w:ascii="仿宋_GB2312" w:hAnsi="宋体" w:eastAsia="仿宋_GB2312"/>
          <w:sz w:val="32"/>
          <w:szCs w:val="32"/>
          <w:highlight w:val="none"/>
        </w:rPr>
        <w:t>昌吉州公务员局</w:t>
      </w:r>
    </w:p>
    <w:p>
      <w:pPr>
        <w:widowControl/>
        <w:spacing w:line="560" w:lineRule="exact"/>
        <w:ind w:firstLine="640"/>
        <w:jc w:val="left"/>
        <w:rPr>
          <w:rFonts w:ascii="仿宋_GB2312" w:hAnsi="宋体" w:eastAsia="仿宋_GB2312"/>
          <w:sz w:val="32"/>
          <w:szCs w:val="32"/>
          <w:highlight w:val="none"/>
        </w:rPr>
      </w:pPr>
      <w:r>
        <w:rPr>
          <w:rFonts w:hint="eastAsia" w:ascii="仿宋_GB2312" w:hAnsi="宋体" w:eastAsia="仿宋_GB2312" w:cs="宋体"/>
          <w:kern w:val="0"/>
          <w:sz w:val="32"/>
          <w:szCs w:val="32"/>
          <w:highlight w:val="none"/>
        </w:rPr>
        <w:t>2.</w:t>
      </w:r>
      <w:r>
        <w:rPr>
          <w:rFonts w:hint="eastAsia" w:ascii="仿宋_GB2312" w:hAnsi="宋体" w:eastAsia="仿宋_GB2312"/>
          <w:sz w:val="32"/>
          <w:szCs w:val="32"/>
          <w:highlight w:val="none"/>
        </w:rPr>
        <w:t>昌吉州劳动监察大队</w:t>
      </w:r>
    </w:p>
    <w:p>
      <w:pPr>
        <w:widowControl/>
        <w:spacing w:line="560" w:lineRule="exact"/>
        <w:ind w:firstLine="640"/>
        <w:jc w:val="left"/>
        <w:rPr>
          <w:rFonts w:ascii="仿宋_GB2312" w:hAnsi="宋体" w:eastAsia="仿宋_GB2312"/>
          <w:sz w:val="32"/>
          <w:szCs w:val="32"/>
          <w:highlight w:val="none"/>
        </w:rPr>
      </w:pPr>
      <w:r>
        <w:rPr>
          <w:rFonts w:hint="eastAsia" w:ascii="仿宋_GB2312" w:hAnsi="宋体" w:eastAsia="仿宋_GB2312"/>
          <w:sz w:val="32"/>
          <w:szCs w:val="32"/>
          <w:highlight w:val="none"/>
        </w:rPr>
        <w:t>3.昌吉州劳动保障信息中心</w:t>
      </w:r>
    </w:p>
    <w:p>
      <w:pPr>
        <w:widowControl/>
        <w:spacing w:line="560" w:lineRule="exact"/>
        <w:ind w:firstLine="640"/>
        <w:jc w:val="left"/>
        <w:rPr>
          <w:rFonts w:ascii="仿宋_GB2312" w:hAnsi="宋体" w:eastAsia="仿宋_GB2312"/>
          <w:sz w:val="32"/>
          <w:szCs w:val="32"/>
          <w:highlight w:val="none"/>
        </w:rPr>
      </w:pPr>
      <w:r>
        <w:rPr>
          <w:rFonts w:hint="eastAsia" w:ascii="仿宋_GB2312" w:hAnsi="宋体" w:eastAsia="仿宋_GB2312"/>
          <w:sz w:val="32"/>
          <w:szCs w:val="32"/>
          <w:highlight w:val="none"/>
        </w:rPr>
        <w:t>4.昌吉州劳动能力鉴定中心</w:t>
      </w:r>
    </w:p>
    <w:p>
      <w:pPr>
        <w:widowControl/>
        <w:spacing w:line="560" w:lineRule="exact"/>
        <w:ind w:firstLine="640"/>
        <w:jc w:val="left"/>
        <w:rPr>
          <w:rFonts w:ascii="仿宋_GB2312" w:hAnsi="宋体" w:eastAsia="仿宋_GB2312"/>
          <w:sz w:val="32"/>
          <w:szCs w:val="32"/>
          <w:highlight w:val="none"/>
        </w:rPr>
      </w:pPr>
      <w:r>
        <w:rPr>
          <w:rFonts w:hint="eastAsia" w:ascii="仿宋_GB2312" w:hAnsi="宋体" w:eastAsia="仿宋_GB2312"/>
          <w:sz w:val="32"/>
          <w:szCs w:val="32"/>
          <w:highlight w:val="none"/>
        </w:rPr>
        <w:t>5.昌吉州劳动人事争议仲裁院</w:t>
      </w:r>
    </w:p>
    <w:p>
      <w:pPr>
        <w:widowControl/>
        <w:spacing w:line="56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昌吉回族自治州人力资源和社会保障局编制数91，实有人数</w:t>
      </w:r>
      <w:r>
        <w:rPr>
          <w:rFonts w:hint="eastAsia" w:ascii="仿宋_GB2312" w:hAnsi="宋体" w:eastAsia="仿宋_GB2312" w:cs="宋体"/>
          <w:kern w:val="0"/>
          <w:sz w:val="32"/>
          <w:szCs w:val="32"/>
          <w:highlight w:val="none"/>
          <w:lang w:val="en-US" w:eastAsia="zh-CN"/>
        </w:rPr>
        <w:t>123</w:t>
      </w:r>
      <w:r>
        <w:rPr>
          <w:rFonts w:hint="eastAsia" w:ascii="仿宋_GB2312" w:hAnsi="宋体" w:eastAsia="仿宋_GB2312" w:cs="宋体"/>
          <w:kern w:val="0"/>
          <w:sz w:val="32"/>
          <w:szCs w:val="32"/>
          <w:highlight w:val="none"/>
        </w:rPr>
        <w:t>人，其中：在职80人，减少8人；退休42人，增加4人；离休1人，增加0人。</w:t>
      </w: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hint="eastAsia" w:ascii="黑体" w:hAnsi="黑体" w:eastAsia="黑体"/>
          <w:kern w:val="0"/>
          <w:sz w:val="32"/>
          <w:szCs w:val="32"/>
          <w:highlight w:val="none"/>
        </w:rPr>
      </w:pPr>
    </w:p>
    <w:p>
      <w:pPr>
        <w:widowControl/>
        <w:spacing w:before="120"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第二部分 2019年部门预算公开表</w:t>
      </w:r>
    </w:p>
    <w:p>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表一：</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部门收支总体情况表</w:t>
      </w:r>
    </w:p>
    <w:p>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编制部门：昌吉州人力资源和社会保障局               单位：万元</w:t>
      </w:r>
    </w:p>
    <w:tbl>
      <w:tblPr>
        <w:tblStyle w:val="4"/>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highlight w:val="none"/>
              </w:rPr>
            </w:pPr>
            <w:r>
              <w:rPr>
                <w:rFonts w:hint="eastAsia" w:ascii="仿宋_GB2312" w:hAnsi="宋体" w:eastAsia="仿宋_GB2312" w:cs="宋体"/>
                <w:b/>
                <w:bCs/>
                <w:kern w:val="0"/>
                <w:sz w:val="24"/>
                <w:highlight w:val="none"/>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1632.91</w:t>
            </w:r>
          </w:p>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p>
            <w:pPr>
              <w:widowControl/>
              <w:spacing w:line="300" w:lineRule="exact"/>
              <w:jc w:val="left"/>
              <w:rPr>
                <w:rFonts w:hint="eastAsia" w:ascii="仿宋_GB2312" w:hAnsi="宋体" w:eastAsia="仿宋_GB2312" w:cs="宋体"/>
                <w:kern w:val="0"/>
                <w:sz w:val="18"/>
                <w:szCs w:val="18"/>
                <w:highlight w:val="none"/>
              </w:rPr>
            </w:pPr>
          </w:p>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p>
            <w:pPr>
              <w:widowControl/>
              <w:spacing w:line="300" w:lineRule="exact"/>
              <w:jc w:val="left"/>
              <w:rPr>
                <w:rFonts w:hint="eastAsia" w:ascii="仿宋_GB2312" w:hAnsi="宋体" w:eastAsia="仿宋_GB2312" w:cs="宋体"/>
                <w:kern w:val="0"/>
                <w:sz w:val="18"/>
                <w:szCs w:val="18"/>
                <w:highlight w:val="none"/>
              </w:rPr>
            </w:pP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1632.91</w:t>
            </w:r>
          </w:p>
        </w:tc>
      </w:tr>
      <w:tr>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highlight w:val="none"/>
              </w:rPr>
            </w:pPr>
            <w:r>
              <w:rPr>
                <w:rFonts w:hint="eastAsia" w:ascii="仿宋_GB2312" w:hAnsi="宋体" w:eastAsia="仿宋_GB2312" w:cs="宋体"/>
                <w:kern w:val="0"/>
                <w:sz w:val="18"/>
                <w:szCs w:val="18"/>
                <w:highlight w:val="none"/>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20"/>
                <w:szCs w:val="20"/>
                <w:highlight w:val="none"/>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　</w:t>
            </w:r>
          </w:p>
        </w:tc>
        <w:tc>
          <w:tcPr>
            <w:tcW w:w="2693" w:type="dxa"/>
            <w:tcBorders>
              <w:top w:val="nil"/>
              <w:left w:val="nil"/>
              <w:bottom w:val="single" w:color="auto" w:sz="4" w:space="0"/>
              <w:right w:val="nil"/>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　</w:t>
            </w:r>
          </w:p>
        </w:tc>
      </w:tr>
    </w:tbl>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表二：</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部门收入总体情况表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填报部门：昌吉州人力资源和社会保障局             单位：万元</w:t>
      </w:r>
    </w:p>
    <w:tbl>
      <w:tblPr>
        <w:tblStyle w:val="4"/>
        <w:tblW w:w="9483" w:type="dxa"/>
        <w:tblInd w:w="93" w:type="dxa"/>
        <w:tblLayout w:type="fixed"/>
        <w:tblCellMar>
          <w:top w:w="0" w:type="dxa"/>
          <w:left w:w="108" w:type="dxa"/>
          <w:bottom w:w="0" w:type="dxa"/>
          <w:right w:w="108" w:type="dxa"/>
        </w:tblCellMar>
      </w:tblPr>
      <w:tblGrid>
        <w:gridCol w:w="594"/>
        <w:gridCol w:w="480"/>
        <w:gridCol w:w="519"/>
        <w:gridCol w:w="2055"/>
        <w:gridCol w:w="945"/>
        <w:gridCol w:w="960"/>
        <w:gridCol w:w="465"/>
        <w:gridCol w:w="480"/>
        <w:gridCol w:w="405"/>
        <w:gridCol w:w="435"/>
        <w:gridCol w:w="405"/>
        <w:gridCol w:w="780"/>
        <w:gridCol w:w="960"/>
      </w:tblGrid>
      <w:tr>
        <w:tblPrEx>
          <w:tblCellMar>
            <w:top w:w="0" w:type="dxa"/>
            <w:left w:w="108" w:type="dxa"/>
            <w:bottom w:w="0" w:type="dxa"/>
            <w:right w:w="108" w:type="dxa"/>
          </w:tblCellMar>
        </w:tblPrEx>
        <w:trPr>
          <w:trHeight w:val="510" w:hRule="atLeast"/>
        </w:trPr>
        <w:tc>
          <w:tcPr>
            <w:tcW w:w="159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highlight w:val="none"/>
              </w:rPr>
            </w:pPr>
            <w:r>
              <w:rPr>
                <w:rFonts w:hint="eastAsia" w:ascii="仿宋_GB2312" w:eastAsia="仿宋_GB2312"/>
                <w:b/>
                <w:color w:val="000000"/>
                <w:sz w:val="20"/>
                <w:szCs w:val="20"/>
                <w:highlight w:val="none"/>
              </w:rPr>
              <w:t>功能分类科目</w:t>
            </w:r>
          </w:p>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编码</w:t>
            </w:r>
          </w:p>
        </w:tc>
        <w:tc>
          <w:tcPr>
            <w:tcW w:w="205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功能分类科目名称</w:t>
            </w:r>
          </w:p>
        </w:tc>
        <w:tc>
          <w:tcPr>
            <w:tcW w:w="94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总  计</w:t>
            </w:r>
          </w:p>
        </w:tc>
        <w:tc>
          <w:tcPr>
            <w:tcW w:w="96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一般公共预算拨款</w:t>
            </w:r>
          </w:p>
        </w:tc>
        <w:tc>
          <w:tcPr>
            <w:tcW w:w="46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政府性基金预算拨款</w:t>
            </w:r>
          </w:p>
        </w:tc>
        <w:tc>
          <w:tcPr>
            <w:tcW w:w="48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财政专户管理资金</w:t>
            </w:r>
          </w:p>
        </w:tc>
        <w:tc>
          <w:tcPr>
            <w:tcW w:w="40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事业收入</w:t>
            </w:r>
          </w:p>
        </w:tc>
        <w:tc>
          <w:tcPr>
            <w:tcW w:w="43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事业单位经营收入</w:t>
            </w:r>
          </w:p>
        </w:tc>
        <w:tc>
          <w:tcPr>
            <w:tcW w:w="40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其他收入</w:t>
            </w:r>
          </w:p>
        </w:tc>
        <w:tc>
          <w:tcPr>
            <w:tcW w:w="78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用事业基金弥补收支差额</w:t>
            </w:r>
          </w:p>
        </w:tc>
        <w:tc>
          <w:tcPr>
            <w:tcW w:w="96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highlight w:val="none"/>
              </w:rPr>
            </w:pPr>
            <w:r>
              <w:rPr>
                <w:rFonts w:hint="eastAsia" w:ascii="仿宋_GB2312" w:eastAsia="仿宋_GB2312"/>
                <w:b/>
                <w:color w:val="000000"/>
                <w:sz w:val="18"/>
                <w:szCs w:val="18"/>
                <w:highlight w:val="none"/>
              </w:rPr>
              <w:t>单位上年结余（不包括国库集中支付额度结余）</w:t>
            </w:r>
          </w:p>
        </w:tc>
      </w:tr>
      <w:tr>
        <w:tblPrEx>
          <w:tblCellMar>
            <w:top w:w="0" w:type="dxa"/>
            <w:left w:w="108" w:type="dxa"/>
            <w:bottom w:w="0" w:type="dxa"/>
            <w:right w:w="108" w:type="dxa"/>
          </w:tblCellMar>
        </w:tblPrEx>
        <w:trPr>
          <w:trHeight w:val="41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类</w:t>
            </w:r>
          </w:p>
        </w:tc>
        <w:tc>
          <w:tcPr>
            <w:tcW w:w="480"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款</w:t>
            </w:r>
          </w:p>
        </w:tc>
        <w:tc>
          <w:tcPr>
            <w:tcW w:w="519"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highlight w:val="none"/>
              </w:rPr>
            </w:pPr>
            <w:r>
              <w:rPr>
                <w:rFonts w:hint="eastAsia" w:ascii="仿宋_GB2312" w:eastAsia="仿宋_GB2312"/>
                <w:b/>
                <w:color w:val="000000"/>
                <w:sz w:val="20"/>
                <w:szCs w:val="20"/>
                <w:highlight w:val="none"/>
              </w:rPr>
              <w:t>项</w:t>
            </w:r>
          </w:p>
        </w:tc>
        <w:tc>
          <w:tcPr>
            <w:tcW w:w="205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4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46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48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40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43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405"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78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c>
          <w:tcPr>
            <w:tcW w:w="960" w:type="dxa"/>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519"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2055" w:type="dxa"/>
            <w:tcBorders>
              <w:top w:val="nil"/>
              <w:left w:val="nil"/>
              <w:bottom w:val="single" w:color="auto" w:sz="4" w:space="0"/>
              <w:right w:val="single" w:color="auto" w:sz="4" w:space="0"/>
            </w:tcBorders>
            <w:shd w:val="clear" w:color="auto" w:fill="auto"/>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行政运行</w:t>
            </w:r>
          </w:p>
        </w:tc>
        <w:tc>
          <w:tcPr>
            <w:tcW w:w="945" w:type="dxa"/>
            <w:tcBorders>
              <w:top w:val="nil"/>
              <w:left w:val="nil"/>
              <w:bottom w:val="single" w:color="auto" w:sz="4" w:space="0"/>
              <w:right w:val="single" w:color="auto" w:sz="4" w:space="0"/>
            </w:tcBorders>
            <w:shd w:val="clear" w:color="000000" w:fill="FFFFFF"/>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1332.91</w:t>
            </w:r>
          </w:p>
        </w:tc>
        <w:tc>
          <w:tcPr>
            <w:tcW w:w="960" w:type="dxa"/>
            <w:tcBorders>
              <w:top w:val="nil"/>
              <w:left w:val="nil"/>
              <w:bottom w:val="single" w:color="auto" w:sz="4" w:space="0"/>
              <w:right w:val="single" w:color="auto" w:sz="4" w:space="0"/>
            </w:tcBorders>
            <w:shd w:val="clear" w:color="000000" w:fill="FFFFFF"/>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1332.91</w:t>
            </w:r>
          </w:p>
        </w:tc>
        <w:tc>
          <w:tcPr>
            <w:tcW w:w="465" w:type="dxa"/>
            <w:tcBorders>
              <w:top w:val="nil"/>
              <w:left w:val="nil"/>
              <w:bottom w:val="single" w:color="auto" w:sz="4" w:space="0"/>
              <w:right w:val="single" w:color="auto" w:sz="4" w:space="0"/>
            </w:tcBorders>
            <w:shd w:val="clear" w:color="000000" w:fill="FFFFFF"/>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shd w:val="clear" w:color="000000" w:fill="FFFFFF"/>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shd w:val="clear" w:color="000000" w:fill="FFFFFF"/>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shd w:val="clear" w:color="000000" w:fill="FFFFFF"/>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shd w:val="clear" w:color="000000" w:fill="FFFFFF"/>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shd w:val="clear" w:color="000000" w:fill="FFFFFF"/>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shd w:val="clear" w:color="000000" w:fill="FFFFFF"/>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一般行政管理事务</w:t>
            </w: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240</w:t>
            </w: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240</w:t>
            </w: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05</w:t>
            </w: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劳动保障监察</w:t>
            </w: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w:t>
            </w: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w:t>
            </w: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07</w:t>
            </w: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社会保险业务管理事务</w:t>
            </w: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w:t>
            </w: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w:t>
            </w: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08</w:t>
            </w: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信息化建设</w:t>
            </w: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12</w:t>
            </w: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12</w:t>
            </w: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12</w:t>
            </w: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劳动人事争议调解仲裁</w:t>
            </w: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w:t>
            </w: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w:t>
            </w: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51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05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合计</w:t>
            </w:r>
          </w:p>
        </w:tc>
        <w:tc>
          <w:tcPr>
            <w:tcW w:w="94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46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3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0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7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9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bl>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表三：</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部门支出总体情况表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编制部门：  昌吉州人力资源和社会保障局                          单位：万元</w:t>
      </w:r>
    </w:p>
    <w:tbl>
      <w:tblPr>
        <w:tblStyle w:val="4"/>
        <w:tblW w:w="9229" w:type="dxa"/>
        <w:tblInd w:w="93" w:type="dxa"/>
        <w:tblLayout w:type="fixed"/>
        <w:tblCellMar>
          <w:top w:w="0" w:type="dxa"/>
          <w:left w:w="108" w:type="dxa"/>
          <w:bottom w:w="0" w:type="dxa"/>
          <w:right w:w="108" w:type="dxa"/>
        </w:tblCellMar>
      </w:tblPr>
      <w:tblGrid>
        <w:gridCol w:w="582"/>
        <w:gridCol w:w="480"/>
        <w:gridCol w:w="495"/>
        <w:gridCol w:w="2760"/>
        <w:gridCol w:w="1650"/>
        <w:gridCol w:w="1549"/>
        <w:gridCol w:w="1713"/>
      </w:tblGrid>
      <w:tr>
        <w:tblPrEx>
          <w:tblCellMar>
            <w:top w:w="0" w:type="dxa"/>
            <w:left w:w="108" w:type="dxa"/>
            <w:bottom w:w="0" w:type="dxa"/>
            <w:right w:w="108" w:type="dxa"/>
          </w:tblCellMar>
        </w:tblPrEx>
        <w:trPr>
          <w:trHeight w:val="345" w:hRule="atLeast"/>
        </w:trPr>
        <w:tc>
          <w:tcPr>
            <w:tcW w:w="4317" w:type="dxa"/>
            <w:gridSpan w:val="4"/>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项目</w:t>
            </w:r>
          </w:p>
        </w:tc>
        <w:tc>
          <w:tcPr>
            <w:tcW w:w="4912" w:type="dxa"/>
            <w:gridSpan w:val="3"/>
            <w:tcBorders>
              <w:top w:val="single" w:color="auto" w:sz="4" w:space="0"/>
              <w:left w:val="nil"/>
              <w:bottom w:val="single" w:color="auto" w:sz="4" w:space="0"/>
              <w:right w:val="single" w:color="000000"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支出预算</w:t>
            </w:r>
          </w:p>
        </w:tc>
      </w:tr>
      <w:tr>
        <w:tblPrEx>
          <w:tblCellMar>
            <w:top w:w="0" w:type="dxa"/>
            <w:left w:w="108" w:type="dxa"/>
            <w:bottom w:w="0" w:type="dxa"/>
            <w:right w:w="108" w:type="dxa"/>
          </w:tblCellMar>
        </w:tblPrEx>
        <w:trPr>
          <w:trHeight w:val="480" w:hRule="atLeast"/>
        </w:trPr>
        <w:tc>
          <w:tcPr>
            <w:tcW w:w="1557"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功能分类科目编码</w:t>
            </w:r>
          </w:p>
        </w:tc>
        <w:tc>
          <w:tcPr>
            <w:tcW w:w="2760" w:type="dxa"/>
            <w:vMerge w:val="restart"/>
            <w:tcBorders>
              <w:top w:val="nil"/>
              <w:left w:val="single" w:color="auto" w:sz="4" w:space="0"/>
              <w:bottom w:val="single" w:color="000000"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功能分类科目名称</w:t>
            </w:r>
          </w:p>
        </w:tc>
        <w:tc>
          <w:tcPr>
            <w:tcW w:w="1650" w:type="dxa"/>
            <w:vMerge w:val="restart"/>
            <w:tcBorders>
              <w:top w:val="nil"/>
              <w:left w:val="single" w:color="auto" w:sz="4" w:space="0"/>
              <w:bottom w:val="single" w:color="000000"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合计</w:t>
            </w:r>
          </w:p>
        </w:tc>
        <w:tc>
          <w:tcPr>
            <w:tcW w:w="1549" w:type="dxa"/>
            <w:vMerge w:val="restart"/>
            <w:tcBorders>
              <w:top w:val="nil"/>
              <w:left w:val="single" w:color="auto" w:sz="4" w:space="0"/>
              <w:bottom w:val="single" w:color="000000"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项目支出</w:t>
            </w:r>
          </w:p>
        </w:tc>
      </w:tr>
      <w:tr>
        <w:tblPrEx>
          <w:tblCellMar>
            <w:top w:w="0" w:type="dxa"/>
            <w:left w:w="108" w:type="dxa"/>
            <w:bottom w:w="0" w:type="dxa"/>
            <w:right w:w="108" w:type="dxa"/>
          </w:tblCellMar>
        </w:tblPrEx>
        <w:trPr>
          <w:trHeight w:val="300" w:hRule="atLeast"/>
        </w:trPr>
        <w:tc>
          <w:tcPr>
            <w:tcW w:w="582"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类</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款</w:t>
            </w:r>
          </w:p>
        </w:tc>
        <w:tc>
          <w:tcPr>
            <w:tcW w:w="49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项</w:t>
            </w:r>
          </w:p>
        </w:tc>
        <w:tc>
          <w:tcPr>
            <w:tcW w:w="2760"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1650"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1549"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9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27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行政运行</w:t>
            </w:r>
          </w:p>
        </w:tc>
        <w:tc>
          <w:tcPr>
            <w:tcW w:w="165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1332.91</w:t>
            </w:r>
          </w:p>
        </w:tc>
        <w:tc>
          <w:tcPr>
            <w:tcW w:w="154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1332.91</w:t>
            </w:r>
          </w:p>
        </w:tc>
        <w:tc>
          <w:tcPr>
            <w:tcW w:w="171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9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27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一般行政管理事务</w:t>
            </w:r>
          </w:p>
        </w:tc>
        <w:tc>
          <w:tcPr>
            <w:tcW w:w="165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240</w:t>
            </w:r>
          </w:p>
        </w:tc>
        <w:tc>
          <w:tcPr>
            <w:tcW w:w="154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71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240</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9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05</w:t>
            </w:r>
          </w:p>
        </w:tc>
        <w:tc>
          <w:tcPr>
            <w:tcW w:w="27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劳动保障监察</w:t>
            </w:r>
          </w:p>
        </w:tc>
        <w:tc>
          <w:tcPr>
            <w:tcW w:w="165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w:t>
            </w:r>
          </w:p>
        </w:tc>
        <w:tc>
          <w:tcPr>
            <w:tcW w:w="154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71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9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07</w:t>
            </w:r>
          </w:p>
        </w:tc>
        <w:tc>
          <w:tcPr>
            <w:tcW w:w="27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社会保险业务管理事务</w:t>
            </w:r>
          </w:p>
        </w:tc>
        <w:tc>
          <w:tcPr>
            <w:tcW w:w="165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w:t>
            </w:r>
          </w:p>
        </w:tc>
        <w:tc>
          <w:tcPr>
            <w:tcW w:w="154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71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9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08</w:t>
            </w:r>
          </w:p>
        </w:tc>
        <w:tc>
          <w:tcPr>
            <w:tcW w:w="27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信息化建设</w:t>
            </w:r>
          </w:p>
        </w:tc>
        <w:tc>
          <w:tcPr>
            <w:tcW w:w="165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12</w:t>
            </w:r>
          </w:p>
        </w:tc>
        <w:tc>
          <w:tcPr>
            <w:tcW w:w="154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71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12</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9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12</w:t>
            </w:r>
          </w:p>
        </w:tc>
        <w:tc>
          <w:tcPr>
            <w:tcW w:w="27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劳动人事争议调解仲裁</w:t>
            </w:r>
          </w:p>
        </w:tc>
        <w:tc>
          <w:tcPr>
            <w:tcW w:w="165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w:t>
            </w:r>
          </w:p>
        </w:tc>
        <w:tc>
          <w:tcPr>
            <w:tcW w:w="154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71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48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495"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276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650"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54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713"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r>
      <w:tr>
        <w:tblPrEx>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8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495"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76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合计</w:t>
            </w:r>
          </w:p>
        </w:tc>
        <w:tc>
          <w:tcPr>
            <w:tcW w:w="1650"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1549"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1332.91</w:t>
            </w:r>
          </w:p>
        </w:tc>
        <w:tc>
          <w:tcPr>
            <w:tcW w:w="1713" w:type="dxa"/>
            <w:tcBorders>
              <w:top w:val="nil"/>
              <w:left w:val="nil"/>
              <w:bottom w:val="single" w:color="auto" w:sz="4" w:space="0"/>
              <w:right w:val="single" w:color="auto" w:sz="4" w:space="0"/>
            </w:tcBorders>
            <w:vAlign w:val="center"/>
          </w:tcPr>
          <w:p>
            <w:pPr>
              <w:widowControl/>
              <w:spacing w:line="30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300</w:t>
            </w:r>
          </w:p>
        </w:tc>
      </w:tr>
    </w:tbl>
    <w:p>
      <w:pPr>
        <w:widowControl/>
        <w:spacing w:before="120" w:beforeLines="50"/>
        <w:outlineLvl w:val="1"/>
        <w:rPr>
          <w:rFonts w:ascii="仿宋_GB2312" w:hAnsi="宋体" w:eastAsia="仿宋_GB2312"/>
          <w:b/>
          <w:kern w:val="0"/>
          <w:sz w:val="32"/>
          <w:szCs w:val="32"/>
          <w:highlight w:val="none"/>
        </w:rPr>
      </w:pPr>
    </w:p>
    <w:p>
      <w:pPr>
        <w:widowControl/>
        <w:spacing w:before="120" w:beforeLines="50"/>
        <w:outlineLvl w:val="1"/>
        <w:rPr>
          <w:rFonts w:ascii="仿宋_GB2312" w:hAnsi="宋体" w:eastAsia="仿宋_GB2312"/>
          <w:b/>
          <w:kern w:val="0"/>
          <w:sz w:val="32"/>
          <w:szCs w:val="32"/>
          <w:highlight w:val="none"/>
        </w:rPr>
      </w:pPr>
    </w:p>
    <w:p>
      <w:pPr>
        <w:widowControl/>
        <w:spacing w:before="120" w:beforeLines="50"/>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表四：</w:t>
      </w:r>
    </w:p>
    <w:p>
      <w:pPr>
        <w:widowControl/>
        <w:spacing w:before="120" w:beforeLines="50"/>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财政拨款收支预算总体情况表</w:t>
      </w:r>
    </w:p>
    <w:p>
      <w:pPr>
        <w:widowControl/>
        <w:spacing w:before="120" w:beforeLines="50"/>
        <w:outlineLvl w:val="1"/>
        <w:rPr>
          <w:rFonts w:ascii="仿宋_GB2312" w:hAnsi="宋体" w:eastAsia="仿宋_GB2312"/>
          <w:kern w:val="0"/>
          <w:sz w:val="28"/>
          <w:szCs w:val="28"/>
          <w:highlight w:val="none"/>
        </w:rPr>
      </w:pPr>
      <w:r>
        <w:rPr>
          <w:rFonts w:hint="eastAsia" w:ascii="仿宋_GB2312" w:hAnsi="宋体" w:eastAsia="仿宋_GB2312"/>
          <w:kern w:val="0"/>
          <w:sz w:val="28"/>
          <w:szCs w:val="28"/>
          <w:highlight w:val="none"/>
        </w:rPr>
        <w:t>编制部门：</w:t>
      </w:r>
      <w:r>
        <w:rPr>
          <w:rFonts w:hint="eastAsia" w:ascii="仿宋_GB2312" w:hAnsi="宋体" w:eastAsia="仿宋_GB2312"/>
          <w:kern w:val="0"/>
          <w:sz w:val="24"/>
          <w:highlight w:val="none"/>
        </w:rPr>
        <w:t>昌吉州人力资源和社会保障局</w:t>
      </w:r>
      <w:r>
        <w:rPr>
          <w:rFonts w:hint="eastAsia" w:ascii="仿宋_GB2312" w:hAnsi="宋体" w:eastAsia="仿宋_GB2312"/>
          <w:kern w:val="0"/>
          <w:sz w:val="28"/>
          <w:szCs w:val="28"/>
          <w:highlight w:val="none"/>
        </w:rPr>
        <w:t xml:space="preserve">              单位：万元</w:t>
      </w:r>
    </w:p>
    <w:tbl>
      <w:tblPr>
        <w:tblStyle w:val="4"/>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项    目</w:t>
            </w:r>
          </w:p>
        </w:tc>
        <w:tc>
          <w:tcPr>
            <w:tcW w:w="123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合计</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功  能  分  类</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合计</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一般公共预算</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财政拨款（补助）</w:t>
            </w:r>
          </w:p>
        </w:tc>
        <w:tc>
          <w:tcPr>
            <w:tcW w:w="123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201 一般公共服务支出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一般公共预算</w:t>
            </w:r>
          </w:p>
        </w:tc>
        <w:tc>
          <w:tcPr>
            <w:tcW w:w="123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202 外交支出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203 国防支出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204 公共安全支出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205 教育支出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206 科学技术支出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207 文化体育与传媒支出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 社会保障和就业支出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209 社会保险基金支出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210 医疗卫生与计划生育支出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211 节能环保支出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212 城乡社区支出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213 农林水支出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214 交通运输支出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215 资源勘探信息等支出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216 商业服务业等支出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217 金融支出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219 援助其他地区支出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220 国土资源气象等支出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221 住房保障支出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222 粮油物资管理支出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223 国有资本经营预算支出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227 预备费</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229 其他支出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231 债务还本支出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232 债务付息支出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bottom"/>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233 债务发行费支出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小       计</w:t>
            </w:r>
          </w:p>
        </w:tc>
        <w:tc>
          <w:tcPr>
            <w:tcW w:w="123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1632.91</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小           计</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23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230 转移性支出</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收  入  总  计</w:t>
            </w:r>
          </w:p>
        </w:tc>
        <w:tc>
          <w:tcPr>
            <w:tcW w:w="123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　</w:t>
            </w:r>
          </w:p>
        </w:tc>
        <w:tc>
          <w:tcPr>
            <w:tcW w:w="225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支  出  总  计</w:t>
            </w:r>
          </w:p>
        </w:tc>
        <w:tc>
          <w:tcPr>
            <w:tcW w:w="1294"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1418"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141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r>
    </w:tbl>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表五：</w:t>
      </w:r>
    </w:p>
    <w:tbl>
      <w:tblPr>
        <w:tblStyle w:val="4"/>
        <w:tblW w:w="8892" w:type="dxa"/>
        <w:tblInd w:w="93" w:type="dxa"/>
        <w:tblLayout w:type="fixed"/>
        <w:tblCellMar>
          <w:top w:w="0" w:type="dxa"/>
          <w:left w:w="108" w:type="dxa"/>
          <w:bottom w:w="0" w:type="dxa"/>
          <w:right w:w="108" w:type="dxa"/>
        </w:tblCellMar>
      </w:tblPr>
      <w:tblGrid>
        <w:gridCol w:w="582"/>
        <w:gridCol w:w="465"/>
        <w:gridCol w:w="480"/>
        <w:gridCol w:w="2625"/>
        <w:gridCol w:w="1608"/>
        <w:gridCol w:w="57"/>
        <w:gridCol w:w="1569"/>
        <w:gridCol w:w="1506"/>
      </w:tblGrid>
      <w:tr>
        <w:tblPrEx>
          <w:tblCellMar>
            <w:top w:w="0" w:type="dxa"/>
            <w:left w:w="108" w:type="dxa"/>
            <w:bottom w:w="0" w:type="dxa"/>
            <w:right w:w="108" w:type="dxa"/>
          </w:tblCellMar>
        </w:tblPrEx>
        <w:trPr>
          <w:trHeight w:val="450" w:hRule="atLeast"/>
        </w:trPr>
        <w:tc>
          <w:tcPr>
            <w:tcW w:w="8892"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一般公共预算支出情况表</w:t>
            </w:r>
          </w:p>
        </w:tc>
      </w:tr>
      <w:tr>
        <w:tblPrEx>
          <w:tblCellMar>
            <w:top w:w="0" w:type="dxa"/>
            <w:left w:w="108" w:type="dxa"/>
            <w:bottom w:w="0" w:type="dxa"/>
            <w:right w:w="108" w:type="dxa"/>
          </w:tblCellMar>
        </w:tblPrEx>
        <w:trPr>
          <w:trHeight w:val="285" w:hRule="atLeast"/>
        </w:trPr>
        <w:tc>
          <w:tcPr>
            <w:tcW w:w="4152"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rPr>
              <w:t>昌吉州人力资源和社会保障局</w:t>
            </w:r>
          </w:p>
        </w:tc>
        <w:tc>
          <w:tcPr>
            <w:tcW w:w="1608"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3132" w:type="dxa"/>
            <w:gridSpan w:val="3"/>
            <w:tcBorders>
              <w:top w:val="nil"/>
              <w:left w:val="nil"/>
              <w:bottom w:val="nil"/>
              <w:right w:val="nil"/>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CellMar>
            <w:top w:w="0" w:type="dxa"/>
            <w:left w:w="108" w:type="dxa"/>
            <w:bottom w:w="0" w:type="dxa"/>
            <w:right w:w="108" w:type="dxa"/>
          </w:tblCellMar>
        </w:tblPrEx>
        <w:trPr>
          <w:trHeight w:val="405" w:hRule="atLeast"/>
        </w:trPr>
        <w:tc>
          <w:tcPr>
            <w:tcW w:w="4152" w:type="dxa"/>
            <w:gridSpan w:val="4"/>
            <w:tcBorders>
              <w:top w:val="single" w:color="auto" w:sz="4" w:space="0"/>
              <w:left w:val="single" w:color="auto" w:sz="4" w:space="0"/>
              <w:bottom w:val="single" w:color="auto" w:sz="4" w:space="0"/>
              <w:right w:val="single" w:color="000000"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项目</w:t>
            </w:r>
          </w:p>
        </w:tc>
        <w:tc>
          <w:tcPr>
            <w:tcW w:w="4740" w:type="dxa"/>
            <w:gridSpan w:val="4"/>
            <w:tcBorders>
              <w:top w:val="single" w:color="auto" w:sz="4" w:space="0"/>
              <w:left w:val="nil"/>
              <w:bottom w:val="single" w:color="auto" w:sz="4" w:space="0"/>
              <w:right w:val="single" w:color="000000"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一般公共预算支出</w:t>
            </w:r>
          </w:p>
        </w:tc>
      </w:tr>
      <w:tr>
        <w:tblPrEx>
          <w:tblCellMar>
            <w:top w:w="0" w:type="dxa"/>
            <w:left w:w="108" w:type="dxa"/>
            <w:bottom w:w="0" w:type="dxa"/>
            <w:right w:w="108" w:type="dxa"/>
          </w:tblCellMar>
        </w:tblPrEx>
        <w:trPr>
          <w:trHeight w:val="465" w:hRule="atLeast"/>
        </w:trPr>
        <w:tc>
          <w:tcPr>
            <w:tcW w:w="1527" w:type="dxa"/>
            <w:gridSpan w:val="3"/>
            <w:tcBorders>
              <w:top w:val="single" w:color="auto" w:sz="4" w:space="0"/>
              <w:left w:val="single" w:color="auto" w:sz="4" w:space="0"/>
              <w:bottom w:val="single" w:color="auto" w:sz="4" w:space="0"/>
              <w:right w:val="single" w:color="000000"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功能分类科目编码</w:t>
            </w:r>
          </w:p>
        </w:tc>
        <w:tc>
          <w:tcPr>
            <w:tcW w:w="2625" w:type="dxa"/>
            <w:vMerge w:val="restart"/>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功能分类科目名称</w:t>
            </w:r>
          </w:p>
        </w:tc>
        <w:tc>
          <w:tcPr>
            <w:tcW w:w="1665" w:type="dxa"/>
            <w:gridSpan w:val="2"/>
            <w:vMerge w:val="restart"/>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小计</w:t>
            </w:r>
          </w:p>
        </w:tc>
        <w:tc>
          <w:tcPr>
            <w:tcW w:w="1569" w:type="dxa"/>
            <w:vMerge w:val="restart"/>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基本支出</w:t>
            </w:r>
          </w:p>
        </w:tc>
        <w:tc>
          <w:tcPr>
            <w:tcW w:w="1506" w:type="dxa"/>
            <w:vMerge w:val="restart"/>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项目支出</w:t>
            </w:r>
          </w:p>
        </w:tc>
      </w:tr>
      <w:tr>
        <w:tblPrEx>
          <w:tblCellMar>
            <w:top w:w="0" w:type="dxa"/>
            <w:left w:w="108" w:type="dxa"/>
            <w:bottom w:w="0" w:type="dxa"/>
            <w:right w:w="108" w:type="dxa"/>
          </w:tblCellMar>
        </w:tblPrEx>
        <w:trPr>
          <w:trHeight w:val="30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类</w:t>
            </w:r>
          </w:p>
        </w:tc>
        <w:tc>
          <w:tcPr>
            <w:tcW w:w="46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款</w:t>
            </w:r>
          </w:p>
        </w:tc>
        <w:tc>
          <w:tcPr>
            <w:tcW w:w="48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项</w:t>
            </w:r>
          </w:p>
        </w:tc>
        <w:tc>
          <w:tcPr>
            <w:tcW w:w="2625"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p>
        </w:tc>
        <w:tc>
          <w:tcPr>
            <w:tcW w:w="1665"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p>
        </w:tc>
        <w:tc>
          <w:tcPr>
            <w:tcW w:w="1569"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p>
        </w:tc>
        <w:tc>
          <w:tcPr>
            <w:tcW w:w="1506"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8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262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行政运行</w:t>
            </w:r>
          </w:p>
        </w:tc>
        <w:tc>
          <w:tcPr>
            <w:tcW w:w="1665"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1332.91</w:t>
            </w:r>
          </w:p>
        </w:tc>
        <w:tc>
          <w:tcPr>
            <w:tcW w:w="156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1332.91</w:t>
            </w:r>
          </w:p>
        </w:tc>
        <w:tc>
          <w:tcPr>
            <w:tcW w:w="1506"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8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02</w:t>
            </w:r>
          </w:p>
        </w:tc>
        <w:tc>
          <w:tcPr>
            <w:tcW w:w="262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一般行政管理事务</w:t>
            </w:r>
          </w:p>
        </w:tc>
        <w:tc>
          <w:tcPr>
            <w:tcW w:w="1665"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240</w:t>
            </w:r>
          </w:p>
        </w:tc>
        <w:tc>
          <w:tcPr>
            <w:tcW w:w="156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506"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240</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8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05</w:t>
            </w:r>
          </w:p>
        </w:tc>
        <w:tc>
          <w:tcPr>
            <w:tcW w:w="262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劳动保障监察</w:t>
            </w:r>
          </w:p>
        </w:tc>
        <w:tc>
          <w:tcPr>
            <w:tcW w:w="1665"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w:t>
            </w:r>
          </w:p>
        </w:tc>
        <w:tc>
          <w:tcPr>
            <w:tcW w:w="156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506"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15</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8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07</w:t>
            </w:r>
          </w:p>
        </w:tc>
        <w:tc>
          <w:tcPr>
            <w:tcW w:w="262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社会保险业务管理事务</w:t>
            </w:r>
          </w:p>
        </w:tc>
        <w:tc>
          <w:tcPr>
            <w:tcW w:w="1665"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w:t>
            </w:r>
          </w:p>
        </w:tc>
        <w:tc>
          <w:tcPr>
            <w:tcW w:w="156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506"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8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08</w:t>
            </w:r>
          </w:p>
        </w:tc>
        <w:tc>
          <w:tcPr>
            <w:tcW w:w="262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信息化建设</w:t>
            </w:r>
          </w:p>
        </w:tc>
        <w:tc>
          <w:tcPr>
            <w:tcW w:w="1665"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12</w:t>
            </w:r>
          </w:p>
        </w:tc>
        <w:tc>
          <w:tcPr>
            <w:tcW w:w="156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506"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12</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208</w:t>
            </w:r>
          </w:p>
        </w:tc>
        <w:tc>
          <w:tcPr>
            <w:tcW w:w="46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01</w:t>
            </w:r>
          </w:p>
        </w:tc>
        <w:tc>
          <w:tcPr>
            <w:tcW w:w="48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12</w:t>
            </w:r>
          </w:p>
        </w:tc>
        <w:tc>
          <w:tcPr>
            <w:tcW w:w="262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劳动人事争议调解仲裁</w:t>
            </w:r>
          </w:p>
        </w:tc>
        <w:tc>
          <w:tcPr>
            <w:tcW w:w="1665"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w:t>
            </w:r>
          </w:p>
        </w:tc>
        <w:tc>
          <w:tcPr>
            <w:tcW w:w="156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0</w:t>
            </w:r>
          </w:p>
        </w:tc>
        <w:tc>
          <w:tcPr>
            <w:tcW w:w="1506"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62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65"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6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0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62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65"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6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0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62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65"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6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0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62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65"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6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0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62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65"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6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0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62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65"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6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0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62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65"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6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0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262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665"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6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c>
          <w:tcPr>
            <w:tcW w:w="150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r>
              <w:rPr>
                <w:rFonts w:hint="eastAsia" w:ascii="宋体" w:hAnsi="宋体" w:cs="宋体"/>
                <w:color w:val="000000"/>
                <w:kern w:val="0"/>
                <w:sz w:val="20"/>
                <w:szCs w:val="20"/>
                <w:highlight w:val="none"/>
              </w:rPr>
              <w:t>　</w:t>
            </w: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6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48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262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665"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56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c>
          <w:tcPr>
            <w:tcW w:w="150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highlight w:val="none"/>
              </w:rPr>
            </w:pPr>
          </w:p>
        </w:tc>
      </w:tr>
      <w:tr>
        <w:tblPrEx>
          <w:tblCellMar>
            <w:top w:w="0" w:type="dxa"/>
            <w:left w:w="108" w:type="dxa"/>
            <w:bottom w:w="0" w:type="dxa"/>
            <w:right w:w="108" w:type="dxa"/>
          </w:tblCellMar>
        </w:tblPrEx>
        <w:trPr>
          <w:trHeight w:val="45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p>
        </w:tc>
        <w:tc>
          <w:tcPr>
            <w:tcW w:w="46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p>
        </w:tc>
        <w:tc>
          <w:tcPr>
            <w:tcW w:w="480"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p>
        </w:tc>
        <w:tc>
          <w:tcPr>
            <w:tcW w:w="262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合计</w:t>
            </w:r>
          </w:p>
        </w:tc>
        <w:tc>
          <w:tcPr>
            <w:tcW w:w="1665"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1632.91</w:t>
            </w:r>
          </w:p>
        </w:tc>
        <w:tc>
          <w:tcPr>
            <w:tcW w:w="1569"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1332.91</w:t>
            </w:r>
          </w:p>
        </w:tc>
        <w:tc>
          <w:tcPr>
            <w:tcW w:w="1506"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300</w:t>
            </w:r>
          </w:p>
        </w:tc>
      </w:tr>
    </w:tbl>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表六：</w:t>
      </w:r>
    </w:p>
    <w:tbl>
      <w:tblPr>
        <w:tblStyle w:val="4"/>
        <w:tblW w:w="8800" w:type="dxa"/>
        <w:tblInd w:w="93" w:type="dxa"/>
        <w:tblLayout w:type="fixed"/>
        <w:tblCellMar>
          <w:top w:w="0" w:type="dxa"/>
          <w:left w:w="108" w:type="dxa"/>
          <w:bottom w:w="0" w:type="dxa"/>
          <w:right w:w="108" w:type="dxa"/>
        </w:tblCellMar>
      </w:tblPr>
      <w:tblGrid>
        <w:gridCol w:w="663"/>
        <w:gridCol w:w="567"/>
        <w:gridCol w:w="3555"/>
        <w:gridCol w:w="302"/>
        <w:gridCol w:w="877"/>
        <w:gridCol w:w="841"/>
        <w:gridCol w:w="538"/>
        <w:gridCol w:w="1457"/>
      </w:tblGrid>
      <w:tr>
        <w:tblPrEx>
          <w:tblCellMar>
            <w:top w:w="0" w:type="dxa"/>
            <w:left w:w="108" w:type="dxa"/>
            <w:bottom w:w="0" w:type="dxa"/>
            <w:right w:w="108" w:type="dxa"/>
          </w:tblCellMar>
        </w:tblPrEx>
        <w:trPr>
          <w:trHeight w:val="521" w:hRule="atLeast"/>
        </w:trPr>
        <w:tc>
          <w:tcPr>
            <w:tcW w:w="8800"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一般公共预算基本支出情况表</w:t>
            </w:r>
          </w:p>
        </w:tc>
      </w:tr>
      <w:tr>
        <w:tblPrEx>
          <w:tblCellMar>
            <w:top w:w="0" w:type="dxa"/>
            <w:left w:w="108" w:type="dxa"/>
            <w:bottom w:w="0" w:type="dxa"/>
            <w:right w:w="108" w:type="dxa"/>
          </w:tblCellMar>
        </w:tblPrEx>
        <w:trPr>
          <w:trHeight w:val="292" w:hRule="atLeast"/>
        </w:trPr>
        <w:tc>
          <w:tcPr>
            <w:tcW w:w="4785" w:type="dxa"/>
            <w:gridSpan w:val="3"/>
            <w:tcBorders>
              <w:top w:val="nil"/>
              <w:left w:val="nil"/>
              <w:bottom w:val="nil"/>
              <w:right w:val="nil"/>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编制部门：昌吉州人力资源和社会保障局</w:t>
            </w:r>
          </w:p>
        </w:tc>
        <w:tc>
          <w:tcPr>
            <w:tcW w:w="302" w:type="dxa"/>
            <w:tcBorders>
              <w:top w:val="nil"/>
              <w:left w:val="nil"/>
              <w:bottom w:val="nil"/>
              <w:right w:val="nil"/>
            </w:tcBorders>
            <w:vAlign w:val="center"/>
          </w:tcPr>
          <w:p>
            <w:pPr>
              <w:widowControl/>
              <w:jc w:val="left"/>
              <w:rPr>
                <w:rFonts w:hint="eastAsia" w:ascii="仿宋_GB2312" w:hAnsi="宋体" w:eastAsia="仿宋_GB2312" w:cs="宋体"/>
                <w:kern w:val="0"/>
                <w:sz w:val="18"/>
                <w:szCs w:val="18"/>
                <w:highlight w:val="none"/>
              </w:rPr>
            </w:pPr>
          </w:p>
        </w:tc>
        <w:tc>
          <w:tcPr>
            <w:tcW w:w="1718" w:type="dxa"/>
            <w:gridSpan w:val="2"/>
            <w:tcBorders>
              <w:top w:val="nil"/>
              <w:left w:val="nil"/>
              <w:bottom w:val="nil"/>
              <w:right w:val="nil"/>
            </w:tcBorders>
            <w:vAlign w:val="center"/>
          </w:tcPr>
          <w:p>
            <w:pPr>
              <w:widowControl/>
              <w:jc w:val="left"/>
              <w:rPr>
                <w:rFonts w:hint="eastAsia" w:ascii="仿宋_GB2312" w:hAnsi="宋体" w:eastAsia="仿宋_GB2312" w:cs="宋体"/>
                <w:kern w:val="0"/>
                <w:sz w:val="18"/>
                <w:szCs w:val="18"/>
                <w:highlight w:val="none"/>
              </w:rPr>
            </w:pPr>
          </w:p>
        </w:tc>
        <w:tc>
          <w:tcPr>
            <w:tcW w:w="1995" w:type="dxa"/>
            <w:gridSpan w:val="2"/>
            <w:tcBorders>
              <w:top w:val="nil"/>
              <w:left w:val="nil"/>
              <w:bottom w:val="nil"/>
              <w:right w:val="nil"/>
            </w:tcBorders>
            <w:vAlign w:val="center"/>
          </w:tcPr>
          <w:p>
            <w:pPr>
              <w:widowControl/>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单位：万元</w:t>
            </w:r>
          </w:p>
        </w:tc>
      </w:tr>
      <w:tr>
        <w:tblPrEx>
          <w:tblCellMar>
            <w:top w:w="0" w:type="dxa"/>
            <w:left w:w="108" w:type="dxa"/>
            <w:bottom w:w="0" w:type="dxa"/>
            <w:right w:w="108" w:type="dxa"/>
          </w:tblCellMar>
        </w:tblPrEx>
        <w:trPr>
          <w:trHeight w:val="326" w:hRule="atLeast"/>
        </w:trPr>
        <w:tc>
          <w:tcPr>
            <w:tcW w:w="4785" w:type="dxa"/>
            <w:gridSpan w:val="3"/>
            <w:tcBorders>
              <w:top w:val="single" w:color="auto" w:sz="4" w:space="0"/>
              <w:left w:val="single" w:color="auto" w:sz="4" w:space="0"/>
              <w:bottom w:val="single" w:color="auto" w:sz="4" w:space="0"/>
              <w:right w:val="single" w:color="000000"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项目</w:t>
            </w:r>
          </w:p>
        </w:tc>
        <w:tc>
          <w:tcPr>
            <w:tcW w:w="4015" w:type="dxa"/>
            <w:gridSpan w:val="5"/>
            <w:tcBorders>
              <w:top w:val="single" w:color="auto" w:sz="4" w:space="0"/>
              <w:left w:val="nil"/>
              <w:bottom w:val="single" w:color="auto" w:sz="4" w:space="0"/>
              <w:right w:val="single" w:color="000000"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一般公共预算基本支出</w:t>
            </w:r>
          </w:p>
        </w:tc>
      </w:tr>
      <w:tr>
        <w:tblPrEx>
          <w:tblCellMar>
            <w:top w:w="0" w:type="dxa"/>
            <w:left w:w="108" w:type="dxa"/>
            <w:bottom w:w="0" w:type="dxa"/>
            <w:right w:w="108" w:type="dxa"/>
          </w:tblCellMar>
        </w:tblPrEx>
        <w:trPr>
          <w:trHeight w:val="620" w:hRule="atLeast"/>
        </w:trPr>
        <w:tc>
          <w:tcPr>
            <w:tcW w:w="1230" w:type="dxa"/>
            <w:gridSpan w:val="2"/>
            <w:tcBorders>
              <w:top w:val="single" w:color="auto" w:sz="4" w:space="0"/>
              <w:left w:val="single" w:color="auto" w:sz="4" w:space="0"/>
              <w:bottom w:val="single" w:color="auto" w:sz="4" w:space="0"/>
              <w:right w:val="nil"/>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经济分类科目编码</w:t>
            </w:r>
          </w:p>
        </w:tc>
        <w:tc>
          <w:tcPr>
            <w:tcW w:w="3555" w:type="dxa"/>
            <w:vMerge w:val="restart"/>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经济分类科目名称</w:t>
            </w:r>
          </w:p>
        </w:tc>
        <w:tc>
          <w:tcPr>
            <w:tcW w:w="1179" w:type="dxa"/>
            <w:gridSpan w:val="2"/>
            <w:vMerge w:val="restart"/>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小计</w:t>
            </w:r>
          </w:p>
        </w:tc>
        <w:tc>
          <w:tcPr>
            <w:tcW w:w="1379" w:type="dxa"/>
            <w:gridSpan w:val="2"/>
            <w:vMerge w:val="restart"/>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人员经费</w:t>
            </w:r>
          </w:p>
        </w:tc>
        <w:tc>
          <w:tcPr>
            <w:tcW w:w="1457" w:type="dxa"/>
            <w:vMerge w:val="restart"/>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公用经费</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类</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款</w:t>
            </w:r>
          </w:p>
        </w:tc>
        <w:tc>
          <w:tcPr>
            <w:tcW w:w="3555"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p>
        </w:tc>
        <w:tc>
          <w:tcPr>
            <w:tcW w:w="117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p>
        </w:tc>
        <w:tc>
          <w:tcPr>
            <w:tcW w:w="137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p>
        </w:tc>
        <w:tc>
          <w:tcPr>
            <w:tcW w:w="1457" w:type="dxa"/>
            <w:vMerge w:val="continue"/>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301</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基本工资</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350.95</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350.95</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301</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02</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津贴补贴</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168.26</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168.26</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301</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03</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奖金</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23.65</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23.65</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301</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06</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伙食补助费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102.06</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102.06</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301</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07</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绩效工资</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49.21</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49.21</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301</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08</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机关事业单位基本养老保险缴费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118.42</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118.42</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301</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职工基本医疗保险缴费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80.18</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80.18</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301</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11</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公务员医疗补助缴费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62.36</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62.36</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301</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12</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其他社会保障缴费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2.39</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2.39</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301</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13</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住房公积金</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71.05</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71.05</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301</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99</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其他工资福利支出</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2.61</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2.61</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办公费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19.99</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19.99</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02</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印刷费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5</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5</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05</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水费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0.5</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0.5</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06</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电费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7</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7</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07</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邮电费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6.35</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6.35</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08</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取暖费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60</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60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11</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差旅费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7</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7</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13</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维修(护)费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26</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劳务费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12</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12</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28</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工会经费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7.02</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7.02</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29</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福利费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1.5</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1.5</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31</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公务车运行维护费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15.4</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15.4</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302</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99</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其他商品和服务支出</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13.66</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13.66</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303</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离休费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11.26</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11.26</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303</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05</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生活补助</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98.19</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98.19</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303</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07</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医疗费补助</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1.2</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1.2</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303</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09</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奖励金</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3.4</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3.4</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26"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303</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14</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职工住宅取暖费</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12.3</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12.3</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w:t>
            </w:r>
          </w:p>
        </w:tc>
      </w:tr>
      <w:tr>
        <w:tblPrEx>
          <w:tblCellMar>
            <w:top w:w="0" w:type="dxa"/>
            <w:left w:w="108" w:type="dxa"/>
            <w:bottom w:w="0" w:type="dxa"/>
            <w:right w:w="108" w:type="dxa"/>
          </w:tblCellMar>
        </w:tblPrEx>
        <w:trPr>
          <w:trHeight w:val="361" w:hRule="atLeast"/>
        </w:trPr>
        <w:tc>
          <w:tcPr>
            <w:tcW w:w="663" w:type="dxa"/>
            <w:tcBorders>
              <w:top w:val="nil"/>
              <w:left w:val="single" w:color="auto" w:sz="4" w:space="0"/>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56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3555"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合计</w:t>
            </w:r>
          </w:p>
        </w:tc>
        <w:tc>
          <w:tcPr>
            <w:tcW w:w="11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1332.91</w:t>
            </w:r>
          </w:p>
        </w:tc>
        <w:tc>
          <w:tcPr>
            <w:tcW w:w="1379" w:type="dxa"/>
            <w:gridSpan w:val="2"/>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1157.49</w:t>
            </w:r>
          </w:p>
        </w:tc>
        <w:tc>
          <w:tcPr>
            <w:tcW w:w="1457" w:type="dxa"/>
            <w:tcBorders>
              <w:top w:val="nil"/>
              <w:left w:val="nil"/>
              <w:bottom w:val="single" w:color="auto" w:sz="4" w:space="0"/>
              <w:right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175.42</w:t>
            </w:r>
          </w:p>
        </w:tc>
      </w:tr>
    </w:tbl>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表七：</w:t>
      </w:r>
    </w:p>
    <w:tbl>
      <w:tblPr>
        <w:tblStyle w:val="4"/>
        <w:tblW w:w="9463" w:type="dxa"/>
        <w:tblInd w:w="91" w:type="dxa"/>
        <w:tblLayout w:type="fixed"/>
        <w:tblCellMar>
          <w:top w:w="0" w:type="dxa"/>
          <w:left w:w="108" w:type="dxa"/>
          <w:bottom w:w="0" w:type="dxa"/>
          <w:right w:w="108" w:type="dxa"/>
        </w:tblCellMar>
      </w:tblPr>
      <w:tblGrid>
        <w:gridCol w:w="730"/>
        <w:gridCol w:w="438"/>
        <w:gridCol w:w="438"/>
        <w:gridCol w:w="1024"/>
        <w:gridCol w:w="2274"/>
        <w:gridCol w:w="585"/>
        <w:gridCol w:w="293"/>
        <w:gridCol w:w="585"/>
        <w:gridCol w:w="387"/>
        <w:gridCol w:w="387"/>
        <w:gridCol w:w="387"/>
        <w:gridCol w:w="387"/>
        <w:gridCol w:w="387"/>
        <w:gridCol w:w="387"/>
        <w:gridCol w:w="387"/>
        <w:gridCol w:w="387"/>
      </w:tblGrid>
      <w:tr>
        <w:tblPrEx>
          <w:tblCellMar>
            <w:top w:w="0" w:type="dxa"/>
            <w:left w:w="108" w:type="dxa"/>
            <w:bottom w:w="0" w:type="dxa"/>
            <w:right w:w="108" w:type="dxa"/>
          </w:tblCellMar>
        </w:tblPrEx>
        <w:trPr>
          <w:gridAfter w:val="1"/>
          <w:wAfter w:w="387" w:type="dxa"/>
          <w:trHeight w:val="375" w:hRule="atLeast"/>
        </w:trPr>
        <w:tc>
          <w:tcPr>
            <w:tcW w:w="9076" w:type="dxa"/>
            <w:gridSpan w:val="15"/>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项目支出情况表</w:t>
            </w:r>
          </w:p>
        </w:tc>
      </w:tr>
      <w:tr>
        <w:tblPrEx>
          <w:tblCellMar>
            <w:top w:w="0" w:type="dxa"/>
            <w:left w:w="108" w:type="dxa"/>
            <w:bottom w:w="0" w:type="dxa"/>
            <w:right w:w="108" w:type="dxa"/>
          </w:tblCellMar>
        </w:tblPrEx>
        <w:trPr>
          <w:gridAfter w:val="1"/>
          <w:wAfter w:w="387" w:type="dxa"/>
          <w:trHeight w:val="405" w:hRule="atLeast"/>
        </w:trPr>
        <w:tc>
          <w:tcPr>
            <w:tcW w:w="5489"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编制部门：</w:t>
            </w:r>
            <w:r>
              <w:rPr>
                <w:rFonts w:hint="eastAsia" w:ascii="仿宋_GB2312" w:hAnsi="宋体" w:eastAsia="仿宋_GB2312"/>
                <w:kern w:val="0"/>
                <w:sz w:val="24"/>
                <w:highlight w:val="none"/>
              </w:rPr>
              <w:t>昌吉州人社局</w:t>
            </w:r>
          </w:p>
        </w:tc>
        <w:tc>
          <w:tcPr>
            <w:tcW w:w="293" w:type="dxa"/>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97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highlight w:val="none"/>
              </w:rPr>
            </w:pPr>
          </w:p>
        </w:tc>
        <w:tc>
          <w:tcPr>
            <w:tcW w:w="2322"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606" w:type="dxa"/>
            <w:gridSpan w:val="3"/>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科 目 编 码</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科目</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项目名称</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项目支出合计</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工资福利支出</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商品和服务支出</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对个人和家庭的补助</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债务利息及费用支出</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资本性支出（基本建设）</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资本性支出</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对企业补助（基本建设）</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对企业补助</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对社会保障基金补助</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tcBorders>
              <w:bottom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类</w:t>
            </w:r>
          </w:p>
        </w:tc>
        <w:tc>
          <w:tcPr>
            <w:tcW w:w="438" w:type="dxa"/>
            <w:tcBorders>
              <w:bottom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款</w:t>
            </w:r>
          </w:p>
        </w:tc>
        <w:tc>
          <w:tcPr>
            <w:tcW w:w="438" w:type="dxa"/>
            <w:tcBorders>
              <w:bottom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项</w:t>
            </w:r>
          </w:p>
        </w:tc>
        <w:tc>
          <w:tcPr>
            <w:tcW w:w="1024" w:type="dxa"/>
            <w:tcBorders>
              <w:bottom w:val="single" w:color="auto" w:sz="4" w:space="0"/>
            </w:tcBorders>
            <w:vAlign w:val="center"/>
          </w:tcPr>
          <w:p>
            <w:pPr>
              <w:widowControl/>
              <w:jc w:val="left"/>
              <w:rPr>
                <w:rFonts w:hint="eastAsia" w:ascii="仿宋_GB2312" w:hAnsi="宋体" w:eastAsia="仿宋_GB2312" w:cs="宋体"/>
                <w:i w:val="0"/>
                <w:iCs w:val="0"/>
                <w:kern w:val="0"/>
                <w:sz w:val="18"/>
                <w:szCs w:val="18"/>
                <w:highlight w:val="none"/>
              </w:rPr>
            </w:pPr>
          </w:p>
        </w:tc>
        <w:tc>
          <w:tcPr>
            <w:tcW w:w="2274"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c>
          <w:tcPr>
            <w:tcW w:w="585"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c>
          <w:tcPr>
            <w:tcW w:w="293"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c>
          <w:tcPr>
            <w:tcW w:w="585"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c>
          <w:tcPr>
            <w:tcW w:w="387"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c>
          <w:tcPr>
            <w:tcW w:w="387"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c>
          <w:tcPr>
            <w:tcW w:w="387"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c>
          <w:tcPr>
            <w:tcW w:w="387"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c>
          <w:tcPr>
            <w:tcW w:w="387"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c>
          <w:tcPr>
            <w:tcW w:w="387"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c>
          <w:tcPr>
            <w:tcW w:w="387"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c>
          <w:tcPr>
            <w:tcW w:w="387" w:type="dxa"/>
            <w:tcBorders>
              <w:bottom w:val="single" w:color="auto" w:sz="4" w:space="0"/>
            </w:tcBorders>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02</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2080102</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面向社会公开考试录用公务员、工作人员</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50</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50</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02</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2080102</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办公楼维修、设备购置、保安、保洁后勤项目</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40</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40</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02</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2080102</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劳动能力鉴定工作经费</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02</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2080102</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南疆富余劳动力管理服务系统</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40</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40</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02</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2080102</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农村富余劳动力转移办公室工作经费</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02</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2080102</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事业单位公开招聘工作</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60</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60</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02</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2080102</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事业单位人事制度改革及人事管理信息化</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02</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2080102</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行政复议案件办案及工作经费</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02</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2080102</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引智工作经费</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05</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2080105</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劳动保障监察</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15</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15</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07</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2080107</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社保基金专业审计工作经费</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07</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2080107</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试点长期护理保险工作经费和失能人员评定费</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10</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08</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2080108</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信息化建设</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12</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12</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01</w:t>
            </w:r>
          </w:p>
        </w:tc>
        <w:tc>
          <w:tcPr>
            <w:tcW w:w="438"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12</w:t>
            </w:r>
          </w:p>
        </w:tc>
        <w:tc>
          <w:tcPr>
            <w:tcW w:w="102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2080112</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劳动人事争议调解仲裁</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13</w:t>
            </w:r>
          </w:p>
        </w:tc>
        <w:tc>
          <w:tcPr>
            <w:tcW w:w="293"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13</w:t>
            </w: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c>
          <w:tcPr>
            <w:tcW w:w="387" w:type="dxa"/>
            <w:vAlign w:val="center"/>
          </w:tcPr>
          <w:p>
            <w:pPr>
              <w:widowControl/>
              <w:jc w:val="left"/>
              <w:rPr>
                <w:rFonts w:hint="eastAsia" w:ascii="仿宋_GB2312" w:hAnsi="宋体" w:eastAsia="仿宋_GB2312" w:cs="宋体"/>
                <w:i w:val="0"/>
                <w:iCs w:val="0"/>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730"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438"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438"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1024"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2274"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合计</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300</w:t>
            </w:r>
          </w:p>
        </w:tc>
        <w:tc>
          <w:tcPr>
            <w:tcW w:w="293"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585" w:type="dxa"/>
            <w:vAlign w:val="center"/>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300</w:t>
            </w:r>
          </w:p>
        </w:tc>
        <w:tc>
          <w:tcPr>
            <w:tcW w:w="387"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387"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387"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387"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387"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387"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387"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c>
          <w:tcPr>
            <w:tcW w:w="387" w:type="dxa"/>
          </w:tcPr>
          <w:p>
            <w:pPr>
              <w:widowControl/>
              <w:jc w:val="left"/>
              <w:rPr>
                <w:rFonts w:hint="eastAsia" w:ascii="仿宋_GB2312" w:hAnsi="宋体" w:eastAsia="仿宋_GB2312" w:cs="宋体"/>
                <w:i w:val="0"/>
                <w:iCs w:val="0"/>
                <w:kern w:val="0"/>
                <w:sz w:val="18"/>
                <w:szCs w:val="18"/>
                <w:highlight w:val="none"/>
              </w:rPr>
            </w:pPr>
            <w:r>
              <w:rPr>
                <w:rFonts w:hint="eastAsia" w:ascii="仿宋_GB2312" w:hAnsi="宋体" w:eastAsia="仿宋_GB2312" w:cs="宋体"/>
                <w:i w:val="0"/>
                <w:iCs w:val="0"/>
                <w:kern w:val="0"/>
                <w:sz w:val="18"/>
                <w:szCs w:val="18"/>
                <w:highlight w:val="none"/>
              </w:rPr>
              <w:t>　</w:t>
            </w:r>
          </w:p>
        </w:tc>
      </w:tr>
    </w:tbl>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表八：</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一般公共预算“三公”经费支出情况表</w:t>
      </w:r>
    </w:p>
    <w:p>
      <w:pPr>
        <w:widowControl/>
        <w:jc w:val="left"/>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编制单位：昌吉州人力资源和社会保障局       单位：万元</w:t>
      </w:r>
    </w:p>
    <w:tbl>
      <w:tblPr>
        <w:tblStyle w:val="4"/>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c>
          <w:tcPr>
            <w:tcW w:w="155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小计</w:t>
            </w:r>
          </w:p>
        </w:tc>
        <w:tc>
          <w:tcPr>
            <w:tcW w:w="1418"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公务用车购置费</w:t>
            </w:r>
          </w:p>
        </w:tc>
        <w:tc>
          <w:tcPr>
            <w:tcW w:w="155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15.4</w:t>
            </w:r>
          </w:p>
        </w:tc>
        <w:tc>
          <w:tcPr>
            <w:tcW w:w="1417"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0</w:t>
            </w:r>
          </w:p>
        </w:tc>
        <w:tc>
          <w:tcPr>
            <w:tcW w:w="155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15.4</w:t>
            </w:r>
          </w:p>
        </w:tc>
        <w:tc>
          <w:tcPr>
            <w:tcW w:w="1418"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0</w:t>
            </w:r>
          </w:p>
        </w:tc>
        <w:tc>
          <w:tcPr>
            <w:tcW w:w="155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15.4</w:t>
            </w:r>
          </w:p>
        </w:tc>
        <w:tc>
          <w:tcPr>
            <w:tcW w:w="155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417"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418"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left"/>
              <w:outlineLvl w:val="1"/>
              <w:rPr>
                <w:rFonts w:hint="eastAsia" w:ascii="仿宋_GB2312" w:hAnsi="宋体" w:eastAsia="仿宋_GB2312"/>
                <w:kern w:val="0"/>
                <w:sz w:val="24"/>
                <w:highlight w:val="none"/>
              </w:rPr>
            </w:pPr>
            <w:r>
              <w:rPr>
                <w:rFonts w:hint="eastAsia" w:ascii="仿宋_GB2312" w:hAnsi="宋体" w:eastAsia="仿宋_GB2312"/>
                <w:kern w:val="0"/>
                <w:sz w:val="24"/>
                <w:highlight w:val="none"/>
              </w:rPr>
              <w:t>　</w:t>
            </w:r>
          </w:p>
        </w:tc>
      </w:tr>
    </w:tbl>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hint="eastAsia" w:ascii="仿宋_GB2312" w:hAnsi="宋体" w:eastAsia="仿宋_GB2312"/>
          <w:b/>
          <w:kern w:val="0"/>
          <w:sz w:val="32"/>
          <w:szCs w:val="32"/>
          <w:highlight w:val="none"/>
        </w:rPr>
      </w:pPr>
    </w:p>
    <w:p>
      <w:pPr>
        <w:widowControl/>
        <w:jc w:val="left"/>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表九：</w:t>
      </w:r>
    </w:p>
    <w:p>
      <w:pPr>
        <w:widowControl/>
        <w:jc w:val="center"/>
        <w:outlineLvl w:val="1"/>
        <w:rPr>
          <w:rFonts w:ascii="仿宋_GB2312" w:hAnsi="宋体" w:eastAsia="仿宋_GB2312"/>
          <w:b/>
          <w:kern w:val="0"/>
          <w:sz w:val="32"/>
          <w:szCs w:val="32"/>
          <w:highlight w:val="none"/>
        </w:rPr>
      </w:pPr>
      <w:r>
        <w:rPr>
          <w:rFonts w:hint="eastAsia" w:ascii="仿宋_GB2312" w:hAnsi="宋体" w:eastAsia="仿宋_GB2312"/>
          <w:b/>
          <w:kern w:val="0"/>
          <w:sz w:val="32"/>
          <w:szCs w:val="32"/>
          <w:highlight w:val="none"/>
        </w:rPr>
        <w:t>政府性基金预算支出情况表</w:t>
      </w:r>
    </w:p>
    <w:p>
      <w:pPr>
        <w:widowControl/>
        <w:outlineLvl w:val="1"/>
        <w:rPr>
          <w:rFonts w:ascii="仿宋_GB2312" w:hAnsi="宋体" w:eastAsia="仿宋_GB2312"/>
          <w:kern w:val="0"/>
          <w:sz w:val="24"/>
          <w:highlight w:val="none"/>
        </w:rPr>
      </w:pPr>
      <w:r>
        <w:rPr>
          <w:rFonts w:hint="eastAsia" w:ascii="仿宋_GB2312" w:hAnsi="宋体" w:eastAsia="仿宋_GB2312"/>
          <w:kern w:val="0"/>
          <w:sz w:val="24"/>
          <w:highlight w:val="none"/>
        </w:rPr>
        <w:t>编制单位：   昌吉州人力资源和社会保障局                    单位：万元</w:t>
      </w:r>
    </w:p>
    <w:tbl>
      <w:tblPr>
        <w:tblStyle w:val="4"/>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政府性基金预算支出</w:t>
            </w:r>
          </w:p>
        </w:tc>
      </w:tr>
      <w:tr>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b/>
                <w:bCs/>
                <w:color w:val="000000"/>
                <w:kern w:val="0"/>
                <w:sz w:val="18"/>
                <w:szCs w:val="18"/>
                <w:highlight w:val="none"/>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项目支出</w:t>
            </w:r>
          </w:p>
        </w:tc>
      </w:tr>
      <w:tr>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highlight w:val="none"/>
              </w:rPr>
            </w:pP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highlight w:val="none"/>
              </w:rPr>
            </w:pPr>
            <w:r>
              <w:rPr>
                <w:rFonts w:hint="eastAsia" w:ascii="仿宋_GB2312" w:hAnsi="宋体" w:eastAsia="仿宋_GB2312" w:cs="宋体"/>
                <w:b/>
                <w:bCs/>
                <w:color w:val="000000"/>
                <w:kern w:val="0"/>
                <w:sz w:val="32"/>
                <w:szCs w:val="32"/>
                <w:highlight w:val="none"/>
              </w:rPr>
              <w:t>　</w:t>
            </w:r>
          </w:p>
        </w:tc>
      </w:tr>
      <w:tr>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highlight w:val="none"/>
              </w:rPr>
            </w:pPr>
            <w:r>
              <w:rPr>
                <w:rFonts w:hint="eastAsia" w:ascii="宋体" w:hAnsi="宋体" w:cs="宋体"/>
                <w:color w:val="000000"/>
                <w:kern w:val="0"/>
                <w:sz w:val="24"/>
                <w:highlight w:val="none"/>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w:t>
            </w:r>
          </w:p>
        </w:tc>
      </w:tr>
    </w:tbl>
    <w:p>
      <w:pPr>
        <w:widowControl/>
        <w:outlineLvl w:val="1"/>
        <w:rPr>
          <w:highlight w:val="none"/>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highlight w:val="none"/>
        </w:rPr>
        <w:t>备注：本单位无政府性基金预算。</w:t>
      </w:r>
    </w:p>
    <w:p>
      <w:pPr>
        <w:widowControl/>
        <w:spacing w:before="156"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第三部分  2019年部门预算情况说明</w:t>
      </w:r>
    </w:p>
    <w:p>
      <w:pPr>
        <w:widowControl/>
        <w:spacing w:line="580" w:lineRule="exact"/>
        <w:ind w:firstLine="640"/>
        <w:jc w:val="left"/>
        <w:rPr>
          <w:rFonts w:ascii="黑体" w:hAnsi="宋体" w:eastAsia="黑体" w:cs="宋体"/>
          <w:kern w:val="0"/>
          <w:sz w:val="32"/>
          <w:szCs w:val="32"/>
          <w:highlight w:val="none"/>
        </w:rPr>
      </w:pPr>
      <w:r>
        <w:rPr>
          <w:rFonts w:hint="eastAsia" w:ascii="黑体" w:hAnsi="黑体" w:eastAsia="黑体" w:cs="宋体"/>
          <w:bCs/>
          <w:kern w:val="0"/>
          <w:sz w:val="32"/>
          <w:szCs w:val="32"/>
          <w:highlight w:val="none"/>
        </w:rPr>
        <w:t>一、</w:t>
      </w:r>
      <w:bookmarkStart w:id="0" w:name="_GoBack"/>
      <w:bookmarkEnd w:id="0"/>
      <w:r>
        <w:rPr>
          <w:rFonts w:hint="eastAsia" w:ascii="黑体" w:hAnsi="宋体" w:eastAsia="黑体" w:cs="宋体"/>
          <w:kern w:val="0"/>
          <w:sz w:val="32"/>
          <w:szCs w:val="32"/>
          <w:highlight w:val="none"/>
          <w:lang w:eastAsia="zh-CN"/>
        </w:rPr>
        <w:t>关于</w:t>
      </w:r>
      <w:r>
        <w:rPr>
          <w:rFonts w:hint="eastAsia" w:ascii="黑体" w:hAnsi="宋体" w:eastAsia="黑体" w:cs="宋体"/>
          <w:kern w:val="0"/>
          <w:sz w:val="32"/>
          <w:szCs w:val="32"/>
          <w:highlight w:val="none"/>
        </w:rPr>
        <w:t>昌吉州人力资源和社会保障局部门2019年收支预算情况的总体说明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按照全口径预算的原则，关于昌吉州人力资源和社会保障局部门2019年所有收入和支出均纳入部门预算管理。收支总预算1632.91万元。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收入预算包括：一般公共预算</w:t>
      </w:r>
      <w:r>
        <w:rPr>
          <w:rFonts w:hint="eastAsia" w:ascii="仿宋_GB2312" w:hAnsi="宋体" w:eastAsia="仿宋_GB2312" w:cs="宋体"/>
          <w:kern w:val="0"/>
          <w:sz w:val="32"/>
          <w:szCs w:val="32"/>
          <w:highlight w:val="none"/>
          <w:lang w:val="en-US" w:eastAsia="zh-CN"/>
        </w:rPr>
        <w:t>1632.91万元</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支出预算包括：社会保障和就业支出</w:t>
      </w:r>
      <w:r>
        <w:rPr>
          <w:rFonts w:hint="eastAsia" w:ascii="仿宋_GB2312" w:hAnsi="宋体" w:eastAsia="仿宋_GB2312" w:cs="宋体"/>
          <w:kern w:val="0"/>
          <w:sz w:val="32"/>
          <w:szCs w:val="32"/>
          <w:highlight w:val="none"/>
          <w:lang w:val="en-US" w:eastAsia="zh-CN"/>
        </w:rPr>
        <w:t>1632.91万元</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二、关于昌吉州人力资源和社会保障局部门2019年收入预算情况说明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昌吉州人力资源和社会保障局部门收入预算1632.91万元，其中：</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 xml:space="preserve">一般公共预算1632.91万元，占100 %，比上年减少82.90万元，主要原因是基本支出减少，有人员调出，人员经费和办公经费都减少。 </w:t>
      </w:r>
    </w:p>
    <w:p>
      <w:pPr>
        <w:ind w:firstLine="640"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2080101行政运行1332.91万元；2080102一般行政管理事务240万元；2080105劳动保障监察15万元；2080107社会保险业务管理事务20万元；2080108信息化建设12万元；2080112劳动人事争议调解仲裁13万元。</w:t>
      </w:r>
    </w:p>
    <w:p>
      <w:pPr>
        <w:ind w:firstLine="640" w:firstLineChars="200"/>
        <w:jc w:val="left"/>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政府性基金预算未安排，0万元，占0 %，比上年增加0万元，主要原因是无政府性基金预算</w:t>
      </w:r>
      <w:r>
        <w:rPr>
          <w:rFonts w:hint="eastAsia" w:ascii="仿宋_GB2312" w:hAnsi="宋体" w:eastAsia="仿宋_GB2312" w:cs="宋体"/>
          <w:kern w:val="0"/>
          <w:sz w:val="32"/>
          <w:szCs w:val="32"/>
          <w:highlight w:val="none"/>
          <w:lang w:eastAsia="zh-CN"/>
        </w:rPr>
        <w:t>。</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三、关于昌吉州人力资源和社会保障局部门2019年支出预算情况说明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昌吉回族自治州人力资源和社会保障局单位2019年支出预算</w:t>
      </w:r>
      <w:r>
        <w:rPr>
          <w:rFonts w:ascii="仿宋_GB2312" w:hAnsi="宋体" w:eastAsia="仿宋_GB2312" w:cs="宋体"/>
          <w:kern w:val="0"/>
          <w:sz w:val="32"/>
          <w:szCs w:val="32"/>
          <w:highlight w:val="none"/>
        </w:rPr>
        <w:t>1632.91</w:t>
      </w:r>
      <w:r>
        <w:rPr>
          <w:rFonts w:hint="eastAsia" w:ascii="仿宋_GB2312" w:hAnsi="宋体" w:eastAsia="仿宋_GB2312" w:cs="宋体"/>
          <w:kern w:val="0"/>
          <w:sz w:val="32"/>
          <w:szCs w:val="32"/>
          <w:highlight w:val="none"/>
        </w:rPr>
        <w:t>万元，其中：</w:t>
      </w:r>
    </w:p>
    <w:p>
      <w:pPr>
        <w:widowControl/>
        <w:spacing w:line="580" w:lineRule="exact"/>
        <w:ind w:firstLine="640"/>
        <w:jc w:val="left"/>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基本支出1</w:t>
      </w:r>
      <w:r>
        <w:rPr>
          <w:rFonts w:ascii="仿宋_GB2312" w:hAnsi="宋体" w:eastAsia="仿宋_GB2312" w:cs="宋体"/>
          <w:kern w:val="0"/>
          <w:sz w:val="32"/>
          <w:szCs w:val="32"/>
          <w:highlight w:val="none"/>
        </w:rPr>
        <w:t>332.91</w:t>
      </w:r>
      <w:r>
        <w:rPr>
          <w:rFonts w:hint="eastAsia" w:ascii="仿宋_GB2312" w:hAnsi="宋体" w:eastAsia="仿宋_GB2312" w:cs="宋体"/>
          <w:kern w:val="0"/>
          <w:sz w:val="32"/>
          <w:szCs w:val="32"/>
          <w:highlight w:val="none"/>
        </w:rPr>
        <w:t>万元，占81.63%，比上年减少201.90万元，主要原因是有人员调出，人员经费和办公经费都减少。</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项目支出300万元，占18.37 %，比上年增加119万元，主要原因是各项目支出均有增加。其中2080102一般行政管理事务增加了103万元，2080105劳动保障监察增加了4万元，新增加2080108信息化建设项目12万元。</w:t>
      </w:r>
    </w:p>
    <w:p>
      <w:pPr>
        <w:widowControl/>
        <w:spacing w:line="580" w:lineRule="exact"/>
        <w:ind w:firstLine="640"/>
        <w:jc w:val="left"/>
        <w:rPr>
          <w:rFonts w:ascii="黑体" w:hAnsi="黑体" w:eastAsia="黑体" w:cs="宋体"/>
          <w:bCs/>
          <w:kern w:val="0"/>
          <w:sz w:val="32"/>
          <w:szCs w:val="32"/>
          <w:highlight w:val="none"/>
        </w:rPr>
      </w:pPr>
      <w:r>
        <w:rPr>
          <w:rFonts w:hint="eastAsia" w:ascii="黑体" w:hAnsi="黑体" w:eastAsia="黑体" w:cs="宋体"/>
          <w:bCs/>
          <w:kern w:val="0"/>
          <w:sz w:val="32"/>
          <w:szCs w:val="32"/>
          <w:highlight w:val="none"/>
        </w:rPr>
        <w:t>四、</w:t>
      </w:r>
      <w:r>
        <w:rPr>
          <w:rFonts w:hint="eastAsia" w:ascii="黑体" w:hAnsi="宋体" w:eastAsia="黑体" w:cs="宋体"/>
          <w:kern w:val="0"/>
          <w:sz w:val="32"/>
          <w:szCs w:val="32"/>
          <w:highlight w:val="none"/>
        </w:rPr>
        <w:t>关于昌吉州人力资源和社会保障局部门2019年</w:t>
      </w:r>
      <w:r>
        <w:rPr>
          <w:rFonts w:hint="eastAsia" w:ascii="黑体" w:hAnsi="黑体" w:eastAsia="黑体" w:cs="宋体"/>
          <w:bCs/>
          <w:kern w:val="0"/>
          <w:sz w:val="32"/>
          <w:szCs w:val="32"/>
          <w:highlight w:val="none"/>
        </w:rPr>
        <w:t>财政拨款收支预算情况的总体说明</w:t>
      </w:r>
    </w:p>
    <w:p>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2019年财政拨款收支总预算</w:t>
      </w:r>
      <w:r>
        <w:rPr>
          <w:rFonts w:ascii="仿宋_GB2312" w:hAnsi="宋体" w:eastAsia="仿宋_GB2312" w:cs="宋体"/>
          <w:kern w:val="0"/>
          <w:sz w:val="32"/>
          <w:szCs w:val="32"/>
          <w:highlight w:val="none"/>
        </w:rPr>
        <w:t>1632.91</w:t>
      </w:r>
      <w:r>
        <w:rPr>
          <w:rFonts w:hint="eastAsia" w:ascii="仿宋_GB2312" w:hAnsi="宋体" w:eastAsia="仿宋_GB2312" w:cs="宋体"/>
          <w:kern w:val="0"/>
          <w:sz w:val="32"/>
          <w:szCs w:val="32"/>
          <w:highlight w:val="none"/>
        </w:rPr>
        <w:t>万元。</w:t>
      </w:r>
    </w:p>
    <w:p>
      <w:pPr>
        <w:spacing w:line="580" w:lineRule="exact"/>
        <w:ind w:firstLine="64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pPr>
        <w:spacing w:line="560" w:lineRule="exact"/>
        <w:ind w:firstLine="641"/>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支出预算包括：一般公共服务支出</w:t>
      </w:r>
      <w:r>
        <w:rPr>
          <w:rFonts w:ascii="仿宋_GB2312" w:hAnsi="宋体" w:eastAsia="仿宋_GB2312" w:cs="宋体"/>
          <w:kern w:val="0"/>
          <w:sz w:val="32"/>
          <w:szCs w:val="32"/>
          <w:highlight w:val="none"/>
        </w:rPr>
        <w:t>1632.91</w:t>
      </w:r>
      <w:r>
        <w:rPr>
          <w:rFonts w:hint="eastAsia" w:ascii="仿宋_GB2312" w:hAnsi="宋体" w:eastAsia="仿宋_GB2312" w:cs="宋体"/>
          <w:kern w:val="0"/>
          <w:sz w:val="32"/>
          <w:szCs w:val="32"/>
          <w:highlight w:val="none"/>
        </w:rPr>
        <w:t>万元，主要用于208社会保障和就业支出。</w:t>
      </w:r>
    </w:p>
    <w:p>
      <w:pPr>
        <w:widowControl/>
        <w:spacing w:line="560" w:lineRule="exact"/>
        <w:ind w:firstLine="641"/>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其中：2080101行政运行</w:t>
      </w:r>
      <w:r>
        <w:rPr>
          <w:rFonts w:ascii="仿宋_GB2312" w:hAnsi="宋体" w:eastAsia="仿宋_GB2312" w:cs="宋体"/>
          <w:kern w:val="0"/>
          <w:sz w:val="32"/>
          <w:szCs w:val="32"/>
          <w:highlight w:val="none"/>
        </w:rPr>
        <w:t>1332.91</w:t>
      </w:r>
      <w:r>
        <w:rPr>
          <w:rFonts w:hint="eastAsia" w:ascii="仿宋_GB2312" w:hAnsi="宋体" w:eastAsia="仿宋_GB2312" w:cs="宋体"/>
          <w:kern w:val="0"/>
          <w:sz w:val="32"/>
          <w:szCs w:val="32"/>
          <w:highlight w:val="none"/>
        </w:rPr>
        <w:t>万元；2080102一般行政管理事务240万元；2080105劳动保障监察15万元；2080107社会保险业务管理事务20万元；2080108信息化建设12万元；2080112劳动人事争议调解仲裁13万元。</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五、关于昌吉州人力资源和社会保障局部门2019年一般公共预算当年拨款情况说明</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（一）一般公用预算当年拨款规模变化情况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昌吉州人力资源和社会保障局部门2019年一般公共预算拨款基本支出1332.91万元，比上年执行数减少201.90万元，下降13.15%。主要原因是：有人员调出，人员经费和办公经费都减少。</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（二）一般公共预算当年拨款结构情况</w:t>
      </w:r>
    </w:p>
    <w:p>
      <w:pPr>
        <w:spacing w:line="580" w:lineRule="exact"/>
        <w:ind w:firstLine="642"/>
        <w:rPr>
          <w:rFonts w:hint="eastAsia" w:ascii="仿宋_GB2312" w:hAnsi="宋体" w:eastAsia="仿宋_GB2312" w:cs="宋体"/>
          <w:kern w:val="0"/>
          <w:sz w:val="32"/>
          <w:szCs w:val="32"/>
          <w:highlight w:val="none"/>
          <w:lang w:eastAsia="zh-CN"/>
        </w:rPr>
      </w:pPr>
      <w:r>
        <w:rPr>
          <w:rFonts w:hint="eastAsia" w:ascii="仿宋" w:hAnsi="仿宋" w:eastAsia="仿宋"/>
          <w:kern w:val="0"/>
          <w:sz w:val="32"/>
          <w:szCs w:val="32"/>
          <w:highlight w:val="none"/>
          <w:lang w:val="en-US" w:eastAsia="zh-CN"/>
        </w:rPr>
        <w:t>1.</w:t>
      </w:r>
      <w:r>
        <w:rPr>
          <w:rFonts w:hint="eastAsia" w:ascii="仿宋" w:hAnsi="仿宋" w:eastAsia="仿宋"/>
          <w:kern w:val="0"/>
          <w:sz w:val="32"/>
          <w:szCs w:val="32"/>
          <w:highlight w:val="none"/>
        </w:rPr>
        <w:t>社会保障和就业</w:t>
      </w:r>
      <w:r>
        <w:rPr>
          <w:rFonts w:ascii="仿宋" w:hAnsi="仿宋" w:eastAsia="仿宋"/>
          <w:kern w:val="0"/>
          <w:sz w:val="32"/>
          <w:szCs w:val="32"/>
          <w:highlight w:val="none"/>
        </w:rPr>
        <w:t>（类）</w:t>
      </w:r>
      <w:r>
        <w:rPr>
          <w:rFonts w:hint="eastAsia" w:ascii="仿宋_GB2312" w:hAnsi="宋体" w:eastAsia="仿宋_GB2312" w:cs="宋体"/>
          <w:kern w:val="0"/>
          <w:sz w:val="32"/>
          <w:szCs w:val="32"/>
          <w:highlight w:val="none"/>
        </w:rPr>
        <w:t>1332.91万元</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占</w:t>
      </w:r>
      <w:r>
        <w:rPr>
          <w:rFonts w:hint="eastAsia" w:ascii="仿宋_GB2312" w:hAnsi="宋体" w:eastAsia="仿宋_GB2312" w:cs="宋体"/>
          <w:kern w:val="0"/>
          <w:sz w:val="32"/>
          <w:szCs w:val="32"/>
          <w:highlight w:val="none"/>
          <w:lang w:val="en-US" w:eastAsia="zh-CN"/>
        </w:rPr>
        <w:t>81.63</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w:t>
      </w:r>
    </w:p>
    <w:p>
      <w:pPr>
        <w:spacing w:line="580" w:lineRule="exact"/>
        <w:ind w:firstLine="642"/>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2.</w:t>
      </w:r>
      <w:r>
        <w:rPr>
          <w:rFonts w:hint="eastAsia" w:ascii="仿宋" w:hAnsi="仿宋" w:eastAsia="仿宋"/>
          <w:kern w:val="0"/>
          <w:sz w:val="32"/>
          <w:szCs w:val="32"/>
          <w:highlight w:val="none"/>
        </w:rPr>
        <w:t>社会保障和就业</w:t>
      </w:r>
      <w:r>
        <w:rPr>
          <w:rFonts w:ascii="仿宋" w:hAnsi="仿宋" w:eastAsia="仿宋"/>
          <w:kern w:val="0"/>
          <w:sz w:val="32"/>
          <w:szCs w:val="32"/>
          <w:highlight w:val="none"/>
        </w:rPr>
        <w:t>（类）</w:t>
      </w:r>
      <w:r>
        <w:rPr>
          <w:rFonts w:hint="eastAsia" w:ascii="仿宋_GB2312" w:hAnsi="宋体" w:eastAsia="仿宋_GB2312" w:cs="宋体"/>
          <w:kern w:val="0"/>
          <w:sz w:val="32"/>
          <w:szCs w:val="32"/>
          <w:highlight w:val="none"/>
        </w:rPr>
        <w:t>240万元，</w:t>
      </w:r>
      <w:r>
        <w:rPr>
          <w:rFonts w:hint="eastAsia" w:ascii="仿宋_GB2312" w:hAnsi="宋体" w:eastAsia="仿宋_GB2312" w:cs="宋体"/>
          <w:kern w:val="0"/>
          <w:sz w:val="32"/>
          <w:szCs w:val="32"/>
          <w:highlight w:val="none"/>
          <w:lang w:eastAsia="zh-CN"/>
        </w:rPr>
        <w:t>占</w:t>
      </w:r>
      <w:r>
        <w:rPr>
          <w:rFonts w:hint="eastAsia" w:ascii="仿宋_GB2312" w:hAnsi="宋体" w:eastAsia="仿宋_GB2312" w:cs="宋体"/>
          <w:kern w:val="0"/>
          <w:sz w:val="32"/>
          <w:szCs w:val="32"/>
          <w:highlight w:val="none"/>
        </w:rPr>
        <w:t>一</w:t>
      </w:r>
      <w:r>
        <w:rPr>
          <w:rFonts w:hint="eastAsia" w:ascii="仿宋_GB2312" w:hAnsi="宋体" w:eastAsia="仿宋_GB2312" w:cs="宋体"/>
          <w:kern w:val="0"/>
          <w:sz w:val="32"/>
          <w:szCs w:val="32"/>
          <w:highlight w:val="none"/>
          <w:lang w:val="en-US" w:eastAsia="zh-CN"/>
        </w:rPr>
        <w:t>14.7%;</w:t>
      </w:r>
    </w:p>
    <w:p>
      <w:pPr>
        <w:spacing w:line="580" w:lineRule="exact"/>
        <w:ind w:firstLine="642"/>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3.</w:t>
      </w:r>
      <w:r>
        <w:rPr>
          <w:rFonts w:hint="eastAsia" w:ascii="仿宋" w:hAnsi="仿宋" w:eastAsia="仿宋"/>
          <w:kern w:val="0"/>
          <w:sz w:val="32"/>
          <w:szCs w:val="32"/>
          <w:highlight w:val="none"/>
        </w:rPr>
        <w:t>社会保障和就业</w:t>
      </w:r>
      <w:r>
        <w:rPr>
          <w:rFonts w:ascii="仿宋" w:hAnsi="仿宋" w:eastAsia="仿宋"/>
          <w:kern w:val="0"/>
          <w:sz w:val="32"/>
          <w:szCs w:val="32"/>
          <w:highlight w:val="none"/>
        </w:rPr>
        <w:t>（类）</w:t>
      </w:r>
      <w:r>
        <w:rPr>
          <w:rFonts w:hint="eastAsia" w:ascii="仿宋_GB2312" w:hAnsi="宋体" w:eastAsia="仿宋_GB2312" w:cs="宋体"/>
          <w:kern w:val="0"/>
          <w:sz w:val="32"/>
          <w:szCs w:val="32"/>
          <w:highlight w:val="none"/>
        </w:rPr>
        <w:t>15万元，</w:t>
      </w:r>
      <w:r>
        <w:rPr>
          <w:rFonts w:hint="eastAsia" w:ascii="仿宋_GB2312" w:hAnsi="宋体" w:eastAsia="仿宋_GB2312" w:cs="宋体"/>
          <w:kern w:val="0"/>
          <w:sz w:val="32"/>
          <w:szCs w:val="32"/>
          <w:highlight w:val="none"/>
          <w:lang w:eastAsia="zh-CN"/>
        </w:rPr>
        <w:t>占</w:t>
      </w:r>
      <w:r>
        <w:rPr>
          <w:rFonts w:hint="eastAsia" w:ascii="仿宋_GB2312" w:hAnsi="宋体" w:eastAsia="仿宋_GB2312" w:cs="宋体"/>
          <w:kern w:val="0"/>
          <w:sz w:val="32"/>
          <w:szCs w:val="32"/>
          <w:highlight w:val="none"/>
          <w:lang w:val="en-US" w:eastAsia="zh-CN"/>
        </w:rPr>
        <w:t>0.92%;</w:t>
      </w:r>
    </w:p>
    <w:p>
      <w:pPr>
        <w:spacing w:line="580" w:lineRule="exact"/>
        <w:ind w:firstLine="642"/>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4.</w:t>
      </w:r>
      <w:r>
        <w:rPr>
          <w:rFonts w:hint="eastAsia" w:ascii="仿宋" w:hAnsi="仿宋" w:eastAsia="仿宋"/>
          <w:kern w:val="0"/>
          <w:sz w:val="32"/>
          <w:szCs w:val="32"/>
          <w:highlight w:val="none"/>
        </w:rPr>
        <w:t>社会保障和就业</w:t>
      </w:r>
      <w:r>
        <w:rPr>
          <w:rFonts w:ascii="仿宋" w:hAnsi="仿宋" w:eastAsia="仿宋"/>
          <w:kern w:val="0"/>
          <w:sz w:val="32"/>
          <w:szCs w:val="32"/>
          <w:highlight w:val="none"/>
        </w:rPr>
        <w:t>（类）</w:t>
      </w:r>
      <w:r>
        <w:rPr>
          <w:rFonts w:hint="eastAsia" w:ascii="仿宋_GB2312" w:hAnsi="宋体" w:eastAsia="仿宋_GB2312" w:cs="宋体"/>
          <w:kern w:val="0"/>
          <w:sz w:val="32"/>
          <w:szCs w:val="32"/>
          <w:highlight w:val="none"/>
        </w:rPr>
        <w:t>20万元，</w:t>
      </w:r>
      <w:r>
        <w:rPr>
          <w:rFonts w:hint="eastAsia" w:ascii="仿宋_GB2312" w:hAnsi="宋体" w:eastAsia="仿宋_GB2312" w:cs="宋体"/>
          <w:kern w:val="0"/>
          <w:sz w:val="32"/>
          <w:szCs w:val="32"/>
          <w:highlight w:val="none"/>
          <w:lang w:eastAsia="zh-CN"/>
        </w:rPr>
        <w:t>占</w:t>
      </w:r>
      <w:r>
        <w:rPr>
          <w:rFonts w:hint="eastAsia" w:ascii="仿宋_GB2312" w:hAnsi="宋体" w:eastAsia="仿宋_GB2312" w:cs="宋体"/>
          <w:kern w:val="0"/>
          <w:sz w:val="32"/>
          <w:szCs w:val="32"/>
          <w:highlight w:val="none"/>
          <w:lang w:val="en-US" w:eastAsia="zh-CN"/>
        </w:rPr>
        <w:t>1.22%;</w:t>
      </w:r>
    </w:p>
    <w:p>
      <w:pPr>
        <w:spacing w:line="580" w:lineRule="exact"/>
        <w:ind w:firstLine="642"/>
        <w:rPr>
          <w:rFonts w:hint="eastAsia"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val="en-US" w:eastAsia="zh-CN"/>
        </w:rPr>
        <w:t>5.</w:t>
      </w:r>
      <w:r>
        <w:rPr>
          <w:rFonts w:hint="eastAsia" w:ascii="仿宋" w:hAnsi="仿宋" w:eastAsia="仿宋"/>
          <w:kern w:val="0"/>
          <w:sz w:val="32"/>
          <w:szCs w:val="32"/>
          <w:highlight w:val="none"/>
        </w:rPr>
        <w:t>社会保障和就业</w:t>
      </w:r>
      <w:r>
        <w:rPr>
          <w:rFonts w:ascii="仿宋" w:hAnsi="仿宋" w:eastAsia="仿宋"/>
          <w:kern w:val="0"/>
          <w:sz w:val="32"/>
          <w:szCs w:val="32"/>
          <w:highlight w:val="none"/>
        </w:rPr>
        <w:t>（类）</w:t>
      </w:r>
      <w:r>
        <w:rPr>
          <w:rFonts w:hint="eastAsia" w:ascii="仿宋_GB2312" w:hAnsi="宋体" w:eastAsia="仿宋_GB2312" w:cs="宋体"/>
          <w:kern w:val="0"/>
          <w:sz w:val="32"/>
          <w:szCs w:val="32"/>
          <w:highlight w:val="none"/>
        </w:rPr>
        <w:t>12万元，</w:t>
      </w:r>
      <w:r>
        <w:rPr>
          <w:rFonts w:hint="eastAsia" w:ascii="仿宋_GB2312" w:hAnsi="宋体" w:eastAsia="仿宋_GB2312" w:cs="宋体"/>
          <w:kern w:val="0"/>
          <w:sz w:val="32"/>
          <w:szCs w:val="32"/>
          <w:highlight w:val="none"/>
          <w:lang w:eastAsia="zh-CN"/>
        </w:rPr>
        <w:t>占</w:t>
      </w:r>
      <w:r>
        <w:rPr>
          <w:rFonts w:hint="eastAsia" w:ascii="仿宋_GB2312" w:hAnsi="宋体" w:eastAsia="仿宋_GB2312" w:cs="宋体"/>
          <w:kern w:val="0"/>
          <w:sz w:val="32"/>
          <w:szCs w:val="32"/>
          <w:highlight w:val="none"/>
          <w:lang w:val="en-US" w:eastAsia="zh-CN"/>
        </w:rPr>
        <w:t>0.73%;</w:t>
      </w:r>
    </w:p>
    <w:p>
      <w:pPr>
        <w:spacing w:line="580" w:lineRule="exact"/>
        <w:ind w:firstLine="642"/>
        <w:rPr>
          <w:rFonts w:hint="default" w:ascii="仿宋_GB2312" w:eastAsia="仿宋_GB2312"/>
          <w:b/>
          <w:sz w:val="32"/>
          <w:szCs w:val="32"/>
          <w:highlight w:val="none"/>
          <w:lang w:val="en-US"/>
        </w:rPr>
      </w:pPr>
      <w:r>
        <w:rPr>
          <w:rFonts w:hint="eastAsia" w:ascii="仿宋_GB2312" w:hAnsi="宋体" w:eastAsia="仿宋_GB2312" w:cs="宋体"/>
          <w:kern w:val="0"/>
          <w:sz w:val="32"/>
          <w:szCs w:val="32"/>
          <w:highlight w:val="none"/>
          <w:lang w:val="en-US" w:eastAsia="zh-CN"/>
        </w:rPr>
        <w:t>6.</w:t>
      </w:r>
      <w:r>
        <w:rPr>
          <w:rFonts w:hint="eastAsia" w:ascii="仿宋" w:hAnsi="仿宋" w:eastAsia="仿宋"/>
          <w:kern w:val="0"/>
          <w:sz w:val="32"/>
          <w:szCs w:val="32"/>
          <w:highlight w:val="none"/>
        </w:rPr>
        <w:t>社会保障和就业</w:t>
      </w:r>
      <w:r>
        <w:rPr>
          <w:rFonts w:ascii="仿宋" w:hAnsi="仿宋" w:eastAsia="仿宋"/>
          <w:kern w:val="0"/>
          <w:sz w:val="32"/>
          <w:szCs w:val="32"/>
          <w:highlight w:val="none"/>
        </w:rPr>
        <w:t>（类）</w:t>
      </w:r>
      <w:r>
        <w:rPr>
          <w:rFonts w:hint="eastAsia" w:ascii="仿宋_GB2312" w:hAnsi="宋体" w:eastAsia="仿宋_GB2312" w:cs="宋体"/>
          <w:kern w:val="0"/>
          <w:sz w:val="32"/>
          <w:szCs w:val="32"/>
          <w:highlight w:val="none"/>
        </w:rPr>
        <w:t>13万元</w:t>
      </w:r>
      <w:r>
        <w:rPr>
          <w:rFonts w:hint="eastAsia" w:ascii="仿宋_GB2312" w:hAnsi="宋体" w:eastAsia="仿宋_GB2312" w:cs="宋体"/>
          <w:kern w:val="0"/>
          <w:sz w:val="32"/>
          <w:szCs w:val="32"/>
          <w:highlight w:val="none"/>
          <w:lang w:eastAsia="zh-CN"/>
        </w:rPr>
        <w:t>，占</w:t>
      </w:r>
      <w:r>
        <w:rPr>
          <w:rFonts w:hint="eastAsia" w:ascii="仿宋_GB2312" w:hAnsi="宋体" w:eastAsia="仿宋_GB2312" w:cs="宋体"/>
          <w:kern w:val="0"/>
          <w:sz w:val="32"/>
          <w:szCs w:val="32"/>
          <w:highlight w:val="none"/>
          <w:lang w:val="en-US" w:eastAsia="zh-CN"/>
        </w:rPr>
        <w:t>0.8%。</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（三）一般公共预算当年拨款具体使用情况</w:t>
      </w:r>
    </w:p>
    <w:p>
      <w:pPr>
        <w:widowControl/>
        <w:spacing w:line="580" w:lineRule="exact"/>
        <w:ind w:firstLine="640" w:firstLineChars="200"/>
        <w:jc w:val="left"/>
        <w:rPr>
          <w:rFonts w:ascii="仿宋_GB2312" w:hAnsi="宋体" w:eastAsia="仿宋_GB2312" w:cs="宋体"/>
          <w:kern w:val="0"/>
          <w:sz w:val="32"/>
          <w:szCs w:val="32"/>
          <w:highlight w:val="none"/>
        </w:rPr>
      </w:pPr>
      <w:r>
        <w:rPr>
          <w:rFonts w:hint="eastAsia" w:ascii="仿宋" w:hAnsi="仿宋" w:eastAsia="仿宋"/>
          <w:kern w:val="0"/>
          <w:sz w:val="32"/>
          <w:szCs w:val="32"/>
          <w:highlight w:val="none"/>
        </w:rPr>
        <w:t>1.社会保障和就业</w:t>
      </w:r>
      <w:r>
        <w:rPr>
          <w:rFonts w:ascii="仿宋" w:hAnsi="仿宋" w:eastAsia="仿宋"/>
          <w:kern w:val="0"/>
          <w:sz w:val="32"/>
          <w:szCs w:val="32"/>
          <w:highlight w:val="none"/>
        </w:rPr>
        <w:t>（类）</w:t>
      </w:r>
      <w:r>
        <w:rPr>
          <w:rFonts w:hint="eastAsia" w:ascii="仿宋" w:hAnsi="仿宋" w:eastAsia="仿宋"/>
          <w:kern w:val="0"/>
          <w:sz w:val="32"/>
          <w:szCs w:val="32"/>
          <w:highlight w:val="none"/>
        </w:rPr>
        <w:t>人力资源和社会保障管理事务</w:t>
      </w:r>
      <w:r>
        <w:rPr>
          <w:rFonts w:ascii="仿宋" w:hAnsi="仿宋" w:eastAsia="仿宋"/>
          <w:kern w:val="0"/>
          <w:sz w:val="32"/>
          <w:szCs w:val="32"/>
          <w:highlight w:val="none"/>
        </w:rPr>
        <w:t>（款）行政运行（</w:t>
      </w:r>
      <w:r>
        <w:rPr>
          <w:rFonts w:hint="eastAsia" w:ascii="仿宋" w:hAnsi="仿宋" w:eastAsia="仿宋"/>
          <w:kern w:val="0"/>
          <w:sz w:val="32"/>
          <w:szCs w:val="32"/>
          <w:highlight w:val="none"/>
          <w:lang w:eastAsia="zh-CN"/>
        </w:rPr>
        <w:t>项</w:t>
      </w:r>
      <w:r>
        <w:rPr>
          <w:rFonts w:ascii="仿宋" w:hAnsi="仿宋" w:eastAsia="仿宋"/>
          <w:kern w:val="0"/>
          <w:sz w:val="32"/>
          <w:szCs w:val="32"/>
          <w:highlight w:val="none"/>
        </w:rPr>
        <w:t>）</w:t>
      </w:r>
      <w:r>
        <w:rPr>
          <w:rFonts w:hint="eastAsia" w:ascii="仿宋" w:hAnsi="仿宋" w:eastAsia="仿宋"/>
          <w:kern w:val="0"/>
          <w:sz w:val="32"/>
          <w:szCs w:val="32"/>
          <w:highlight w:val="none"/>
          <w:lang w:eastAsia="zh-CN"/>
        </w:rPr>
        <w:t>：</w:t>
      </w:r>
      <w:r>
        <w:rPr>
          <w:rFonts w:hint="eastAsia" w:ascii="仿宋" w:hAnsi="仿宋" w:eastAsia="仿宋"/>
          <w:kern w:val="0"/>
          <w:sz w:val="32"/>
          <w:szCs w:val="32"/>
          <w:highlight w:val="none"/>
        </w:rPr>
        <w:t>2019年</w:t>
      </w:r>
      <w:r>
        <w:rPr>
          <w:rFonts w:ascii="仿宋" w:hAnsi="仿宋" w:eastAsia="仿宋"/>
          <w:kern w:val="0"/>
          <w:sz w:val="32"/>
          <w:szCs w:val="32"/>
          <w:highlight w:val="none"/>
        </w:rPr>
        <w:t>预算数为</w:t>
      </w:r>
      <w:r>
        <w:rPr>
          <w:rFonts w:hint="eastAsia" w:ascii="仿宋" w:hAnsi="仿宋" w:eastAsia="仿宋"/>
          <w:kern w:val="0"/>
          <w:sz w:val="32"/>
          <w:szCs w:val="32"/>
          <w:highlight w:val="none"/>
        </w:rPr>
        <w:t>1332.91</w:t>
      </w:r>
      <w:r>
        <w:rPr>
          <w:rFonts w:ascii="仿宋" w:hAnsi="仿宋" w:eastAsia="仿宋"/>
          <w:kern w:val="0"/>
          <w:sz w:val="32"/>
          <w:szCs w:val="32"/>
          <w:highlight w:val="none"/>
        </w:rPr>
        <w:t>万元，</w:t>
      </w:r>
      <w:r>
        <w:rPr>
          <w:rFonts w:hint="eastAsia" w:ascii="仿宋" w:hAnsi="仿宋" w:eastAsia="仿宋"/>
          <w:kern w:val="0"/>
          <w:sz w:val="32"/>
          <w:szCs w:val="32"/>
          <w:highlight w:val="none"/>
        </w:rPr>
        <w:t>比上年执行数减少201.90万元，下降13.15%，主要原因是：</w:t>
      </w:r>
      <w:r>
        <w:rPr>
          <w:rFonts w:hint="eastAsia" w:ascii="仿宋_GB2312" w:hAnsi="宋体" w:eastAsia="仿宋_GB2312" w:cs="宋体"/>
          <w:kern w:val="0"/>
          <w:sz w:val="32"/>
          <w:szCs w:val="32"/>
          <w:highlight w:val="none"/>
        </w:rPr>
        <w:t>有人员调出，人员经费和办公经费都减少。</w:t>
      </w:r>
    </w:p>
    <w:p>
      <w:pPr>
        <w:widowControl/>
        <w:spacing w:line="580" w:lineRule="exact"/>
        <w:ind w:firstLine="640"/>
        <w:jc w:val="left"/>
        <w:rPr>
          <w:rFonts w:ascii="仿宋" w:hAnsi="仿宋" w:eastAsia="仿宋"/>
          <w:kern w:val="0"/>
          <w:sz w:val="32"/>
          <w:szCs w:val="32"/>
          <w:highlight w:val="none"/>
        </w:rPr>
      </w:pPr>
      <w:r>
        <w:rPr>
          <w:rFonts w:hint="eastAsia" w:ascii="楷体_GB2312" w:hAnsi="宋体" w:eastAsia="楷体_GB2312" w:cs="宋体"/>
          <w:kern w:val="0"/>
          <w:sz w:val="32"/>
          <w:szCs w:val="32"/>
          <w:highlight w:val="none"/>
        </w:rPr>
        <w:t>2.</w:t>
      </w:r>
      <w:r>
        <w:rPr>
          <w:rFonts w:hint="eastAsia" w:ascii="仿宋" w:hAnsi="仿宋" w:eastAsia="仿宋"/>
          <w:kern w:val="0"/>
          <w:sz w:val="32"/>
          <w:szCs w:val="32"/>
          <w:highlight w:val="none"/>
        </w:rPr>
        <w:t xml:space="preserve"> 社会保障和就业</w:t>
      </w:r>
      <w:r>
        <w:rPr>
          <w:rFonts w:ascii="仿宋" w:hAnsi="仿宋" w:eastAsia="仿宋"/>
          <w:kern w:val="0"/>
          <w:sz w:val="32"/>
          <w:szCs w:val="32"/>
          <w:highlight w:val="none"/>
        </w:rPr>
        <w:t>（类）</w:t>
      </w:r>
      <w:r>
        <w:rPr>
          <w:rFonts w:hint="eastAsia" w:ascii="仿宋" w:hAnsi="仿宋" w:eastAsia="仿宋"/>
          <w:kern w:val="0"/>
          <w:sz w:val="32"/>
          <w:szCs w:val="32"/>
          <w:highlight w:val="none"/>
        </w:rPr>
        <w:t>人力资源和社会保障管理事务</w:t>
      </w:r>
      <w:r>
        <w:rPr>
          <w:rFonts w:ascii="仿宋" w:hAnsi="仿宋" w:eastAsia="仿宋"/>
          <w:kern w:val="0"/>
          <w:sz w:val="32"/>
          <w:szCs w:val="32"/>
          <w:highlight w:val="none"/>
        </w:rPr>
        <w:t>（款）</w:t>
      </w:r>
      <w:r>
        <w:rPr>
          <w:rFonts w:hint="eastAsia" w:ascii="仿宋" w:hAnsi="仿宋" w:eastAsia="仿宋"/>
          <w:kern w:val="0"/>
          <w:sz w:val="32"/>
          <w:szCs w:val="32"/>
          <w:highlight w:val="none"/>
        </w:rPr>
        <w:t>一般行政管理事务（</w:t>
      </w:r>
      <w:r>
        <w:rPr>
          <w:rFonts w:hint="eastAsia" w:ascii="仿宋" w:hAnsi="仿宋" w:eastAsia="仿宋"/>
          <w:kern w:val="0"/>
          <w:sz w:val="32"/>
          <w:szCs w:val="32"/>
          <w:highlight w:val="none"/>
          <w:lang w:eastAsia="zh-CN"/>
        </w:rPr>
        <w:t>项</w:t>
      </w:r>
      <w:r>
        <w:rPr>
          <w:rFonts w:hint="eastAsia" w:ascii="仿宋" w:hAnsi="仿宋" w:eastAsia="仿宋"/>
          <w:kern w:val="0"/>
          <w:sz w:val="32"/>
          <w:szCs w:val="32"/>
          <w:highlight w:val="none"/>
        </w:rPr>
        <w:t>）2019年</w:t>
      </w:r>
      <w:r>
        <w:rPr>
          <w:rFonts w:ascii="仿宋" w:hAnsi="仿宋" w:eastAsia="仿宋"/>
          <w:kern w:val="0"/>
          <w:sz w:val="32"/>
          <w:szCs w:val="32"/>
          <w:highlight w:val="none"/>
        </w:rPr>
        <w:t>预算数为</w:t>
      </w:r>
      <w:r>
        <w:rPr>
          <w:rFonts w:hint="eastAsia" w:ascii="仿宋" w:hAnsi="仿宋" w:eastAsia="仿宋"/>
          <w:kern w:val="0"/>
          <w:sz w:val="32"/>
          <w:szCs w:val="32"/>
          <w:highlight w:val="none"/>
        </w:rPr>
        <w:t>240</w:t>
      </w:r>
      <w:r>
        <w:rPr>
          <w:rFonts w:ascii="仿宋" w:hAnsi="仿宋" w:eastAsia="仿宋"/>
          <w:kern w:val="0"/>
          <w:sz w:val="32"/>
          <w:szCs w:val="32"/>
          <w:highlight w:val="none"/>
        </w:rPr>
        <w:t>万元，</w:t>
      </w:r>
      <w:r>
        <w:rPr>
          <w:rFonts w:hint="eastAsia" w:ascii="仿宋" w:hAnsi="仿宋" w:eastAsia="仿宋"/>
          <w:kern w:val="0"/>
          <w:sz w:val="32"/>
          <w:szCs w:val="32"/>
          <w:highlight w:val="none"/>
        </w:rPr>
        <w:t>比上年执行数增加103万元，增长75.18%，主要原因是业务活动经费总体有所增加：面向社会公开考试录用公务员增加了30万元；事业单位公开招聘增加了20万元；新增办公楼维修、设备购置等40万元；新增南疆富余劳动力管理服务系统40万元等。</w:t>
      </w:r>
    </w:p>
    <w:p>
      <w:pPr>
        <w:spacing w:line="580" w:lineRule="exact"/>
        <w:ind w:firstLine="640"/>
        <w:rPr>
          <w:kern w:val="0"/>
          <w:sz w:val="32"/>
          <w:szCs w:val="32"/>
          <w:highlight w:val="none"/>
        </w:rPr>
      </w:pPr>
      <w:r>
        <w:rPr>
          <w:rFonts w:hint="eastAsia" w:ascii="仿宋" w:hAnsi="仿宋" w:eastAsia="仿宋"/>
          <w:kern w:val="0"/>
          <w:sz w:val="32"/>
          <w:szCs w:val="32"/>
          <w:highlight w:val="none"/>
        </w:rPr>
        <w:t>3.社会保障和就业</w:t>
      </w:r>
      <w:r>
        <w:rPr>
          <w:rFonts w:ascii="仿宋" w:hAnsi="仿宋" w:eastAsia="仿宋"/>
          <w:kern w:val="0"/>
          <w:sz w:val="32"/>
          <w:szCs w:val="32"/>
          <w:highlight w:val="none"/>
        </w:rPr>
        <w:t>（类）</w:t>
      </w:r>
      <w:r>
        <w:rPr>
          <w:rFonts w:hint="eastAsia" w:ascii="仿宋" w:hAnsi="仿宋" w:eastAsia="仿宋"/>
          <w:kern w:val="0"/>
          <w:sz w:val="32"/>
          <w:szCs w:val="32"/>
          <w:highlight w:val="none"/>
        </w:rPr>
        <w:t>人力资源和社会保障管理事务</w:t>
      </w:r>
      <w:r>
        <w:rPr>
          <w:rFonts w:ascii="仿宋" w:hAnsi="仿宋" w:eastAsia="仿宋"/>
          <w:kern w:val="0"/>
          <w:sz w:val="32"/>
          <w:szCs w:val="32"/>
          <w:highlight w:val="none"/>
        </w:rPr>
        <w:t>（款）</w:t>
      </w:r>
      <w:r>
        <w:rPr>
          <w:rFonts w:hint="eastAsia" w:ascii="仿宋" w:hAnsi="仿宋" w:eastAsia="仿宋"/>
          <w:kern w:val="0"/>
          <w:sz w:val="32"/>
          <w:szCs w:val="32"/>
          <w:highlight w:val="none"/>
        </w:rPr>
        <w:t>劳动保障监察（</w:t>
      </w:r>
      <w:r>
        <w:rPr>
          <w:rFonts w:hint="eastAsia" w:ascii="仿宋" w:hAnsi="仿宋" w:eastAsia="仿宋"/>
          <w:kern w:val="0"/>
          <w:sz w:val="32"/>
          <w:szCs w:val="32"/>
          <w:highlight w:val="none"/>
          <w:lang w:eastAsia="zh-CN"/>
        </w:rPr>
        <w:t>项</w:t>
      </w:r>
      <w:r>
        <w:rPr>
          <w:rFonts w:hint="eastAsia" w:ascii="仿宋" w:hAnsi="仿宋" w:eastAsia="仿宋"/>
          <w:kern w:val="0"/>
          <w:sz w:val="32"/>
          <w:szCs w:val="32"/>
          <w:highlight w:val="none"/>
        </w:rPr>
        <w:t>）2019年</w:t>
      </w:r>
      <w:r>
        <w:rPr>
          <w:rFonts w:ascii="仿宋" w:hAnsi="仿宋" w:eastAsia="仿宋"/>
          <w:kern w:val="0"/>
          <w:sz w:val="32"/>
          <w:szCs w:val="32"/>
          <w:highlight w:val="none"/>
        </w:rPr>
        <w:t>预算数为</w:t>
      </w:r>
      <w:r>
        <w:rPr>
          <w:rFonts w:hint="eastAsia" w:ascii="仿宋" w:hAnsi="仿宋" w:eastAsia="仿宋"/>
          <w:kern w:val="0"/>
          <w:sz w:val="32"/>
          <w:szCs w:val="32"/>
          <w:highlight w:val="none"/>
        </w:rPr>
        <w:t>15</w:t>
      </w:r>
      <w:r>
        <w:rPr>
          <w:rFonts w:ascii="仿宋" w:hAnsi="仿宋" w:eastAsia="仿宋"/>
          <w:kern w:val="0"/>
          <w:sz w:val="32"/>
          <w:szCs w:val="32"/>
          <w:highlight w:val="none"/>
        </w:rPr>
        <w:t>万元，</w:t>
      </w:r>
      <w:r>
        <w:rPr>
          <w:rFonts w:hint="eastAsia" w:ascii="仿宋" w:hAnsi="仿宋" w:eastAsia="仿宋"/>
          <w:kern w:val="0"/>
          <w:sz w:val="32"/>
          <w:szCs w:val="32"/>
          <w:highlight w:val="none"/>
        </w:rPr>
        <w:t>比上年执行数增加4万元，增长36.36%，主要原因是：工作开展活动增多。</w:t>
      </w:r>
    </w:p>
    <w:p>
      <w:pPr>
        <w:spacing w:line="580" w:lineRule="exact"/>
        <w:ind w:firstLine="640"/>
        <w:rPr>
          <w:rFonts w:ascii="仿宋" w:hAnsi="仿宋" w:eastAsia="仿宋"/>
          <w:kern w:val="0"/>
          <w:sz w:val="32"/>
          <w:szCs w:val="32"/>
          <w:highlight w:val="none"/>
        </w:rPr>
      </w:pPr>
      <w:r>
        <w:rPr>
          <w:rFonts w:hint="eastAsia"/>
          <w:kern w:val="0"/>
          <w:sz w:val="32"/>
          <w:szCs w:val="32"/>
          <w:highlight w:val="none"/>
        </w:rPr>
        <w:t>4.</w:t>
      </w:r>
      <w:r>
        <w:rPr>
          <w:rFonts w:hint="eastAsia" w:ascii="仿宋" w:hAnsi="仿宋" w:eastAsia="仿宋"/>
          <w:kern w:val="0"/>
          <w:sz w:val="32"/>
          <w:szCs w:val="32"/>
          <w:highlight w:val="none"/>
        </w:rPr>
        <w:t>社会保障和就业</w:t>
      </w:r>
      <w:r>
        <w:rPr>
          <w:rFonts w:ascii="仿宋" w:hAnsi="仿宋" w:eastAsia="仿宋"/>
          <w:kern w:val="0"/>
          <w:sz w:val="32"/>
          <w:szCs w:val="32"/>
          <w:highlight w:val="none"/>
        </w:rPr>
        <w:t>（类）</w:t>
      </w:r>
      <w:r>
        <w:rPr>
          <w:rFonts w:hint="eastAsia" w:ascii="仿宋" w:hAnsi="仿宋" w:eastAsia="仿宋"/>
          <w:kern w:val="0"/>
          <w:sz w:val="32"/>
          <w:szCs w:val="32"/>
          <w:highlight w:val="none"/>
        </w:rPr>
        <w:t>人力资源和社会保障管理事务</w:t>
      </w:r>
      <w:r>
        <w:rPr>
          <w:rFonts w:ascii="仿宋" w:hAnsi="仿宋" w:eastAsia="仿宋"/>
          <w:kern w:val="0"/>
          <w:sz w:val="32"/>
          <w:szCs w:val="32"/>
          <w:highlight w:val="none"/>
        </w:rPr>
        <w:t>（款）</w:t>
      </w:r>
      <w:r>
        <w:rPr>
          <w:rFonts w:hint="eastAsia" w:ascii="仿宋" w:hAnsi="仿宋" w:eastAsia="仿宋"/>
          <w:kern w:val="0"/>
          <w:sz w:val="32"/>
          <w:szCs w:val="32"/>
          <w:highlight w:val="none"/>
        </w:rPr>
        <w:t>社会保险业务员管理事务（</w:t>
      </w:r>
      <w:r>
        <w:rPr>
          <w:rFonts w:hint="eastAsia" w:ascii="仿宋" w:hAnsi="仿宋" w:eastAsia="仿宋"/>
          <w:kern w:val="0"/>
          <w:sz w:val="32"/>
          <w:szCs w:val="32"/>
          <w:highlight w:val="none"/>
          <w:lang w:eastAsia="zh-CN"/>
        </w:rPr>
        <w:t>项</w:t>
      </w:r>
      <w:r>
        <w:rPr>
          <w:rFonts w:hint="eastAsia" w:ascii="仿宋" w:hAnsi="仿宋" w:eastAsia="仿宋"/>
          <w:kern w:val="0"/>
          <w:sz w:val="32"/>
          <w:szCs w:val="32"/>
          <w:highlight w:val="none"/>
        </w:rPr>
        <w:t>）2019年</w:t>
      </w:r>
      <w:r>
        <w:rPr>
          <w:rFonts w:ascii="仿宋" w:hAnsi="仿宋" w:eastAsia="仿宋"/>
          <w:kern w:val="0"/>
          <w:sz w:val="32"/>
          <w:szCs w:val="32"/>
          <w:highlight w:val="none"/>
        </w:rPr>
        <w:t>预算数为</w:t>
      </w:r>
      <w:r>
        <w:rPr>
          <w:rFonts w:hint="eastAsia" w:ascii="仿宋" w:hAnsi="仿宋" w:eastAsia="仿宋"/>
          <w:kern w:val="0"/>
          <w:sz w:val="32"/>
          <w:szCs w:val="32"/>
          <w:highlight w:val="none"/>
        </w:rPr>
        <w:t>20</w:t>
      </w:r>
      <w:r>
        <w:rPr>
          <w:rFonts w:ascii="仿宋" w:hAnsi="仿宋" w:eastAsia="仿宋"/>
          <w:kern w:val="0"/>
          <w:sz w:val="32"/>
          <w:szCs w:val="32"/>
          <w:highlight w:val="none"/>
        </w:rPr>
        <w:t>万元，</w:t>
      </w:r>
      <w:r>
        <w:rPr>
          <w:rFonts w:hint="eastAsia" w:ascii="仿宋" w:hAnsi="仿宋" w:eastAsia="仿宋"/>
          <w:kern w:val="0"/>
          <w:sz w:val="32"/>
          <w:szCs w:val="32"/>
          <w:highlight w:val="none"/>
        </w:rPr>
        <w:t>比上年执行数减少3万元，降低13.04%，主要原因是：根据本年工作安排，需调整业务活动及安排相应的工作经费，减少了3万元。</w:t>
      </w:r>
    </w:p>
    <w:p>
      <w:pPr>
        <w:spacing w:line="580" w:lineRule="exact"/>
        <w:ind w:firstLine="640"/>
        <w:rPr>
          <w:rFonts w:ascii="仿宋" w:hAnsi="仿宋" w:eastAsia="仿宋"/>
          <w:kern w:val="0"/>
          <w:sz w:val="32"/>
          <w:szCs w:val="32"/>
          <w:highlight w:val="none"/>
        </w:rPr>
      </w:pPr>
      <w:r>
        <w:rPr>
          <w:rFonts w:hint="eastAsia" w:ascii="仿宋" w:hAnsi="仿宋" w:eastAsia="仿宋"/>
          <w:kern w:val="0"/>
          <w:sz w:val="32"/>
          <w:szCs w:val="32"/>
          <w:highlight w:val="none"/>
        </w:rPr>
        <w:t>5.社会保障和就业</w:t>
      </w:r>
      <w:r>
        <w:rPr>
          <w:rFonts w:ascii="仿宋" w:hAnsi="仿宋" w:eastAsia="仿宋"/>
          <w:kern w:val="0"/>
          <w:sz w:val="32"/>
          <w:szCs w:val="32"/>
          <w:highlight w:val="none"/>
        </w:rPr>
        <w:t>（类）</w:t>
      </w:r>
      <w:r>
        <w:rPr>
          <w:rFonts w:hint="eastAsia" w:ascii="仿宋" w:hAnsi="仿宋" w:eastAsia="仿宋"/>
          <w:kern w:val="0"/>
          <w:sz w:val="32"/>
          <w:szCs w:val="32"/>
          <w:highlight w:val="none"/>
        </w:rPr>
        <w:t>人力资源和社会保障管理事务</w:t>
      </w:r>
      <w:r>
        <w:rPr>
          <w:rFonts w:ascii="仿宋" w:hAnsi="仿宋" w:eastAsia="仿宋"/>
          <w:kern w:val="0"/>
          <w:sz w:val="32"/>
          <w:szCs w:val="32"/>
          <w:highlight w:val="none"/>
        </w:rPr>
        <w:t>（款）信息化建设</w:t>
      </w:r>
      <w:r>
        <w:rPr>
          <w:rFonts w:hint="eastAsia" w:ascii="仿宋" w:hAnsi="仿宋" w:eastAsia="仿宋"/>
          <w:kern w:val="0"/>
          <w:sz w:val="32"/>
          <w:szCs w:val="32"/>
          <w:highlight w:val="none"/>
        </w:rPr>
        <w:t>（</w:t>
      </w:r>
      <w:r>
        <w:rPr>
          <w:rFonts w:hint="eastAsia" w:ascii="仿宋" w:hAnsi="仿宋" w:eastAsia="仿宋"/>
          <w:kern w:val="0"/>
          <w:sz w:val="32"/>
          <w:szCs w:val="32"/>
          <w:highlight w:val="none"/>
          <w:lang w:eastAsia="zh-CN"/>
        </w:rPr>
        <w:t>项</w:t>
      </w:r>
      <w:r>
        <w:rPr>
          <w:rFonts w:hint="eastAsia" w:ascii="仿宋" w:hAnsi="仿宋" w:eastAsia="仿宋"/>
          <w:kern w:val="0"/>
          <w:sz w:val="32"/>
          <w:szCs w:val="32"/>
          <w:highlight w:val="none"/>
        </w:rPr>
        <w:t>）2019年</w:t>
      </w:r>
      <w:r>
        <w:rPr>
          <w:rFonts w:ascii="仿宋" w:hAnsi="仿宋" w:eastAsia="仿宋"/>
          <w:kern w:val="0"/>
          <w:sz w:val="32"/>
          <w:szCs w:val="32"/>
          <w:highlight w:val="none"/>
        </w:rPr>
        <w:t>预算数为</w:t>
      </w:r>
      <w:r>
        <w:rPr>
          <w:rFonts w:hint="eastAsia" w:ascii="仿宋" w:hAnsi="仿宋" w:eastAsia="仿宋"/>
          <w:kern w:val="0"/>
          <w:sz w:val="32"/>
          <w:szCs w:val="32"/>
          <w:highlight w:val="none"/>
        </w:rPr>
        <w:t>12万元，为本年新增业务</w:t>
      </w:r>
      <w:r>
        <w:rPr>
          <w:rFonts w:hint="eastAsia" w:ascii="仿宋" w:hAnsi="仿宋" w:eastAsia="仿宋"/>
          <w:kern w:val="0"/>
          <w:sz w:val="32"/>
          <w:szCs w:val="32"/>
          <w:highlight w:val="none"/>
          <w:lang w:eastAsia="zh-CN"/>
        </w:rPr>
        <w:t>，</w:t>
      </w:r>
      <w:r>
        <w:rPr>
          <w:rFonts w:hint="eastAsia" w:ascii="仿宋" w:hAnsi="仿宋" w:eastAsia="仿宋"/>
          <w:kern w:val="0"/>
          <w:sz w:val="32"/>
          <w:szCs w:val="32"/>
          <w:highlight w:val="none"/>
        </w:rPr>
        <w:t>比上年执行数</w:t>
      </w:r>
      <w:r>
        <w:rPr>
          <w:rFonts w:hint="eastAsia" w:ascii="仿宋" w:hAnsi="仿宋" w:eastAsia="仿宋"/>
          <w:kern w:val="0"/>
          <w:sz w:val="32"/>
          <w:szCs w:val="32"/>
          <w:highlight w:val="none"/>
          <w:lang w:eastAsia="zh-CN"/>
        </w:rPr>
        <w:t>增加</w:t>
      </w:r>
      <w:r>
        <w:rPr>
          <w:rFonts w:hint="eastAsia" w:ascii="仿宋" w:hAnsi="仿宋" w:eastAsia="仿宋"/>
          <w:kern w:val="0"/>
          <w:sz w:val="32"/>
          <w:szCs w:val="32"/>
          <w:highlight w:val="none"/>
          <w:lang w:val="en-US" w:eastAsia="zh-CN"/>
        </w:rPr>
        <w:t>12</w:t>
      </w:r>
      <w:r>
        <w:rPr>
          <w:rFonts w:hint="eastAsia" w:ascii="仿宋" w:hAnsi="仿宋" w:eastAsia="仿宋"/>
          <w:kern w:val="0"/>
          <w:sz w:val="32"/>
          <w:szCs w:val="32"/>
          <w:highlight w:val="none"/>
        </w:rPr>
        <w:t>万元，</w:t>
      </w:r>
      <w:r>
        <w:rPr>
          <w:rFonts w:hint="eastAsia" w:ascii="仿宋" w:hAnsi="仿宋" w:eastAsia="仿宋"/>
          <w:kern w:val="0"/>
          <w:sz w:val="32"/>
          <w:szCs w:val="32"/>
          <w:highlight w:val="none"/>
          <w:lang w:eastAsia="zh-CN"/>
        </w:rPr>
        <w:t>增长</w:t>
      </w:r>
      <w:r>
        <w:rPr>
          <w:rFonts w:hint="eastAsia" w:ascii="仿宋" w:hAnsi="仿宋" w:eastAsia="仿宋"/>
          <w:kern w:val="0"/>
          <w:sz w:val="32"/>
          <w:szCs w:val="32"/>
          <w:highlight w:val="none"/>
          <w:lang w:val="en-US" w:eastAsia="zh-CN"/>
        </w:rPr>
        <w:t>100</w:t>
      </w:r>
      <w:r>
        <w:rPr>
          <w:rFonts w:hint="eastAsia" w:ascii="仿宋" w:hAnsi="仿宋" w:eastAsia="仿宋"/>
          <w:kern w:val="0"/>
          <w:sz w:val="32"/>
          <w:szCs w:val="32"/>
          <w:highlight w:val="none"/>
        </w:rPr>
        <w:t>%，主要原因是：根据本年工作安排，</w:t>
      </w:r>
      <w:r>
        <w:rPr>
          <w:rFonts w:hint="eastAsia" w:ascii="仿宋" w:hAnsi="仿宋" w:eastAsia="仿宋"/>
          <w:kern w:val="0"/>
          <w:sz w:val="32"/>
          <w:szCs w:val="32"/>
          <w:highlight w:val="none"/>
          <w:lang w:eastAsia="zh-CN"/>
        </w:rPr>
        <w:t>新</w:t>
      </w:r>
      <w:r>
        <w:rPr>
          <w:rFonts w:hint="eastAsia" w:ascii="仿宋" w:hAnsi="仿宋" w:eastAsia="仿宋"/>
          <w:kern w:val="0"/>
          <w:sz w:val="32"/>
          <w:szCs w:val="32"/>
          <w:highlight w:val="none"/>
        </w:rPr>
        <w:t>调整业务活动及安排相应的工作经费，</w:t>
      </w:r>
      <w:r>
        <w:rPr>
          <w:rFonts w:hint="eastAsia" w:ascii="仿宋" w:hAnsi="仿宋" w:eastAsia="仿宋"/>
          <w:kern w:val="0"/>
          <w:sz w:val="32"/>
          <w:szCs w:val="32"/>
          <w:highlight w:val="none"/>
          <w:lang w:eastAsia="zh-CN"/>
        </w:rPr>
        <w:t>新增加了</w:t>
      </w:r>
      <w:r>
        <w:rPr>
          <w:rFonts w:hint="eastAsia" w:ascii="仿宋" w:hAnsi="仿宋" w:eastAsia="仿宋"/>
          <w:kern w:val="0"/>
          <w:sz w:val="32"/>
          <w:szCs w:val="32"/>
          <w:highlight w:val="none"/>
          <w:lang w:val="en-US" w:eastAsia="zh-CN"/>
        </w:rPr>
        <w:t>12万元</w:t>
      </w:r>
      <w:r>
        <w:rPr>
          <w:rFonts w:hint="eastAsia" w:ascii="仿宋" w:hAnsi="仿宋" w:eastAsia="仿宋"/>
          <w:kern w:val="0"/>
          <w:sz w:val="32"/>
          <w:szCs w:val="32"/>
          <w:highlight w:val="none"/>
        </w:rPr>
        <w:t>。</w:t>
      </w:r>
    </w:p>
    <w:p>
      <w:pPr>
        <w:spacing w:line="580" w:lineRule="exact"/>
        <w:ind w:firstLine="640"/>
        <w:rPr>
          <w:rFonts w:ascii="仿宋_GB2312" w:hAnsi="宋体" w:eastAsia="仿宋_GB2312" w:cs="宋体"/>
          <w:kern w:val="0"/>
          <w:sz w:val="32"/>
          <w:szCs w:val="32"/>
          <w:highlight w:val="none"/>
        </w:rPr>
      </w:pPr>
      <w:r>
        <w:rPr>
          <w:rFonts w:hint="eastAsia" w:ascii="仿宋" w:hAnsi="仿宋" w:eastAsia="仿宋"/>
          <w:kern w:val="0"/>
          <w:sz w:val="32"/>
          <w:szCs w:val="32"/>
          <w:highlight w:val="none"/>
        </w:rPr>
        <w:t>6.社会保障和就业</w:t>
      </w:r>
      <w:r>
        <w:rPr>
          <w:rFonts w:ascii="仿宋" w:hAnsi="仿宋" w:eastAsia="仿宋"/>
          <w:kern w:val="0"/>
          <w:sz w:val="32"/>
          <w:szCs w:val="32"/>
          <w:highlight w:val="none"/>
        </w:rPr>
        <w:t>（类）</w:t>
      </w:r>
      <w:r>
        <w:rPr>
          <w:rFonts w:hint="eastAsia" w:ascii="仿宋" w:hAnsi="仿宋" w:eastAsia="仿宋"/>
          <w:kern w:val="0"/>
          <w:sz w:val="32"/>
          <w:szCs w:val="32"/>
          <w:highlight w:val="none"/>
        </w:rPr>
        <w:t>人力资源和社会保障管理事务</w:t>
      </w:r>
      <w:r>
        <w:rPr>
          <w:rFonts w:ascii="仿宋" w:hAnsi="仿宋" w:eastAsia="仿宋"/>
          <w:kern w:val="0"/>
          <w:sz w:val="32"/>
          <w:szCs w:val="32"/>
          <w:highlight w:val="none"/>
        </w:rPr>
        <w:t>（款）</w:t>
      </w:r>
      <w:r>
        <w:rPr>
          <w:rFonts w:hint="eastAsia" w:ascii="仿宋" w:hAnsi="仿宋" w:eastAsia="仿宋"/>
          <w:kern w:val="0"/>
          <w:sz w:val="32"/>
          <w:szCs w:val="32"/>
          <w:highlight w:val="none"/>
        </w:rPr>
        <w:t>劳动人事争议调解仲裁（</w:t>
      </w:r>
      <w:r>
        <w:rPr>
          <w:rFonts w:hint="eastAsia" w:ascii="仿宋" w:hAnsi="仿宋" w:eastAsia="仿宋"/>
          <w:kern w:val="0"/>
          <w:sz w:val="32"/>
          <w:szCs w:val="32"/>
          <w:highlight w:val="none"/>
          <w:lang w:eastAsia="zh-CN"/>
        </w:rPr>
        <w:t>项</w:t>
      </w:r>
      <w:r>
        <w:rPr>
          <w:rFonts w:hint="eastAsia" w:ascii="仿宋" w:hAnsi="仿宋" w:eastAsia="仿宋"/>
          <w:kern w:val="0"/>
          <w:sz w:val="32"/>
          <w:szCs w:val="32"/>
          <w:highlight w:val="none"/>
        </w:rPr>
        <w:t>）2019年</w:t>
      </w:r>
      <w:r>
        <w:rPr>
          <w:rFonts w:ascii="仿宋" w:hAnsi="仿宋" w:eastAsia="仿宋"/>
          <w:kern w:val="0"/>
          <w:sz w:val="32"/>
          <w:szCs w:val="32"/>
          <w:highlight w:val="none"/>
        </w:rPr>
        <w:t>预算数为</w:t>
      </w:r>
      <w:r>
        <w:rPr>
          <w:rFonts w:hint="eastAsia" w:ascii="仿宋" w:hAnsi="仿宋" w:eastAsia="仿宋"/>
          <w:kern w:val="0"/>
          <w:sz w:val="32"/>
          <w:szCs w:val="32"/>
          <w:highlight w:val="none"/>
        </w:rPr>
        <w:t>13</w:t>
      </w:r>
      <w:r>
        <w:rPr>
          <w:rFonts w:ascii="仿宋" w:hAnsi="仿宋" w:eastAsia="仿宋"/>
          <w:kern w:val="0"/>
          <w:sz w:val="32"/>
          <w:szCs w:val="32"/>
          <w:highlight w:val="none"/>
        </w:rPr>
        <w:t>万元，</w:t>
      </w:r>
      <w:r>
        <w:rPr>
          <w:rFonts w:hint="eastAsia" w:ascii="仿宋" w:hAnsi="仿宋" w:eastAsia="仿宋"/>
          <w:kern w:val="0"/>
          <w:sz w:val="32"/>
          <w:szCs w:val="32"/>
          <w:highlight w:val="none"/>
        </w:rPr>
        <w:t>比上年执行数增加3万元，增长30%，主要原因是：根据本年工作安排，需增加业务活动及安排相应工作经费，增加了3万元。</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六、关于昌吉州人力资源和社会保障局部门2019年一般公共预算基本支出情况说明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关于昌吉州人力资源和社会保障局部门2019年一般公共预算基本支出1332.91万元，其中：</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1157.49万元，主要包括：基本工资、津贴补贴、奖金、伙食补助费、绩效工资、机关事业单位基本养老保险缴费、职工基本医疗保险缴费、公务员医疗补助缴费、其他社会保障缴费、住房公积金、其他工资福利支出、离休费、生活补助、奖励金。</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公用经费175.42万元，主要包括：办公费、印刷费、水费、电费、邮电费、取暖费、差旅费、维修（护）费、工会经费、福利费、公务用车运行维护费、其他商品和服务支出等。</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七、关于昌吉州人力资源和社会保障局部门2019年项目支出情况说明</w:t>
      </w:r>
    </w:p>
    <w:p>
      <w:pPr>
        <w:widowControl/>
        <w:spacing w:line="580" w:lineRule="exact"/>
        <w:ind w:firstLine="640"/>
        <w:jc w:val="left"/>
        <w:rPr>
          <w:rFonts w:hint="eastAsia" w:ascii="仿宋" w:hAnsi="仿宋" w:eastAsia="仿宋" w:cs="仿宋"/>
          <w:sz w:val="32"/>
          <w:szCs w:val="32"/>
          <w:highlight w:val="none"/>
        </w:rPr>
      </w:pPr>
      <w:r>
        <w:rPr>
          <w:rFonts w:hint="eastAsia" w:ascii="仿宋_GB2312" w:hAnsi="黑体" w:eastAsia="仿宋_GB2312"/>
          <w:sz w:val="32"/>
          <w:szCs w:val="32"/>
          <w:highlight w:val="none"/>
        </w:rPr>
        <w:t>1、项目</w:t>
      </w:r>
      <w:r>
        <w:rPr>
          <w:rFonts w:ascii="仿宋_GB2312" w:hAnsi="黑体" w:eastAsia="仿宋_GB2312"/>
          <w:sz w:val="32"/>
          <w:szCs w:val="32"/>
          <w:highlight w:val="none"/>
        </w:rPr>
        <w:t>名称</w:t>
      </w:r>
      <w:r>
        <w:rPr>
          <w:rFonts w:hint="eastAsia" w:ascii="仿宋_GB2312" w:hAnsi="黑体" w:eastAsia="仿宋_GB2312"/>
          <w:sz w:val="32"/>
          <w:szCs w:val="32"/>
          <w:highlight w:val="none"/>
        </w:rPr>
        <w:t>：</w:t>
      </w:r>
      <w:r>
        <w:rPr>
          <w:rFonts w:hint="eastAsia" w:ascii="仿宋" w:hAnsi="仿宋" w:eastAsia="仿宋" w:cs="仿宋"/>
          <w:color w:val="000000"/>
          <w:kern w:val="0"/>
          <w:sz w:val="32"/>
          <w:szCs w:val="32"/>
          <w:highlight w:val="none"/>
          <w:lang w:bidi="ar"/>
        </w:rPr>
        <w:t>2019年面向社会公开考试录用公务员、工作人员</w:t>
      </w:r>
    </w:p>
    <w:p>
      <w:pPr>
        <w:ind w:firstLine="640" w:firstLineChars="200"/>
        <w:jc w:val="left"/>
        <w:rPr>
          <w:rFonts w:ascii="仿宋" w:hAnsi="仿宋" w:eastAsia="仿宋"/>
          <w:sz w:val="32"/>
          <w:szCs w:val="32"/>
          <w:highlight w:val="none"/>
        </w:rPr>
      </w:pPr>
      <w:r>
        <w:rPr>
          <w:rFonts w:ascii="仿宋_GB2312" w:hAnsi="黑体" w:eastAsia="仿宋_GB2312"/>
          <w:sz w:val="32"/>
          <w:szCs w:val="32"/>
          <w:highlight w:val="none"/>
        </w:rPr>
        <w:t>设立的政策依据</w:t>
      </w:r>
      <w:r>
        <w:rPr>
          <w:rFonts w:hint="eastAsia" w:ascii="仿宋_GB2312" w:hAnsi="黑体" w:eastAsia="仿宋_GB2312"/>
          <w:sz w:val="32"/>
          <w:szCs w:val="32"/>
          <w:highlight w:val="none"/>
        </w:rPr>
        <w:t>：</w:t>
      </w:r>
      <w:r>
        <w:rPr>
          <w:rFonts w:hint="eastAsia" w:ascii="仿宋" w:hAnsi="仿宋" w:eastAsia="仿宋"/>
          <w:sz w:val="32"/>
          <w:szCs w:val="32"/>
          <w:highlight w:val="none"/>
        </w:rPr>
        <w:t>《新疆维吾尔自治区公务员录用实施办法（试行）》</w:t>
      </w:r>
    </w:p>
    <w:p>
      <w:pPr>
        <w:widowControl/>
        <w:spacing w:line="580" w:lineRule="exact"/>
        <w:ind w:firstLine="640"/>
        <w:jc w:val="left"/>
        <w:rPr>
          <w:rFonts w:ascii="仿宋_GB2312" w:hAnsi="黑体" w:eastAsia="仿宋_GB2312"/>
          <w:sz w:val="32"/>
          <w:szCs w:val="32"/>
          <w:highlight w:val="none"/>
        </w:rPr>
      </w:pPr>
      <w:r>
        <w:rPr>
          <w:rFonts w:ascii="仿宋_GB2312" w:hAnsi="黑体" w:eastAsia="仿宋_GB2312"/>
          <w:sz w:val="32"/>
          <w:szCs w:val="32"/>
          <w:highlight w:val="none"/>
        </w:rPr>
        <w:t>预算安排规模</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50万元</w:t>
      </w:r>
    </w:p>
    <w:p>
      <w:pPr>
        <w:widowControl/>
        <w:spacing w:line="580" w:lineRule="exact"/>
        <w:ind w:firstLine="640"/>
        <w:jc w:val="left"/>
        <w:rPr>
          <w:rFonts w:ascii="仿宋" w:hAnsi="仿宋" w:eastAsia="仿宋"/>
          <w:sz w:val="32"/>
          <w:szCs w:val="32"/>
          <w:highlight w:val="none"/>
        </w:rPr>
      </w:pPr>
      <w:r>
        <w:rPr>
          <w:rFonts w:ascii="仿宋_GB2312" w:hAnsi="黑体" w:eastAsia="仿宋_GB2312"/>
          <w:sz w:val="32"/>
          <w:szCs w:val="32"/>
          <w:highlight w:val="none"/>
        </w:rPr>
        <w:t>项目承担单位</w:t>
      </w:r>
      <w:r>
        <w:rPr>
          <w:rFonts w:hint="eastAsia" w:ascii="仿宋_GB2312" w:hAnsi="黑体" w:eastAsia="仿宋_GB2312"/>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_GB2312" w:hAnsi="黑体" w:eastAsia="仿宋_GB2312"/>
          <w:sz w:val="32"/>
          <w:szCs w:val="32"/>
          <w:highlight w:val="none"/>
        </w:rPr>
        <w:t>资金分配情况</w:t>
      </w:r>
      <w:r>
        <w:rPr>
          <w:rFonts w:hint="eastAsia" w:ascii="仿宋_GB2312" w:hAnsi="黑体" w:eastAsia="仿宋_GB2312"/>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_GB2312" w:hAnsi="宋体" w:eastAsia="仿宋_GB2312" w:cs="宋体"/>
          <w:kern w:val="0"/>
          <w:sz w:val="32"/>
          <w:szCs w:val="32"/>
          <w:highlight w:val="none"/>
        </w:rPr>
      </w:pPr>
      <w:r>
        <w:rPr>
          <w:rFonts w:ascii="仿宋_GB2312" w:hAnsi="黑体" w:eastAsia="仿宋_GB2312"/>
          <w:sz w:val="32"/>
          <w:szCs w:val="32"/>
          <w:highlight w:val="none"/>
        </w:rPr>
        <w:t>资金执行时间</w:t>
      </w:r>
      <w:r>
        <w:rPr>
          <w:rFonts w:hint="eastAsia" w:ascii="仿宋_GB2312" w:hAnsi="黑体" w:eastAsia="仿宋_GB2312"/>
          <w:sz w:val="32"/>
          <w:szCs w:val="32"/>
          <w:highlight w:val="none"/>
        </w:rPr>
        <w:t>：</w:t>
      </w:r>
      <w:r>
        <w:rPr>
          <w:rFonts w:hint="eastAsia" w:ascii="仿宋_GB2312" w:hAnsi="宋体" w:eastAsia="仿宋_GB2312" w:cs="宋体"/>
          <w:kern w:val="0"/>
          <w:sz w:val="32"/>
          <w:szCs w:val="32"/>
          <w:highlight w:val="none"/>
        </w:rPr>
        <w:t>2019年</w:t>
      </w:r>
    </w:p>
    <w:p>
      <w:pPr>
        <w:widowControl/>
        <w:spacing w:line="580" w:lineRule="exact"/>
        <w:ind w:firstLine="640"/>
        <w:jc w:val="left"/>
        <w:rPr>
          <w:rFonts w:ascii="仿宋" w:hAnsi="仿宋" w:eastAsia="仿宋"/>
          <w:sz w:val="32"/>
          <w:szCs w:val="32"/>
          <w:highlight w:val="none"/>
        </w:rPr>
      </w:pPr>
      <w:r>
        <w:rPr>
          <w:rFonts w:hint="eastAsia" w:ascii="仿宋_GB2312" w:hAnsi="黑体" w:eastAsia="仿宋_GB2312"/>
          <w:sz w:val="32"/>
          <w:szCs w:val="32"/>
          <w:highlight w:val="none"/>
        </w:rPr>
        <w:t>2、</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劳动保障监察工作经费</w:t>
      </w:r>
    </w:p>
    <w:p>
      <w:pPr>
        <w:ind w:firstLine="640" w:firstLineChars="200"/>
        <w:jc w:val="left"/>
        <w:rPr>
          <w:rFonts w:ascii="仿宋" w:hAnsi="仿宋" w:eastAsia="仿宋" w:cs="宋体"/>
          <w:kern w:val="0"/>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新人社发[2016]43号《关于印发新疆维吾尔自治区加强劳动保障监察执法能力建设实施方案的通知》</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15万元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widowControl/>
        <w:spacing w:line="580" w:lineRule="exact"/>
        <w:ind w:firstLine="640"/>
        <w:jc w:val="left"/>
        <w:rPr>
          <w:rFonts w:ascii="仿宋" w:hAnsi="仿宋" w:eastAsia="仿宋"/>
          <w:sz w:val="32"/>
          <w:szCs w:val="32"/>
          <w:highlight w:val="none"/>
        </w:rPr>
      </w:pPr>
      <w:r>
        <w:rPr>
          <w:rFonts w:hint="eastAsia" w:ascii="仿宋_GB2312" w:hAnsi="黑体" w:eastAsia="仿宋_GB2312"/>
          <w:sz w:val="32"/>
          <w:szCs w:val="32"/>
          <w:highlight w:val="none"/>
        </w:rPr>
        <w:t>3、</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劳动能力鉴定工作经费</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：新劳社字【2007】126号文件第23条《新疆维吾尔自治区劳动能力鉴定管理暂行办法》</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：10万元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widowControl/>
        <w:spacing w:line="580" w:lineRule="exact"/>
        <w:ind w:firstLine="640"/>
        <w:jc w:val="left"/>
        <w:rPr>
          <w:rFonts w:ascii="仿宋" w:hAnsi="仿宋" w:eastAsia="仿宋"/>
          <w:sz w:val="32"/>
          <w:szCs w:val="32"/>
          <w:highlight w:val="none"/>
        </w:rPr>
      </w:pPr>
      <w:r>
        <w:rPr>
          <w:rFonts w:hint="eastAsia" w:ascii="仿宋" w:hAnsi="仿宋" w:eastAsia="仿宋" w:cs="宋体"/>
          <w:kern w:val="0"/>
          <w:sz w:val="32"/>
          <w:szCs w:val="32"/>
          <w:highlight w:val="none"/>
        </w:rPr>
        <w:t>4、</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劳动人事争议仲裁工作经费</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w:t>
      </w:r>
      <w:r>
        <w:rPr>
          <w:rFonts w:hint="eastAsia" w:ascii="仿宋_GB2312" w:hAnsi="仿宋" w:eastAsia="仿宋_GB2312"/>
          <w:sz w:val="24"/>
          <w:highlight w:val="none"/>
        </w:rPr>
        <w:t>《</w:t>
      </w:r>
      <w:r>
        <w:rPr>
          <w:rFonts w:hint="eastAsia" w:ascii="仿宋" w:hAnsi="仿宋" w:eastAsia="仿宋"/>
          <w:sz w:val="32"/>
          <w:szCs w:val="32"/>
          <w:highlight w:val="none"/>
        </w:rPr>
        <w:t>关于印发&lt;关于进一步加强劳动人事争议调解仲裁完善多元处理机制的实施意见&gt;的通知》（新人社发〔2017〕59号）</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13万元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widowControl/>
        <w:spacing w:line="580" w:lineRule="exact"/>
        <w:ind w:firstLine="640"/>
        <w:jc w:val="left"/>
        <w:rPr>
          <w:rFonts w:ascii="仿宋" w:hAnsi="仿宋" w:eastAsia="仿宋"/>
          <w:sz w:val="32"/>
          <w:szCs w:val="32"/>
          <w:highlight w:val="none"/>
        </w:rPr>
      </w:pPr>
      <w:r>
        <w:rPr>
          <w:rFonts w:hint="eastAsia" w:ascii="仿宋" w:hAnsi="仿宋" w:eastAsia="仿宋" w:cs="宋体"/>
          <w:kern w:val="0"/>
          <w:sz w:val="32"/>
          <w:szCs w:val="32"/>
          <w:highlight w:val="none"/>
        </w:rPr>
        <w:t>5、</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农村富余劳动力转移办公室工作经费</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自治州全面巩固脱贫攻坚成果，推进农村社会建设实施方案（2018-2020年）》</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：10万元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：商品和</w:t>
      </w:r>
      <w:r>
        <w:rPr>
          <w:rFonts w:hint="eastAsia" w:ascii="仿宋" w:hAnsi="仿宋" w:eastAsia="仿宋" w:cs="宋体"/>
          <w:kern w:val="0"/>
          <w:sz w:val="32"/>
          <w:szCs w:val="32"/>
          <w:highlight w:val="none"/>
        </w:rPr>
        <w:t>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widowControl/>
        <w:spacing w:line="580" w:lineRule="exact"/>
        <w:ind w:firstLine="640"/>
        <w:jc w:val="left"/>
        <w:rPr>
          <w:rFonts w:ascii="仿宋" w:hAnsi="仿宋" w:eastAsia="仿宋"/>
          <w:sz w:val="32"/>
          <w:szCs w:val="32"/>
          <w:highlight w:val="none"/>
        </w:rPr>
      </w:pPr>
      <w:r>
        <w:rPr>
          <w:rFonts w:hint="eastAsia" w:ascii="仿宋" w:hAnsi="仿宋" w:eastAsia="仿宋" w:cs="宋体"/>
          <w:kern w:val="0"/>
          <w:sz w:val="32"/>
          <w:szCs w:val="32"/>
          <w:highlight w:val="none"/>
        </w:rPr>
        <w:t>6、</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社保基金专业审计工作经费</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：《社会保险基金行政监督办法》第二条、第五条</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10万元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ind w:firstLine="640" w:firstLineChars="200"/>
        <w:jc w:val="left"/>
        <w:rPr>
          <w:rFonts w:ascii="仿宋" w:hAnsi="仿宋" w:eastAsia="仿宋"/>
          <w:spacing w:val="-1"/>
          <w:sz w:val="32"/>
          <w:szCs w:val="32"/>
          <w:highlight w:val="none"/>
        </w:rPr>
      </w:pPr>
      <w:r>
        <w:rPr>
          <w:rFonts w:hint="eastAsia" w:ascii="仿宋" w:hAnsi="仿宋" w:eastAsia="仿宋" w:cs="宋体"/>
          <w:kern w:val="0"/>
          <w:sz w:val="32"/>
          <w:szCs w:val="32"/>
          <w:highlight w:val="none"/>
        </w:rPr>
        <w:t>7、</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ascii="仿宋" w:hAnsi="仿宋" w:eastAsia="仿宋"/>
          <w:spacing w:val="-1"/>
          <w:sz w:val="32"/>
          <w:szCs w:val="32"/>
          <w:highlight w:val="none"/>
        </w:rPr>
        <w:t>事业单位人事制度改革</w:t>
      </w:r>
      <w:r>
        <w:rPr>
          <w:rFonts w:hint="eastAsia" w:ascii="仿宋" w:hAnsi="仿宋" w:eastAsia="仿宋"/>
          <w:spacing w:val="-1"/>
          <w:sz w:val="32"/>
          <w:szCs w:val="32"/>
          <w:highlight w:val="none"/>
        </w:rPr>
        <w:t>及</w:t>
      </w:r>
      <w:r>
        <w:rPr>
          <w:rFonts w:ascii="仿宋" w:hAnsi="仿宋" w:eastAsia="仿宋"/>
          <w:spacing w:val="-1"/>
          <w:sz w:val="32"/>
          <w:szCs w:val="32"/>
          <w:highlight w:val="none"/>
        </w:rPr>
        <w:t>人事管理信息化</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：国家及自治区有关事业单位岗位设置管理试行办法及实施意见</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10万元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ind w:firstLine="640" w:firstLineChars="200"/>
        <w:jc w:val="left"/>
        <w:rPr>
          <w:rFonts w:ascii="仿宋" w:hAnsi="仿宋" w:eastAsia="仿宋"/>
          <w:sz w:val="32"/>
          <w:szCs w:val="32"/>
          <w:highlight w:val="none"/>
        </w:rPr>
      </w:pPr>
      <w:r>
        <w:rPr>
          <w:rFonts w:hint="eastAsia" w:ascii="仿宋" w:hAnsi="仿宋" w:eastAsia="仿宋" w:cs="宋体"/>
          <w:kern w:val="0"/>
          <w:sz w:val="32"/>
          <w:szCs w:val="32"/>
          <w:highlight w:val="none"/>
        </w:rPr>
        <w:t>8、</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ascii="仿宋" w:hAnsi="仿宋" w:eastAsia="仿宋"/>
          <w:sz w:val="32"/>
          <w:szCs w:val="32"/>
          <w:highlight w:val="none"/>
        </w:rPr>
        <w:t>试点长期护理保险工作经费额失能人员</w:t>
      </w:r>
      <w:r>
        <w:rPr>
          <w:rFonts w:hint="eastAsia" w:ascii="仿宋" w:hAnsi="仿宋" w:eastAsia="仿宋"/>
          <w:sz w:val="32"/>
          <w:szCs w:val="32"/>
          <w:highlight w:val="none"/>
        </w:rPr>
        <w:t>评定</w:t>
      </w:r>
      <w:r>
        <w:rPr>
          <w:rFonts w:ascii="仿宋" w:hAnsi="仿宋" w:eastAsia="仿宋"/>
          <w:sz w:val="32"/>
          <w:szCs w:val="32"/>
          <w:highlight w:val="none"/>
        </w:rPr>
        <w:t>费</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：《自治区人社厅转发人力资源社会保障部办公厅关于开展长期护理保险制度试点的指导意见的通知》（新人社函〔2017〕189号</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10万元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widowControl/>
        <w:spacing w:line="580" w:lineRule="exact"/>
        <w:ind w:firstLine="640"/>
        <w:jc w:val="left"/>
        <w:rPr>
          <w:rFonts w:ascii="仿宋" w:hAnsi="仿宋" w:eastAsia="仿宋"/>
          <w:sz w:val="32"/>
          <w:szCs w:val="32"/>
          <w:highlight w:val="none"/>
        </w:rPr>
      </w:pPr>
      <w:r>
        <w:rPr>
          <w:rFonts w:hint="eastAsia" w:ascii="仿宋" w:hAnsi="仿宋" w:eastAsia="仿宋" w:cs="宋体"/>
          <w:kern w:val="0"/>
          <w:sz w:val="32"/>
          <w:szCs w:val="32"/>
          <w:highlight w:val="none"/>
        </w:rPr>
        <w:t>9、</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行政复议案件办案及工作经费</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：《中华人民共和国行政复议法》第三十九条</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10万元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widowControl/>
        <w:spacing w:line="580" w:lineRule="exact"/>
        <w:ind w:firstLine="64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10、</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引智工作经费</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：自治州第十二届政府第二十七次常务会议关于进一步加强自治州引智工作的有关决定</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10万元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widowControl/>
        <w:spacing w:line="580" w:lineRule="exact"/>
        <w:ind w:firstLine="64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11、</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事业单位公开招聘工作经费</w:t>
      </w:r>
    </w:p>
    <w:p>
      <w:pPr>
        <w:widowControl/>
        <w:spacing w:line="580" w:lineRule="exact"/>
        <w:ind w:firstLine="640"/>
        <w:jc w:val="left"/>
        <w:rPr>
          <w:rFonts w:ascii="仿宋_GB2312" w:hAnsi="仿宋" w:eastAsia="仿宋_GB2312"/>
          <w:sz w:val="24"/>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：《关于印发&lt;自治区事业单位面向社会公开招聘工作人员&gt;的通知》（新人社发〔2013〕141号）</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60万元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widowControl/>
        <w:spacing w:line="580" w:lineRule="exact"/>
        <w:ind w:firstLine="640"/>
        <w:jc w:val="left"/>
        <w:rPr>
          <w:rFonts w:ascii="仿宋" w:hAnsi="仿宋" w:eastAsia="仿宋" w:cs="宋体"/>
          <w:kern w:val="0"/>
          <w:sz w:val="32"/>
          <w:szCs w:val="32"/>
          <w:highlight w:val="none"/>
        </w:rPr>
      </w:pPr>
      <w:r>
        <w:rPr>
          <w:rFonts w:hint="eastAsia" w:ascii="仿宋" w:hAnsi="仿宋" w:eastAsia="仿宋" w:cs="宋体"/>
          <w:kern w:val="0"/>
          <w:sz w:val="32"/>
          <w:szCs w:val="32"/>
          <w:highlight w:val="none"/>
        </w:rPr>
        <w:t>12、</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南疆富余劳动力管理服务系统</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：昌州党办字〔2017〕18号《昌吉州推进喀什和田地区城乡富余劳动力有组织转移就业工作实施方案》。</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：40万元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ind w:firstLine="640" w:firstLineChars="200"/>
        <w:jc w:val="left"/>
        <w:rPr>
          <w:rFonts w:ascii="仿宋" w:hAnsi="仿宋" w:eastAsia="仿宋"/>
          <w:spacing w:val="-23"/>
          <w:sz w:val="32"/>
          <w:szCs w:val="32"/>
          <w:highlight w:val="none"/>
        </w:rPr>
      </w:pPr>
      <w:r>
        <w:rPr>
          <w:rFonts w:hint="eastAsia" w:ascii="仿宋" w:hAnsi="仿宋" w:eastAsia="仿宋"/>
          <w:color w:val="000000"/>
          <w:sz w:val="32"/>
          <w:szCs w:val="32"/>
          <w:highlight w:val="none"/>
        </w:rPr>
        <w:t>13、</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w:t>
      </w:r>
      <w:r>
        <w:rPr>
          <w:rFonts w:hint="eastAsia" w:ascii="仿宋" w:hAnsi="仿宋" w:eastAsia="仿宋"/>
          <w:spacing w:val="-20"/>
          <w:sz w:val="32"/>
          <w:szCs w:val="32"/>
          <w:highlight w:val="none"/>
        </w:rPr>
        <w:t>办公楼维修、</w:t>
      </w:r>
      <w:r>
        <w:rPr>
          <w:rFonts w:ascii="仿宋" w:hAnsi="仿宋" w:eastAsia="仿宋"/>
          <w:spacing w:val="-20"/>
          <w:sz w:val="32"/>
          <w:szCs w:val="32"/>
          <w:highlight w:val="none"/>
        </w:rPr>
        <w:t>设备购置</w:t>
      </w:r>
      <w:r>
        <w:rPr>
          <w:rFonts w:hint="eastAsia" w:ascii="仿宋" w:hAnsi="仿宋" w:eastAsia="仿宋"/>
          <w:spacing w:val="-20"/>
          <w:sz w:val="32"/>
          <w:szCs w:val="32"/>
          <w:highlight w:val="none"/>
        </w:rPr>
        <w:t>、</w:t>
      </w:r>
      <w:r>
        <w:rPr>
          <w:rFonts w:ascii="仿宋" w:hAnsi="仿宋" w:eastAsia="仿宋"/>
          <w:spacing w:val="-20"/>
          <w:sz w:val="32"/>
          <w:szCs w:val="32"/>
          <w:highlight w:val="none"/>
        </w:rPr>
        <w:t>保安保洁后勤项目</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：办公大楼已投入使用9年，三家单位合署办公，多处需要维修。</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：40万元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ind w:firstLine="640" w:firstLineChars="200"/>
        <w:jc w:val="left"/>
        <w:rPr>
          <w:rFonts w:ascii="仿宋" w:hAnsi="仿宋" w:eastAsia="仿宋"/>
          <w:sz w:val="32"/>
          <w:szCs w:val="32"/>
          <w:highlight w:val="none"/>
        </w:rPr>
      </w:pPr>
      <w:r>
        <w:rPr>
          <w:rFonts w:hint="eastAsia" w:ascii="仿宋" w:hAnsi="仿宋" w:eastAsia="仿宋"/>
          <w:color w:val="000000"/>
          <w:sz w:val="32"/>
          <w:szCs w:val="32"/>
          <w:highlight w:val="none"/>
        </w:rPr>
        <w:t>14、</w:t>
      </w:r>
      <w:r>
        <w:rPr>
          <w:rFonts w:hint="eastAsia" w:ascii="仿宋" w:hAnsi="仿宋" w:eastAsia="仿宋"/>
          <w:sz w:val="32"/>
          <w:szCs w:val="32"/>
          <w:highlight w:val="none"/>
        </w:rPr>
        <w:t>项目</w:t>
      </w:r>
      <w:r>
        <w:rPr>
          <w:rFonts w:ascii="仿宋" w:hAnsi="仿宋" w:eastAsia="仿宋"/>
          <w:sz w:val="32"/>
          <w:szCs w:val="32"/>
          <w:highlight w:val="none"/>
        </w:rPr>
        <w:t>名称</w:t>
      </w:r>
      <w:r>
        <w:rPr>
          <w:rFonts w:hint="eastAsia" w:ascii="仿宋" w:hAnsi="仿宋" w:eastAsia="仿宋"/>
          <w:sz w:val="32"/>
          <w:szCs w:val="32"/>
          <w:highlight w:val="none"/>
        </w:rPr>
        <w:t>：四级联动</w:t>
      </w:r>
      <w:r>
        <w:rPr>
          <w:rFonts w:ascii="仿宋" w:hAnsi="仿宋" w:eastAsia="仿宋"/>
          <w:sz w:val="32"/>
          <w:szCs w:val="32"/>
          <w:highlight w:val="none"/>
        </w:rPr>
        <w:t>的视频会议系统及日常网络维护费</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设立的政策依据</w:t>
      </w:r>
      <w:r>
        <w:rPr>
          <w:rFonts w:hint="eastAsia" w:ascii="仿宋" w:hAnsi="仿宋" w:eastAsia="仿宋"/>
          <w:sz w:val="32"/>
          <w:szCs w:val="32"/>
          <w:highlight w:val="none"/>
        </w:rPr>
        <w:t>：“互联网+人社2020行动方案”（人社部发【2016】105号</w:t>
      </w:r>
    </w:p>
    <w:p>
      <w:pPr>
        <w:ind w:firstLine="640" w:firstLineChars="200"/>
        <w:jc w:val="left"/>
        <w:rPr>
          <w:rFonts w:ascii="仿宋" w:hAnsi="仿宋" w:eastAsia="仿宋"/>
          <w:sz w:val="32"/>
          <w:szCs w:val="32"/>
          <w:highlight w:val="none"/>
        </w:rPr>
      </w:pPr>
      <w:r>
        <w:rPr>
          <w:rFonts w:ascii="仿宋" w:hAnsi="仿宋" w:eastAsia="仿宋"/>
          <w:sz w:val="32"/>
          <w:szCs w:val="32"/>
          <w:highlight w:val="none"/>
        </w:rPr>
        <w:t>预算安排规模</w:t>
      </w:r>
      <w:r>
        <w:rPr>
          <w:rFonts w:hint="eastAsia" w:ascii="仿宋" w:hAnsi="仿宋" w:eastAsia="仿宋"/>
          <w:sz w:val="32"/>
          <w:szCs w:val="32"/>
          <w:highlight w:val="none"/>
        </w:rPr>
        <w:t>：12万元</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项目承担单位</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昌吉州人力资源和社会保障局</w:t>
      </w:r>
    </w:p>
    <w:p>
      <w:pPr>
        <w:widowControl/>
        <w:spacing w:line="580" w:lineRule="exact"/>
        <w:ind w:firstLine="640"/>
        <w:jc w:val="left"/>
        <w:rPr>
          <w:rFonts w:ascii="仿宋" w:hAnsi="仿宋" w:eastAsia="仿宋"/>
          <w:sz w:val="32"/>
          <w:szCs w:val="32"/>
          <w:highlight w:val="none"/>
        </w:rPr>
      </w:pPr>
      <w:r>
        <w:rPr>
          <w:rFonts w:ascii="仿宋" w:hAnsi="仿宋" w:eastAsia="仿宋"/>
          <w:sz w:val="32"/>
          <w:szCs w:val="32"/>
          <w:highlight w:val="none"/>
        </w:rPr>
        <w:t>资金分配情况</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商品和服务支出</w:t>
      </w:r>
    </w:p>
    <w:p>
      <w:pPr>
        <w:widowControl/>
        <w:spacing w:line="580" w:lineRule="exact"/>
        <w:ind w:firstLine="640"/>
        <w:jc w:val="left"/>
        <w:rPr>
          <w:rFonts w:ascii="仿宋" w:hAnsi="仿宋" w:eastAsia="仿宋" w:cs="宋体"/>
          <w:kern w:val="0"/>
          <w:sz w:val="32"/>
          <w:szCs w:val="32"/>
          <w:highlight w:val="none"/>
        </w:rPr>
      </w:pPr>
      <w:r>
        <w:rPr>
          <w:rFonts w:ascii="仿宋" w:hAnsi="仿宋" w:eastAsia="仿宋"/>
          <w:sz w:val="32"/>
          <w:szCs w:val="32"/>
          <w:highlight w:val="none"/>
        </w:rPr>
        <w:t>资金执行时间</w:t>
      </w:r>
      <w:r>
        <w:rPr>
          <w:rFonts w:hint="eastAsia" w:ascii="仿宋" w:hAnsi="仿宋" w:eastAsia="仿宋"/>
          <w:sz w:val="32"/>
          <w:szCs w:val="32"/>
          <w:highlight w:val="none"/>
        </w:rPr>
        <w:t>：</w:t>
      </w:r>
      <w:r>
        <w:rPr>
          <w:rFonts w:hint="eastAsia" w:ascii="仿宋" w:hAnsi="仿宋" w:eastAsia="仿宋" w:cs="宋体"/>
          <w:kern w:val="0"/>
          <w:sz w:val="32"/>
          <w:szCs w:val="32"/>
          <w:highlight w:val="none"/>
        </w:rPr>
        <w:t>2019年</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八、关于昌吉州人力资源和社会保障局部门2019年一般公共预算“三公”经费预算情况说明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关于昌吉州人力资源和社会保障局部门2019年“三公”经费财政拨款预算数为15.4 万元，其中：因公出国（境）费0万元，公务用车购置0万元，公务用车运行费15.4万元，公务接待费0万元。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2019年“三公”经费财政拨款预算比上年减少1.76万元，其中：因公出国（境）费增加0万元没有安排因公出国事项；公务用车购置费为0</w:t>
      </w:r>
      <w:r>
        <w:rPr>
          <w:rFonts w:hint="eastAsia" w:ascii="仿宋_GB2312" w:hAnsi="宋体" w:eastAsia="仿宋_GB2312" w:cs="宋体"/>
          <w:kern w:val="0"/>
          <w:sz w:val="32"/>
          <w:szCs w:val="32"/>
          <w:highlight w:val="none"/>
          <w:lang w:eastAsia="zh-CN"/>
        </w:rPr>
        <w:t>万元</w:t>
      </w:r>
      <w:r>
        <w:rPr>
          <w:rFonts w:hint="eastAsia" w:ascii="仿宋_GB2312" w:hAnsi="宋体" w:eastAsia="仿宋_GB2312" w:cs="宋体"/>
          <w:kern w:val="0"/>
          <w:sz w:val="32"/>
          <w:szCs w:val="32"/>
          <w:highlight w:val="none"/>
        </w:rPr>
        <w:t>，未安排预算；公务用车运行费减少0.16万元，主要原因是严格执行“八项”规定，合理安排公务用车，降低成本 ；公务接待费减少1.6万元，主要原因是主要原因是</w:t>
      </w:r>
      <w:r>
        <w:rPr>
          <w:rFonts w:hint="eastAsia" w:ascii="仿宋_GB2312" w:hAnsi="宋体" w:eastAsia="仿宋_GB2312"/>
          <w:sz w:val="32"/>
          <w:szCs w:val="32"/>
          <w:highlight w:val="none"/>
        </w:rPr>
        <w:t>严格执行中央八项规定和自治区十条规定，强化监督，厉行节俭，压缩公务接待经费支出</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九、关于昌吉州人力资源和社会保障局部门2019年政府性基金预算拨款情况说明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昌吉回族自治州人力资源和社会保障局2019年没有使用政府性基金预算拨款安排的支出，政府性基金预算支出情况表为空表。</w:t>
      </w:r>
    </w:p>
    <w:p>
      <w:pPr>
        <w:widowControl/>
        <w:numPr>
          <w:ilvl w:val="0"/>
          <w:numId w:val="1"/>
        </w:numPr>
        <w:spacing w:line="580" w:lineRule="exact"/>
        <w:ind w:firstLine="642"/>
        <w:jc w:val="left"/>
        <w:rPr>
          <w:rFonts w:hint="eastAsia" w:ascii="黑体" w:hAnsi="宋体" w:eastAsia="黑体" w:cs="宋体"/>
          <w:kern w:val="0"/>
          <w:sz w:val="32"/>
          <w:szCs w:val="32"/>
          <w:highlight w:val="none"/>
        </w:rPr>
      </w:pPr>
      <w:r>
        <w:rPr>
          <w:rFonts w:hint="eastAsia" w:ascii="黑体" w:hAnsi="宋体" w:eastAsia="黑体" w:cs="宋体"/>
          <w:kern w:val="0"/>
          <w:sz w:val="32"/>
          <w:szCs w:val="32"/>
          <w:highlight w:val="none"/>
        </w:rPr>
        <w:t>其他重要事项的情况说明</w:t>
      </w:r>
    </w:p>
    <w:p>
      <w:pPr>
        <w:widowControl/>
        <w:numPr>
          <w:ilvl w:val="0"/>
          <w:numId w:val="0"/>
        </w:numPr>
        <w:spacing w:line="580" w:lineRule="exact"/>
        <w:ind w:firstLine="643" w:firstLineChars="200"/>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（一）机关运行经费情况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2019年，昌吉州人力资源和社会保障局本级及下属1家行政单位、1家参公管理事业单位和3家事业单位的机关运行经费财政拨款预算175.42万元，比上年预算减少35.59万元，下降16.87%。主要原因是有人员调出及</w:t>
      </w:r>
      <w:r>
        <w:rPr>
          <w:rFonts w:hint="eastAsia" w:ascii="仿宋_GB2312" w:hAnsi="宋体" w:eastAsia="仿宋_GB2312"/>
          <w:sz w:val="32"/>
          <w:szCs w:val="32"/>
          <w:highlight w:val="none"/>
        </w:rPr>
        <w:t>严格执行中央八项规定和自治区十条规定，强化监督，厉行节俭，压缩办公经费支出</w:t>
      </w:r>
      <w:r>
        <w:rPr>
          <w:rFonts w:hint="eastAsia" w:ascii="仿宋_GB2312" w:hAnsi="宋体" w:eastAsia="仿宋_GB2312" w:cs="宋体"/>
          <w:kern w:val="0"/>
          <w:sz w:val="32"/>
          <w:szCs w:val="32"/>
          <w:highlight w:val="none"/>
        </w:rPr>
        <w:t>。                  。</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pPr>
        <w:widowControl/>
        <w:spacing w:line="580" w:lineRule="exact"/>
        <w:ind w:firstLine="640"/>
        <w:jc w:val="left"/>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2019年，昌吉回族自治州人力资源和社会保障局部门及下属单位政府采购预算437.5万元，其中：政府采购货物预算322.5万元，政府采购工程预算0万元，政府采购服务预算115万元。</w:t>
      </w:r>
    </w:p>
    <w:p>
      <w:pPr>
        <w:widowControl/>
        <w:spacing w:line="580" w:lineRule="exact"/>
        <w:ind w:firstLine="640"/>
        <w:jc w:val="left"/>
        <w:rPr>
          <w:rFonts w:ascii="仿宋_GB2312" w:hAnsi="宋体" w:eastAsia="仿宋_GB2312" w:cs="宋体"/>
          <w:color w:val="000000"/>
          <w:kern w:val="0"/>
          <w:sz w:val="32"/>
          <w:szCs w:val="32"/>
          <w:highlight w:val="none"/>
        </w:rPr>
      </w:pPr>
      <w:r>
        <w:rPr>
          <w:rFonts w:hint="eastAsia" w:ascii="仿宋_GB2312" w:hAnsi="仿宋_GB2312" w:eastAsia="仿宋_GB2312"/>
          <w:color w:val="000000"/>
          <w:sz w:val="32"/>
          <w:highlight w:val="none"/>
        </w:rPr>
        <w:t>2019年度本部门面向中小企业预留政府采购项目预算金额0万元，其中：面向小微企业预留政府采购项目预算金额0万元。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（三）国有资产占用使用情况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截至2018年底，昌吉回族自治州人力资源和社会保障局部门及下属各预算单位占用使用国有资产总体情况为</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1.房屋</w:t>
      </w:r>
      <w:r>
        <w:rPr>
          <w:rFonts w:ascii="仿宋_GB2312" w:hAnsi="宋体" w:eastAsia="仿宋_GB2312" w:cs="宋体"/>
          <w:kern w:val="0"/>
          <w:sz w:val="32"/>
          <w:szCs w:val="32"/>
          <w:highlight w:val="none"/>
        </w:rPr>
        <w:t>16,521.31</w:t>
      </w:r>
      <w:r>
        <w:rPr>
          <w:rFonts w:hint="eastAsia" w:ascii="仿宋_GB2312" w:hAnsi="宋体" w:eastAsia="仿宋_GB2312" w:cs="宋体"/>
          <w:kern w:val="0"/>
          <w:sz w:val="32"/>
          <w:szCs w:val="32"/>
          <w:highlight w:val="none"/>
        </w:rPr>
        <w:t>平方米，价值</w:t>
      </w:r>
      <w:r>
        <w:rPr>
          <w:rFonts w:ascii="仿宋_GB2312" w:hAnsi="宋体" w:eastAsia="仿宋_GB2312" w:cs="宋体"/>
          <w:kern w:val="0"/>
          <w:sz w:val="32"/>
          <w:szCs w:val="32"/>
          <w:highlight w:val="none"/>
        </w:rPr>
        <w:t>5031</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9</w:t>
      </w:r>
      <w:r>
        <w:rPr>
          <w:rFonts w:hint="eastAsia" w:ascii="仿宋_GB2312" w:hAnsi="宋体" w:eastAsia="仿宋_GB2312" w:cs="宋体"/>
          <w:kern w:val="0"/>
          <w:sz w:val="32"/>
          <w:szCs w:val="32"/>
          <w:highlight w:val="none"/>
        </w:rPr>
        <w:t>8万元。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2.车辆8辆，价值</w:t>
      </w:r>
      <w:r>
        <w:rPr>
          <w:rFonts w:ascii="仿宋_GB2312" w:hAnsi="宋体" w:eastAsia="仿宋_GB2312" w:cs="宋体"/>
          <w:kern w:val="0"/>
          <w:sz w:val="32"/>
          <w:szCs w:val="32"/>
          <w:highlight w:val="none"/>
        </w:rPr>
        <w:t>152</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4</w:t>
      </w:r>
      <w:r>
        <w:rPr>
          <w:rFonts w:hint="eastAsia" w:ascii="仿宋_GB2312" w:hAnsi="宋体" w:eastAsia="仿宋_GB2312" w:cs="宋体"/>
          <w:kern w:val="0"/>
          <w:sz w:val="32"/>
          <w:szCs w:val="32"/>
          <w:highlight w:val="none"/>
        </w:rPr>
        <w:t>2万元；其中：一般公务用车8辆，价值</w:t>
      </w:r>
      <w:r>
        <w:rPr>
          <w:rFonts w:ascii="仿宋_GB2312" w:hAnsi="宋体" w:eastAsia="仿宋_GB2312" w:cs="宋体"/>
          <w:kern w:val="0"/>
          <w:sz w:val="32"/>
          <w:szCs w:val="32"/>
          <w:highlight w:val="none"/>
        </w:rPr>
        <w:t>152</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4</w:t>
      </w:r>
      <w:r>
        <w:rPr>
          <w:rFonts w:hint="eastAsia" w:ascii="仿宋_GB2312" w:hAnsi="宋体" w:eastAsia="仿宋_GB2312" w:cs="宋体"/>
          <w:kern w:val="0"/>
          <w:sz w:val="32"/>
          <w:szCs w:val="32"/>
          <w:highlight w:val="none"/>
        </w:rPr>
        <w:t>2万元；执法执勤用车0辆，价值0万元；其他车辆0辆，价值 0万元。</w:t>
      </w:r>
    </w:p>
    <w:p>
      <w:pPr>
        <w:widowControl/>
        <w:spacing w:line="580" w:lineRule="exact"/>
        <w:ind w:firstLine="640"/>
        <w:jc w:val="left"/>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3.办公家具价值28.88万元。</w:t>
      </w:r>
    </w:p>
    <w:p>
      <w:pPr>
        <w:widowControl/>
        <w:spacing w:line="580" w:lineRule="exact"/>
        <w:ind w:firstLine="640"/>
        <w:jc w:val="left"/>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4.其他资产价值0万元。</w:t>
      </w:r>
    </w:p>
    <w:p>
      <w:pPr>
        <w:widowControl/>
        <w:spacing w:line="580" w:lineRule="exact"/>
        <w:ind w:firstLine="640"/>
        <w:jc w:val="left"/>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2019年部门预算未安排购置车辆经费，安排购置50万元以上大型设备0台（套），单位价值100万元以上大型设备0台（套）。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（四）预算绩效情况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2019年度，本年度实行绩效管理的项目14个，涉及预算金额300万元。具体情况见下表（按项目分别填报）：</w:t>
      </w:r>
    </w:p>
    <w:p>
      <w:pPr>
        <w:spacing w:line="500" w:lineRule="exact"/>
        <w:rPr>
          <w:rFonts w:ascii="仿宋_GB2312" w:hAnsi="宋体" w:eastAsia="仿宋_GB2312" w:cs="宋体"/>
          <w:kern w:val="0"/>
          <w:sz w:val="32"/>
          <w:szCs w:val="32"/>
          <w:highlight w:val="none"/>
        </w:rPr>
      </w:pPr>
    </w:p>
    <w:p>
      <w:pPr>
        <w:spacing w:line="500" w:lineRule="exact"/>
        <w:rPr>
          <w:rFonts w:ascii="仿宋_GB2312" w:hAnsi="宋体" w:eastAsia="仿宋_GB2312" w:cs="宋体"/>
          <w:kern w:val="0"/>
          <w:sz w:val="32"/>
          <w:szCs w:val="32"/>
          <w:highlight w:val="none"/>
        </w:rPr>
      </w:pPr>
    </w:p>
    <w:p>
      <w:pPr>
        <w:spacing w:line="500" w:lineRule="exact"/>
        <w:rPr>
          <w:rFonts w:ascii="仿宋_GB2312" w:hAnsi="宋体" w:eastAsia="仿宋_GB2312" w:cs="宋体"/>
          <w:kern w:val="0"/>
          <w:sz w:val="32"/>
          <w:szCs w:val="32"/>
          <w:highlight w:val="none"/>
        </w:rPr>
      </w:pPr>
    </w:p>
    <w:p>
      <w:pPr>
        <w:widowControl/>
        <w:spacing w:line="600" w:lineRule="exact"/>
        <w:rPr>
          <w:highlight w:val="none"/>
        </w:rPr>
        <w:sectPr>
          <w:pgSz w:w="11906" w:h="16838"/>
          <w:pgMar w:top="1440" w:right="1800" w:bottom="1440" w:left="1800" w:header="851" w:footer="992" w:gutter="0"/>
          <w:cols w:space="720" w:num="1"/>
          <w:docGrid w:type="lines" w:linePitch="312" w:charSpace="0"/>
        </w:sectPr>
      </w:pPr>
    </w:p>
    <w:tbl>
      <w:tblPr>
        <w:tblStyle w:val="4"/>
        <w:tblpPr w:leftFromText="180" w:rightFromText="180" w:vertAnchor="page" w:horzAnchor="page" w:tblpX="1575" w:tblpY="1447"/>
        <w:tblOverlap w:val="never"/>
        <w:tblW w:w="14100" w:type="dxa"/>
        <w:tblInd w:w="0" w:type="dxa"/>
        <w:tblLayout w:type="fixed"/>
        <w:tblCellMar>
          <w:top w:w="0" w:type="dxa"/>
          <w:left w:w="108" w:type="dxa"/>
          <w:bottom w:w="0" w:type="dxa"/>
          <w:right w:w="108" w:type="dxa"/>
        </w:tblCellMar>
      </w:tblPr>
      <w:tblGrid>
        <w:gridCol w:w="2215"/>
        <w:gridCol w:w="1873"/>
        <w:gridCol w:w="2"/>
        <w:gridCol w:w="1679"/>
        <w:gridCol w:w="503"/>
        <w:gridCol w:w="1175"/>
        <w:gridCol w:w="326"/>
        <w:gridCol w:w="326"/>
        <w:gridCol w:w="1943"/>
        <w:gridCol w:w="250"/>
        <w:gridCol w:w="1"/>
        <w:gridCol w:w="1143"/>
        <w:gridCol w:w="2161"/>
        <w:gridCol w:w="253"/>
        <w:gridCol w:w="250"/>
      </w:tblGrid>
      <w:tr>
        <w:tblPrEx>
          <w:tblCellMar>
            <w:top w:w="0" w:type="dxa"/>
            <w:left w:w="108" w:type="dxa"/>
            <w:bottom w:w="0" w:type="dxa"/>
            <w:right w:w="108" w:type="dxa"/>
          </w:tblCellMar>
        </w:tblPrEx>
        <w:trPr>
          <w:trHeight w:val="684" w:hRule="atLeast"/>
        </w:trPr>
        <w:tc>
          <w:tcPr>
            <w:tcW w:w="14100" w:type="dxa"/>
            <w:gridSpan w:val="15"/>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42" w:hRule="atLeast"/>
        </w:trPr>
        <w:tc>
          <w:tcPr>
            <w:tcW w:w="221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7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81"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78"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6"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4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51"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30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5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50"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353" w:hRule="atLeast"/>
        </w:trPr>
        <w:tc>
          <w:tcPr>
            <w:tcW w:w="221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预算单位</w:t>
            </w:r>
          </w:p>
        </w:tc>
        <w:tc>
          <w:tcPr>
            <w:tcW w:w="5884" w:type="dxa"/>
            <w:gridSpan w:val="7"/>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昌吉回族自治州人力资源和社会保障局</w:t>
            </w:r>
          </w:p>
        </w:tc>
        <w:tc>
          <w:tcPr>
            <w:tcW w:w="19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项目名称</w:t>
            </w:r>
          </w:p>
        </w:tc>
        <w:tc>
          <w:tcPr>
            <w:tcW w:w="4058"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rPr>
            </w:pPr>
            <w:r>
              <w:rPr>
                <w:rFonts w:hint="eastAsia" w:ascii="宋体" w:hAnsi="宋体" w:eastAsia="宋体" w:cs="宋体"/>
                <w:color w:val="000000"/>
                <w:kern w:val="0"/>
                <w:sz w:val="18"/>
                <w:szCs w:val="18"/>
                <w:highlight w:val="none"/>
                <w:lang w:bidi="ar"/>
              </w:rPr>
              <w:t>2019年面向社会公开考试录用公务员、工作人员</w:t>
            </w:r>
          </w:p>
        </w:tc>
      </w:tr>
      <w:tr>
        <w:tblPrEx>
          <w:tblCellMar>
            <w:top w:w="0" w:type="dxa"/>
            <w:left w:w="108" w:type="dxa"/>
            <w:bottom w:w="0" w:type="dxa"/>
            <w:right w:w="108" w:type="dxa"/>
          </w:tblCellMar>
        </w:tblPrEx>
        <w:trPr>
          <w:trHeight w:val="353" w:hRule="atLeast"/>
        </w:trPr>
        <w:tc>
          <w:tcPr>
            <w:tcW w:w="221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7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82"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50</w:t>
            </w:r>
            <w:r>
              <w:rPr>
                <w:rFonts w:hint="eastAsia" w:ascii="宋体" w:hAnsi="宋体" w:cs="宋体"/>
                <w:kern w:val="0"/>
                <w:sz w:val="18"/>
                <w:szCs w:val="18"/>
              </w:rPr>
              <w:t>　</w:t>
            </w:r>
          </w:p>
        </w:tc>
        <w:tc>
          <w:tcPr>
            <w:tcW w:w="1827"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50</w:t>
            </w:r>
            <w:r>
              <w:rPr>
                <w:rFonts w:hint="eastAsia" w:ascii="宋体" w:hAnsi="宋体" w:cs="宋体"/>
                <w:kern w:val="0"/>
                <w:sz w:val="18"/>
                <w:szCs w:val="18"/>
              </w:rPr>
              <w:t>　</w:t>
            </w:r>
          </w:p>
        </w:tc>
        <w:tc>
          <w:tcPr>
            <w:tcW w:w="139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53" w:hRule="atLeast"/>
        </w:trPr>
        <w:tc>
          <w:tcPr>
            <w:tcW w:w="221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885" w:type="dxa"/>
            <w:gridSpan w:val="14"/>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53" w:hRule="atLeast"/>
        </w:trPr>
        <w:tc>
          <w:tcPr>
            <w:tcW w:w="221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75" w:type="dxa"/>
            <w:gridSpan w:val="2"/>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53" w:hRule="atLeast"/>
        </w:trPr>
        <w:tc>
          <w:tcPr>
            <w:tcW w:w="221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7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按时完成笔试组织实施工作  </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100%</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按时完成资格审查工作  </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100%</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按时完成面试工作  </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100%</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新招录公务员初任培训率</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100%</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聘请社会各界行风评议员 </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4名</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每个面试考场考官人数  </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7人以上</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53" w:hRule="atLeast"/>
        </w:trPr>
        <w:tc>
          <w:tcPr>
            <w:tcW w:w="221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7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53" w:hRule="atLeast"/>
        </w:trPr>
        <w:tc>
          <w:tcPr>
            <w:tcW w:w="221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5" w:type="dxa"/>
            <w:gridSpan w:val="2"/>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4" w:hRule="atLeast"/>
        </w:trPr>
        <w:tc>
          <w:tcPr>
            <w:tcW w:w="221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75" w:type="dxa"/>
            <w:gridSpan w:val="2"/>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202"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招考单位满意度</w:t>
            </w:r>
          </w:p>
        </w:tc>
        <w:tc>
          <w:tcPr>
            <w:tcW w:w="3808" w:type="dxa"/>
            <w:gridSpan w:val="5"/>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100%</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tbl>
      <w:tblPr>
        <w:tblStyle w:val="4"/>
        <w:tblW w:w="14160" w:type="dxa"/>
        <w:tblInd w:w="93" w:type="dxa"/>
        <w:tblLayout w:type="fixed"/>
        <w:tblCellMar>
          <w:top w:w="0" w:type="dxa"/>
          <w:left w:w="108" w:type="dxa"/>
          <w:bottom w:w="0" w:type="dxa"/>
          <w:right w:w="108" w:type="dxa"/>
        </w:tblCellMar>
      </w:tblPr>
      <w:tblGrid>
        <w:gridCol w:w="2224"/>
        <w:gridCol w:w="1882"/>
        <w:gridCol w:w="2193"/>
        <w:gridCol w:w="1834"/>
        <w:gridCol w:w="1951"/>
        <w:gridCol w:w="252"/>
        <w:gridCol w:w="1147"/>
        <w:gridCol w:w="2677"/>
      </w:tblGrid>
      <w:tr>
        <w:tblPrEx>
          <w:tblCellMar>
            <w:top w:w="0" w:type="dxa"/>
            <w:left w:w="108" w:type="dxa"/>
            <w:bottom w:w="0" w:type="dxa"/>
            <w:right w:w="108" w:type="dxa"/>
          </w:tblCellMar>
        </w:tblPrEx>
        <w:trPr>
          <w:trHeight w:val="732" w:hRule="atLeast"/>
        </w:trPr>
        <w:tc>
          <w:tcPr>
            <w:tcW w:w="14160" w:type="dxa"/>
            <w:gridSpan w:val="8"/>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87" w:hRule="atLeast"/>
        </w:trPr>
        <w:tc>
          <w:tcPr>
            <w:tcW w:w="22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9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9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7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办公楼维修、设备购置、保安、保洁后勤项目</w:t>
            </w:r>
          </w:p>
        </w:tc>
      </w:tr>
      <w:tr>
        <w:tblPrEx>
          <w:tblCellMar>
            <w:top w:w="0" w:type="dxa"/>
            <w:left w:w="108" w:type="dxa"/>
            <w:bottom w:w="0" w:type="dxa"/>
            <w:right w:w="108" w:type="dxa"/>
          </w:tblCellMar>
        </w:tblPrEx>
        <w:trPr>
          <w:trHeight w:val="550" w:hRule="atLeast"/>
        </w:trPr>
        <w:tc>
          <w:tcPr>
            <w:tcW w:w="22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40</w:t>
            </w:r>
            <w:r>
              <w:rPr>
                <w:rFonts w:hint="eastAsia" w:ascii="宋体" w:hAnsi="宋体" w:cs="宋体"/>
                <w:kern w:val="0"/>
                <w:sz w:val="18"/>
                <w:szCs w:val="18"/>
              </w:rPr>
              <w:t>　</w:t>
            </w:r>
          </w:p>
        </w:tc>
        <w:tc>
          <w:tcPr>
            <w:tcW w:w="18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40</w:t>
            </w:r>
            <w:r>
              <w:rPr>
                <w:rFonts w:hint="eastAsia" w:ascii="宋体" w:hAnsi="宋体" w:cs="宋体"/>
                <w:kern w:val="0"/>
                <w:sz w:val="18"/>
                <w:szCs w:val="18"/>
              </w:rPr>
              <w:t>　</w:t>
            </w:r>
          </w:p>
        </w:tc>
        <w:tc>
          <w:tcPr>
            <w:tcW w:w="139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7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92" w:hRule="atLeast"/>
        </w:trPr>
        <w:tc>
          <w:tcPr>
            <w:tcW w:w="222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36"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主楼及配楼电路改造及维护、下水道维修、视频会议室设备更换、电梯维保等。</w:t>
            </w:r>
          </w:p>
        </w:tc>
      </w:tr>
      <w:tr>
        <w:tblPrEx>
          <w:tblCellMar>
            <w:top w:w="0" w:type="dxa"/>
            <w:left w:w="108" w:type="dxa"/>
            <w:bottom w:w="0" w:type="dxa"/>
            <w:right w:w="108" w:type="dxa"/>
          </w:tblCellMar>
        </w:tblPrEx>
        <w:trPr>
          <w:trHeight w:val="387" w:hRule="atLeast"/>
        </w:trPr>
        <w:tc>
          <w:tcPr>
            <w:tcW w:w="222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82"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87" w:hRule="atLeast"/>
        </w:trPr>
        <w:tc>
          <w:tcPr>
            <w:tcW w:w="222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38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配套设施完成率（%）</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100%  </w:t>
            </w:r>
          </w:p>
        </w:tc>
      </w:tr>
      <w:tr>
        <w:tblPrEx>
          <w:tblCellMar>
            <w:top w:w="0" w:type="dxa"/>
            <w:left w:w="108" w:type="dxa"/>
            <w:bottom w:w="0" w:type="dxa"/>
            <w:right w:w="108" w:type="dxa"/>
          </w:tblCellMar>
        </w:tblPrEx>
        <w:trPr>
          <w:trHeight w:val="38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工程量完成率（%）</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100%  </w:t>
            </w:r>
          </w:p>
        </w:tc>
      </w:tr>
      <w:tr>
        <w:tblPrEx>
          <w:tblCellMar>
            <w:top w:w="0" w:type="dxa"/>
            <w:left w:w="108" w:type="dxa"/>
            <w:bottom w:w="0" w:type="dxa"/>
            <w:right w:w="108" w:type="dxa"/>
          </w:tblCellMar>
        </w:tblPrEx>
        <w:trPr>
          <w:trHeight w:val="38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工程按期完工率（%)</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100%  </w:t>
            </w:r>
          </w:p>
        </w:tc>
      </w:tr>
      <w:tr>
        <w:tblPrEx>
          <w:tblCellMar>
            <w:top w:w="0" w:type="dxa"/>
            <w:left w:w="108" w:type="dxa"/>
            <w:bottom w:w="0" w:type="dxa"/>
            <w:right w:w="108" w:type="dxa"/>
          </w:tblCellMar>
        </w:tblPrEx>
        <w:trPr>
          <w:trHeight w:val="38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日常巡查维修及时率（%)</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100%  </w:t>
            </w:r>
          </w:p>
        </w:tc>
      </w:tr>
      <w:tr>
        <w:tblPrEx>
          <w:tblCellMar>
            <w:top w:w="0" w:type="dxa"/>
            <w:left w:w="108" w:type="dxa"/>
            <w:bottom w:w="0" w:type="dxa"/>
            <w:right w:w="108" w:type="dxa"/>
          </w:tblCellMar>
        </w:tblPrEx>
        <w:trPr>
          <w:trHeight w:val="38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工程完工率（%)</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100%  </w:t>
            </w:r>
          </w:p>
        </w:tc>
      </w:tr>
      <w:tr>
        <w:tblPrEx>
          <w:tblCellMar>
            <w:top w:w="0" w:type="dxa"/>
            <w:left w:w="108" w:type="dxa"/>
            <w:bottom w:w="0" w:type="dxa"/>
            <w:right w:w="108" w:type="dxa"/>
          </w:tblCellMar>
        </w:tblPrEx>
        <w:trPr>
          <w:trHeight w:val="38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配楼屋顶防水维护(平方米)</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4000  </w:t>
            </w:r>
          </w:p>
        </w:tc>
      </w:tr>
      <w:tr>
        <w:tblPrEx>
          <w:tblCellMar>
            <w:top w:w="0" w:type="dxa"/>
            <w:left w:w="108" w:type="dxa"/>
            <w:bottom w:w="0" w:type="dxa"/>
            <w:right w:w="108" w:type="dxa"/>
          </w:tblCellMar>
        </w:tblPrEx>
        <w:trPr>
          <w:trHeight w:val="38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工程验收合格率（%）</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100%  </w:t>
            </w:r>
          </w:p>
        </w:tc>
      </w:tr>
      <w:tr>
        <w:tblPrEx>
          <w:tblCellMar>
            <w:top w:w="0" w:type="dxa"/>
            <w:left w:w="108" w:type="dxa"/>
            <w:bottom w:w="0" w:type="dxa"/>
            <w:right w:w="108" w:type="dxa"/>
          </w:tblCellMar>
        </w:tblPrEx>
        <w:trPr>
          <w:trHeight w:val="387" w:hRule="atLeast"/>
        </w:trPr>
        <w:tc>
          <w:tcPr>
            <w:tcW w:w="222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隐患消除情况</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消除安全隐患九大项  </w:t>
            </w:r>
          </w:p>
        </w:tc>
      </w:tr>
      <w:tr>
        <w:tblPrEx>
          <w:tblCellMar>
            <w:top w:w="0" w:type="dxa"/>
            <w:left w:w="108" w:type="dxa"/>
            <w:bottom w:w="0" w:type="dxa"/>
            <w:right w:w="108" w:type="dxa"/>
          </w:tblCellMar>
        </w:tblPrEx>
        <w:trPr>
          <w:trHeight w:val="38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业务保障能力</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保障相关业务工作正常开展  </w:t>
            </w:r>
          </w:p>
        </w:tc>
      </w:tr>
      <w:tr>
        <w:tblPrEx>
          <w:tblCellMar>
            <w:top w:w="0" w:type="dxa"/>
            <w:left w:w="108" w:type="dxa"/>
            <w:bottom w:w="0" w:type="dxa"/>
            <w:right w:w="108" w:type="dxa"/>
          </w:tblCellMar>
        </w:tblPrEx>
        <w:trPr>
          <w:trHeight w:val="38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97" w:hRule="atLeast"/>
        </w:trPr>
        <w:tc>
          <w:tcPr>
            <w:tcW w:w="222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230"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受益群体满意度（%）</w:t>
            </w:r>
          </w:p>
        </w:tc>
        <w:tc>
          <w:tcPr>
            <w:tcW w:w="38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90%</w:t>
            </w:r>
          </w:p>
        </w:tc>
      </w:tr>
    </w:tbl>
    <w:p/>
    <w:tbl>
      <w:tblPr>
        <w:tblStyle w:val="4"/>
        <w:tblW w:w="14080" w:type="dxa"/>
        <w:tblInd w:w="93" w:type="dxa"/>
        <w:tblLayout w:type="fixed"/>
        <w:tblCellMar>
          <w:top w:w="0" w:type="dxa"/>
          <w:left w:w="108" w:type="dxa"/>
          <w:bottom w:w="0" w:type="dxa"/>
          <w:right w:w="108" w:type="dxa"/>
        </w:tblCellMar>
      </w:tblPr>
      <w:tblGrid>
        <w:gridCol w:w="2211"/>
        <w:gridCol w:w="1872"/>
        <w:gridCol w:w="2180"/>
        <w:gridCol w:w="1824"/>
        <w:gridCol w:w="1939"/>
        <w:gridCol w:w="1"/>
        <w:gridCol w:w="1391"/>
        <w:gridCol w:w="2662"/>
      </w:tblGrid>
      <w:tr>
        <w:tblPrEx>
          <w:tblCellMar>
            <w:top w:w="0" w:type="dxa"/>
            <w:left w:w="108" w:type="dxa"/>
            <w:bottom w:w="0" w:type="dxa"/>
            <w:right w:w="108" w:type="dxa"/>
          </w:tblCellMar>
        </w:tblPrEx>
        <w:trPr>
          <w:trHeight w:val="742" w:hRule="atLeast"/>
        </w:trPr>
        <w:tc>
          <w:tcPr>
            <w:tcW w:w="14080" w:type="dxa"/>
            <w:gridSpan w:val="8"/>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404" w:hRule="atLeast"/>
        </w:trPr>
        <w:tc>
          <w:tcPr>
            <w:tcW w:w="221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7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94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5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行政复议案件办案及工作经费</w:t>
            </w:r>
          </w:p>
        </w:tc>
      </w:tr>
      <w:tr>
        <w:tblPrEx>
          <w:tblCellMar>
            <w:top w:w="0" w:type="dxa"/>
            <w:left w:w="108" w:type="dxa"/>
            <w:bottom w:w="0" w:type="dxa"/>
            <w:right w:w="108" w:type="dxa"/>
          </w:tblCellMar>
        </w:tblPrEx>
        <w:trPr>
          <w:trHeight w:val="569" w:hRule="atLeast"/>
        </w:trPr>
        <w:tc>
          <w:tcPr>
            <w:tcW w:w="221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80"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10</w:t>
            </w:r>
          </w:p>
        </w:tc>
        <w:tc>
          <w:tcPr>
            <w:tcW w:w="182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40" w:type="dxa"/>
            <w:gridSpan w:val="2"/>
            <w:tcBorders>
              <w:top w:val="nil"/>
              <w:left w:val="nil"/>
              <w:bottom w:val="single" w:color="auto" w:sz="4" w:space="0"/>
              <w:right w:val="single" w:color="auto" w:sz="4" w:space="0"/>
            </w:tcBorders>
            <w:shd w:val="clear" w:color="auto" w:fill="auto"/>
            <w:vAlign w:val="center"/>
          </w:tcPr>
          <w:p>
            <w:pPr>
              <w:widowControl/>
              <w:spacing w:line="240" w:lineRule="auto"/>
              <w:jc w:val="center"/>
              <w:rPr>
                <w:rFonts w:ascii="宋体" w:hAnsi="宋体" w:cs="宋体"/>
                <w:kern w:val="0"/>
                <w:sz w:val="18"/>
                <w:szCs w:val="18"/>
              </w:rPr>
            </w:pPr>
            <w:r>
              <w:rPr>
                <w:rFonts w:hint="eastAsia" w:ascii="宋体" w:hAnsi="宋体" w:cs="宋体"/>
                <w:kern w:val="0"/>
                <w:sz w:val="18"/>
                <w:szCs w:val="18"/>
                <w:lang w:val="en-US" w:eastAsia="zh-CN"/>
              </w:rPr>
              <w:t>10</w:t>
            </w:r>
            <w:r>
              <w:rPr>
                <w:rFonts w:hint="eastAsia" w:ascii="宋体" w:hAnsi="宋体" w:cs="宋体"/>
                <w:kern w:val="0"/>
                <w:sz w:val="18"/>
                <w:szCs w:val="18"/>
              </w:rPr>
              <w:t>　</w:t>
            </w:r>
          </w:p>
        </w:tc>
        <w:tc>
          <w:tcPr>
            <w:tcW w:w="139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6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09" w:hRule="atLeast"/>
        </w:trPr>
        <w:tc>
          <w:tcPr>
            <w:tcW w:w="221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869"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保证行政复议、行政处罚听证、行政应诉及有关法律事务工作，人力资源和社会保障法律、法规、规章的宣传、培训、咨询工作，顺利进行。</w:t>
            </w:r>
          </w:p>
        </w:tc>
      </w:tr>
      <w:tr>
        <w:tblPrEx>
          <w:tblCellMar>
            <w:top w:w="0" w:type="dxa"/>
            <w:left w:w="108" w:type="dxa"/>
            <w:bottom w:w="0" w:type="dxa"/>
            <w:right w:w="108" w:type="dxa"/>
          </w:tblCellMar>
        </w:tblPrEx>
        <w:trPr>
          <w:trHeight w:val="404" w:hRule="atLeast"/>
        </w:trPr>
        <w:tc>
          <w:tcPr>
            <w:tcW w:w="221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72"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404" w:hRule="atLeast"/>
        </w:trPr>
        <w:tc>
          <w:tcPr>
            <w:tcW w:w="2211"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7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04" w:hRule="atLeast"/>
        </w:trPr>
        <w:tc>
          <w:tcPr>
            <w:tcW w:w="221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年内开展讲座</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组织开展行政执法人员法制讲座不少于2次</w:t>
            </w:r>
          </w:p>
        </w:tc>
      </w:tr>
      <w:tr>
        <w:tblPrEx>
          <w:tblCellMar>
            <w:top w:w="0" w:type="dxa"/>
            <w:left w:w="108" w:type="dxa"/>
            <w:bottom w:w="0" w:type="dxa"/>
            <w:right w:w="108" w:type="dxa"/>
          </w:tblCellMar>
        </w:tblPrEx>
        <w:trPr>
          <w:trHeight w:val="445" w:hRule="atLeast"/>
        </w:trPr>
        <w:tc>
          <w:tcPr>
            <w:tcW w:w="221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组织宣传活动次数（次）</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组织宣传活动次数3次</w:t>
            </w:r>
          </w:p>
        </w:tc>
      </w:tr>
      <w:tr>
        <w:tblPrEx>
          <w:tblCellMar>
            <w:top w:w="0" w:type="dxa"/>
            <w:left w:w="108" w:type="dxa"/>
            <w:bottom w:w="0" w:type="dxa"/>
            <w:right w:w="108" w:type="dxa"/>
          </w:tblCellMar>
        </w:tblPrEx>
        <w:trPr>
          <w:trHeight w:val="775" w:hRule="atLeast"/>
        </w:trPr>
        <w:tc>
          <w:tcPr>
            <w:tcW w:w="221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与昌吉日报社开办“人力资源和社会保障之窗”（1个）</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在昌吉日报社开办“人力资源和社会保障之窗”专栏1个</w:t>
            </w:r>
          </w:p>
        </w:tc>
      </w:tr>
      <w:tr>
        <w:tblPrEx>
          <w:tblCellMar>
            <w:top w:w="0" w:type="dxa"/>
            <w:left w:w="108" w:type="dxa"/>
            <w:bottom w:w="0" w:type="dxa"/>
            <w:right w:w="108" w:type="dxa"/>
          </w:tblCellMar>
        </w:tblPrEx>
        <w:trPr>
          <w:trHeight w:val="404" w:hRule="atLeast"/>
        </w:trPr>
        <w:tc>
          <w:tcPr>
            <w:tcW w:w="221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印制宣传资料</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不少于1000份</w:t>
            </w:r>
          </w:p>
        </w:tc>
      </w:tr>
      <w:tr>
        <w:tblPrEx>
          <w:tblCellMar>
            <w:top w:w="0" w:type="dxa"/>
            <w:left w:w="108" w:type="dxa"/>
            <w:bottom w:w="0" w:type="dxa"/>
            <w:right w:w="108" w:type="dxa"/>
          </w:tblCellMar>
        </w:tblPrEx>
        <w:trPr>
          <w:trHeight w:val="404" w:hRule="atLeast"/>
        </w:trPr>
        <w:tc>
          <w:tcPr>
            <w:tcW w:w="221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案件办结率（100%）</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办结案件数量占立案案件总数的比率的100%</w:t>
            </w:r>
          </w:p>
        </w:tc>
      </w:tr>
      <w:tr>
        <w:tblPrEx>
          <w:tblCellMar>
            <w:top w:w="0" w:type="dxa"/>
            <w:left w:w="108" w:type="dxa"/>
            <w:bottom w:w="0" w:type="dxa"/>
            <w:right w:w="108" w:type="dxa"/>
          </w:tblCellMar>
        </w:tblPrEx>
        <w:trPr>
          <w:trHeight w:val="404" w:hRule="atLeast"/>
        </w:trPr>
        <w:tc>
          <w:tcPr>
            <w:tcW w:w="2211"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7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04" w:hRule="atLeast"/>
        </w:trPr>
        <w:tc>
          <w:tcPr>
            <w:tcW w:w="221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04" w:hRule="atLeast"/>
        </w:trPr>
        <w:tc>
          <w:tcPr>
            <w:tcW w:w="221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提供法律咨询数量（件）</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按合同约定提供一年法律服务</w:t>
            </w:r>
          </w:p>
        </w:tc>
      </w:tr>
      <w:tr>
        <w:tblPrEx>
          <w:tblCellMar>
            <w:top w:w="0" w:type="dxa"/>
            <w:left w:w="108" w:type="dxa"/>
            <w:bottom w:w="0" w:type="dxa"/>
            <w:right w:w="108" w:type="dxa"/>
          </w:tblCellMar>
        </w:tblPrEx>
        <w:trPr>
          <w:trHeight w:val="404" w:hRule="atLeast"/>
        </w:trPr>
        <w:tc>
          <w:tcPr>
            <w:tcW w:w="221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7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24" w:hRule="atLeast"/>
        </w:trPr>
        <w:tc>
          <w:tcPr>
            <w:tcW w:w="221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7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43"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执法办案行为投诉率（0%）</w:t>
            </w:r>
          </w:p>
        </w:tc>
        <w:tc>
          <w:tcPr>
            <w:tcW w:w="40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被投诉的执法办案行为占执法办案总数的0</w:t>
            </w:r>
          </w:p>
        </w:tc>
      </w:tr>
    </w:tbl>
    <w:p/>
    <w:tbl>
      <w:tblPr>
        <w:tblStyle w:val="4"/>
        <w:tblW w:w="14020" w:type="dxa"/>
        <w:tblInd w:w="93" w:type="dxa"/>
        <w:tblLayout w:type="fixed"/>
        <w:tblCellMar>
          <w:top w:w="0" w:type="dxa"/>
          <w:left w:w="108" w:type="dxa"/>
          <w:bottom w:w="0" w:type="dxa"/>
          <w:right w:w="108" w:type="dxa"/>
        </w:tblCellMar>
      </w:tblPr>
      <w:tblGrid>
        <w:gridCol w:w="2203"/>
        <w:gridCol w:w="1864"/>
        <w:gridCol w:w="2171"/>
        <w:gridCol w:w="1815"/>
        <w:gridCol w:w="1931"/>
        <w:gridCol w:w="251"/>
        <w:gridCol w:w="1134"/>
        <w:gridCol w:w="2651"/>
      </w:tblGrid>
      <w:tr>
        <w:tblPrEx>
          <w:tblCellMar>
            <w:top w:w="0" w:type="dxa"/>
            <w:left w:w="108" w:type="dxa"/>
            <w:bottom w:w="0" w:type="dxa"/>
            <w:right w:w="108" w:type="dxa"/>
          </w:tblCellMar>
        </w:tblPrEx>
        <w:trPr>
          <w:trHeight w:val="817" w:hRule="atLeast"/>
        </w:trPr>
        <w:tc>
          <w:tcPr>
            <w:tcW w:w="14020" w:type="dxa"/>
            <w:gridSpan w:val="8"/>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431" w:hRule="atLeast"/>
        </w:trPr>
        <w:tc>
          <w:tcPr>
            <w:tcW w:w="220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5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93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劳动保障监察工作经费</w:t>
            </w:r>
          </w:p>
        </w:tc>
      </w:tr>
      <w:tr>
        <w:tblPrEx>
          <w:tblCellMar>
            <w:top w:w="0" w:type="dxa"/>
            <w:left w:w="108" w:type="dxa"/>
            <w:bottom w:w="0" w:type="dxa"/>
            <w:right w:w="108" w:type="dxa"/>
          </w:tblCellMar>
        </w:tblPrEx>
        <w:trPr>
          <w:trHeight w:val="614" w:hRule="atLeast"/>
        </w:trPr>
        <w:tc>
          <w:tcPr>
            <w:tcW w:w="220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6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7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15</w:t>
            </w:r>
            <w:r>
              <w:rPr>
                <w:rFonts w:hint="eastAsia" w:ascii="宋体" w:hAnsi="宋体" w:cs="宋体"/>
                <w:kern w:val="0"/>
                <w:sz w:val="18"/>
                <w:szCs w:val="18"/>
              </w:rPr>
              <w:t>　</w:t>
            </w:r>
          </w:p>
        </w:tc>
        <w:tc>
          <w:tcPr>
            <w:tcW w:w="18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31"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15</w:t>
            </w:r>
          </w:p>
        </w:tc>
        <w:tc>
          <w:tcPr>
            <w:tcW w:w="138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49" w:hRule="atLeast"/>
        </w:trPr>
        <w:tc>
          <w:tcPr>
            <w:tcW w:w="220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817"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依据相关工作要求，保证劳动保障监察各项工作，顺利进行。</w:t>
            </w:r>
          </w:p>
        </w:tc>
      </w:tr>
      <w:tr>
        <w:tblPrEx>
          <w:tblCellMar>
            <w:top w:w="0" w:type="dxa"/>
            <w:left w:w="108" w:type="dxa"/>
            <w:bottom w:w="0" w:type="dxa"/>
            <w:right w:w="108" w:type="dxa"/>
          </w:tblCellMar>
        </w:tblPrEx>
        <w:trPr>
          <w:trHeight w:val="431" w:hRule="atLeast"/>
        </w:trPr>
        <w:tc>
          <w:tcPr>
            <w:tcW w:w="220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64"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431" w:hRule="atLeast"/>
        </w:trPr>
        <w:tc>
          <w:tcPr>
            <w:tcW w:w="220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31" w:hRule="atLeast"/>
        </w:trPr>
        <w:tc>
          <w:tcPr>
            <w:tcW w:w="220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案件办理时限（工作日）</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60个工作日；情况复杂延长30个工作日  </w:t>
            </w:r>
          </w:p>
        </w:tc>
      </w:tr>
      <w:tr>
        <w:tblPrEx>
          <w:tblCellMar>
            <w:top w:w="0" w:type="dxa"/>
            <w:left w:w="108" w:type="dxa"/>
            <w:bottom w:w="0" w:type="dxa"/>
            <w:right w:w="108" w:type="dxa"/>
          </w:tblCellMar>
        </w:tblPrEx>
        <w:trPr>
          <w:trHeight w:val="431" w:hRule="atLeast"/>
        </w:trPr>
        <w:tc>
          <w:tcPr>
            <w:tcW w:w="220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办理案件数（个）</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每年数量上下幅度较大，无法估量  </w:t>
            </w:r>
          </w:p>
        </w:tc>
      </w:tr>
      <w:tr>
        <w:tblPrEx>
          <w:tblCellMar>
            <w:top w:w="0" w:type="dxa"/>
            <w:left w:w="108" w:type="dxa"/>
            <w:bottom w:w="0" w:type="dxa"/>
            <w:right w:w="108" w:type="dxa"/>
          </w:tblCellMar>
        </w:tblPrEx>
        <w:trPr>
          <w:trHeight w:val="431" w:hRule="atLeast"/>
        </w:trPr>
        <w:tc>
          <w:tcPr>
            <w:tcW w:w="220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执法行动次数（次）</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3次  </w:t>
            </w:r>
          </w:p>
        </w:tc>
      </w:tr>
      <w:tr>
        <w:tblPrEx>
          <w:tblCellMar>
            <w:top w:w="0" w:type="dxa"/>
            <w:left w:w="108" w:type="dxa"/>
            <w:bottom w:w="0" w:type="dxa"/>
            <w:right w:w="108" w:type="dxa"/>
          </w:tblCellMar>
        </w:tblPrEx>
        <w:trPr>
          <w:trHeight w:val="431" w:hRule="atLeast"/>
        </w:trPr>
        <w:tc>
          <w:tcPr>
            <w:tcW w:w="220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审限结案率（%）</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100%  </w:t>
            </w:r>
          </w:p>
        </w:tc>
      </w:tr>
      <w:tr>
        <w:tblPrEx>
          <w:tblCellMar>
            <w:top w:w="0" w:type="dxa"/>
            <w:left w:w="108" w:type="dxa"/>
            <w:bottom w:w="0" w:type="dxa"/>
            <w:right w:w="108" w:type="dxa"/>
          </w:tblCellMar>
        </w:tblPrEx>
        <w:trPr>
          <w:trHeight w:val="431" w:hRule="atLeast"/>
        </w:trPr>
        <w:tc>
          <w:tcPr>
            <w:tcW w:w="220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案件办结率（%）</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96%  </w:t>
            </w:r>
          </w:p>
        </w:tc>
      </w:tr>
      <w:tr>
        <w:tblPrEx>
          <w:tblCellMar>
            <w:top w:w="0" w:type="dxa"/>
            <w:left w:w="108" w:type="dxa"/>
            <w:bottom w:w="0" w:type="dxa"/>
            <w:right w:w="108" w:type="dxa"/>
          </w:tblCellMar>
        </w:tblPrEx>
        <w:trPr>
          <w:trHeight w:val="431" w:hRule="atLeast"/>
        </w:trPr>
        <w:tc>
          <w:tcPr>
            <w:tcW w:w="220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经济效益指标</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挽回经济损失（万元）</w:t>
            </w:r>
          </w:p>
        </w:tc>
      </w:tr>
      <w:tr>
        <w:tblPrEx>
          <w:tblCellMar>
            <w:top w:w="0" w:type="dxa"/>
            <w:left w:w="108" w:type="dxa"/>
            <w:bottom w:w="0" w:type="dxa"/>
            <w:right w:w="108" w:type="dxa"/>
          </w:tblCellMar>
        </w:tblPrEx>
        <w:trPr>
          <w:trHeight w:val="431" w:hRule="atLeast"/>
        </w:trPr>
        <w:tc>
          <w:tcPr>
            <w:tcW w:w="220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31" w:hRule="atLeast"/>
        </w:trPr>
        <w:tc>
          <w:tcPr>
            <w:tcW w:w="220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社会效益指标</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错案率（%）</w:t>
            </w:r>
          </w:p>
        </w:tc>
      </w:tr>
      <w:tr>
        <w:tblPrEx>
          <w:tblCellMar>
            <w:top w:w="0" w:type="dxa"/>
            <w:left w:w="108" w:type="dxa"/>
            <w:bottom w:w="0" w:type="dxa"/>
            <w:right w:w="108" w:type="dxa"/>
          </w:tblCellMar>
        </w:tblPrEx>
        <w:trPr>
          <w:trHeight w:val="431" w:hRule="atLeast"/>
        </w:trPr>
        <w:tc>
          <w:tcPr>
            <w:tcW w:w="220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56" w:hRule="atLeast"/>
        </w:trPr>
        <w:tc>
          <w:tcPr>
            <w:tcW w:w="220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68"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执法办案行为投诉率（%）</w:t>
            </w:r>
          </w:p>
        </w:tc>
        <w:tc>
          <w:tcPr>
            <w:tcW w:w="3785"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0</w:t>
            </w:r>
          </w:p>
        </w:tc>
      </w:tr>
    </w:tbl>
    <w:p/>
    <w:tbl>
      <w:tblPr>
        <w:tblStyle w:val="4"/>
        <w:tblW w:w="13900" w:type="dxa"/>
        <w:tblInd w:w="93" w:type="dxa"/>
        <w:tblLayout w:type="fixed"/>
        <w:tblCellMar>
          <w:top w:w="0" w:type="dxa"/>
          <w:left w:w="108" w:type="dxa"/>
          <w:bottom w:w="0" w:type="dxa"/>
          <w:right w:w="108" w:type="dxa"/>
        </w:tblCellMar>
      </w:tblPr>
      <w:tblGrid>
        <w:gridCol w:w="2183"/>
        <w:gridCol w:w="1847"/>
        <w:gridCol w:w="2153"/>
        <w:gridCol w:w="1801"/>
        <w:gridCol w:w="1915"/>
        <w:gridCol w:w="247"/>
        <w:gridCol w:w="1126"/>
        <w:gridCol w:w="2628"/>
      </w:tblGrid>
      <w:tr>
        <w:tblPrEx>
          <w:tblCellMar>
            <w:top w:w="0" w:type="dxa"/>
            <w:left w:w="108" w:type="dxa"/>
            <w:bottom w:w="0" w:type="dxa"/>
            <w:right w:w="108" w:type="dxa"/>
          </w:tblCellMar>
        </w:tblPrEx>
        <w:trPr>
          <w:trHeight w:val="718" w:hRule="atLeast"/>
        </w:trPr>
        <w:tc>
          <w:tcPr>
            <w:tcW w:w="13900" w:type="dxa"/>
            <w:gridSpan w:val="8"/>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80" w:hRule="atLeast"/>
        </w:trPr>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0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9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0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劳动能力鉴定工作经费</w:t>
            </w:r>
          </w:p>
        </w:tc>
      </w:tr>
      <w:tr>
        <w:tblPrEx>
          <w:tblCellMar>
            <w:top w:w="0" w:type="dxa"/>
            <w:left w:w="108" w:type="dxa"/>
            <w:bottom w:w="0" w:type="dxa"/>
            <w:right w:w="108" w:type="dxa"/>
          </w:tblCellMar>
        </w:tblPrEx>
        <w:trPr>
          <w:trHeight w:val="541" w:hRule="atLeast"/>
        </w:trPr>
        <w:tc>
          <w:tcPr>
            <w:tcW w:w="21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53"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10</w:t>
            </w:r>
          </w:p>
        </w:tc>
        <w:tc>
          <w:tcPr>
            <w:tcW w:w="18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w:t>
            </w:r>
            <w:r>
              <w:rPr>
                <w:rFonts w:hint="eastAsia" w:ascii="宋体" w:hAnsi="宋体" w:cs="宋体"/>
                <w:kern w:val="0"/>
                <w:sz w:val="18"/>
                <w:szCs w:val="18"/>
              </w:rPr>
              <w:t>　</w:t>
            </w:r>
          </w:p>
        </w:tc>
        <w:tc>
          <w:tcPr>
            <w:tcW w:w="137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2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83" w:hRule="atLeast"/>
        </w:trPr>
        <w:tc>
          <w:tcPr>
            <w:tcW w:w="218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17"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劳动能力医疗专家鉴定费（新劳社字【2007】126号文件第23条），计划召开工伤、病退及失能评定会</w:t>
            </w:r>
          </w:p>
        </w:tc>
      </w:tr>
      <w:tr>
        <w:tblPrEx>
          <w:tblCellMar>
            <w:top w:w="0" w:type="dxa"/>
            <w:left w:w="108" w:type="dxa"/>
            <w:bottom w:w="0" w:type="dxa"/>
            <w:right w:w="108" w:type="dxa"/>
          </w:tblCellMar>
        </w:tblPrEx>
        <w:trPr>
          <w:trHeight w:val="380" w:hRule="atLeast"/>
        </w:trPr>
        <w:tc>
          <w:tcPr>
            <w:tcW w:w="218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4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80" w:hRule="atLeast"/>
        </w:trPr>
        <w:tc>
          <w:tcPr>
            <w:tcW w:w="218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0"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0"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综合业务管理工作完成率</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100%</w:t>
            </w:r>
          </w:p>
        </w:tc>
      </w:tr>
      <w:tr>
        <w:tblPrEx>
          <w:tblCellMar>
            <w:top w:w="0" w:type="dxa"/>
            <w:left w:w="108" w:type="dxa"/>
            <w:bottom w:w="0" w:type="dxa"/>
            <w:right w:w="108" w:type="dxa"/>
          </w:tblCellMar>
        </w:tblPrEx>
        <w:trPr>
          <w:trHeight w:val="380"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为群众提供优质政务服务完成率</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100%</w:t>
            </w:r>
          </w:p>
        </w:tc>
      </w:tr>
      <w:tr>
        <w:tblPrEx>
          <w:tblCellMar>
            <w:top w:w="0" w:type="dxa"/>
            <w:left w:w="108" w:type="dxa"/>
            <w:bottom w:w="0" w:type="dxa"/>
            <w:right w:w="108" w:type="dxa"/>
          </w:tblCellMar>
        </w:tblPrEx>
        <w:trPr>
          <w:trHeight w:val="380"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工伤鉴定（次）</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12次</w:t>
            </w:r>
          </w:p>
        </w:tc>
      </w:tr>
      <w:tr>
        <w:tblPrEx>
          <w:tblCellMar>
            <w:top w:w="0" w:type="dxa"/>
            <w:left w:w="108" w:type="dxa"/>
            <w:bottom w:w="0" w:type="dxa"/>
            <w:right w:w="108" w:type="dxa"/>
          </w:tblCellMar>
        </w:tblPrEx>
        <w:trPr>
          <w:trHeight w:val="380"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病退鉴定（次）</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6次</w:t>
            </w:r>
          </w:p>
        </w:tc>
      </w:tr>
      <w:tr>
        <w:tblPrEx>
          <w:tblCellMar>
            <w:top w:w="0" w:type="dxa"/>
            <w:left w:w="108" w:type="dxa"/>
            <w:bottom w:w="0" w:type="dxa"/>
            <w:right w:w="108" w:type="dxa"/>
          </w:tblCellMar>
        </w:tblPrEx>
        <w:trPr>
          <w:trHeight w:val="380"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失能评定（次）</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12次</w:t>
            </w:r>
          </w:p>
        </w:tc>
      </w:tr>
      <w:tr>
        <w:tblPrEx>
          <w:tblCellMar>
            <w:top w:w="0" w:type="dxa"/>
            <w:left w:w="108" w:type="dxa"/>
            <w:bottom w:w="0" w:type="dxa"/>
            <w:right w:w="108" w:type="dxa"/>
          </w:tblCellMar>
        </w:tblPrEx>
        <w:trPr>
          <w:trHeight w:val="380"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结论通知书公告送达（人次）</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10人次</w:t>
            </w:r>
          </w:p>
        </w:tc>
      </w:tr>
      <w:tr>
        <w:tblPrEx>
          <w:tblCellMar>
            <w:top w:w="0" w:type="dxa"/>
            <w:left w:w="108" w:type="dxa"/>
            <w:bottom w:w="0" w:type="dxa"/>
            <w:right w:w="108" w:type="dxa"/>
          </w:tblCellMar>
        </w:tblPrEx>
        <w:trPr>
          <w:trHeight w:val="380"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0" w:hRule="atLeast"/>
        </w:trPr>
        <w:tc>
          <w:tcPr>
            <w:tcW w:w="218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0"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0"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0"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03" w:hRule="atLeast"/>
        </w:trPr>
        <w:tc>
          <w:tcPr>
            <w:tcW w:w="218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群众满意率</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100%  </w:t>
            </w:r>
          </w:p>
        </w:tc>
      </w:tr>
    </w:tbl>
    <w:p/>
    <w:tbl>
      <w:tblPr>
        <w:tblStyle w:val="4"/>
        <w:tblW w:w="14040" w:type="dxa"/>
        <w:tblInd w:w="93" w:type="dxa"/>
        <w:tblLayout w:type="fixed"/>
        <w:tblCellMar>
          <w:top w:w="0" w:type="dxa"/>
          <w:left w:w="108" w:type="dxa"/>
          <w:bottom w:w="0" w:type="dxa"/>
          <w:right w:w="108" w:type="dxa"/>
        </w:tblCellMar>
      </w:tblPr>
      <w:tblGrid>
        <w:gridCol w:w="2206"/>
        <w:gridCol w:w="1866"/>
        <w:gridCol w:w="2174"/>
        <w:gridCol w:w="1818"/>
        <w:gridCol w:w="1935"/>
        <w:gridCol w:w="1388"/>
        <w:gridCol w:w="2653"/>
      </w:tblGrid>
      <w:tr>
        <w:tblPrEx>
          <w:tblCellMar>
            <w:top w:w="0" w:type="dxa"/>
            <w:left w:w="108" w:type="dxa"/>
            <w:bottom w:w="0" w:type="dxa"/>
            <w:right w:w="108" w:type="dxa"/>
          </w:tblCellMar>
        </w:tblPrEx>
        <w:trPr>
          <w:trHeight w:val="663" w:hRule="atLeast"/>
        </w:trPr>
        <w:tc>
          <w:tcPr>
            <w:tcW w:w="14040" w:type="dxa"/>
            <w:gridSpan w:val="7"/>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42" w:hRule="atLeast"/>
        </w:trPr>
        <w:tc>
          <w:tcPr>
            <w:tcW w:w="220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5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9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4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劳动人事争议仲裁工作经费</w:t>
            </w:r>
          </w:p>
        </w:tc>
      </w:tr>
      <w:tr>
        <w:tblPrEx>
          <w:tblCellMar>
            <w:top w:w="0" w:type="dxa"/>
            <w:left w:w="108" w:type="dxa"/>
            <w:bottom w:w="0" w:type="dxa"/>
            <w:right w:w="108" w:type="dxa"/>
          </w:tblCellMar>
        </w:tblPrEx>
        <w:trPr>
          <w:trHeight w:val="490" w:hRule="atLeast"/>
        </w:trPr>
        <w:tc>
          <w:tcPr>
            <w:tcW w:w="220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6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7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13</w:t>
            </w:r>
            <w:r>
              <w:rPr>
                <w:rFonts w:hint="eastAsia" w:ascii="宋体" w:hAnsi="宋体" w:cs="宋体"/>
                <w:kern w:val="0"/>
                <w:sz w:val="18"/>
                <w:szCs w:val="18"/>
              </w:rPr>
              <w:t>　</w:t>
            </w:r>
          </w:p>
        </w:tc>
        <w:tc>
          <w:tcPr>
            <w:tcW w:w="181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3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13</w:t>
            </w:r>
            <w:r>
              <w:rPr>
                <w:rFonts w:hint="eastAsia" w:ascii="宋体" w:hAnsi="宋体" w:cs="宋体"/>
                <w:kern w:val="0"/>
                <w:sz w:val="18"/>
                <w:szCs w:val="18"/>
              </w:rPr>
              <w:t>　</w:t>
            </w:r>
          </w:p>
        </w:tc>
        <w:tc>
          <w:tcPr>
            <w:tcW w:w="138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5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37" w:hRule="atLeast"/>
        </w:trPr>
        <w:tc>
          <w:tcPr>
            <w:tcW w:w="220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834" w:type="dxa"/>
            <w:gridSpan w:val="6"/>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办案经费13万元。依据相关法律法规、工作要求，保证劳动人事争议案件依法处理。</w:t>
            </w:r>
          </w:p>
        </w:tc>
      </w:tr>
      <w:tr>
        <w:tblPrEx>
          <w:tblCellMar>
            <w:top w:w="0" w:type="dxa"/>
            <w:left w:w="108" w:type="dxa"/>
            <w:bottom w:w="0" w:type="dxa"/>
            <w:right w:w="108" w:type="dxa"/>
          </w:tblCellMar>
        </w:tblPrEx>
        <w:trPr>
          <w:trHeight w:val="342" w:hRule="atLeast"/>
        </w:trPr>
        <w:tc>
          <w:tcPr>
            <w:tcW w:w="220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66"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42" w:hRule="atLeast"/>
        </w:trPr>
        <w:tc>
          <w:tcPr>
            <w:tcW w:w="2206"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6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42" w:hRule="atLeast"/>
        </w:trPr>
        <w:tc>
          <w:tcPr>
            <w:tcW w:w="220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42" w:hRule="atLeast"/>
        </w:trPr>
        <w:tc>
          <w:tcPr>
            <w:tcW w:w="220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办理案件数  </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办理案件约250件   </w:t>
            </w:r>
          </w:p>
        </w:tc>
      </w:tr>
      <w:tr>
        <w:tblPrEx>
          <w:tblCellMar>
            <w:top w:w="0" w:type="dxa"/>
            <w:left w:w="108" w:type="dxa"/>
            <w:bottom w:w="0" w:type="dxa"/>
            <w:right w:w="108" w:type="dxa"/>
          </w:tblCellMar>
        </w:tblPrEx>
        <w:trPr>
          <w:trHeight w:val="674" w:hRule="atLeast"/>
        </w:trPr>
        <w:tc>
          <w:tcPr>
            <w:tcW w:w="220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6"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错案率</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 劳动人事争议仲裁实行“一裁两审”制度，无法统计错案率。     </w:t>
            </w:r>
          </w:p>
        </w:tc>
      </w:tr>
      <w:tr>
        <w:tblPrEx>
          <w:tblCellMar>
            <w:top w:w="0" w:type="dxa"/>
            <w:left w:w="108" w:type="dxa"/>
            <w:bottom w:w="0" w:type="dxa"/>
            <w:right w:w="108" w:type="dxa"/>
          </w:tblCellMar>
        </w:tblPrEx>
        <w:trPr>
          <w:trHeight w:val="342" w:hRule="atLeast"/>
        </w:trPr>
        <w:tc>
          <w:tcPr>
            <w:tcW w:w="220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6"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案件办结率  </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当期结案率达96%以上   </w:t>
            </w:r>
          </w:p>
        </w:tc>
      </w:tr>
      <w:tr>
        <w:tblPrEx>
          <w:tblCellMar>
            <w:top w:w="0" w:type="dxa"/>
            <w:left w:w="108" w:type="dxa"/>
            <w:bottom w:w="0" w:type="dxa"/>
            <w:right w:w="108" w:type="dxa"/>
          </w:tblCellMar>
        </w:tblPrEx>
        <w:trPr>
          <w:trHeight w:val="1006" w:hRule="atLeast"/>
        </w:trPr>
        <w:tc>
          <w:tcPr>
            <w:tcW w:w="220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6"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案件办理时限   </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劳动人事争议案件办案时限一般为45天，案情复杂需要延期的经仲裁委员会主任书面批准，可延长15日。  </w:t>
            </w:r>
          </w:p>
        </w:tc>
      </w:tr>
      <w:tr>
        <w:tblPrEx>
          <w:tblCellMar>
            <w:top w:w="0" w:type="dxa"/>
            <w:left w:w="108" w:type="dxa"/>
            <w:bottom w:w="0" w:type="dxa"/>
            <w:right w:w="108" w:type="dxa"/>
          </w:tblCellMar>
        </w:tblPrEx>
        <w:trPr>
          <w:trHeight w:val="342" w:hRule="atLeast"/>
        </w:trPr>
        <w:tc>
          <w:tcPr>
            <w:tcW w:w="220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审限结案率  </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 法定期限结案率达100%  </w:t>
            </w:r>
          </w:p>
        </w:tc>
      </w:tr>
      <w:tr>
        <w:tblPrEx>
          <w:tblCellMar>
            <w:top w:w="0" w:type="dxa"/>
            <w:left w:w="108" w:type="dxa"/>
            <w:bottom w:w="0" w:type="dxa"/>
            <w:right w:w="108" w:type="dxa"/>
          </w:tblCellMar>
        </w:tblPrEx>
        <w:trPr>
          <w:trHeight w:val="342" w:hRule="atLeast"/>
        </w:trPr>
        <w:tc>
          <w:tcPr>
            <w:tcW w:w="2206"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6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42" w:hRule="atLeast"/>
        </w:trPr>
        <w:tc>
          <w:tcPr>
            <w:tcW w:w="220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办案行为投诉率 </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0  </w:t>
            </w:r>
          </w:p>
        </w:tc>
      </w:tr>
      <w:tr>
        <w:tblPrEx>
          <w:tblCellMar>
            <w:top w:w="0" w:type="dxa"/>
            <w:left w:w="108" w:type="dxa"/>
            <w:bottom w:w="0" w:type="dxa"/>
            <w:right w:w="108" w:type="dxa"/>
          </w:tblCellMar>
        </w:tblPrEx>
        <w:trPr>
          <w:trHeight w:val="342" w:hRule="atLeast"/>
        </w:trPr>
        <w:tc>
          <w:tcPr>
            <w:tcW w:w="220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挽回经济损失 </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200万元  </w:t>
            </w:r>
          </w:p>
        </w:tc>
      </w:tr>
      <w:tr>
        <w:tblPrEx>
          <w:tblCellMar>
            <w:top w:w="0" w:type="dxa"/>
            <w:left w:w="108" w:type="dxa"/>
            <w:bottom w:w="0" w:type="dxa"/>
            <w:right w:w="108" w:type="dxa"/>
          </w:tblCellMar>
        </w:tblPrEx>
        <w:trPr>
          <w:trHeight w:val="342" w:hRule="atLeast"/>
        </w:trPr>
        <w:tc>
          <w:tcPr>
            <w:tcW w:w="220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53" w:hRule="atLeast"/>
        </w:trPr>
        <w:tc>
          <w:tcPr>
            <w:tcW w:w="220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6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27"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4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bl>
    <w:p/>
    <w:tbl>
      <w:tblPr>
        <w:tblStyle w:val="4"/>
        <w:tblW w:w="13900" w:type="dxa"/>
        <w:tblInd w:w="93" w:type="dxa"/>
        <w:tblLayout w:type="fixed"/>
        <w:tblCellMar>
          <w:top w:w="0" w:type="dxa"/>
          <w:left w:w="108" w:type="dxa"/>
          <w:bottom w:w="0" w:type="dxa"/>
          <w:right w:w="108" w:type="dxa"/>
        </w:tblCellMar>
      </w:tblPr>
      <w:tblGrid>
        <w:gridCol w:w="2183"/>
        <w:gridCol w:w="1847"/>
        <w:gridCol w:w="2153"/>
        <w:gridCol w:w="1801"/>
        <w:gridCol w:w="1915"/>
        <w:gridCol w:w="247"/>
        <w:gridCol w:w="1127"/>
        <w:gridCol w:w="2627"/>
      </w:tblGrid>
      <w:tr>
        <w:tblPrEx>
          <w:tblCellMar>
            <w:top w:w="0" w:type="dxa"/>
            <w:left w:w="108" w:type="dxa"/>
            <w:bottom w:w="0" w:type="dxa"/>
            <w:right w:w="108" w:type="dxa"/>
          </w:tblCellMar>
        </w:tblPrEx>
        <w:trPr>
          <w:trHeight w:val="753" w:hRule="atLeast"/>
        </w:trPr>
        <w:tc>
          <w:tcPr>
            <w:tcW w:w="13900" w:type="dxa"/>
            <w:gridSpan w:val="8"/>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99" w:hRule="atLeast"/>
        </w:trPr>
        <w:tc>
          <w:tcPr>
            <w:tcW w:w="218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0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9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0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南疆富余劳动力管理服务系统</w:t>
            </w:r>
          </w:p>
        </w:tc>
      </w:tr>
      <w:tr>
        <w:tblPrEx>
          <w:tblCellMar>
            <w:top w:w="0" w:type="dxa"/>
            <w:left w:w="108" w:type="dxa"/>
            <w:bottom w:w="0" w:type="dxa"/>
            <w:right w:w="108" w:type="dxa"/>
          </w:tblCellMar>
        </w:tblPrEx>
        <w:trPr>
          <w:trHeight w:val="567" w:hRule="atLeast"/>
        </w:trPr>
        <w:tc>
          <w:tcPr>
            <w:tcW w:w="218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53"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40</w:t>
            </w:r>
          </w:p>
        </w:tc>
        <w:tc>
          <w:tcPr>
            <w:tcW w:w="18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1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40</w:t>
            </w:r>
          </w:p>
        </w:tc>
        <w:tc>
          <w:tcPr>
            <w:tcW w:w="137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2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1153" w:hRule="atLeast"/>
        </w:trPr>
        <w:tc>
          <w:tcPr>
            <w:tcW w:w="218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17"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联合州、县市各级人社部门、企业和南疆转移劳动力带队人员的力量，全面摸清南疆转移劳动力的底数和去向，多措并举实现南疆劳动力转移工作多级权限管理、标准化管理、规范化管理，实现关怀补贴精准化、政策宣传移动化，建成南疆劳动力多维数据库，做好务工人员的信息对接、管理对接和工作对接，确保组织到位、管理到位、服务到位，真正做到底数清、去向明、全覆盖、不遗漏。</w:t>
            </w:r>
          </w:p>
        </w:tc>
      </w:tr>
      <w:tr>
        <w:tblPrEx>
          <w:tblCellMar>
            <w:top w:w="0" w:type="dxa"/>
            <w:left w:w="108" w:type="dxa"/>
            <w:bottom w:w="0" w:type="dxa"/>
            <w:right w:w="108" w:type="dxa"/>
          </w:tblCellMar>
        </w:tblPrEx>
        <w:trPr>
          <w:trHeight w:val="399" w:hRule="atLeast"/>
        </w:trPr>
        <w:tc>
          <w:tcPr>
            <w:tcW w:w="218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4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99" w:hRule="atLeast"/>
        </w:trPr>
        <w:tc>
          <w:tcPr>
            <w:tcW w:w="218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99"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99"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系统相应速率</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100</w:t>
            </w:r>
          </w:p>
        </w:tc>
      </w:tr>
      <w:tr>
        <w:tblPrEx>
          <w:tblCellMar>
            <w:top w:w="0" w:type="dxa"/>
            <w:left w:w="108" w:type="dxa"/>
            <w:bottom w:w="0" w:type="dxa"/>
            <w:right w:w="108" w:type="dxa"/>
          </w:tblCellMar>
        </w:tblPrEx>
        <w:trPr>
          <w:trHeight w:val="399"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处理异常能力</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90%</w:t>
            </w:r>
          </w:p>
        </w:tc>
      </w:tr>
      <w:tr>
        <w:tblPrEx>
          <w:tblCellMar>
            <w:top w:w="0" w:type="dxa"/>
            <w:left w:w="108" w:type="dxa"/>
            <w:bottom w:w="0" w:type="dxa"/>
            <w:right w:w="108" w:type="dxa"/>
          </w:tblCellMar>
        </w:tblPrEx>
        <w:trPr>
          <w:trHeight w:val="399"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软件开发数量</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0</w:t>
            </w:r>
          </w:p>
        </w:tc>
      </w:tr>
      <w:tr>
        <w:tblPrEx>
          <w:tblCellMar>
            <w:top w:w="0" w:type="dxa"/>
            <w:left w:w="108" w:type="dxa"/>
            <w:bottom w:w="0" w:type="dxa"/>
            <w:right w:w="108" w:type="dxa"/>
          </w:tblCellMar>
        </w:tblPrEx>
        <w:trPr>
          <w:trHeight w:val="399"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系统开发数量</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1</w:t>
            </w:r>
          </w:p>
        </w:tc>
      </w:tr>
      <w:tr>
        <w:tblPrEx>
          <w:tblCellMar>
            <w:top w:w="0" w:type="dxa"/>
            <w:left w:w="108" w:type="dxa"/>
            <w:bottom w:w="0" w:type="dxa"/>
            <w:right w:w="108" w:type="dxa"/>
          </w:tblCellMar>
        </w:tblPrEx>
        <w:trPr>
          <w:trHeight w:val="399"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99" w:hRule="atLeast"/>
        </w:trPr>
        <w:tc>
          <w:tcPr>
            <w:tcW w:w="218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系统寿命指数</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1</w:t>
            </w:r>
          </w:p>
        </w:tc>
      </w:tr>
      <w:tr>
        <w:tblPrEx>
          <w:tblCellMar>
            <w:top w:w="0" w:type="dxa"/>
            <w:left w:w="108" w:type="dxa"/>
            <w:bottom w:w="0" w:type="dxa"/>
            <w:right w:w="108" w:type="dxa"/>
          </w:tblCellMar>
        </w:tblPrEx>
        <w:trPr>
          <w:trHeight w:val="399"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99"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用户友好性</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90%</w:t>
            </w:r>
          </w:p>
        </w:tc>
      </w:tr>
      <w:tr>
        <w:tblPrEx>
          <w:tblCellMar>
            <w:top w:w="0" w:type="dxa"/>
            <w:left w:w="108" w:type="dxa"/>
            <w:bottom w:w="0" w:type="dxa"/>
            <w:right w:w="108" w:type="dxa"/>
          </w:tblCellMar>
        </w:tblPrEx>
        <w:trPr>
          <w:trHeight w:val="399" w:hRule="atLeast"/>
        </w:trPr>
        <w:tc>
          <w:tcPr>
            <w:tcW w:w="218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22" w:hRule="atLeast"/>
        </w:trPr>
        <w:tc>
          <w:tcPr>
            <w:tcW w:w="218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47"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16"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用户使用满意度</w:t>
            </w:r>
          </w:p>
        </w:tc>
        <w:tc>
          <w:tcPr>
            <w:tcW w:w="375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90%</w:t>
            </w:r>
          </w:p>
        </w:tc>
      </w:tr>
    </w:tbl>
    <w:p/>
    <w:tbl>
      <w:tblPr>
        <w:tblStyle w:val="4"/>
        <w:tblW w:w="14000" w:type="dxa"/>
        <w:tblInd w:w="93" w:type="dxa"/>
        <w:tblLayout w:type="fixed"/>
        <w:tblCellMar>
          <w:top w:w="0" w:type="dxa"/>
          <w:left w:w="108" w:type="dxa"/>
          <w:bottom w:w="0" w:type="dxa"/>
          <w:right w:w="108" w:type="dxa"/>
        </w:tblCellMar>
      </w:tblPr>
      <w:tblGrid>
        <w:gridCol w:w="2199"/>
        <w:gridCol w:w="1861"/>
        <w:gridCol w:w="2168"/>
        <w:gridCol w:w="1813"/>
        <w:gridCol w:w="1"/>
        <w:gridCol w:w="1928"/>
        <w:gridCol w:w="1383"/>
        <w:gridCol w:w="2647"/>
      </w:tblGrid>
      <w:tr>
        <w:tblPrEx>
          <w:tblCellMar>
            <w:top w:w="0" w:type="dxa"/>
            <w:left w:w="108" w:type="dxa"/>
            <w:bottom w:w="0" w:type="dxa"/>
            <w:right w:w="108" w:type="dxa"/>
          </w:tblCellMar>
        </w:tblPrEx>
        <w:trPr>
          <w:trHeight w:val="635" w:hRule="atLeast"/>
        </w:trPr>
        <w:tc>
          <w:tcPr>
            <w:tcW w:w="14000" w:type="dxa"/>
            <w:gridSpan w:val="8"/>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28" w:hRule="atLeast"/>
        </w:trPr>
        <w:tc>
          <w:tcPr>
            <w:tcW w:w="219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43"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92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3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农村富余劳动力转移办公室工作经费</w:t>
            </w:r>
          </w:p>
        </w:tc>
      </w:tr>
      <w:tr>
        <w:tblPrEx>
          <w:tblCellMar>
            <w:top w:w="0" w:type="dxa"/>
            <w:left w:w="108" w:type="dxa"/>
            <w:bottom w:w="0" w:type="dxa"/>
            <w:right w:w="108" w:type="dxa"/>
          </w:tblCellMar>
        </w:tblPrEx>
        <w:trPr>
          <w:trHeight w:val="469" w:hRule="atLeast"/>
        </w:trPr>
        <w:tc>
          <w:tcPr>
            <w:tcW w:w="219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6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w:t>
            </w:r>
            <w:r>
              <w:rPr>
                <w:rFonts w:hint="eastAsia" w:ascii="宋体" w:hAnsi="宋体" w:cs="宋体"/>
                <w:kern w:val="0"/>
                <w:sz w:val="18"/>
                <w:szCs w:val="18"/>
              </w:rPr>
              <w:t>　</w:t>
            </w:r>
          </w:p>
        </w:tc>
        <w:tc>
          <w:tcPr>
            <w:tcW w:w="181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w:t>
            </w:r>
            <w:r>
              <w:rPr>
                <w:rFonts w:hint="eastAsia" w:ascii="宋体" w:hAnsi="宋体" w:cs="宋体"/>
                <w:kern w:val="0"/>
                <w:sz w:val="18"/>
                <w:szCs w:val="18"/>
              </w:rPr>
              <w:t>　</w:t>
            </w:r>
          </w:p>
        </w:tc>
        <w:tc>
          <w:tcPr>
            <w:tcW w:w="138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645" w:hRule="atLeast"/>
        </w:trPr>
        <w:tc>
          <w:tcPr>
            <w:tcW w:w="219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801"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预计完成自治区人社厅下达转移农村富余劳动力15.5万人次目标任务；完成建档立卡贫困家庭劳动力转移就业2000人；完成对口协作帮扶克州贫困家庭劳动力转移就业</w:t>
            </w:r>
          </w:p>
        </w:tc>
      </w:tr>
      <w:tr>
        <w:tblPrEx>
          <w:tblCellMar>
            <w:top w:w="0" w:type="dxa"/>
            <w:left w:w="108" w:type="dxa"/>
            <w:bottom w:w="0" w:type="dxa"/>
            <w:right w:w="108" w:type="dxa"/>
          </w:tblCellMar>
        </w:tblPrEx>
        <w:trPr>
          <w:trHeight w:val="328" w:hRule="atLeast"/>
        </w:trPr>
        <w:tc>
          <w:tcPr>
            <w:tcW w:w="219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61"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28" w:hRule="atLeast"/>
        </w:trPr>
        <w:tc>
          <w:tcPr>
            <w:tcW w:w="2199"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28" w:hRule="atLeast"/>
        </w:trPr>
        <w:tc>
          <w:tcPr>
            <w:tcW w:w="21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645" w:hRule="atLeast"/>
        </w:trPr>
        <w:tc>
          <w:tcPr>
            <w:tcW w:w="21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1"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政策制定工作完成率（%）</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全年计划完成农村劳动力转移就业15.5万人次；完成建档立卡贫困劳动力转移就业2000人。</w:t>
            </w:r>
          </w:p>
        </w:tc>
      </w:tr>
      <w:tr>
        <w:tblPrEx>
          <w:tblCellMar>
            <w:top w:w="0" w:type="dxa"/>
            <w:left w:w="108" w:type="dxa"/>
            <w:bottom w:w="0" w:type="dxa"/>
            <w:right w:w="108" w:type="dxa"/>
          </w:tblCellMar>
        </w:tblPrEx>
        <w:trPr>
          <w:trHeight w:val="328" w:hRule="atLeast"/>
        </w:trPr>
        <w:tc>
          <w:tcPr>
            <w:tcW w:w="21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1"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公共就业服务信息管理完成率（%）</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对未转移就业劳动力、贫困家庭劳动力就业信息覆盖率达100%。</w:t>
            </w:r>
          </w:p>
        </w:tc>
      </w:tr>
      <w:tr>
        <w:tblPrEx>
          <w:tblCellMar>
            <w:top w:w="0" w:type="dxa"/>
            <w:left w:w="108" w:type="dxa"/>
            <w:bottom w:w="0" w:type="dxa"/>
            <w:right w:w="108" w:type="dxa"/>
          </w:tblCellMar>
        </w:tblPrEx>
        <w:trPr>
          <w:trHeight w:val="328" w:hRule="atLeast"/>
        </w:trPr>
        <w:tc>
          <w:tcPr>
            <w:tcW w:w="21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1"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就业服务到位率</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对未转移就业劳动力、贫困家庭劳动力就业服务覆盖率达100%。</w:t>
            </w:r>
          </w:p>
        </w:tc>
      </w:tr>
      <w:tr>
        <w:tblPrEx>
          <w:tblCellMar>
            <w:top w:w="0" w:type="dxa"/>
            <w:left w:w="108" w:type="dxa"/>
            <w:bottom w:w="0" w:type="dxa"/>
            <w:right w:w="108" w:type="dxa"/>
          </w:tblCellMar>
        </w:tblPrEx>
        <w:trPr>
          <w:trHeight w:val="645" w:hRule="atLeast"/>
        </w:trPr>
        <w:tc>
          <w:tcPr>
            <w:tcW w:w="21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1"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组织招聘单位吸纳劳动力</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借助“春风行动”开展送岗位、送信息、送政策活动，为未就业劳动力提供岗位5000个。</w:t>
            </w:r>
          </w:p>
        </w:tc>
      </w:tr>
      <w:tr>
        <w:tblPrEx>
          <w:tblCellMar>
            <w:top w:w="0" w:type="dxa"/>
            <w:left w:w="108" w:type="dxa"/>
            <w:bottom w:w="0" w:type="dxa"/>
            <w:right w:w="108" w:type="dxa"/>
          </w:tblCellMar>
        </w:tblPrEx>
        <w:trPr>
          <w:trHeight w:val="328" w:hRule="atLeast"/>
        </w:trPr>
        <w:tc>
          <w:tcPr>
            <w:tcW w:w="21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1"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其他人才组织情况</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组织劳务产业联合会会员单位赴南疆、省外企业进行对接各1次。</w:t>
            </w:r>
          </w:p>
        </w:tc>
      </w:tr>
      <w:tr>
        <w:tblPrEx>
          <w:tblCellMar>
            <w:top w:w="0" w:type="dxa"/>
            <w:left w:w="108" w:type="dxa"/>
            <w:bottom w:w="0" w:type="dxa"/>
            <w:right w:w="108" w:type="dxa"/>
          </w:tblCellMar>
        </w:tblPrEx>
        <w:trPr>
          <w:trHeight w:val="328" w:hRule="atLeast"/>
        </w:trPr>
        <w:tc>
          <w:tcPr>
            <w:tcW w:w="21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28" w:hRule="atLeast"/>
        </w:trPr>
        <w:tc>
          <w:tcPr>
            <w:tcW w:w="2199"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28" w:hRule="atLeast"/>
        </w:trPr>
        <w:tc>
          <w:tcPr>
            <w:tcW w:w="21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28" w:hRule="atLeast"/>
        </w:trPr>
        <w:tc>
          <w:tcPr>
            <w:tcW w:w="21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1"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为劳动力提供招聘岗位、服务劳动力人数</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借助“春风行动”贫困家庭未就业劳动力服务覆盖率达100%。</w:t>
            </w:r>
          </w:p>
        </w:tc>
      </w:tr>
      <w:tr>
        <w:tblPrEx>
          <w:tblCellMar>
            <w:top w:w="0" w:type="dxa"/>
            <w:left w:w="108" w:type="dxa"/>
            <w:bottom w:w="0" w:type="dxa"/>
            <w:right w:w="108" w:type="dxa"/>
          </w:tblCellMar>
        </w:tblPrEx>
        <w:trPr>
          <w:trHeight w:val="328" w:hRule="atLeast"/>
        </w:trPr>
        <w:tc>
          <w:tcPr>
            <w:tcW w:w="21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职业培训就业率</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建档立卡贫困劳动力未就业人员培训率100%。</w:t>
            </w:r>
          </w:p>
        </w:tc>
      </w:tr>
      <w:tr>
        <w:tblPrEx>
          <w:tblCellMar>
            <w:top w:w="0" w:type="dxa"/>
            <w:left w:w="108" w:type="dxa"/>
            <w:bottom w:w="0" w:type="dxa"/>
            <w:right w:w="108" w:type="dxa"/>
          </w:tblCellMar>
        </w:tblPrEx>
        <w:trPr>
          <w:trHeight w:val="328" w:hRule="atLeast"/>
        </w:trPr>
        <w:tc>
          <w:tcPr>
            <w:tcW w:w="2199"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38" w:hRule="atLeast"/>
        </w:trPr>
        <w:tc>
          <w:tcPr>
            <w:tcW w:w="2199"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3981"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595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bl>
    <w:tbl>
      <w:tblPr>
        <w:tblStyle w:val="4"/>
        <w:tblpPr w:leftFromText="180" w:rightFromText="180" w:vertAnchor="text" w:horzAnchor="page" w:tblpX="1575" w:tblpY="63"/>
        <w:tblOverlap w:val="never"/>
        <w:tblW w:w="13760" w:type="dxa"/>
        <w:tblInd w:w="0" w:type="dxa"/>
        <w:tblLayout w:type="fixed"/>
        <w:tblCellMar>
          <w:top w:w="0" w:type="dxa"/>
          <w:left w:w="108" w:type="dxa"/>
          <w:bottom w:w="0" w:type="dxa"/>
          <w:right w:w="108" w:type="dxa"/>
        </w:tblCellMar>
      </w:tblPr>
      <w:tblGrid>
        <w:gridCol w:w="2161"/>
        <w:gridCol w:w="1828"/>
        <w:gridCol w:w="2132"/>
        <w:gridCol w:w="1782"/>
        <w:gridCol w:w="1896"/>
        <w:gridCol w:w="244"/>
        <w:gridCol w:w="1115"/>
        <w:gridCol w:w="2602"/>
      </w:tblGrid>
      <w:tr>
        <w:tblPrEx>
          <w:tblCellMar>
            <w:top w:w="0" w:type="dxa"/>
            <w:left w:w="108" w:type="dxa"/>
            <w:bottom w:w="0" w:type="dxa"/>
            <w:right w:w="108" w:type="dxa"/>
          </w:tblCellMar>
        </w:tblPrEx>
        <w:trPr>
          <w:trHeight w:val="727" w:hRule="atLeast"/>
        </w:trPr>
        <w:tc>
          <w:tcPr>
            <w:tcW w:w="13760" w:type="dxa"/>
            <w:gridSpan w:val="8"/>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96" w:hRule="atLeast"/>
        </w:trPr>
        <w:tc>
          <w:tcPr>
            <w:tcW w:w="216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74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89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396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社保基金专业审计工作经费</w:t>
            </w:r>
          </w:p>
        </w:tc>
      </w:tr>
      <w:tr>
        <w:tblPrEx>
          <w:tblCellMar>
            <w:top w:w="0" w:type="dxa"/>
            <w:left w:w="108" w:type="dxa"/>
            <w:bottom w:w="0" w:type="dxa"/>
            <w:right w:w="108" w:type="dxa"/>
          </w:tblCellMar>
        </w:tblPrEx>
        <w:trPr>
          <w:trHeight w:val="396" w:hRule="atLeast"/>
        </w:trPr>
        <w:tc>
          <w:tcPr>
            <w:tcW w:w="216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2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3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w:t>
            </w:r>
            <w:r>
              <w:rPr>
                <w:rFonts w:hint="eastAsia" w:ascii="宋体" w:hAnsi="宋体" w:cs="宋体"/>
                <w:kern w:val="0"/>
                <w:sz w:val="18"/>
                <w:szCs w:val="18"/>
              </w:rPr>
              <w:t>　</w:t>
            </w:r>
          </w:p>
        </w:tc>
        <w:tc>
          <w:tcPr>
            <w:tcW w:w="17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89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w:t>
            </w:r>
            <w:r>
              <w:rPr>
                <w:rFonts w:hint="eastAsia" w:ascii="宋体" w:hAnsi="宋体" w:cs="宋体"/>
                <w:kern w:val="0"/>
                <w:sz w:val="18"/>
                <w:szCs w:val="18"/>
              </w:rPr>
              <w:t>　</w:t>
            </w:r>
          </w:p>
        </w:tc>
        <w:tc>
          <w:tcPr>
            <w:tcW w:w="1359"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0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396" w:hRule="atLeast"/>
        </w:trPr>
        <w:tc>
          <w:tcPr>
            <w:tcW w:w="21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599"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对用人单位工资支付、缴纳社会保险费的情况进行审计。对社会保险基金的收支、管理和投资运营情况进行监督检查。</w:t>
            </w:r>
          </w:p>
        </w:tc>
      </w:tr>
      <w:tr>
        <w:tblPrEx>
          <w:tblCellMar>
            <w:top w:w="0" w:type="dxa"/>
            <w:left w:w="108" w:type="dxa"/>
            <w:bottom w:w="0" w:type="dxa"/>
            <w:right w:w="108" w:type="dxa"/>
          </w:tblCellMar>
        </w:tblPrEx>
        <w:trPr>
          <w:trHeight w:val="396" w:hRule="atLeast"/>
        </w:trPr>
        <w:tc>
          <w:tcPr>
            <w:tcW w:w="21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2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96" w:hRule="atLeast"/>
        </w:trPr>
        <w:tc>
          <w:tcPr>
            <w:tcW w:w="2161"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2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96" w:hRule="atLeast"/>
        </w:trPr>
        <w:tc>
          <w:tcPr>
            <w:tcW w:w="21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2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96" w:hRule="atLeast"/>
        </w:trPr>
        <w:tc>
          <w:tcPr>
            <w:tcW w:w="21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28"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举办监督检查业务培训次数（次）</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1-2次  </w:t>
            </w:r>
          </w:p>
        </w:tc>
      </w:tr>
      <w:tr>
        <w:tblPrEx>
          <w:tblCellMar>
            <w:top w:w="0" w:type="dxa"/>
            <w:left w:w="108" w:type="dxa"/>
            <w:bottom w:w="0" w:type="dxa"/>
            <w:right w:w="108" w:type="dxa"/>
          </w:tblCellMar>
        </w:tblPrEx>
        <w:trPr>
          <w:trHeight w:val="760" w:hRule="atLeast"/>
        </w:trPr>
        <w:tc>
          <w:tcPr>
            <w:tcW w:w="21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28"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审计单位数量（家）</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5-8家重点企事业单位或者1-3家社保经办机构  </w:t>
            </w:r>
          </w:p>
        </w:tc>
      </w:tr>
      <w:tr>
        <w:tblPrEx>
          <w:tblCellMar>
            <w:top w:w="0" w:type="dxa"/>
            <w:left w:w="108" w:type="dxa"/>
            <w:bottom w:w="0" w:type="dxa"/>
            <w:right w:w="108" w:type="dxa"/>
          </w:tblCellMar>
        </w:tblPrEx>
        <w:trPr>
          <w:trHeight w:val="396" w:hRule="atLeast"/>
        </w:trPr>
        <w:tc>
          <w:tcPr>
            <w:tcW w:w="21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28"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 监督检查次数</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1-2次  </w:t>
            </w:r>
          </w:p>
        </w:tc>
      </w:tr>
      <w:tr>
        <w:tblPrEx>
          <w:tblCellMar>
            <w:top w:w="0" w:type="dxa"/>
            <w:left w:w="108" w:type="dxa"/>
            <w:bottom w:w="0" w:type="dxa"/>
            <w:right w:w="108" w:type="dxa"/>
          </w:tblCellMar>
        </w:tblPrEx>
        <w:trPr>
          <w:trHeight w:val="396" w:hRule="atLeast"/>
        </w:trPr>
        <w:tc>
          <w:tcPr>
            <w:tcW w:w="21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28"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 监督检查人天数（人·天）</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20·15  </w:t>
            </w:r>
          </w:p>
        </w:tc>
      </w:tr>
      <w:tr>
        <w:tblPrEx>
          <w:tblCellMar>
            <w:top w:w="0" w:type="dxa"/>
            <w:left w:w="108" w:type="dxa"/>
            <w:bottom w:w="0" w:type="dxa"/>
            <w:right w:w="108" w:type="dxa"/>
          </w:tblCellMar>
        </w:tblPrEx>
        <w:trPr>
          <w:trHeight w:val="396" w:hRule="atLeast"/>
        </w:trPr>
        <w:tc>
          <w:tcPr>
            <w:tcW w:w="21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28"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 接受监督检查业务培训人数（人）</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60人  </w:t>
            </w:r>
          </w:p>
        </w:tc>
      </w:tr>
      <w:tr>
        <w:tblPrEx>
          <w:tblCellMar>
            <w:top w:w="0" w:type="dxa"/>
            <w:left w:w="108" w:type="dxa"/>
            <w:bottom w:w="0" w:type="dxa"/>
            <w:right w:w="108" w:type="dxa"/>
          </w:tblCellMar>
        </w:tblPrEx>
        <w:trPr>
          <w:trHeight w:val="396" w:hRule="atLeast"/>
        </w:trPr>
        <w:tc>
          <w:tcPr>
            <w:tcW w:w="21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2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 问题整改率</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100%  </w:t>
            </w:r>
          </w:p>
        </w:tc>
      </w:tr>
      <w:tr>
        <w:tblPrEx>
          <w:tblCellMar>
            <w:top w:w="0" w:type="dxa"/>
            <w:left w:w="108" w:type="dxa"/>
            <w:bottom w:w="0" w:type="dxa"/>
            <w:right w:w="108" w:type="dxa"/>
          </w:tblCellMar>
        </w:tblPrEx>
        <w:trPr>
          <w:trHeight w:val="396" w:hRule="atLeast"/>
        </w:trPr>
        <w:tc>
          <w:tcPr>
            <w:tcW w:w="2161"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2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 挽回经济损失</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30万元以上  </w:t>
            </w:r>
          </w:p>
        </w:tc>
      </w:tr>
      <w:tr>
        <w:tblPrEx>
          <w:tblCellMar>
            <w:top w:w="0" w:type="dxa"/>
            <w:left w:w="108" w:type="dxa"/>
            <w:bottom w:w="0" w:type="dxa"/>
            <w:right w:w="108" w:type="dxa"/>
          </w:tblCellMar>
        </w:tblPrEx>
        <w:trPr>
          <w:trHeight w:val="396" w:hRule="atLeast"/>
        </w:trPr>
        <w:tc>
          <w:tcPr>
            <w:tcW w:w="21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2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96" w:hRule="atLeast"/>
        </w:trPr>
        <w:tc>
          <w:tcPr>
            <w:tcW w:w="21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2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96" w:hRule="atLeast"/>
        </w:trPr>
        <w:tc>
          <w:tcPr>
            <w:tcW w:w="2161"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2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29" w:hRule="atLeast"/>
        </w:trPr>
        <w:tc>
          <w:tcPr>
            <w:tcW w:w="2161"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2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054"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17"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bl>
    <w:p/>
    <w:tbl>
      <w:tblPr>
        <w:tblStyle w:val="4"/>
        <w:tblpPr w:leftFromText="180" w:rightFromText="180" w:vertAnchor="text" w:horzAnchor="page" w:tblpX="1575" w:tblpY="28"/>
        <w:tblOverlap w:val="never"/>
        <w:tblW w:w="13960" w:type="dxa"/>
        <w:tblInd w:w="0" w:type="dxa"/>
        <w:tblLayout w:type="fixed"/>
        <w:tblCellMar>
          <w:top w:w="0" w:type="dxa"/>
          <w:left w:w="108" w:type="dxa"/>
          <w:bottom w:w="0" w:type="dxa"/>
          <w:right w:w="108" w:type="dxa"/>
        </w:tblCellMar>
      </w:tblPr>
      <w:tblGrid>
        <w:gridCol w:w="2193"/>
        <w:gridCol w:w="1855"/>
        <w:gridCol w:w="2162"/>
        <w:gridCol w:w="1809"/>
        <w:gridCol w:w="1923"/>
        <w:gridCol w:w="249"/>
        <w:gridCol w:w="1131"/>
        <w:gridCol w:w="2638"/>
      </w:tblGrid>
      <w:tr>
        <w:tblPrEx>
          <w:tblCellMar>
            <w:top w:w="0" w:type="dxa"/>
            <w:left w:w="108" w:type="dxa"/>
            <w:bottom w:w="0" w:type="dxa"/>
            <w:right w:w="108" w:type="dxa"/>
          </w:tblCellMar>
        </w:tblPrEx>
        <w:trPr>
          <w:trHeight w:val="700" w:hRule="atLeast"/>
        </w:trPr>
        <w:tc>
          <w:tcPr>
            <w:tcW w:w="13960" w:type="dxa"/>
            <w:gridSpan w:val="8"/>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61" w:hRule="atLeast"/>
        </w:trPr>
        <w:tc>
          <w:tcPr>
            <w:tcW w:w="219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2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9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1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事业单位公开招聘工作</w:t>
            </w:r>
          </w:p>
        </w:tc>
      </w:tr>
      <w:tr>
        <w:tblPrEx>
          <w:tblCellMar>
            <w:top w:w="0" w:type="dxa"/>
            <w:left w:w="108" w:type="dxa"/>
            <w:bottom w:w="0" w:type="dxa"/>
            <w:right w:w="108" w:type="dxa"/>
          </w:tblCellMar>
        </w:tblPrEx>
        <w:trPr>
          <w:trHeight w:val="517" w:hRule="atLeast"/>
        </w:trPr>
        <w:tc>
          <w:tcPr>
            <w:tcW w:w="219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60</w:t>
            </w:r>
            <w:r>
              <w:rPr>
                <w:rFonts w:hint="eastAsia" w:ascii="宋体" w:hAnsi="宋体" w:cs="宋体"/>
                <w:kern w:val="0"/>
                <w:sz w:val="18"/>
                <w:szCs w:val="18"/>
              </w:rPr>
              <w:t>　</w:t>
            </w:r>
          </w:p>
        </w:tc>
        <w:tc>
          <w:tcPr>
            <w:tcW w:w="18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60</w:t>
            </w:r>
            <w:r>
              <w:rPr>
                <w:rFonts w:hint="eastAsia" w:ascii="宋体" w:hAnsi="宋体" w:cs="宋体"/>
                <w:kern w:val="0"/>
                <w:sz w:val="18"/>
                <w:szCs w:val="18"/>
              </w:rPr>
              <w:t>　</w:t>
            </w:r>
          </w:p>
        </w:tc>
        <w:tc>
          <w:tcPr>
            <w:tcW w:w="1380"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3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0</w:t>
            </w:r>
          </w:p>
        </w:tc>
      </w:tr>
      <w:tr>
        <w:tblPrEx>
          <w:tblCellMar>
            <w:top w:w="0" w:type="dxa"/>
            <w:left w:w="108" w:type="dxa"/>
            <w:bottom w:w="0" w:type="dxa"/>
            <w:right w:w="108" w:type="dxa"/>
          </w:tblCellMar>
        </w:tblPrEx>
        <w:trPr>
          <w:trHeight w:val="461" w:hRule="atLeast"/>
        </w:trPr>
        <w:tc>
          <w:tcPr>
            <w:tcW w:w="219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67"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 xml:space="preserve">完成2019年全州事业单位面向社会公开招聘工作     </w:t>
            </w:r>
          </w:p>
        </w:tc>
      </w:tr>
      <w:tr>
        <w:tblPrEx>
          <w:tblCellMar>
            <w:top w:w="0" w:type="dxa"/>
            <w:left w:w="108" w:type="dxa"/>
            <w:bottom w:w="0" w:type="dxa"/>
            <w:right w:w="108" w:type="dxa"/>
          </w:tblCellMar>
        </w:tblPrEx>
        <w:trPr>
          <w:trHeight w:val="361" w:hRule="atLeast"/>
        </w:trPr>
        <w:tc>
          <w:tcPr>
            <w:tcW w:w="219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5"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61" w:hRule="atLeast"/>
        </w:trPr>
        <w:tc>
          <w:tcPr>
            <w:tcW w:w="219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1" w:hRule="atLeast"/>
        </w:trPr>
        <w:tc>
          <w:tcPr>
            <w:tcW w:w="219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每场考试命题工作聘请专家 </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2人以上</w:t>
            </w:r>
          </w:p>
        </w:tc>
      </w:tr>
      <w:tr>
        <w:tblPrEx>
          <w:tblCellMar>
            <w:top w:w="0" w:type="dxa"/>
            <w:left w:w="108" w:type="dxa"/>
            <w:bottom w:w="0" w:type="dxa"/>
            <w:right w:w="108" w:type="dxa"/>
          </w:tblCellMar>
        </w:tblPrEx>
        <w:trPr>
          <w:trHeight w:val="361" w:hRule="atLeast"/>
        </w:trPr>
        <w:tc>
          <w:tcPr>
            <w:tcW w:w="219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按时完成报名平台审核工作  </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100%</w:t>
            </w:r>
          </w:p>
        </w:tc>
      </w:tr>
      <w:tr>
        <w:tblPrEx>
          <w:tblCellMar>
            <w:top w:w="0" w:type="dxa"/>
            <w:left w:w="108" w:type="dxa"/>
            <w:bottom w:w="0" w:type="dxa"/>
            <w:right w:w="108" w:type="dxa"/>
          </w:tblCellMar>
        </w:tblPrEx>
        <w:trPr>
          <w:trHeight w:val="361" w:hRule="atLeast"/>
        </w:trPr>
        <w:tc>
          <w:tcPr>
            <w:tcW w:w="219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按时完成笔试组织实施工作  </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100%</w:t>
            </w:r>
          </w:p>
        </w:tc>
      </w:tr>
      <w:tr>
        <w:tblPrEx>
          <w:tblCellMar>
            <w:top w:w="0" w:type="dxa"/>
            <w:left w:w="108" w:type="dxa"/>
            <w:bottom w:w="0" w:type="dxa"/>
            <w:right w:w="108" w:type="dxa"/>
          </w:tblCellMar>
        </w:tblPrEx>
        <w:trPr>
          <w:trHeight w:val="361" w:hRule="atLeast"/>
        </w:trPr>
        <w:tc>
          <w:tcPr>
            <w:tcW w:w="219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按时完成面试工作  </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100%</w:t>
            </w:r>
          </w:p>
        </w:tc>
      </w:tr>
      <w:tr>
        <w:tblPrEx>
          <w:tblCellMar>
            <w:top w:w="0" w:type="dxa"/>
            <w:left w:w="108" w:type="dxa"/>
            <w:bottom w:w="0" w:type="dxa"/>
            <w:right w:w="108" w:type="dxa"/>
          </w:tblCellMar>
        </w:tblPrEx>
        <w:trPr>
          <w:trHeight w:val="361" w:hRule="atLeast"/>
        </w:trPr>
        <w:tc>
          <w:tcPr>
            <w:tcW w:w="219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聘请社会各界行风评议员  </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6</w:t>
            </w:r>
          </w:p>
        </w:tc>
      </w:tr>
      <w:tr>
        <w:tblPrEx>
          <w:tblCellMar>
            <w:top w:w="0" w:type="dxa"/>
            <w:left w:w="108" w:type="dxa"/>
            <w:bottom w:w="0" w:type="dxa"/>
            <w:right w:w="108" w:type="dxa"/>
          </w:tblCellMar>
        </w:tblPrEx>
        <w:trPr>
          <w:trHeight w:val="361" w:hRule="atLeast"/>
        </w:trPr>
        <w:tc>
          <w:tcPr>
            <w:tcW w:w="219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每个面试考场考官人数  </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7</w:t>
            </w:r>
          </w:p>
        </w:tc>
      </w:tr>
      <w:tr>
        <w:tblPrEx>
          <w:tblCellMar>
            <w:top w:w="0" w:type="dxa"/>
            <w:left w:w="108" w:type="dxa"/>
            <w:bottom w:w="0" w:type="dxa"/>
            <w:right w:w="108" w:type="dxa"/>
          </w:tblCellMar>
        </w:tblPrEx>
        <w:trPr>
          <w:trHeight w:val="361" w:hRule="atLeast"/>
        </w:trPr>
        <w:tc>
          <w:tcPr>
            <w:tcW w:w="219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1" w:hRule="atLeast"/>
        </w:trPr>
        <w:tc>
          <w:tcPr>
            <w:tcW w:w="219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1" w:hRule="atLeast"/>
        </w:trPr>
        <w:tc>
          <w:tcPr>
            <w:tcW w:w="219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1" w:hRule="atLeast"/>
        </w:trPr>
        <w:tc>
          <w:tcPr>
            <w:tcW w:w="219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1" w:hRule="atLeast"/>
        </w:trPr>
        <w:tc>
          <w:tcPr>
            <w:tcW w:w="219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1" w:hRule="atLeast"/>
        </w:trPr>
        <w:tc>
          <w:tcPr>
            <w:tcW w:w="219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72" w:hRule="atLeast"/>
        </w:trPr>
        <w:tc>
          <w:tcPr>
            <w:tcW w:w="219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招聘单位满意度</w:t>
            </w:r>
          </w:p>
        </w:tc>
        <w:tc>
          <w:tcPr>
            <w:tcW w:w="3769"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98%  </w:t>
            </w:r>
          </w:p>
        </w:tc>
      </w:tr>
    </w:tbl>
    <w:p/>
    <w:p/>
    <w:tbl>
      <w:tblPr>
        <w:tblStyle w:val="4"/>
        <w:tblW w:w="14160" w:type="dxa"/>
        <w:tblInd w:w="93" w:type="dxa"/>
        <w:tblLayout w:type="fixed"/>
        <w:tblCellMar>
          <w:top w:w="0" w:type="dxa"/>
          <w:left w:w="108" w:type="dxa"/>
          <w:bottom w:w="0" w:type="dxa"/>
          <w:right w:w="108" w:type="dxa"/>
        </w:tblCellMar>
      </w:tblPr>
      <w:tblGrid>
        <w:gridCol w:w="2224"/>
        <w:gridCol w:w="1882"/>
        <w:gridCol w:w="2193"/>
        <w:gridCol w:w="1834"/>
        <w:gridCol w:w="1951"/>
        <w:gridCol w:w="1399"/>
        <w:gridCol w:w="2677"/>
      </w:tblGrid>
      <w:tr>
        <w:tblPrEx>
          <w:tblCellMar>
            <w:top w:w="0" w:type="dxa"/>
            <w:left w:w="108" w:type="dxa"/>
            <w:bottom w:w="0" w:type="dxa"/>
            <w:right w:w="108" w:type="dxa"/>
          </w:tblCellMar>
        </w:tblPrEx>
        <w:trPr>
          <w:trHeight w:val="711" w:hRule="atLeast"/>
        </w:trPr>
        <w:tc>
          <w:tcPr>
            <w:tcW w:w="14160" w:type="dxa"/>
            <w:gridSpan w:val="7"/>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67" w:hRule="atLeast"/>
        </w:trPr>
        <w:tc>
          <w:tcPr>
            <w:tcW w:w="222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9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9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7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事业单位人事制度改革及人事管理信息化   </w:t>
            </w:r>
          </w:p>
        </w:tc>
      </w:tr>
      <w:tr>
        <w:tblPrEx>
          <w:tblCellMar>
            <w:top w:w="0" w:type="dxa"/>
            <w:left w:w="108" w:type="dxa"/>
            <w:bottom w:w="0" w:type="dxa"/>
            <w:right w:w="108" w:type="dxa"/>
          </w:tblCellMar>
        </w:tblPrEx>
        <w:trPr>
          <w:trHeight w:val="525" w:hRule="atLeast"/>
        </w:trPr>
        <w:tc>
          <w:tcPr>
            <w:tcW w:w="22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w:t>
            </w:r>
            <w:r>
              <w:rPr>
                <w:rFonts w:hint="eastAsia" w:ascii="宋体" w:hAnsi="宋体" w:cs="宋体"/>
                <w:kern w:val="0"/>
                <w:sz w:val="18"/>
                <w:szCs w:val="18"/>
              </w:rPr>
              <w:t>　</w:t>
            </w:r>
          </w:p>
        </w:tc>
        <w:tc>
          <w:tcPr>
            <w:tcW w:w="18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w:t>
            </w:r>
            <w:r>
              <w:rPr>
                <w:rFonts w:hint="eastAsia" w:ascii="宋体" w:hAnsi="宋体" w:cs="宋体"/>
                <w:kern w:val="0"/>
                <w:sz w:val="18"/>
                <w:szCs w:val="18"/>
              </w:rPr>
              <w:t>　</w:t>
            </w:r>
          </w:p>
        </w:tc>
        <w:tc>
          <w:tcPr>
            <w:tcW w:w="139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7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722" w:hRule="atLeast"/>
        </w:trPr>
        <w:tc>
          <w:tcPr>
            <w:tcW w:w="222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36" w:type="dxa"/>
            <w:gridSpan w:val="6"/>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为切实抓好事业单位岗位管理工作的推行及完善，需要组织州县两级事改办工作人员出外考察、借鉴外地经验，深入基层调研指导，同时还需通过举办培训班形式对州、县两级事业单位改革工作骨干进行政策培训。</w:t>
            </w:r>
          </w:p>
        </w:tc>
      </w:tr>
      <w:tr>
        <w:tblPrEx>
          <w:tblCellMar>
            <w:top w:w="0" w:type="dxa"/>
            <w:left w:w="108" w:type="dxa"/>
            <w:bottom w:w="0" w:type="dxa"/>
            <w:right w:w="108" w:type="dxa"/>
          </w:tblCellMar>
        </w:tblPrEx>
        <w:trPr>
          <w:trHeight w:val="367" w:hRule="atLeast"/>
        </w:trPr>
        <w:tc>
          <w:tcPr>
            <w:tcW w:w="222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82"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67" w:hRule="atLeast"/>
        </w:trPr>
        <w:tc>
          <w:tcPr>
            <w:tcW w:w="222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组织培训班（次）</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全年组织事业单位人事管理政策培训4次  </w:t>
            </w:r>
          </w:p>
        </w:tc>
      </w:tr>
      <w:tr>
        <w:tblPrEx>
          <w:tblCellMar>
            <w:top w:w="0" w:type="dxa"/>
            <w:left w:w="108" w:type="dxa"/>
            <w:bottom w:w="0" w:type="dxa"/>
            <w:right w:w="108" w:type="dxa"/>
          </w:tblCellMar>
        </w:tblPrEx>
        <w:trPr>
          <w:trHeight w:val="36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培训参加人（次）</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全年累计培训事业单位人事管理干部200人次  </w:t>
            </w:r>
          </w:p>
        </w:tc>
      </w:tr>
      <w:tr>
        <w:tblPrEx>
          <w:tblCellMar>
            <w:top w:w="0" w:type="dxa"/>
            <w:left w:w="108" w:type="dxa"/>
            <w:bottom w:w="0" w:type="dxa"/>
            <w:right w:w="108" w:type="dxa"/>
          </w:tblCellMar>
        </w:tblPrEx>
        <w:trPr>
          <w:trHeight w:val="36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培训天数（天）</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不少于5天  </w:t>
            </w:r>
          </w:p>
        </w:tc>
      </w:tr>
      <w:tr>
        <w:tblPrEx>
          <w:tblCellMar>
            <w:top w:w="0" w:type="dxa"/>
            <w:left w:w="108" w:type="dxa"/>
            <w:bottom w:w="0" w:type="dxa"/>
            <w:right w:w="108" w:type="dxa"/>
          </w:tblCellMar>
        </w:tblPrEx>
        <w:trPr>
          <w:trHeight w:val="36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开设课程数量（门）</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不少于3门  </w:t>
            </w:r>
          </w:p>
        </w:tc>
      </w:tr>
      <w:tr>
        <w:tblPrEx>
          <w:tblCellMar>
            <w:top w:w="0" w:type="dxa"/>
            <w:left w:w="108" w:type="dxa"/>
            <w:bottom w:w="0" w:type="dxa"/>
            <w:right w:w="108" w:type="dxa"/>
          </w:tblCellMar>
        </w:tblPrEx>
        <w:trPr>
          <w:trHeight w:val="36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培训覆盖率（%）</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不低于90%  </w:t>
            </w:r>
          </w:p>
        </w:tc>
      </w:tr>
      <w:tr>
        <w:tblPrEx>
          <w:tblCellMar>
            <w:top w:w="0" w:type="dxa"/>
            <w:left w:w="108" w:type="dxa"/>
            <w:bottom w:w="0" w:type="dxa"/>
            <w:right w:w="108" w:type="dxa"/>
          </w:tblCellMar>
        </w:tblPrEx>
        <w:trPr>
          <w:trHeight w:val="36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培训出勤率（%）</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不低于90%  </w:t>
            </w:r>
          </w:p>
        </w:tc>
      </w:tr>
      <w:tr>
        <w:tblPrEx>
          <w:tblCellMar>
            <w:top w:w="0" w:type="dxa"/>
            <w:left w:w="108" w:type="dxa"/>
            <w:bottom w:w="0" w:type="dxa"/>
            <w:right w:w="108" w:type="dxa"/>
          </w:tblCellMar>
        </w:tblPrEx>
        <w:trPr>
          <w:trHeight w:val="367" w:hRule="atLeast"/>
        </w:trPr>
        <w:tc>
          <w:tcPr>
            <w:tcW w:w="222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7" w:hRule="atLeast"/>
        </w:trPr>
        <w:tc>
          <w:tcPr>
            <w:tcW w:w="222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78" w:hRule="atLeast"/>
        </w:trPr>
        <w:tc>
          <w:tcPr>
            <w:tcW w:w="222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受训学员满意度</w:t>
            </w:r>
          </w:p>
        </w:tc>
        <w:tc>
          <w:tcPr>
            <w:tcW w:w="407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100%  </w:t>
            </w:r>
          </w:p>
        </w:tc>
      </w:tr>
    </w:tbl>
    <w:p/>
    <w:tbl>
      <w:tblPr>
        <w:tblStyle w:val="4"/>
        <w:tblW w:w="13980" w:type="dxa"/>
        <w:tblInd w:w="93" w:type="dxa"/>
        <w:tblLayout w:type="fixed"/>
        <w:tblCellMar>
          <w:top w:w="0" w:type="dxa"/>
          <w:left w:w="108" w:type="dxa"/>
          <w:bottom w:w="0" w:type="dxa"/>
          <w:right w:w="108" w:type="dxa"/>
        </w:tblCellMar>
      </w:tblPr>
      <w:tblGrid>
        <w:gridCol w:w="2196"/>
        <w:gridCol w:w="1858"/>
        <w:gridCol w:w="2165"/>
        <w:gridCol w:w="1811"/>
        <w:gridCol w:w="1926"/>
        <w:gridCol w:w="1382"/>
        <w:gridCol w:w="2642"/>
      </w:tblGrid>
      <w:tr>
        <w:tblPrEx>
          <w:tblCellMar>
            <w:top w:w="0" w:type="dxa"/>
            <w:left w:w="108" w:type="dxa"/>
            <w:bottom w:w="0" w:type="dxa"/>
            <w:right w:w="108" w:type="dxa"/>
          </w:tblCellMar>
        </w:tblPrEx>
        <w:trPr>
          <w:trHeight w:val="786" w:hRule="atLeast"/>
        </w:trPr>
        <w:tc>
          <w:tcPr>
            <w:tcW w:w="13980" w:type="dxa"/>
            <w:gridSpan w:val="7"/>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406" w:hRule="atLeast"/>
        </w:trPr>
        <w:tc>
          <w:tcPr>
            <w:tcW w:w="219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4"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9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试点长期护理保险工作经费和失能人员评定费</w:t>
            </w:r>
          </w:p>
        </w:tc>
      </w:tr>
      <w:tr>
        <w:tblPrEx>
          <w:tblCellMar>
            <w:top w:w="0" w:type="dxa"/>
            <w:left w:w="108" w:type="dxa"/>
            <w:bottom w:w="0" w:type="dxa"/>
            <w:right w:w="108" w:type="dxa"/>
          </w:tblCellMar>
        </w:tblPrEx>
        <w:trPr>
          <w:trHeight w:val="581" w:hRule="atLeast"/>
        </w:trPr>
        <w:tc>
          <w:tcPr>
            <w:tcW w:w="219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w:t>
            </w:r>
            <w:r>
              <w:rPr>
                <w:rFonts w:hint="eastAsia" w:ascii="宋体" w:hAnsi="宋体" w:cs="宋体"/>
                <w:kern w:val="0"/>
                <w:sz w:val="18"/>
                <w:szCs w:val="18"/>
              </w:rPr>
              <w:t>　</w:t>
            </w:r>
          </w:p>
        </w:tc>
        <w:tc>
          <w:tcPr>
            <w:tcW w:w="181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w:t>
            </w:r>
            <w:r>
              <w:rPr>
                <w:rFonts w:hint="eastAsia" w:ascii="宋体" w:hAnsi="宋体" w:cs="宋体"/>
                <w:kern w:val="0"/>
                <w:sz w:val="18"/>
                <w:szCs w:val="18"/>
              </w:rPr>
              <w:t>　</w:t>
            </w:r>
          </w:p>
        </w:tc>
        <w:tc>
          <w:tcPr>
            <w:tcW w:w="13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518" w:hRule="atLeast"/>
        </w:trPr>
        <w:tc>
          <w:tcPr>
            <w:tcW w:w="219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84" w:type="dxa"/>
            <w:gridSpan w:val="6"/>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为保证长期护理保险制度在我州落地见效，确保长期护理保险工作顺利开展。</w:t>
            </w:r>
          </w:p>
        </w:tc>
      </w:tr>
      <w:tr>
        <w:tblPrEx>
          <w:tblCellMar>
            <w:top w:w="0" w:type="dxa"/>
            <w:left w:w="108" w:type="dxa"/>
            <w:bottom w:w="0" w:type="dxa"/>
            <w:right w:w="108" w:type="dxa"/>
          </w:tblCellMar>
        </w:tblPrEx>
        <w:trPr>
          <w:trHeight w:val="406" w:hRule="atLeast"/>
        </w:trPr>
        <w:tc>
          <w:tcPr>
            <w:tcW w:w="219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406" w:hRule="atLeast"/>
        </w:trPr>
        <w:tc>
          <w:tcPr>
            <w:tcW w:w="2196"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06" w:hRule="atLeast"/>
        </w:trPr>
        <w:tc>
          <w:tcPr>
            <w:tcW w:w="21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06" w:hRule="atLeast"/>
        </w:trPr>
        <w:tc>
          <w:tcPr>
            <w:tcW w:w="21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8"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长期护理保险享受人数</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参加城镇职工基本医疗保险的重度失能人员2019年预计500人  </w:t>
            </w:r>
          </w:p>
        </w:tc>
      </w:tr>
      <w:tr>
        <w:tblPrEx>
          <w:tblCellMar>
            <w:top w:w="0" w:type="dxa"/>
            <w:left w:w="108" w:type="dxa"/>
            <w:bottom w:w="0" w:type="dxa"/>
            <w:right w:w="108" w:type="dxa"/>
          </w:tblCellMar>
        </w:tblPrEx>
        <w:trPr>
          <w:trHeight w:val="406" w:hRule="atLeast"/>
        </w:trPr>
        <w:tc>
          <w:tcPr>
            <w:tcW w:w="21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8" w:type="dxa"/>
            <w:vMerge w:val="continue"/>
            <w:tcBorders>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长期护理保险鉴定</w:t>
            </w:r>
            <w:r>
              <w:rPr>
                <w:rFonts w:hint="eastAsia" w:ascii="宋体" w:hAnsi="宋体" w:cs="宋体"/>
                <w:color w:val="000000"/>
                <w:kern w:val="0"/>
                <w:sz w:val="18"/>
                <w:szCs w:val="18"/>
                <w:highlight w:val="none"/>
                <w:lang w:eastAsia="zh-CN" w:bidi="ar"/>
              </w:rPr>
              <w:t>开展鉴定</w:t>
            </w:r>
            <w:r>
              <w:rPr>
                <w:rFonts w:hint="eastAsia" w:ascii="宋体" w:hAnsi="宋体" w:eastAsia="宋体" w:cs="宋体"/>
                <w:color w:val="000000"/>
                <w:kern w:val="0"/>
                <w:sz w:val="18"/>
                <w:szCs w:val="18"/>
                <w:highlight w:val="none"/>
                <w:lang w:bidi="ar"/>
              </w:rPr>
              <w:t>次数</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长期护理保险每月鉴定1次，全年共鉴定12次  </w:t>
            </w:r>
          </w:p>
        </w:tc>
      </w:tr>
      <w:tr>
        <w:tblPrEx>
          <w:tblCellMar>
            <w:top w:w="0" w:type="dxa"/>
            <w:left w:w="108" w:type="dxa"/>
            <w:bottom w:w="0" w:type="dxa"/>
            <w:right w:w="108" w:type="dxa"/>
          </w:tblCellMar>
        </w:tblPrEx>
        <w:trPr>
          <w:trHeight w:val="406" w:hRule="atLeast"/>
        </w:trPr>
        <w:tc>
          <w:tcPr>
            <w:tcW w:w="21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06" w:hRule="atLeast"/>
        </w:trPr>
        <w:tc>
          <w:tcPr>
            <w:tcW w:w="2196"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试点长期护理保险失能人员评定费</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评定费用40万元  </w:t>
            </w:r>
          </w:p>
        </w:tc>
      </w:tr>
      <w:tr>
        <w:tblPrEx>
          <w:tblCellMar>
            <w:top w:w="0" w:type="dxa"/>
            <w:left w:w="108" w:type="dxa"/>
            <w:bottom w:w="0" w:type="dxa"/>
            <w:right w:w="108" w:type="dxa"/>
          </w:tblCellMar>
        </w:tblPrEx>
        <w:trPr>
          <w:trHeight w:val="406" w:hRule="atLeast"/>
        </w:trPr>
        <w:tc>
          <w:tcPr>
            <w:tcW w:w="21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06" w:hRule="atLeast"/>
        </w:trPr>
        <w:tc>
          <w:tcPr>
            <w:tcW w:w="21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社会保障作用进一步发挥</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lang w:eastAsia="zh-CN"/>
              </w:rPr>
              <w:t>对失能人员托底效果不断发挥。</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06" w:hRule="atLeast"/>
        </w:trPr>
        <w:tc>
          <w:tcPr>
            <w:tcW w:w="21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重度失能人员需上门采集，每次参与评估的专家3-5人。</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预计全年评估人员500人次，500·4·200共计40万元 。</w:t>
            </w:r>
          </w:p>
        </w:tc>
      </w:tr>
      <w:tr>
        <w:tblPrEx>
          <w:tblCellMar>
            <w:top w:w="0" w:type="dxa"/>
            <w:left w:w="108" w:type="dxa"/>
            <w:bottom w:w="0" w:type="dxa"/>
            <w:right w:w="108" w:type="dxa"/>
          </w:tblCellMar>
        </w:tblPrEx>
        <w:trPr>
          <w:trHeight w:val="406" w:hRule="atLeast"/>
        </w:trPr>
        <w:tc>
          <w:tcPr>
            <w:tcW w:w="2196"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418" w:hRule="atLeast"/>
        </w:trPr>
        <w:tc>
          <w:tcPr>
            <w:tcW w:w="2196"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02"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享受长期护理保险的参保人对长期护理保险的满意度</w:t>
            </w:r>
          </w:p>
        </w:tc>
        <w:tc>
          <w:tcPr>
            <w:tcW w:w="4024"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95%  </w:t>
            </w:r>
          </w:p>
        </w:tc>
      </w:tr>
    </w:tbl>
    <w:p/>
    <w:tbl>
      <w:tblPr>
        <w:tblStyle w:val="4"/>
        <w:tblW w:w="14020" w:type="dxa"/>
        <w:tblInd w:w="93" w:type="dxa"/>
        <w:tblLayout w:type="fixed"/>
        <w:tblCellMar>
          <w:top w:w="0" w:type="dxa"/>
          <w:left w:w="108" w:type="dxa"/>
          <w:bottom w:w="0" w:type="dxa"/>
          <w:right w:w="108" w:type="dxa"/>
        </w:tblCellMar>
      </w:tblPr>
      <w:tblGrid>
        <w:gridCol w:w="2202"/>
        <w:gridCol w:w="1863"/>
        <w:gridCol w:w="2172"/>
        <w:gridCol w:w="1816"/>
        <w:gridCol w:w="1931"/>
        <w:gridCol w:w="250"/>
        <w:gridCol w:w="1135"/>
        <w:gridCol w:w="2651"/>
      </w:tblGrid>
      <w:tr>
        <w:tblPrEx>
          <w:tblCellMar>
            <w:top w:w="0" w:type="dxa"/>
            <w:left w:w="108" w:type="dxa"/>
            <w:bottom w:w="0" w:type="dxa"/>
            <w:right w:w="108" w:type="dxa"/>
          </w:tblCellMar>
        </w:tblPrEx>
        <w:trPr>
          <w:trHeight w:val="743" w:hRule="atLeast"/>
        </w:trPr>
        <w:tc>
          <w:tcPr>
            <w:tcW w:w="14020" w:type="dxa"/>
            <w:gridSpan w:val="8"/>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83" w:hRule="atLeast"/>
        </w:trPr>
        <w:tc>
          <w:tcPr>
            <w:tcW w:w="220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5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93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四级联动的视频会议系统使用及日常网络维护费</w:t>
            </w:r>
          </w:p>
        </w:tc>
      </w:tr>
      <w:tr>
        <w:tblPrEx>
          <w:tblCellMar>
            <w:top w:w="0" w:type="dxa"/>
            <w:left w:w="108" w:type="dxa"/>
            <w:bottom w:w="0" w:type="dxa"/>
            <w:right w:w="108" w:type="dxa"/>
          </w:tblCellMar>
        </w:tblPrEx>
        <w:trPr>
          <w:trHeight w:val="548" w:hRule="atLeast"/>
        </w:trPr>
        <w:tc>
          <w:tcPr>
            <w:tcW w:w="220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6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7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12</w:t>
            </w:r>
            <w:r>
              <w:rPr>
                <w:rFonts w:hint="eastAsia" w:ascii="宋体" w:hAnsi="宋体" w:cs="宋体"/>
                <w:kern w:val="0"/>
                <w:sz w:val="18"/>
                <w:szCs w:val="18"/>
              </w:rPr>
              <w:t>　</w:t>
            </w:r>
          </w:p>
        </w:tc>
        <w:tc>
          <w:tcPr>
            <w:tcW w:w="181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3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12</w:t>
            </w:r>
            <w:r>
              <w:rPr>
                <w:rFonts w:hint="eastAsia" w:ascii="宋体" w:hAnsi="宋体" w:cs="宋体"/>
                <w:kern w:val="0"/>
                <w:sz w:val="18"/>
                <w:szCs w:val="18"/>
              </w:rPr>
              <w:t>　</w:t>
            </w:r>
          </w:p>
        </w:tc>
        <w:tc>
          <w:tcPr>
            <w:tcW w:w="1385"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0</w:t>
            </w:r>
          </w:p>
        </w:tc>
      </w:tr>
      <w:tr>
        <w:tblPrEx>
          <w:tblCellMar>
            <w:top w:w="0" w:type="dxa"/>
            <w:left w:w="108" w:type="dxa"/>
            <w:bottom w:w="0" w:type="dxa"/>
            <w:right w:w="108" w:type="dxa"/>
          </w:tblCellMar>
        </w:tblPrEx>
        <w:trPr>
          <w:trHeight w:val="489" w:hRule="atLeast"/>
        </w:trPr>
        <w:tc>
          <w:tcPr>
            <w:tcW w:w="220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818"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提高信息传递的实效。同时，对使用十年的大楼内部办公网络设备进行必要的维修、更新换代。</w:t>
            </w:r>
          </w:p>
        </w:tc>
      </w:tr>
      <w:tr>
        <w:tblPrEx>
          <w:tblCellMar>
            <w:top w:w="0" w:type="dxa"/>
            <w:left w:w="108" w:type="dxa"/>
            <w:bottom w:w="0" w:type="dxa"/>
            <w:right w:w="108" w:type="dxa"/>
          </w:tblCellMar>
        </w:tblPrEx>
        <w:trPr>
          <w:trHeight w:val="383" w:hRule="atLeast"/>
        </w:trPr>
        <w:tc>
          <w:tcPr>
            <w:tcW w:w="220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63"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83" w:hRule="atLeast"/>
        </w:trPr>
        <w:tc>
          <w:tcPr>
            <w:tcW w:w="220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6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3" w:hRule="atLeast"/>
        </w:trPr>
        <w:tc>
          <w:tcPr>
            <w:tcW w:w="220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3" w:hRule="atLeast"/>
        </w:trPr>
        <w:tc>
          <w:tcPr>
            <w:tcW w:w="220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硬件维护数量</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12  </w:t>
            </w:r>
          </w:p>
        </w:tc>
      </w:tr>
      <w:tr>
        <w:tblPrEx>
          <w:tblCellMar>
            <w:top w:w="0" w:type="dxa"/>
            <w:left w:w="108" w:type="dxa"/>
            <w:bottom w:w="0" w:type="dxa"/>
            <w:right w:w="108" w:type="dxa"/>
          </w:tblCellMar>
        </w:tblPrEx>
        <w:trPr>
          <w:trHeight w:val="383" w:hRule="atLeast"/>
        </w:trPr>
        <w:tc>
          <w:tcPr>
            <w:tcW w:w="220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3"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软件维护数量</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2  </w:t>
            </w:r>
          </w:p>
        </w:tc>
      </w:tr>
      <w:tr>
        <w:tblPrEx>
          <w:tblCellMar>
            <w:top w:w="0" w:type="dxa"/>
            <w:left w:w="108" w:type="dxa"/>
            <w:bottom w:w="0" w:type="dxa"/>
            <w:right w:w="108" w:type="dxa"/>
          </w:tblCellMar>
        </w:tblPrEx>
        <w:trPr>
          <w:trHeight w:val="383" w:hRule="atLeast"/>
        </w:trPr>
        <w:tc>
          <w:tcPr>
            <w:tcW w:w="220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3"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平均日维护次数</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0.03  </w:t>
            </w:r>
          </w:p>
        </w:tc>
      </w:tr>
      <w:tr>
        <w:tblPrEx>
          <w:tblCellMar>
            <w:top w:w="0" w:type="dxa"/>
            <w:left w:w="108" w:type="dxa"/>
            <w:bottom w:w="0" w:type="dxa"/>
            <w:right w:w="108" w:type="dxa"/>
          </w:tblCellMar>
        </w:tblPrEx>
        <w:trPr>
          <w:trHeight w:val="383" w:hRule="atLeast"/>
        </w:trPr>
        <w:tc>
          <w:tcPr>
            <w:tcW w:w="220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系统故障率</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2%  </w:t>
            </w:r>
          </w:p>
        </w:tc>
      </w:tr>
      <w:tr>
        <w:tblPrEx>
          <w:tblCellMar>
            <w:top w:w="0" w:type="dxa"/>
            <w:left w:w="108" w:type="dxa"/>
            <w:bottom w:w="0" w:type="dxa"/>
            <w:right w:w="108" w:type="dxa"/>
          </w:tblCellMar>
        </w:tblPrEx>
        <w:trPr>
          <w:trHeight w:val="383" w:hRule="atLeast"/>
        </w:trPr>
        <w:tc>
          <w:tcPr>
            <w:tcW w:w="220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3" w:hRule="atLeast"/>
        </w:trPr>
        <w:tc>
          <w:tcPr>
            <w:tcW w:w="220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63"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故障降低率</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5%  </w:t>
            </w:r>
          </w:p>
        </w:tc>
      </w:tr>
      <w:tr>
        <w:tblPrEx>
          <w:tblCellMar>
            <w:top w:w="0" w:type="dxa"/>
            <w:left w:w="108" w:type="dxa"/>
            <w:bottom w:w="0" w:type="dxa"/>
            <w:right w:w="108" w:type="dxa"/>
          </w:tblCellMar>
        </w:tblPrEx>
        <w:trPr>
          <w:trHeight w:val="383" w:hRule="atLeast"/>
        </w:trPr>
        <w:tc>
          <w:tcPr>
            <w:tcW w:w="220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非正常停机率</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 xml:space="preserve">10%  </w:t>
            </w:r>
          </w:p>
        </w:tc>
      </w:tr>
      <w:tr>
        <w:tblPrEx>
          <w:tblCellMar>
            <w:top w:w="0" w:type="dxa"/>
            <w:left w:w="108" w:type="dxa"/>
            <w:bottom w:w="0" w:type="dxa"/>
            <w:right w:w="108" w:type="dxa"/>
          </w:tblCellMar>
        </w:tblPrEx>
        <w:trPr>
          <w:trHeight w:val="383" w:hRule="atLeast"/>
        </w:trPr>
        <w:tc>
          <w:tcPr>
            <w:tcW w:w="220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3"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数据共享率</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10%  </w:t>
            </w:r>
          </w:p>
        </w:tc>
      </w:tr>
      <w:tr>
        <w:tblPrEx>
          <w:tblCellMar>
            <w:top w:w="0" w:type="dxa"/>
            <w:left w:w="108" w:type="dxa"/>
            <w:bottom w:w="0" w:type="dxa"/>
            <w:right w:w="108" w:type="dxa"/>
          </w:tblCellMar>
        </w:tblPrEx>
        <w:trPr>
          <w:trHeight w:val="383" w:hRule="atLeast"/>
        </w:trPr>
        <w:tc>
          <w:tcPr>
            <w:tcW w:w="220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3" w:hRule="atLeast"/>
        </w:trPr>
        <w:tc>
          <w:tcPr>
            <w:tcW w:w="220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83" w:hRule="atLeast"/>
        </w:trPr>
        <w:tc>
          <w:tcPr>
            <w:tcW w:w="220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6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95" w:hRule="atLeast"/>
        </w:trPr>
        <w:tc>
          <w:tcPr>
            <w:tcW w:w="220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63"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69"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3786"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bl>
    <w:tbl>
      <w:tblPr>
        <w:tblStyle w:val="4"/>
        <w:tblpPr w:leftFromText="180" w:rightFromText="180" w:vertAnchor="text" w:horzAnchor="page" w:tblpX="1575" w:tblpY="120"/>
        <w:tblOverlap w:val="never"/>
        <w:tblW w:w="14160" w:type="dxa"/>
        <w:tblInd w:w="0" w:type="dxa"/>
        <w:tblLayout w:type="fixed"/>
        <w:tblCellMar>
          <w:top w:w="0" w:type="dxa"/>
          <w:left w:w="108" w:type="dxa"/>
          <w:bottom w:w="0" w:type="dxa"/>
          <w:right w:w="108" w:type="dxa"/>
        </w:tblCellMar>
      </w:tblPr>
      <w:tblGrid>
        <w:gridCol w:w="2225"/>
        <w:gridCol w:w="1882"/>
        <w:gridCol w:w="2193"/>
        <w:gridCol w:w="1833"/>
        <w:gridCol w:w="1874"/>
        <w:gridCol w:w="1477"/>
        <w:gridCol w:w="2676"/>
      </w:tblGrid>
      <w:tr>
        <w:tblPrEx>
          <w:tblCellMar>
            <w:top w:w="0" w:type="dxa"/>
            <w:left w:w="108" w:type="dxa"/>
            <w:bottom w:w="0" w:type="dxa"/>
            <w:right w:w="108" w:type="dxa"/>
          </w:tblCellMar>
        </w:tblPrEx>
        <w:trPr>
          <w:trHeight w:val="686" w:hRule="atLeast"/>
        </w:trPr>
        <w:tc>
          <w:tcPr>
            <w:tcW w:w="14160" w:type="dxa"/>
            <w:gridSpan w:val="7"/>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354" w:hRule="atLeast"/>
        </w:trPr>
        <w:tc>
          <w:tcPr>
            <w:tcW w:w="222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90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lang w:eastAsia="zh-CN"/>
              </w:rPr>
              <w:t>昌吉回族自治州人力资源和社会保障局</w:t>
            </w:r>
          </w:p>
        </w:tc>
        <w:tc>
          <w:tcPr>
            <w:tcW w:w="187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15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引智工作经费</w:t>
            </w:r>
          </w:p>
        </w:tc>
      </w:tr>
      <w:tr>
        <w:tblPrEx>
          <w:tblCellMar>
            <w:top w:w="0" w:type="dxa"/>
            <w:left w:w="108" w:type="dxa"/>
            <w:bottom w:w="0" w:type="dxa"/>
            <w:right w:w="108" w:type="dxa"/>
          </w:tblCellMar>
        </w:tblPrEx>
        <w:trPr>
          <w:trHeight w:val="354" w:hRule="atLeast"/>
        </w:trPr>
        <w:tc>
          <w:tcPr>
            <w:tcW w:w="22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8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9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w:t>
            </w:r>
            <w:r>
              <w:rPr>
                <w:rFonts w:hint="eastAsia" w:ascii="宋体" w:hAnsi="宋体" w:cs="宋体"/>
                <w:kern w:val="0"/>
                <w:sz w:val="18"/>
                <w:szCs w:val="18"/>
              </w:rPr>
              <w:t>　</w:t>
            </w:r>
          </w:p>
        </w:tc>
        <w:tc>
          <w:tcPr>
            <w:tcW w:w="183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87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10</w:t>
            </w:r>
          </w:p>
        </w:tc>
        <w:tc>
          <w:tcPr>
            <w:tcW w:w="147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697" w:hRule="atLeast"/>
        </w:trPr>
        <w:tc>
          <w:tcPr>
            <w:tcW w:w="222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935" w:type="dxa"/>
            <w:gridSpan w:val="6"/>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eastAsia="宋体" w:cs="宋体"/>
                <w:color w:val="000000"/>
                <w:kern w:val="0"/>
                <w:sz w:val="18"/>
                <w:szCs w:val="18"/>
                <w:highlight w:val="none"/>
                <w:lang w:bidi="ar"/>
              </w:rPr>
              <w:t>组织州内各企事业单位聘请国（境）外技术、管理人才，实施各类引进国外智力项目，引进外国专家20人次。办理外国人来华工作许可事项，承诺时限内办结率为100%</w:t>
            </w:r>
          </w:p>
        </w:tc>
      </w:tr>
      <w:tr>
        <w:tblPrEx>
          <w:tblCellMar>
            <w:top w:w="0" w:type="dxa"/>
            <w:left w:w="108" w:type="dxa"/>
            <w:bottom w:w="0" w:type="dxa"/>
            <w:right w:w="108" w:type="dxa"/>
          </w:tblCellMar>
        </w:tblPrEx>
        <w:trPr>
          <w:trHeight w:val="354" w:hRule="atLeast"/>
        </w:trPr>
        <w:tc>
          <w:tcPr>
            <w:tcW w:w="222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82"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354" w:hRule="atLeast"/>
        </w:trPr>
        <w:tc>
          <w:tcPr>
            <w:tcW w:w="222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697" w:hRule="atLeast"/>
        </w:trPr>
        <w:tc>
          <w:tcPr>
            <w:tcW w:w="222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许可事项办理时限</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外国人来华工作许可事项办理时限承诺为15个工作日，特殊情况可延长10个工作日。  </w:t>
            </w:r>
          </w:p>
        </w:tc>
      </w:tr>
      <w:tr>
        <w:tblPrEx>
          <w:tblCellMar>
            <w:top w:w="0" w:type="dxa"/>
            <w:left w:w="108" w:type="dxa"/>
            <w:bottom w:w="0" w:type="dxa"/>
            <w:right w:w="108" w:type="dxa"/>
          </w:tblCellMar>
        </w:tblPrEx>
        <w:trPr>
          <w:trHeight w:val="354" w:hRule="atLeast"/>
        </w:trPr>
        <w:tc>
          <w:tcPr>
            <w:tcW w:w="222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外国人来华工作许可事项办结率</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承诺时限内办结率为100%。  </w:t>
            </w:r>
          </w:p>
        </w:tc>
      </w:tr>
      <w:tr>
        <w:tblPrEx>
          <w:tblCellMar>
            <w:top w:w="0" w:type="dxa"/>
            <w:left w:w="108" w:type="dxa"/>
            <w:bottom w:w="0" w:type="dxa"/>
            <w:right w:w="108" w:type="dxa"/>
          </w:tblCellMar>
        </w:tblPrEx>
        <w:trPr>
          <w:trHeight w:val="697" w:hRule="atLeast"/>
        </w:trPr>
        <w:tc>
          <w:tcPr>
            <w:tcW w:w="222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引进境外人才重点外国专家项目执行率</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引进境外人才重点外国专家项目执行率达到80%以上。</w:t>
            </w:r>
          </w:p>
        </w:tc>
      </w:tr>
      <w:tr>
        <w:tblPrEx>
          <w:tblCellMar>
            <w:top w:w="0" w:type="dxa"/>
            <w:left w:w="108" w:type="dxa"/>
            <w:bottom w:w="0" w:type="dxa"/>
            <w:right w:w="108" w:type="dxa"/>
          </w:tblCellMar>
        </w:tblPrEx>
        <w:trPr>
          <w:trHeight w:val="354" w:hRule="atLeast"/>
        </w:trPr>
        <w:tc>
          <w:tcPr>
            <w:tcW w:w="222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办理外国人来华工作许可事项</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hint="eastAsia" w:ascii="宋体" w:hAnsi="宋体" w:cs="宋体"/>
                <w:kern w:val="0"/>
                <w:sz w:val="18"/>
                <w:szCs w:val="18"/>
              </w:rPr>
            </w:pPr>
            <w:r>
              <w:rPr>
                <w:rFonts w:hint="eastAsia" w:ascii="宋体" w:hAnsi="宋体" w:eastAsia="宋体" w:cs="宋体"/>
                <w:color w:val="000000"/>
                <w:kern w:val="0"/>
                <w:sz w:val="18"/>
                <w:szCs w:val="18"/>
                <w:highlight w:val="none"/>
                <w:lang w:bidi="ar"/>
              </w:rPr>
              <w:t>根据州内企事业单位申报数确定办理数。</w:t>
            </w:r>
          </w:p>
        </w:tc>
      </w:tr>
      <w:tr>
        <w:tblPrEx>
          <w:tblCellMar>
            <w:top w:w="0" w:type="dxa"/>
            <w:left w:w="108" w:type="dxa"/>
            <w:bottom w:w="0" w:type="dxa"/>
            <w:right w:w="108" w:type="dxa"/>
          </w:tblCellMar>
        </w:tblPrEx>
        <w:trPr>
          <w:trHeight w:val="354" w:hRule="atLeast"/>
        </w:trPr>
        <w:tc>
          <w:tcPr>
            <w:tcW w:w="222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引进外国专家数(人)</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20人</w:t>
            </w:r>
          </w:p>
        </w:tc>
      </w:tr>
      <w:tr>
        <w:tblPrEx>
          <w:tblCellMar>
            <w:top w:w="0" w:type="dxa"/>
            <w:left w:w="108" w:type="dxa"/>
            <w:bottom w:w="0" w:type="dxa"/>
            <w:right w:w="108" w:type="dxa"/>
          </w:tblCellMar>
        </w:tblPrEx>
        <w:trPr>
          <w:trHeight w:val="354" w:hRule="atLeast"/>
        </w:trPr>
        <w:tc>
          <w:tcPr>
            <w:tcW w:w="222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54" w:hRule="atLeast"/>
        </w:trPr>
        <w:tc>
          <w:tcPr>
            <w:tcW w:w="222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54" w:hRule="atLeast"/>
        </w:trPr>
        <w:tc>
          <w:tcPr>
            <w:tcW w:w="222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697" w:hRule="atLeast"/>
        </w:trPr>
        <w:tc>
          <w:tcPr>
            <w:tcW w:w="222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人才创造科研成果数量</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 xml:space="preserve">引进外国专家为企业解决技术难题若干、研发新产品若干、引进新品种若干。  </w:t>
            </w:r>
          </w:p>
        </w:tc>
      </w:tr>
      <w:tr>
        <w:tblPrEx>
          <w:tblCellMar>
            <w:top w:w="0" w:type="dxa"/>
            <w:left w:w="108" w:type="dxa"/>
            <w:bottom w:w="0" w:type="dxa"/>
            <w:right w:w="108" w:type="dxa"/>
          </w:tblCellMar>
        </w:tblPrEx>
        <w:trPr>
          <w:trHeight w:val="354" w:hRule="atLeast"/>
        </w:trPr>
        <w:tc>
          <w:tcPr>
            <w:tcW w:w="222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w:t>
            </w:r>
          </w:p>
        </w:tc>
      </w:tr>
      <w:tr>
        <w:tblPrEx>
          <w:tblCellMar>
            <w:top w:w="0" w:type="dxa"/>
            <w:left w:w="108" w:type="dxa"/>
            <w:bottom w:w="0" w:type="dxa"/>
            <w:right w:w="108" w:type="dxa"/>
          </w:tblCellMar>
        </w:tblPrEx>
        <w:trPr>
          <w:trHeight w:val="365" w:hRule="atLeast"/>
        </w:trPr>
        <w:tc>
          <w:tcPr>
            <w:tcW w:w="222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82"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900"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引智项目单位满意度</w:t>
            </w:r>
          </w:p>
        </w:tc>
        <w:tc>
          <w:tcPr>
            <w:tcW w:w="4153" w:type="dxa"/>
            <w:gridSpan w:val="2"/>
            <w:tcBorders>
              <w:top w:val="single" w:color="000000" w:sz="4" w:space="0"/>
              <w:left w:val="nil"/>
              <w:bottom w:val="single" w:color="000000" w:sz="4" w:space="0"/>
              <w:right w:val="single" w:color="000000" w:sz="4" w:space="0"/>
            </w:tcBorders>
            <w:shd w:val="clear" w:color="auto" w:fill="auto"/>
            <w:vAlign w:val="center"/>
          </w:tcPr>
          <w:p>
            <w:pPr>
              <w:widowControl/>
              <w:jc w:val="left"/>
              <w:textAlignment w:val="center"/>
              <w:rPr>
                <w:rFonts w:ascii="宋体" w:hAnsi="宋体" w:cs="宋体"/>
                <w:kern w:val="0"/>
                <w:sz w:val="18"/>
                <w:szCs w:val="18"/>
              </w:rPr>
            </w:pPr>
            <w:r>
              <w:rPr>
                <w:rFonts w:hint="eastAsia" w:ascii="宋体" w:hAnsi="宋体" w:eastAsia="宋体" w:cs="宋体"/>
                <w:color w:val="000000"/>
                <w:kern w:val="0"/>
                <w:sz w:val="18"/>
                <w:szCs w:val="18"/>
                <w:highlight w:val="none"/>
                <w:lang w:bidi="ar"/>
              </w:rPr>
              <w:t>96%以上</w:t>
            </w:r>
          </w:p>
        </w:tc>
      </w:tr>
    </w:tbl>
    <w:p/>
    <w:p>
      <w:pPr>
        <w:widowControl/>
        <w:spacing w:line="600" w:lineRule="exact"/>
        <w:rPr>
          <w:highlight w:val="none"/>
        </w:rPr>
        <w:sectPr>
          <w:pgSz w:w="16838" w:h="11906" w:orient="landscape"/>
          <w:pgMar w:top="1800" w:right="1440" w:bottom="1800" w:left="1440" w:header="851" w:footer="992" w:gutter="0"/>
          <w:cols w:space="720"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（五）其他需说明的事项</w:t>
      </w:r>
    </w:p>
    <w:p>
      <w:pPr>
        <w:widowControl/>
        <w:spacing w:line="560" w:lineRule="exact"/>
        <w:ind w:firstLine="640" w:firstLineChars="200"/>
        <w:jc w:val="left"/>
        <w:rPr>
          <w:rFonts w:ascii="仿宋_GB2312" w:hAnsi="宋体" w:eastAsia="仿宋_GB2312" w:cs="宋体"/>
          <w:b w:val="0"/>
          <w:bCs w:val="0"/>
          <w:kern w:val="0"/>
          <w:sz w:val="32"/>
          <w:szCs w:val="32"/>
          <w:highlight w:val="none"/>
        </w:rPr>
      </w:pPr>
      <w:r>
        <w:rPr>
          <w:rFonts w:hint="eastAsia" w:ascii="仿宋_GB2312" w:hAnsi="宋体" w:eastAsia="仿宋_GB2312" w:cs="宋体"/>
          <w:b w:val="0"/>
          <w:bCs w:val="0"/>
          <w:kern w:val="0"/>
          <w:sz w:val="32"/>
          <w:szCs w:val="32"/>
          <w:highlight w:val="none"/>
        </w:rPr>
        <w:t>无</w:t>
      </w:r>
      <w:r>
        <w:rPr>
          <w:rFonts w:hint="eastAsia" w:ascii="楷体_GB2312" w:hAnsi="宋体" w:eastAsia="楷体_GB2312" w:cs="宋体"/>
          <w:b w:val="0"/>
          <w:bCs w:val="0"/>
          <w:kern w:val="0"/>
          <w:sz w:val="32"/>
          <w:szCs w:val="32"/>
          <w:highlight w:val="none"/>
        </w:rPr>
        <w:t>其他需说明的事项</w:t>
      </w:r>
    </w:p>
    <w:p>
      <w:pPr>
        <w:widowControl/>
        <w:spacing w:line="560" w:lineRule="exact"/>
        <w:jc w:val="left"/>
        <w:rPr>
          <w:rFonts w:ascii="仿宋_GB2312" w:hAnsi="宋体" w:eastAsia="仿宋_GB2312" w:cs="宋体"/>
          <w:kern w:val="0"/>
          <w:sz w:val="32"/>
          <w:szCs w:val="32"/>
          <w:highlight w:val="none"/>
        </w:rPr>
      </w:pPr>
    </w:p>
    <w:p>
      <w:pPr>
        <w:widowControl/>
        <w:spacing w:before="156" w:beforeLines="50"/>
        <w:jc w:val="center"/>
        <w:outlineLvl w:val="1"/>
        <w:rPr>
          <w:rFonts w:ascii="黑体" w:hAnsi="黑体" w:eastAsia="黑体"/>
          <w:kern w:val="0"/>
          <w:sz w:val="32"/>
          <w:szCs w:val="32"/>
          <w:highlight w:val="none"/>
        </w:rPr>
      </w:pPr>
      <w:r>
        <w:rPr>
          <w:rFonts w:hint="eastAsia" w:ascii="黑体" w:hAnsi="黑体" w:eastAsia="黑体"/>
          <w:kern w:val="0"/>
          <w:sz w:val="32"/>
          <w:szCs w:val="32"/>
          <w:highlight w:val="none"/>
        </w:rPr>
        <w:t>第四部分  名词解释</w:t>
      </w:r>
    </w:p>
    <w:p>
      <w:pPr>
        <w:widowControl/>
        <w:spacing w:line="560" w:lineRule="exact"/>
        <w:ind w:firstLine="640"/>
        <w:jc w:val="left"/>
        <w:rPr>
          <w:rFonts w:ascii="黑体" w:hAnsi="宋体" w:eastAsia="黑体" w:cs="宋体"/>
          <w:kern w:val="0"/>
          <w:sz w:val="32"/>
          <w:szCs w:val="32"/>
          <w:highlight w:val="none"/>
        </w:rPr>
      </w:pPr>
      <w:r>
        <w:rPr>
          <w:rFonts w:hint="eastAsia" w:ascii="黑体" w:hAnsi="宋体" w:eastAsia="黑体" w:cs="宋体"/>
          <w:kern w:val="0"/>
          <w:sz w:val="32"/>
          <w:szCs w:val="32"/>
          <w:highlight w:val="none"/>
        </w:rPr>
        <w:t>名词解释：</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一、财政拨款：</w:t>
      </w:r>
      <w:r>
        <w:rPr>
          <w:rFonts w:hint="eastAsia" w:ascii="仿宋_GB2312" w:eastAsia="仿宋_GB2312"/>
          <w:sz w:val="32"/>
          <w:szCs w:val="32"/>
          <w:highlight w:val="none"/>
        </w:rPr>
        <w:t>指由一般公共预算、政府性基金预算安排的财政拨款数。</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二、一般公共预算：</w:t>
      </w:r>
      <w:r>
        <w:rPr>
          <w:rFonts w:hint="eastAsia" w:ascii="仿宋_GB2312" w:eastAsia="仿宋_GB2312"/>
          <w:sz w:val="32"/>
          <w:szCs w:val="32"/>
          <w:highlight w:val="none"/>
        </w:rPr>
        <w:t>包括公共财政拨款（补助）资金、专项收入。</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三、财政专户管理资金：</w:t>
      </w:r>
      <w:r>
        <w:rPr>
          <w:rFonts w:hint="eastAsia" w:ascii="仿宋_GB2312" w:eastAsia="仿宋_GB2312"/>
          <w:sz w:val="32"/>
          <w:szCs w:val="32"/>
          <w:highlight w:val="none"/>
        </w:rPr>
        <w:t>包括专户管理行政事业性收费（主要是教育收费）、其他非税收入。</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四、其他资金：</w:t>
      </w:r>
      <w:r>
        <w:rPr>
          <w:rFonts w:hint="eastAsia" w:ascii="仿宋_GB2312" w:eastAsia="仿宋_GB2312"/>
          <w:sz w:val="32"/>
          <w:szCs w:val="32"/>
          <w:highlight w:val="none"/>
        </w:rPr>
        <w:t>包括事业收入、经营收入、其他收入等。</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五、基本支出：</w:t>
      </w:r>
      <w:r>
        <w:rPr>
          <w:rFonts w:hint="eastAsia" w:ascii="仿宋_GB2312" w:eastAsia="仿宋_GB2312"/>
          <w:sz w:val="32"/>
          <w:szCs w:val="32"/>
          <w:highlight w:val="none"/>
        </w:rPr>
        <w:t>包括人员经费、商品和服务支出（定额）。其中，人员经费包括工资福利支出、对个人和家庭的补助。</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六、项目支出：</w:t>
      </w:r>
      <w:r>
        <w:rPr>
          <w:rFonts w:hint="eastAsia" w:ascii="仿宋_GB2312" w:eastAsia="仿宋_GB2312"/>
          <w:sz w:val="32"/>
          <w:szCs w:val="32"/>
          <w:highlight w:val="none"/>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七、“三公”经费：</w:t>
      </w:r>
      <w:r>
        <w:rPr>
          <w:rFonts w:hint="eastAsia" w:ascii="仿宋_GB2312" w:eastAsia="仿宋_GB2312"/>
          <w:sz w:val="32"/>
          <w:szCs w:val="32"/>
          <w:highlight w:val="none"/>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highlight w:val="none"/>
        </w:rPr>
      </w:pPr>
      <w:r>
        <w:rPr>
          <w:rFonts w:hint="eastAsia" w:ascii="黑体" w:hAnsi="黑体" w:eastAsia="黑体"/>
          <w:sz w:val="32"/>
          <w:szCs w:val="32"/>
          <w:highlight w:val="none"/>
        </w:rPr>
        <w:t>八、机关运行经费：</w:t>
      </w:r>
      <w:r>
        <w:rPr>
          <w:rFonts w:hint="eastAsia" w:ascii="仿宋_GB2312" w:eastAsia="仿宋_GB2312"/>
          <w:sz w:val="32"/>
          <w:szCs w:val="32"/>
          <w:highlight w:val="none"/>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jc w:val="left"/>
        <w:rPr>
          <w:rFonts w:ascii="仿宋_GB2312" w:hAnsi="宋体" w:eastAsia="仿宋_GB2312" w:cs="宋体"/>
          <w:kern w:val="0"/>
          <w:sz w:val="32"/>
          <w:szCs w:val="32"/>
          <w:highlight w:val="none"/>
        </w:rPr>
      </w:pPr>
    </w:p>
    <w:p>
      <w:pPr>
        <w:widowControl/>
        <w:spacing w:line="560" w:lineRule="exact"/>
        <w:ind w:left="5440" w:hanging="5440" w:hangingChars="1700"/>
        <w:jc w:val="left"/>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 xml:space="preserve">                 昌吉回族自治州人力资源和社会</w:t>
      </w:r>
      <w:r>
        <w:rPr>
          <w:rFonts w:hint="eastAsia" w:ascii="仿宋_GB2312" w:hAnsi="宋体" w:eastAsia="仿宋_GB2312" w:cs="宋体"/>
          <w:kern w:val="0"/>
          <w:sz w:val="32"/>
          <w:szCs w:val="32"/>
          <w:highlight w:val="none"/>
          <w:lang w:eastAsia="zh-CN"/>
        </w:rPr>
        <w:t>保障局</w:t>
      </w:r>
    </w:p>
    <w:p>
      <w:pPr>
        <w:widowControl/>
        <w:spacing w:line="560" w:lineRule="exact"/>
        <w:ind w:left="5429" w:leftChars="2128" w:hanging="960" w:hangingChars="3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2019</w:t>
      </w:r>
      <w:r>
        <w:rPr>
          <w:rFonts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rPr>
        <w:t>1</w:t>
      </w:r>
      <w:r>
        <w:rPr>
          <w:rFonts w:ascii="仿宋_GB2312" w:hAnsi="宋体" w:eastAsia="仿宋_GB2312" w:cs="宋体"/>
          <w:kern w:val="0"/>
          <w:sz w:val="32"/>
          <w:szCs w:val="32"/>
          <w:highlight w:val="none"/>
        </w:rPr>
        <w:t>月</w:t>
      </w:r>
      <w:r>
        <w:rPr>
          <w:rFonts w:hint="eastAsia" w:ascii="仿宋_GB2312" w:hAnsi="宋体" w:eastAsia="仿宋_GB2312" w:cs="宋体"/>
          <w:kern w:val="0"/>
          <w:sz w:val="32"/>
          <w:szCs w:val="32"/>
          <w:highlight w:val="none"/>
        </w:rPr>
        <w:t>31</w:t>
      </w:r>
      <w:r>
        <w:rPr>
          <w:rFonts w:ascii="仿宋_GB2312" w:hAnsi="宋体" w:eastAsia="仿宋_GB2312" w:cs="宋体"/>
          <w:kern w:val="0"/>
          <w:sz w:val="32"/>
          <w:szCs w:val="32"/>
          <w:highlight w:val="none"/>
        </w:rPr>
        <w:t>日</w:t>
      </w:r>
    </w:p>
    <w:p>
      <w:pPr>
        <w:rPr>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44</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FC562"/>
    <w:multiLevelType w:val="singleLevel"/>
    <w:tmpl w:val="0A6FC562"/>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NTdkZmUxMjVlOTRkZTdmOTI5NDJiMjc2MGY0NDgifQ=="/>
  </w:docVars>
  <w:rsids>
    <w:rsidRoot w:val="00886A0D"/>
    <w:rsid w:val="00121203"/>
    <w:rsid w:val="00691977"/>
    <w:rsid w:val="007A60D8"/>
    <w:rsid w:val="00886A0D"/>
    <w:rsid w:val="0091458B"/>
    <w:rsid w:val="02181BF7"/>
    <w:rsid w:val="02836A36"/>
    <w:rsid w:val="028373D4"/>
    <w:rsid w:val="04256E35"/>
    <w:rsid w:val="04D303DE"/>
    <w:rsid w:val="053242C5"/>
    <w:rsid w:val="062C5CA4"/>
    <w:rsid w:val="08120D3F"/>
    <w:rsid w:val="08480C10"/>
    <w:rsid w:val="0B641A34"/>
    <w:rsid w:val="0B681999"/>
    <w:rsid w:val="0C5A700E"/>
    <w:rsid w:val="0D4772B7"/>
    <w:rsid w:val="0DF852BC"/>
    <w:rsid w:val="0F887E94"/>
    <w:rsid w:val="0F992D81"/>
    <w:rsid w:val="0FCF415A"/>
    <w:rsid w:val="1079428B"/>
    <w:rsid w:val="10C70D45"/>
    <w:rsid w:val="14111AE4"/>
    <w:rsid w:val="146F33FB"/>
    <w:rsid w:val="15E60AC2"/>
    <w:rsid w:val="18297348"/>
    <w:rsid w:val="1B2C30CE"/>
    <w:rsid w:val="1BC4452B"/>
    <w:rsid w:val="1C0E6FBA"/>
    <w:rsid w:val="1C2549FC"/>
    <w:rsid w:val="1C4A52C7"/>
    <w:rsid w:val="1CB51FFE"/>
    <w:rsid w:val="1DF355BD"/>
    <w:rsid w:val="1EC82CD8"/>
    <w:rsid w:val="211A5EEF"/>
    <w:rsid w:val="22A426D6"/>
    <w:rsid w:val="233539FB"/>
    <w:rsid w:val="237002C9"/>
    <w:rsid w:val="273D5C07"/>
    <w:rsid w:val="29745D75"/>
    <w:rsid w:val="297A6542"/>
    <w:rsid w:val="2A683F76"/>
    <w:rsid w:val="2C43705F"/>
    <w:rsid w:val="2C7C66D2"/>
    <w:rsid w:val="2D683EAF"/>
    <w:rsid w:val="301938F2"/>
    <w:rsid w:val="30636628"/>
    <w:rsid w:val="30A33169"/>
    <w:rsid w:val="34B32026"/>
    <w:rsid w:val="353E43F1"/>
    <w:rsid w:val="357D3827"/>
    <w:rsid w:val="368009EB"/>
    <w:rsid w:val="39A52AD0"/>
    <w:rsid w:val="3A6A5D5F"/>
    <w:rsid w:val="3E642748"/>
    <w:rsid w:val="411A3E32"/>
    <w:rsid w:val="44D756B1"/>
    <w:rsid w:val="4553587F"/>
    <w:rsid w:val="46487DA2"/>
    <w:rsid w:val="475A1B67"/>
    <w:rsid w:val="48625217"/>
    <w:rsid w:val="496E5700"/>
    <w:rsid w:val="4DE35AA0"/>
    <w:rsid w:val="4E385E40"/>
    <w:rsid w:val="51CB6D45"/>
    <w:rsid w:val="546E0045"/>
    <w:rsid w:val="55403AA7"/>
    <w:rsid w:val="56282826"/>
    <w:rsid w:val="562C1A55"/>
    <w:rsid w:val="564A06E0"/>
    <w:rsid w:val="59274D31"/>
    <w:rsid w:val="5A14604A"/>
    <w:rsid w:val="5E21509B"/>
    <w:rsid w:val="61CB6B00"/>
    <w:rsid w:val="628F13E2"/>
    <w:rsid w:val="64C82F3B"/>
    <w:rsid w:val="65AF1068"/>
    <w:rsid w:val="679A4CDE"/>
    <w:rsid w:val="67C645AB"/>
    <w:rsid w:val="67D82BEB"/>
    <w:rsid w:val="681A1DF3"/>
    <w:rsid w:val="68401915"/>
    <w:rsid w:val="6A8B331E"/>
    <w:rsid w:val="6C15362C"/>
    <w:rsid w:val="6C5A71CE"/>
    <w:rsid w:val="6DAA7C7D"/>
    <w:rsid w:val="6DAF4526"/>
    <w:rsid w:val="716F15B1"/>
    <w:rsid w:val="72481606"/>
    <w:rsid w:val="74AD5EF0"/>
    <w:rsid w:val="755F47BD"/>
    <w:rsid w:val="7A2F6561"/>
    <w:rsid w:val="7AD56B21"/>
    <w:rsid w:val="7B093A42"/>
    <w:rsid w:val="7CB16C6D"/>
    <w:rsid w:val="7CEE61FA"/>
    <w:rsid w:val="7D486711"/>
    <w:rsid w:val="7FE535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customStyle="1" w:styleId="7">
    <w:name w:val="页脚 Char"/>
    <w:link w:val="2"/>
    <w:semiHidden/>
    <w:qFormat/>
    <w:uiPriority w:val="0"/>
    <w:rPr>
      <w:rFonts w:ascii="Times New Roman" w:hAnsi="Times New Roman" w:eastAsia="黑体" w:cs="Times New Roman"/>
      <w:snapToGrid w:val="0"/>
      <w:kern w:val="0"/>
      <w:sz w:val="18"/>
      <w:szCs w:val="18"/>
    </w:rPr>
  </w:style>
  <w:style w:type="character" w:customStyle="1" w:styleId="8">
    <w:name w:val="页眉 Char"/>
    <w:link w:val="3"/>
    <w:semiHidden/>
    <w:qFormat/>
    <w:uiPriority w:val="0"/>
    <w:rPr>
      <w:rFonts w:ascii="Times New Roman" w:hAnsi="Times New Roman" w:eastAsia="宋体" w:cs="Times New Roman"/>
      <w:sz w:val="18"/>
      <w:szCs w:val="18"/>
    </w:rPr>
  </w:style>
  <w:style w:type="character" w:customStyle="1" w:styleId="9">
    <w:name w:val="正文文本缩进 3 Char"/>
    <w:link w:val="10"/>
    <w:semiHidden/>
    <w:qFormat/>
    <w:uiPriority w:val="0"/>
    <w:rPr>
      <w:rFonts w:ascii="Times New Roman" w:hAnsi="Times New Roman" w:eastAsia="仿宋_GB2312" w:cs="Times New Roman"/>
      <w:sz w:val="32"/>
      <w:szCs w:val="24"/>
    </w:rPr>
  </w:style>
  <w:style w:type="paragraph" w:customStyle="1" w:styleId="10">
    <w:name w:val="正文文本缩进 31"/>
    <w:basedOn w:val="1"/>
    <w:link w:val="9"/>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1">
    <w:name w:val="批注框文本 Char Char"/>
    <w:basedOn w:val="1"/>
    <w:link w:val="17"/>
    <w:qFormat/>
    <w:uiPriority w:val="0"/>
    <w:rPr>
      <w:sz w:val="18"/>
      <w:szCs w:val="18"/>
    </w:rPr>
  </w:style>
  <w:style w:type="paragraph" w:customStyle="1" w:styleId="12">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3">
    <w:name w:val="列出段落1"/>
    <w:basedOn w:val="1"/>
    <w:qFormat/>
    <w:uiPriority w:val="0"/>
    <w:pPr>
      <w:ind w:firstLine="420" w:firstLineChars="200"/>
    </w:pPr>
    <w:rPr>
      <w:rFonts w:ascii="Calibri" w:hAnsi="Calibri"/>
      <w:szCs w:val="22"/>
    </w:rPr>
  </w:style>
  <w:style w:type="paragraph" w:customStyle="1" w:styleId="14">
    <w:name w:val="普通(网站)1"/>
    <w:basedOn w:val="1"/>
    <w:qFormat/>
    <w:uiPriority w:val="0"/>
    <w:rPr>
      <w:rFonts w:ascii="Calibri" w:hAnsi="Calibri" w:cs="黑体"/>
      <w:sz w:val="24"/>
    </w:rPr>
  </w:style>
  <w:style w:type="paragraph" w:customStyle="1" w:styleId="15">
    <w:name w:val="普通(网站)2"/>
    <w:basedOn w:val="1"/>
    <w:qFormat/>
    <w:uiPriority w:val="0"/>
    <w:rPr>
      <w:rFonts w:ascii="Calibri" w:hAnsi="Calibri" w:cs="黑体"/>
      <w:sz w:val="24"/>
    </w:rPr>
  </w:style>
  <w:style w:type="paragraph" w:customStyle="1" w:styleId="16">
    <w:name w:val="普通(网站)3"/>
    <w:basedOn w:val="1"/>
    <w:qFormat/>
    <w:uiPriority w:val="0"/>
    <w:rPr>
      <w:rFonts w:ascii="Calibri" w:hAnsi="Calibri" w:cs="黑体"/>
      <w:sz w:val="24"/>
    </w:rPr>
  </w:style>
  <w:style w:type="character" w:customStyle="1" w:styleId="17">
    <w:name w:val="批注框文本 Char Char Char"/>
    <w:link w:val="11"/>
    <w:semiHidden/>
    <w:qFormat/>
    <w:uiPriority w:val="0"/>
    <w:rPr>
      <w:rFonts w:ascii="Times New Roman" w:hAnsi="Times New Roman" w:eastAsia="宋体" w:cs="Times New Roman"/>
      <w:sz w:val="18"/>
      <w:szCs w:val="18"/>
    </w:rPr>
  </w:style>
  <w:style w:type="character" w:customStyle="1" w:styleId="18">
    <w:name w:val="页码1"/>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45</Pages>
  <Words>3072</Words>
  <Characters>17512</Characters>
  <Lines>145</Lines>
  <Paragraphs>41</Paragraphs>
  <TotalTime>1</TotalTime>
  <ScaleCrop>false</ScaleCrop>
  <LinksUpToDate>false</LinksUpToDate>
  <CharactersWithSpaces>20543</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2019-01-16T10:37:00Z</dcterms:created>
  <dc:creator>王怡</dc:creator>
  <cp:lastModifiedBy>艾克斯1396398271</cp:lastModifiedBy>
  <cp:lastPrinted>2021-05-27T07:42:00Z</cp:lastPrinted>
  <dcterms:modified xsi:type="dcterms:W3CDTF">2023-09-21T12:22:22Z</dcterms:modified>
  <dc:title>王怡</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70D9C6AA205F4748A9E304EFBC70BA62_12</vt:lpwstr>
  </property>
</Properties>
</file>