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昌吉回族自治州食品药品检验所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昌吉回族自治州食品药品检验所部门单位概况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昌吉回族自治州食品药品检验所2020年部门预</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    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Cs/>
          <w:kern w:val="0"/>
          <w:sz w:val="30"/>
          <w:szCs w:val="30"/>
        </w:rPr>
        <w:t>昌吉回族自治州食品药品检验所部</w:t>
      </w:r>
      <w:r>
        <w:rPr>
          <w:rFonts w:hint="eastAsia" w:ascii="仿宋_GB2312" w:hAnsi="宋体" w:eastAsia="仿宋_GB2312"/>
          <w:kern w:val="0"/>
          <w:sz w:val="32"/>
          <w:szCs w:val="32"/>
        </w:rPr>
        <w:t>门2020年收支预</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部门2020年收入预</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部门2020年支出预</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算情况说明</w:t>
      </w:r>
    </w:p>
    <w:p>
      <w:pPr>
        <w:widowControl/>
        <w:numPr>
          <w:ilvl w:val="0"/>
          <w:numId w:val="1"/>
        </w:numPr>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bCs/>
          <w:kern w:val="0"/>
          <w:sz w:val="32"/>
          <w:szCs w:val="32"/>
        </w:rPr>
        <w:t>部门</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w:t>
      </w:r>
    </w:p>
    <w:p>
      <w:pPr>
        <w:widowControl/>
        <w:spacing w:line="44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 xml:space="preserve">        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部门2020年一般公</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部门2020年一般公</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部门2020年项目支</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部门2020年一般公</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Cs/>
          <w:kern w:val="0"/>
          <w:sz w:val="30"/>
          <w:szCs w:val="30"/>
        </w:rPr>
        <w:t>昌吉回族自治州食品药品检验所</w:t>
      </w:r>
      <w:r>
        <w:rPr>
          <w:rFonts w:hint="eastAsia" w:ascii="仿宋_GB2312" w:hAnsi="宋体" w:eastAsia="仿宋_GB2312"/>
          <w:kern w:val="0"/>
          <w:sz w:val="32"/>
          <w:szCs w:val="32"/>
        </w:rPr>
        <w:t>部门2020年政府性</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昌吉回族自治州食品药品检验所部门单位概况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 w:hAnsi="仿宋" w:eastAsia="仿宋" w:cs="仿宋"/>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 w:hAnsi="仿宋" w:eastAsia="仿宋" w:cs="仿宋"/>
          <w:bCs/>
          <w:kern w:val="0"/>
          <w:sz w:val="32"/>
          <w:szCs w:val="32"/>
        </w:rPr>
        <w:t xml:space="preserve"> </w:t>
      </w:r>
      <w:r>
        <w:rPr>
          <w:rFonts w:hint="eastAsia" w:ascii="仿宋" w:hAnsi="仿宋" w:eastAsia="仿宋" w:cs="仿宋"/>
          <w:sz w:val="32"/>
          <w:szCs w:val="32"/>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w:t>
      </w:r>
    </w:p>
    <w:p>
      <w:pPr>
        <w:widowControl/>
        <w:spacing w:line="560" w:lineRule="exact"/>
        <w:jc w:val="left"/>
        <w:rPr>
          <w:rFonts w:ascii="仿宋_GB2312" w:hAnsi="黑体" w:eastAsia="仿宋_GB2312" w:cs="宋体"/>
          <w:b/>
          <w:bCs/>
          <w:kern w:val="0"/>
          <w:sz w:val="32"/>
          <w:szCs w:val="32"/>
        </w:rPr>
      </w:pPr>
      <w:r>
        <w:rPr>
          <w:rFonts w:hint="eastAsia" w:ascii="黑体" w:hAnsi="黑体" w:eastAsia="黑体" w:cs="宋体"/>
          <w:bCs/>
          <w:kern w:val="0"/>
          <w:sz w:val="32"/>
          <w:szCs w:val="32"/>
        </w:rPr>
        <w:t xml:space="preserve">     二、机构设置及人员情况</w:t>
      </w:r>
      <w:r>
        <w:rPr>
          <w:rFonts w:hint="eastAsia" w:ascii="仿宋_GB2312" w:hAnsi="宋体" w:eastAsia="仿宋_GB2312" w:cs="宋体"/>
          <w:kern w:val="0"/>
          <w:sz w:val="32"/>
          <w:szCs w:val="32"/>
        </w:rPr>
        <w:t xml:space="preserve">    </w:t>
      </w:r>
    </w:p>
    <w:p>
      <w:pPr>
        <w:widowControl/>
        <w:spacing w:line="560" w:lineRule="exact"/>
        <w:ind w:firstLine="720" w:firstLineChars="225"/>
        <w:jc w:val="left"/>
        <w:rPr>
          <w:rFonts w:ascii="仿宋" w:hAnsi="仿宋" w:eastAsia="仿宋" w:cs="仿宋"/>
          <w:b/>
          <w:sz w:val="32"/>
          <w:szCs w:val="32"/>
          <w:highlight w:val="none"/>
        </w:rPr>
      </w:pPr>
      <w:r>
        <w:rPr>
          <w:rFonts w:hint="eastAsia" w:ascii="仿宋_GB2312" w:hAnsi="黑体" w:eastAsia="仿宋_GB2312" w:cs="宋体"/>
          <w:bCs/>
          <w:kern w:val="0"/>
          <w:sz w:val="32"/>
          <w:szCs w:val="32"/>
          <w:highlight w:val="none"/>
        </w:rPr>
        <w:t>昌吉州食品药品检验所无下属预算单位</w:t>
      </w:r>
      <w:r>
        <w:rPr>
          <w:rFonts w:hint="eastAsia" w:ascii="仿宋" w:hAnsi="仿宋" w:eastAsia="仿宋" w:cs="仿宋"/>
          <w:sz w:val="32"/>
          <w:szCs w:val="32"/>
          <w:highlight w:val="none"/>
        </w:rPr>
        <w:t>。下设5个科室：</w:t>
      </w:r>
      <w:r>
        <w:rPr>
          <w:rFonts w:hint="eastAsia" w:ascii="仿宋" w:hAnsi="仿宋" w:eastAsia="仿宋" w:cs="仿宋"/>
          <w:sz w:val="32"/>
          <w:szCs w:val="32"/>
          <w:highlight w:val="none"/>
          <w:lang w:eastAsia="zh-CN"/>
        </w:rPr>
        <w:t>分别是</w:t>
      </w:r>
      <w:r>
        <w:rPr>
          <w:rFonts w:hint="eastAsia" w:ascii="仿宋" w:hAnsi="仿宋" w:eastAsia="仿宋" w:cs="仿宋"/>
          <w:sz w:val="32"/>
          <w:szCs w:val="32"/>
          <w:highlight w:val="none"/>
        </w:rPr>
        <w:t>：办公室、业务科、药品室、生测室、食品室。</w:t>
      </w:r>
    </w:p>
    <w:p>
      <w:pPr>
        <w:widowControl/>
        <w:spacing w:line="560" w:lineRule="exact"/>
        <w:ind w:firstLine="627" w:firstLineChars="196"/>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昌吉州食品药品检验所核定事业编制22名，实有人数</w:t>
      </w:r>
      <w:r>
        <w:rPr>
          <w:rFonts w:hint="eastAsia" w:ascii="仿宋" w:hAnsi="仿宋" w:eastAsia="仿宋" w:cs="仿宋"/>
          <w:kern w:val="0"/>
          <w:sz w:val="32"/>
          <w:szCs w:val="32"/>
          <w:highlight w:val="none"/>
          <w:lang w:val="en-US" w:eastAsia="zh-CN"/>
        </w:rPr>
        <w:t>22</w:t>
      </w:r>
      <w:r>
        <w:rPr>
          <w:rFonts w:hint="eastAsia" w:ascii="仿宋" w:hAnsi="仿宋" w:eastAsia="仿宋" w:cs="仿宋"/>
          <w:kern w:val="0"/>
          <w:sz w:val="32"/>
          <w:szCs w:val="32"/>
          <w:highlight w:val="none"/>
        </w:rPr>
        <w:t>名，其中：在职</w:t>
      </w:r>
      <w:r>
        <w:rPr>
          <w:rFonts w:hint="eastAsia" w:ascii="仿宋" w:hAnsi="仿宋" w:eastAsia="仿宋" w:cs="仿宋"/>
          <w:kern w:val="0"/>
          <w:sz w:val="32"/>
          <w:szCs w:val="32"/>
          <w:highlight w:val="none"/>
          <w:lang w:val="en-US" w:eastAsia="zh-CN"/>
        </w:rPr>
        <w:t>20</w:t>
      </w:r>
      <w:r>
        <w:rPr>
          <w:rFonts w:hint="eastAsia" w:ascii="仿宋" w:hAnsi="仿宋" w:eastAsia="仿宋" w:cs="仿宋"/>
          <w:kern w:val="0"/>
          <w:sz w:val="32"/>
          <w:szCs w:val="32"/>
          <w:highlight w:val="none"/>
        </w:rPr>
        <w:t>人，</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人；退休</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560" w:lineRule="exact"/>
        <w:ind w:firstLine="627" w:firstLineChars="196"/>
        <w:jc w:val="left"/>
        <w:rPr>
          <w:rFonts w:hint="eastAsia" w:ascii="仿宋" w:hAnsi="仿宋" w:eastAsia="仿宋" w:cs="仿宋"/>
          <w:kern w:val="0"/>
          <w:sz w:val="32"/>
          <w:szCs w:val="32"/>
          <w:highlight w:val="yellow"/>
        </w:rPr>
      </w:pPr>
    </w:p>
    <w:p>
      <w:pPr>
        <w:widowControl/>
        <w:spacing w:line="560" w:lineRule="exact"/>
        <w:ind w:firstLine="627" w:firstLineChars="196"/>
        <w:jc w:val="left"/>
        <w:rPr>
          <w:rFonts w:ascii="仿宋" w:hAnsi="仿宋" w:eastAsia="仿宋" w:cs="仿宋"/>
          <w:kern w:val="0"/>
          <w:sz w:val="32"/>
          <w:szCs w:val="32"/>
        </w:rPr>
      </w:pPr>
    </w:p>
    <w:p>
      <w:pPr>
        <w:widowControl/>
        <w:spacing w:line="560" w:lineRule="exact"/>
        <w:ind w:firstLine="627" w:firstLineChars="196"/>
        <w:jc w:val="left"/>
        <w:rPr>
          <w:rFonts w:ascii="仿宋" w:hAnsi="仿宋" w:eastAsia="仿宋" w:cs="仿宋"/>
          <w:kern w:val="0"/>
          <w:sz w:val="32"/>
          <w:szCs w:val="32"/>
        </w:rPr>
      </w:pPr>
    </w:p>
    <w:p>
      <w:pPr>
        <w:widowControl/>
        <w:spacing w:line="560" w:lineRule="exact"/>
        <w:ind w:firstLine="627" w:firstLineChars="196"/>
        <w:jc w:val="left"/>
        <w:rPr>
          <w:rFonts w:ascii="仿宋" w:hAnsi="仿宋" w:eastAsia="仿宋" w:cs="仿宋"/>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编制部门：昌吉州食品药品检验所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408.21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408.21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408.21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408.21</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408.21</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408.21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408.21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填报部门：昌吉州食品药品检验所                                单位：万元</w:t>
      </w:r>
    </w:p>
    <w:tbl>
      <w:tblPr>
        <w:tblStyle w:val="4"/>
        <w:tblW w:w="9654" w:type="dxa"/>
        <w:tblInd w:w="-450" w:type="dxa"/>
        <w:tblLayout w:type="fixed"/>
        <w:tblCellMar>
          <w:top w:w="0" w:type="dxa"/>
          <w:left w:w="108" w:type="dxa"/>
          <w:bottom w:w="0" w:type="dxa"/>
          <w:right w:w="108" w:type="dxa"/>
        </w:tblCellMar>
      </w:tblPr>
      <w:tblGrid>
        <w:gridCol w:w="501"/>
        <w:gridCol w:w="405"/>
        <w:gridCol w:w="435"/>
        <w:gridCol w:w="1965"/>
        <w:gridCol w:w="910"/>
        <w:gridCol w:w="815"/>
        <w:gridCol w:w="545"/>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34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0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43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96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药品事务</w:t>
            </w:r>
          </w:p>
        </w:tc>
        <w:tc>
          <w:tcPr>
            <w:tcW w:w="9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81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shd w:val="clear" w:color="auto" w:fill="auto"/>
            <w:vAlign w:val="center"/>
          </w:tcPr>
          <w:p>
            <w:pPr>
              <w:rPr>
                <w:rFonts w:ascii="仿宋" w:hAnsi="仿宋" w:eastAsia="仿宋" w:cs="仿宋"/>
                <w:color w:val="00000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18"/>
                <w:szCs w:val="18"/>
              </w:rPr>
            </w:pPr>
            <w:r>
              <w:rPr>
                <w:rFonts w:hint="eastAsia" w:ascii="仿宋_GB2312" w:hAnsi="宋体" w:eastAsia="仿宋_GB2312" w:cs="宋体"/>
                <w:color w:val="000000"/>
                <w:sz w:val="18"/>
                <w:szCs w:val="18"/>
              </w:rPr>
              <w:t>38</w:t>
            </w:r>
          </w:p>
        </w:tc>
        <w:tc>
          <w:tcPr>
            <w:tcW w:w="435"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50</w:t>
            </w:r>
          </w:p>
        </w:tc>
        <w:tc>
          <w:tcPr>
            <w:tcW w:w="1965" w:type="dxa"/>
            <w:tcBorders>
              <w:top w:val="nil"/>
              <w:left w:val="nil"/>
              <w:bottom w:val="single" w:color="auto" w:sz="4" w:space="0"/>
              <w:right w:val="single" w:color="auto" w:sz="4" w:space="0"/>
            </w:tcBorders>
            <w:shd w:val="clear" w:color="auto" w:fill="auto"/>
            <w:vAlign w:val="center"/>
          </w:tcPr>
          <w:p>
            <w:pPr>
              <w:rPr>
                <w:rFonts w:ascii="仿宋" w:hAnsi="仿宋" w:eastAsia="仿宋" w:cs="仿宋"/>
                <w:color w:val="000000"/>
                <w:sz w:val="18"/>
                <w:szCs w:val="18"/>
              </w:rPr>
            </w:pPr>
            <w:r>
              <w:rPr>
                <w:rFonts w:hint="eastAsia" w:ascii="仿宋_GB2312" w:hAnsi="宋体" w:eastAsia="仿宋_GB2312" w:cs="宋体"/>
                <w:color w:val="000000"/>
                <w:sz w:val="18"/>
                <w:szCs w:val="18"/>
              </w:rPr>
              <w:t xml:space="preserve"> 事业运行</w:t>
            </w:r>
          </w:p>
        </w:tc>
        <w:tc>
          <w:tcPr>
            <w:tcW w:w="910" w:type="dxa"/>
            <w:tcBorders>
              <w:top w:val="nil"/>
              <w:left w:val="nil"/>
              <w:bottom w:val="single" w:color="auto" w:sz="4" w:space="0"/>
              <w:right w:val="single" w:color="auto" w:sz="4" w:space="0"/>
            </w:tcBorders>
            <w:shd w:val="clear" w:color="auto" w:fill="FFFFFF"/>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397.21</w:t>
            </w:r>
          </w:p>
        </w:tc>
        <w:tc>
          <w:tcPr>
            <w:tcW w:w="815" w:type="dxa"/>
            <w:tcBorders>
              <w:top w:val="nil"/>
              <w:left w:val="nil"/>
              <w:bottom w:val="single" w:color="auto" w:sz="4" w:space="0"/>
              <w:right w:val="single" w:color="auto" w:sz="4" w:space="0"/>
            </w:tcBorders>
            <w:shd w:val="clear" w:color="auto" w:fill="FFFFFF"/>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397.21</w:t>
            </w: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合计</w:t>
            </w:r>
          </w:p>
        </w:tc>
        <w:tc>
          <w:tcPr>
            <w:tcW w:w="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408.21</w:t>
            </w:r>
          </w:p>
        </w:tc>
        <w:tc>
          <w:tcPr>
            <w:tcW w:w="8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408.21</w:t>
            </w:r>
          </w:p>
        </w:tc>
        <w:tc>
          <w:tcPr>
            <w:tcW w:w="5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编制部门：昌吉州食品药品检验所                                 单位：万元</w:t>
      </w:r>
    </w:p>
    <w:tbl>
      <w:tblPr>
        <w:tblStyle w:val="4"/>
        <w:tblW w:w="9420" w:type="dxa"/>
        <w:tblInd w:w="-240" w:type="dxa"/>
        <w:tblLayout w:type="fixed"/>
        <w:tblCellMar>
          <w:top w:w="0" w:type="dxa"/>
          <w:left w:w="108" w:type="dxa"/>
          <w:bottom w:w="0" w:type="dxa"/>
          <w:right w:w="108" w:type="dxa"/>
        </w:tblCellMar>
      </w:tblPr>
      <w:tblGrid>
        <w:gridCol w:w="495"/>
        <w:gridCol w:w="435"/>
        <w:gridCol w:w="555"/>
        <w:gridCol w:w="2160"/>
        <w:gridCol w:w="2015"/>
        <w:gridCol w:w="1856"/>
        <w:gridCol w:w="1904"/>
      </w:tblGrid>
      <w:tr>
        <w:tblPrEx>
          <w:tblCellMar>
            <w:top w:w="0" w:type="dxa"/>
            <w:left w:w="108" w:type="dxa"/>
            <w:bottom w:w="0" w:type="dxa"/>
            <w:right w:w="108" w:type="dxa"/>
          </w:tblCellMar>
        </w:tblPrEx>
        <w:trPr>
          <w:trHeight w:val="345" w:hRule="atLeast"/>
        </w:trPr>
        <w:tc>
          <w:tcPr>
            <w:tcW w:w="364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77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8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6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01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01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p>
        </w:tc>
        <w:tc>
          <w:tcPr>
            <w:tcW w:w="216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合计</w:t>
            </w:r>
          </w:p>
        </w:tc>
        <w:tc>
          <w:tcPr>
            <w:tcW w:w="201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408.21</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397.21</w:t>
            </w: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16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药品事务</w:t>
            </w:r>
          </w:p>
        </w:tc>
        <w:tc>
          <w:tcPr>
            <w:tcW w:w="2015"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85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201</w:t>
            </w:r>
          </w:p>
        </w:tc>
        <w:tc>
          <w:tcPr>
            <w:tcW w:w="435"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38</w:t>
            </w:r>
          </w:p>
        </w:tc>
        <w:tc>
          <w:tcPr>
            <w:tcW w:w="555"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50</w:t>
            </w:r>
          </w:p>
        </w:tc>
        <w:tc>
          <w:tcPr>
            <w:tcW w:w="2160"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事业运行</w:t>
            </w:r>
          </w:p>
        </w:tc>
        <w:tc>
          <w:tcPr>
            <w:tcW w:w="2015" w:type="dxa"/>
            <w:tcBorders>
              <w:top w:val="nil"/>
              <w:left w:val="nil"/>
              <w:bottom w:val="single" w:color="auto" w:sz="4" w:space="0"/>
              <w:right w:val="single" w:color="auto" w:sz="4" w:space="0"/>
            </w:tcBorders>
            <w:shd w:val="clear" w:color="auto" w:fill="FFFFFF"/>
            <w:vAlign w:val="center"/>
          </w:tcPr>
          <w:p>
            <w:pPr>
              <w:widowControl/>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397.21</w:t>
            </w:r>
          </w:p>
        </w:tc>
        <w:tc>
          <w:tcPr>
            <w:tcW w:w="1856"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397.21</w:t>
            </w:r>
          </w:p>
        </w:tc>
        <w:tc>
          <w:tcPr>
            <w:tcW w:w="1904" w:type="dxa"/>
            <w:tcBorders>
              <w:top w:val="nil"/>
              <w:left w:val="nil"/>
              <w:bottom w:val="single" w:color="auto" w:sz="4" w:space="0"/>
              <w:right w:val="single" w:color="auto" w:sz="4" w:space="0"/>
            </w:tcBorders>
            <w:shd w:val="clear" w:color="auto" w:fill="FFFFFF"/>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390"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1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20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408.21</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397.21</w:t>
            </w: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昌吉州食品药品检验所</w:t>
      </w:r>
      <w:r>
        <w:rPr>
          <w:rFonts w:hint="eastAsia" w:ascii="仿宋_GB2312" w:hAnsi="宋体" w:eastAsia="仿宋_GB2312"/>
          <w:kern w:val="0"/>
          <w:sz w:val="28"/>
          <w:szCs w:val="28"/>
        </w:rPr>
        <w:t xml:space="preserve">                        单位：万元</w:t>
      </w:r>
    </w:p>
    <w:tbl>
      <w:tblPr>
        <w:tblStyle w:val="4"/>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rPr>
              <w:t>408.21</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18"/>
                <w:szCs w:val="18"/>
              </w:rPr>
              <w:t>408.21</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18"/>
                <w:szCs w:val="18"/>
              </w:rPr>
              <w:t>408.21</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rPr>
              <w:t>408.21</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rPr>
              <w:t>408.21</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18"/>
                <w:szCs w:val="18"/>
              </w:rPr>
              <w:t>408.21</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18"/>
                <w:szCs w:val="18"/>
              </w:rPr>
              <w:t>408.21</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487"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昌吉州食品药品检验所</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药品事务</w:t>
            </w:r>
          </w:p>
        </w:tc>
        <w:tc>
          <w:tcPr>
            <w:tcW w:w="1684"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842"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201</w:t>
            </w:r>
          </w:p>
        </w:tc>
        <w:tc>
          <w:tcPr>
            <w:tcW w:w="492"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38</w:t>
            </w:r>
          </w:p>
        </w:tc>
        <w:tc>
          <w:tcPr>
            <w:tcW w:w="417"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50</w:t>
            </w:r>
          </w:p>
        </w:tc>
        <w:tc>
          <w:tcPr>
            <w:tcW w:w="2510" w:type="dxa"/>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事业运行</w:t>
            </w:r>
          </w:p>
        </w:tc>
        <w:tc>
          <w:tcPr>
            <w:tcW w:w="1684" w:type="dxa"/>
            <w:tcBorders>
              <w:top w:val="nil"/>
              <w:left w:val="nil"/>
              <w:bottom w:val="single" w:color="auto" w:sz="4" w:space="0"/>
              <w:right w:val="single" w:color="auto" w:sz="4" w:space="0"/>
            </w:tcBorders>
            <w:shd w:val="clear" w:color="auto" w:fill="FFFFFF"/>
            <w:vAlign w:val="center"/>
          </w:tcPr>
          <w:p>
            <w:pPr>
              <w:widowControl/>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397.21</w:t>
            </w:r>
          </w:p>
        </w:tc>
        <w:tc>
          <w:tcPr>
            <w:tcW w:w="1842" w:type="dxa"/>
            <w:gridSpan w:val="2"/>
            <w:tcBorders>
              <w:top w:val="nil"/>
              <w:left w:val="nil"/>
              <w:bottom w:val="single" w:color="auto" w:sz="4" w:space="0"/>
              <w:right w:val="single" w:color="auto" w:sz="4" w:space="0"/>
            </w:tcBorders>
            <w:shd w:val="clear" w:color="auto" w:fill="FFFFFF"/>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18"/>
                <w:szCs w:val="18"/>
              </w:rPr>
              <w:t>397.21</w:t>
            </w:r>
          </w:p>
        </w:tc>
        <w:tc>
          <w:tcPr>
            <w:tcW w:w="1701" w:type="dxa"/>
            <w:tcBorders>
              <w:top w:val="nil"/>
              <w:left w:val="nil"/>
              <w:bottom w:val="single" w:color="auto" w:sz="4" w:space="0"/>
              <w:right w:val="single" w:color="auto" w:sz="4" w:space="0"/>
            </w:tcBorders>
            <w:shd w:val="clear" w:color="auto" w:fill="FFFFFF"/>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408.21</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397.21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72"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昌吉州食品药品检验所</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01</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基本工资</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136.74</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136.74</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03</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奖金</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9.08</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9.08</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06</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伙食补助费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35.28</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35.28</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07</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绩效工资</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73.27</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73.27</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08</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机关事业单位基本养老保险缴费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35.05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35.05</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10</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职工基本医疗保险缴费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24.18</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24.18</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公务员医疗补助缴费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10.18</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10.18</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12</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其他社会保障缴费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1.75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1.75</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13</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住房公积金</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26.29</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26.29</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301</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99</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其他工资福利支出</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2.61</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2.61</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01</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办公费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4.35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4.35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02</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印刷费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0.2</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05</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水费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1.4</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06</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电费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07</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邮电费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09</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物业管理费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差旅费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13</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维修(护)费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16</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培训费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0.63</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0.63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18</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专用材料费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26</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劳务费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28</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工会经费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2.73</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2.73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29</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hint="eastAsia" w:ascii="仿宋" w:hAnsi="仿宋" w:eastAsia="仿宋" w:cs="仿宋"/>
                <w:color w:val="000000"/>
                <w:sz w:val="18"/>
                <w:szCs w:val="18"/>
              </w:rPr>
              <w:t>福利费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6.29</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6.29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31</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公务车运行维护费</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1.5</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302</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99</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其他商品和服务支出</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5.32</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5.32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303</w:t>
            </w:r>
          </w:p>
        </w:tc>
        <w:tc>
          <w:tcPr>
            <w:tcW w:w="577"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09</w:t>
            </w: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奖励金</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1.46</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1.46</w:t>
            </w:r>
          </w:p>
        </w:tc>
        <w:tc>
          <w:tcPr>
            <w:tcW w:w="170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303</w:t>
            </w:r>
          </w:p>
        </w:tc>
        <w:tc>
          <w:tcPr>
            <w:tcW w:w="577" w:type="dxa"/>
            <w:tcBorders>
              <w:top w:val="nil"/>
              <w:left w:val="nil"/>
              <w:bottom w:val="nil"/>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14</w:t>
            </w:r>
          </w:p>
        </w:tc>
        <w:tc>
          <w:tcPr>
            <w:tcW w:w="2891" w:type="dxa"/>
            <w:tcBorders>
              <w:top w:val="nil"/>
              <w:left w:val="nil"/>
              <w:bottom w:val="nil"/>
              <w:right w:val="single" w:color="auto" w:sz="4" w:space="0"/>
            </w:tcBorders>
            <w:shd w:val="clear" w:color="auto" w:fill="FFFFFF"/>
            <w:vAlign w:val="center"/>
          </w:tcPr>
          <w:p>
            <w:pPr>
              <w:jc w:val="left"/>
              <w:rPr>
                <w:rFonts w:ascii="仿宋" w:hAnsi="仿宋" w:eastAsia="仿宋" w:cs="仿宋"/>
                <w:color w:val="000000"/>
                <w:kern w:val="0"/>
                <w:sz w:val="18"/>
                <w:szCs w:val="18"/>
              </w:rPr>
            </w:pPr>
            <w:r>
              <w:rPr>
                <w:rFonts w:ascii="Dialog" w:eastAsia="Times New Roman"/>
                <w:color w:val="000000"/>
                <w:sz w:val="18"/>
                <w:szCs w:val="18"/>
              </w:rPr>
              <w:t>职工住宅取暖费</w:t>
            </w:r>
          </w:p>
        </w:tc>
        <w:tc>
          <w:tcPr>
            <w:tcW w:w="1701" w:type="dxa"/>
            <w:tcBorders>
              <w:top w:val="nil"/>
              <w:left w:val="nil"/>
              <w:bottom w:val="nil"/>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4.4</w:t>
            </w:r>
          </w:p>
        </w:tc>
        <w:tc>
          <w:tcPr>
            <w:tcW w:w="1701" w:type="dxa"/>
            <w:gridSpan w:val="2"/>
            <w:tcBorders>
              <w:top w:val="nil"/>
              <w:left w:val="nil"/>
              <w:bottom w:val="nil"/>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4.4</w:t>
            </w:r>
          </w:p>
        </w:tc>
        <w:tc>
          <w:tcPr>
            <w:tcW w:w="1701" w:type="dxa"/>
            <w:tcBorders>
              <w:top w:val="nil"/>
              <w:left w:val="nil"/>
              <w:bottom w:val="nil"/>
              <w:right w:val="single" w:color="auto" w:sz="4" w:space="0"/>
            </w:tcBorders>
            <w:shd w:val="clear" w:color="auto" w:fill="FFFFFF"/>
            <w:vAlign w:val="center"/>
          </w:tcPr>
          <w:p>
            <w:pPr>
              <w:jc w:val="left"/>
              <w:rPr>
                <w:rFonts w:ascii="仿宋" w:hAnsi="仿宋" w:eastAsia="仿宋" w:cs="仿宋"/>
                <w:color w:val="000000"/>
                <w:kern w:val="0"/>
                <w:szCs w:val="21"/>
              </w:rPr>
            </w:pPr>
            <w:r>
              <w:rPr>
                <w:rFonts w:hint="eastAsia" w:ascii="仿宋" w:hAnsi="仿宋" w:eastAsia="仿宋" w:cs="仿宋"/>
                <w:color w:val="000000"/>
                <w:szCs w:val="21"/>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FFFFFF"/>
            <w:vAlign w:val="center"/>
          </w:tcPr>
          <w:p>
            <w:pPr>
              <w:jc w:val="left"/>
              <w:rPr>
                <w:rFonts w:ascii="Dialog" w:eastAsia="Times New Roman"/>
                <w:color w:val="000000"/>
                <w:sz w:val="18"/>
                <w:szCs w:val="18"/>
              </w:rPr>
            </w:pPr>
          </w:p>
        </w:tc>
        <w:tc>
          <w:tcPr>
            <w:tcW w:w="577" w:type="dxa"/>
            <w:tcBorders>
              <w:top w:val="nil"/>
              <w:left w:val="nil"/>
              <w:bottom w:val="single" w:color="auto" w:sz="4" w:space="0"/>
              <w:right w:val="single" w:color="auto" w:sz="4" w:space="0"/>
            </w:tcBorders>
            <w:shd w:val="clear" w:color="auto" w:fill="FFFFFF"/>
            <w:vAlign w:val="center"/>
          </w:tcPr>
          <w:p>
            <w:pPr>
              <w:jc w:val="left"/>
              <w:rPr>
                <w:rFonts w:ascii="Dialog" w:eastAsia="Times New Roman"/>
                <w:color w:val="000000"/>
                <w:sz w:val="18"/>
                <w:szCs w:val="18"/>
              </w:rPr>
            </w:pPr>
          </w:p>
        </w:tc>
        <w:tc>
          <w:tcPr>
            <w:tcW w:w="2891" w:type="dxa"/>
            <w:tcBorders>
              <w:top w:val="nil"/>
              <w:left w:val="nil"/>
              <w:bottom w:val="single" w:color="auto" w:sz="4" w:space="0"/>
              <w:right w:val="single" w:color="auto" w:sz="4" w:space="0"/>
            </w:tcBorders>
            <w:shd w:val="clear" w:color="auto" w:fill="FFFFFF"/>
            <w:vAlign w:val="center"/>
          </w:tcPr>
          <w:p>
            <w:pPr>
              <w:jc w:val="left"/>
              <w:rPr>
                <w:rFonts w:ascii="仿宋" w:hAnsi="仿宋" w:eastAsia="仿宋" w:cs="仿宋"/>
                <w:color w:val="000000"/>
                <w:kern w:val="2"/>
                <w:sz w:val="18"/>
                <w:szCs w:val="18"/>
                <w:lang w:val="en-US" w:eastAsia="zh-CN" w:bidi="ar-SA"/>
              </w:rPr>
            </w:pPr>
            <w:r>
              <w:rPr>
                <w:rFonts w:ascii="Dialog" w:eastAsia="Times New Roman"/>
                <w:color w:val="000000"/>
                <w:sz w:val="18"/>
                <w:szCs w:val="18"/>
              </w:rPr>
              <w:t>合计</w:t>
            </w:r>
          </w:p>
        </w:tc>
        <w:tc>
          <w:tcPr>
            <w:tcW w:w="1701" w:type="dxa"/>
            <w:tcBorders>
              <w:top w:val="nil"/>
              <w:left w:val="nil"/>
              <w:bottom w:val="single" w:color="auto" w:sz="4" w:space="0"/>
              <w:right w:val="single" w:color="auto" w:sz="4" w:space="0"/>
            </w:tcBorders>
            <w:shd w:val="clear" w:color="auto" w:fill="FFFFFF"/>
            <w:vAlign w:val="center"/>
          </w:tcPr>
          <w:p>
            <w:pPr>
              <w:jc w:val="left"/>
              <w:rPr>
                <w:rFonts w:hint="eastAsia" w:ascii="仿宋" w:hAnsi="仿宋" w:eastAsia="仿宋" w:cs="仿宋"/>
                <w:color w:val="000000"/>
                <w:kern w:val="2"/>
                <w:sz w:val="18"/>
                <w:szCs w:val="18"/>
                <w:lang w:val="en-US" w:eastAsia="zh-CN" w:bidi="ar-SA"/>
              </w:rPr>
            </w:pPr>
            <w:r>
              <w:rPr>
                <w:rFonts w:ascii="Dialog" w:eastAsia="Times New Roman"/>
                <w:color w:val="000000"/>
                <w:sz w:val="18"/>
                <w:szCs w:val="18"/>
              </w:rPr>
              <w:t>397.21</w:t>
            </w:r>
          </w:p>
        </w:tc>
        <w:tc>
          <w:tcPr>
            <w:tcW w:w="1701" w:type="dxa"/>
            <w:gridSpan w:val="2"/>
            <w:tcBorders>
              <w:top w:val="nil"/>
              <w:left w:val="nil"/>
              <w:bottom w:val="single" w:color="auto" w:sz="4" w:space="0"/>
              <w:right w:val="single" w:color="auto" w:sz="4" w:space="0"/>
            </w:tcBorders>
            <w:shd w:val="clear" w:color="auto" w:fill="FFFFFF"/>
            <w:vAlign w:val="center"/>
          </w:tcPr>
          <w:p>
            <w:pPr>
              <w:jc w:val="left"/>
              <w:rPr>
                <w:rFonts w:hint="eastAsia" w:ascii="仿宋" w:hAnsi="仿宋" w:eastAsia="仿宋" w:cs="仿宋"/>
                <w:color w:val="000000"/>
                <w:kern w:val="2"/>
                <w:sz w:val="18"/>
                <w:szCs w:val="18"/>
                <w:lang w:val="en-US" w:eastAsia="zh-CN" w:bidi="ar-SA"/>
              </w:rPr>
            </w:pPr>
            <w:r>
              <w:rPr>
                <w:rFonts w:ascii="Dialog" w:eastAsia="Times New Roman"/>
                <w:color w:val="000000"/>
                <w:sz w:val="18"/>
                <w:szCs w:val="18"/>
              </w:rPr>
              <w:t>360.29</w:t>
            </w:r>
          </w:p>
        </w:tc>
        <w:tc>
          <w:tcPr>
            <w:tcW w:w="1701" w:type="dxa"/>
            <w:tcBorders>
              <w:top w:val="nil"/>
              <w:left w:val="nil"/>
              <w:bottom w:val="single" w:color="auto" w:sz="4" w:space="0"/>
              <w:right w:val="single" w:color="auto" w:sz="4" w:space="0"/>
            </w:tcBorders>
            <w:shd w:val="clear" w:color="auto" w:fill="FFFFFF"/>
            <w:vAlign w:val="center"/>
          </w:tcPr>
          <w:p>
            <w:pPr>
              <w:jc w:val="left"/>
              <w:rPr>
                <w:rFonts w:hint="eastAsia" w:ascii="仿宋" w:hAnsi="仿宋" w:eastAsia="仿宋" w:cs="仿宋"/>
                <w:color w:val="000000"/>
                <w:kern w:val="2"/>
                <w:sz w:val="18"/>
                <w:szCs w:val="18"/>
                <w:lang w:val="en-US" w:eastAsia="zh-CN" w:bidi="ar-SA"/>
              </w:rPr>
            </w:pPr>
            <w:r>
              <w:rPr>
                <w:rFonts w:ascii="Dialog" w:eastAsia="Times New Roman"/>
                <w:color w:val="000000"/>
                <w:sz w:val="18"/>
                <w:szCs w:val="18"/>
              </w:rPr>
              <w:t>36.92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Layout w:type="fixed"/>
        <w:tblCellMar>
          <w:top w:w="0" w:type="dxa"/>
          <w:left w:w="108" w:type="dxa"/>
          <w:bottom w:w="0" w:type="dxa"/>
          <w:right w:w="108" w:type="dxa"/>
        </w:tblCellMar>
      </w:tblPr>
      <w:tblGrid>
        <w:gridCol w:w="8"/>
        <w:gridCol w:w="508"/>
        <w:gridCol w:w="495"/>
        <w:gridCol w:w="495"/>
        <w:gridCol w:w="750"/>
        <w:gridCol w:w="1242"/>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昌吉州食品药品检验所</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06"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4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shd w:val="clear" w:color="auto" w:fill="FFFFFF"/>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95" w:type="dxa"/>
            <w:tcBorders>
              <w:bottom w:val="single" w:color="auto" w:sz="4" w:space="0"/>
            </w:tcBorders>
            <w:shd w:val="clear" w:color="auto" w:fill="FFFFFF"/>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tcBorders>
              <w:bottom w:val="single" w:color="auto" w:sz="4" w:space="0"/>
            </w:tcBorders>
            <w:shd w:val="clear" w:color="auto" w:fill="FFFFFF"/>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50" w:type="dxa"/>
            <w:vMerge w:val="continue"/>
            <w:tcBorders>
              <w:bottom w:val="single" w:color="auto" w:sz="4" w:space="0"/>
            </w:tcBorders>
            <w:shd w:val="clear" w:color="auto" w:fill="FFFFFF"/>
            <w:vAlign w:val="center"/>
          </w:tcPr>
          <w:p>
            <w:pPr>
              <w:widowControl/>
              <w:jc w:val="left"/>
              <w:outlineLvl w:val="1"/>
              <w:rPr>
                <w:rFonts w:ascii="仿宋_GB2312" w:hAnsi="宋体" w:eastAsia="仿宋_GB2312"/>
                <w:b/>
                <w:kern w:val="0"/>
                <w:sz w:val="18"/>
                <w:szCs w:val="18"/>
              </w:rPr>
            </w:pPr>
          </w:p>
        </w:tc>
        <w:tc>
          <w:tcPr>
            <w:tcW w:w="1242" w:type="dxa"/>
            <w:vMerge w:val="continue"/>
            <w:tcBorders>
              <w:bottom w:val="single" w:color="auto" w:sz="4" w:space="0"/>
            </w:tcBorders>
            <w:shd w:val="clear" w:color="auto" w:fill="FFFFFF"/>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FFFFFF"/>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FFFFFF"/>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FFFFFF"/>
            <w:vAlign w:val="center"/>
          </w:tcPr>
          <w:p>
            <w:pPr>
              <w:jc w:val="right"/>
              <w:rPr>
                <w:rFonts w:ascii="仿宋" w:hAnsi="仿宋" w:eastAsia="仿宋" w:cs="仿宋"/>
                <w:kern w:val="0"/>
                <w:sz w:val="18"/>
                <w:szCs w:val="18"/>
              </w:rPr>
            </w:pPr>
            <w:r>
              <w:rPr>
                <w:rFonts w:hint="eastAsia" w:ascii="仿宋" w:hAnsi="仿宋" w:eastAsia="仿宋" w:cs="仿宋"/>
                <w:color w:val="000000"/>
                <w:sz w:val="18"/>
                <w:szCs w:val="18"/>
              </w:rPr>
              <w:t>201</w:t>
            </w:r>
          </w:p>
        </w:tc>
        <w:tc>
          <w:tcPr>
            <w:tcW w:w="495" w:type="dxa"/>
            <w:shd w:val="clear" w:color="auto" w:fill="FFFFFF"/>
            <w:vAlign w:val="center"/>
          </w:tcPr>
          <w:p>
            <w:pPr>
              <w:jc w:val="right"/>
              <w:rPr>
                <w:rFonts w:ascii="仿宋" w:hAnsi="仿宋" w:eastAsia="仿宋" w:cs="仿宋"/>
                <w:kern w:val="0"/>
                <w:sz w:val="18"/>
                <w:szCs w:val="18"/>
              </w:rPr>
            </w:pPr>
            <w:r>
              <w:rPr>
                <w:rFonts w:hint="eastAsia" w:ascii="仿宋" w:hAnsi="仿宋" w:eastAsia="仿宋" w:cs="仿宋"/>
                <w:color w:val="000000"/>
                <w:sz w:val="18"/>
                <w:szCs w:val="18"/>
              </w:rPr>
              <w:t>38</w:t>
            </w:r>
          </w:p>
        </w:tc>
        <w:tc>
          <w:tcPr>
            <w:tcW w:w="495" w:type="dxa"/>
            <w:shd w:val="clear" w:color="auto" w:fill="FFFFFF"/>
            <w:vAlign w:val="center"/>
          </w:tcPr>
          <w:p>
            <w:pPr>
              <w:jc w:val="right"/>
              <w:rPr>
                <w:rFonts w:ascii="仿宋" w:hAnsi="仿宋" w:eastAsia="仿宋" w:cs="仿宋"/>
                <w:kern w:val="0"/>
                <w:sz w:val="18"/>
                <w:szCs w:val="18"/>
              </w:rPr>
            </w:pPr>
            <w:r>
              <w:rPr>
                <w:rFonts w:hint="eastAsia" w:ascii="仿宋" w:hAnsi="仿宋" w:eastAsia="仿宋" w:cs="仿宋"/>
                <w:color w:val="000000"/>
                <w:sz w:val="18"/>
                <w:szCs w:val="18"/>
              </w:rPr>
              <w:t>12</w:t>
            </w:r>
          </w:p>
        </w:tc>
        <w:tc>
          <w:tcPr>
            <w:tcW w:w="750" w:type="dxa"/>
            <w:shd w:val="clear" w:color="auto" w:fill="FFFFFF"/>
            <w:vAlign w:val="center"/>
          </w:tcPr>
          <w:p>
            <w:pPr>
              <w:jc w:val="left"/>
              <w:rPr>
                <w:rFonts w:ascii="仿宋" w:hAnsi="仿宋" w:eastAsia="仿宋" w:cs="仿宋"/>
                <w:kern w:val="0"/>
                <w:sz w:val="18"/>
                <w:szCs w:val="18"/>
              </w:rPr>
            </w:pPr>
            <w:r>
              <w:rPr>
                <w:rFonts w:hint="eastAsia" w:ascii="仿宋" w:hAnsi="仿宋" w:eastAsia="仿宋" w:cs="仿宋"/>
                <w:color w:val="000000"/>
                <w:sz w:val="18"/>
                <w:szCs w:val="18"/>
              </w:rPr>
              <w:t>药品事务</w:t>
            </w:r>
          </w:p>
        </w:tc>
        <w:tc>
          <w:tcPr>
            <w:tcW w:w="1242" w:type="dxa"/>
            <w:shd w:val="clear" w:color="auto" w:fill="FFFFFF"/>
            <w:vAlign w:val="center"/>
          </w:tcPr>
          <w:p>
            <w:pPr>
              <w:jc w:val="left"/>
              <w:rPr>
                <w:rFonts w:ascii="仿宋" w:hAnsi="仿宋" w:eastAsia="仿宋" w:cs="仿宋"/>
                <w:kern w:val="0"/>
                <w:sz w:val="18"/>
                <w:szCs w:val="18"/>
              </w:rPr>
            </w:pPr>
            <w:r>
              <w:rPr>
                <w:rFonts w:hint="eastAsia" w:ascii="仿宋" w:hAnsi="仿宋" w:eastAsia="仿宋" w:cs="仿宋"/>
                <w:color w:val="000000"/>
                <w:sz w:val="18"/>
                <w:szCs w:val="18"/>
              </w:rPr>
              <w:t>药品事务专项业务经费</w:t>
            </w:r>
          </w:p>
        </w:tc>
        <w:tc>
          <w:tcPr>
            <w:tcW w:w="750" w:type="dxa"/>
            <w:shd w:val="clear" w:color="auto" w:fill="FFFFFF"/>
          </w:tcPr>
          <w:p>
            <w:pPr>
              <w:widowControl/>
              <w:jc w:val="left"/>
              <w:outlineLvl w:val="1"/>
              <w:rPr>
                <w:rFonts w:ascii="仿宋_GB2312" w:hAnsi="宋体" w:eastAsia="仿宋_GB2312"/>
                <w:kern w:val="0"/>
                <w:sz w:val="18"/>
                <w:szCs w:val="18"/>
              </w:rPr>
            </w:pPr>
            <w:r>
              <w:rPr>
                <w:rFonts w:hint="eastAsia" w:ascii="仿宋" w:hAnsi="仿宋" w:eastAsia="仿宋" w:cs="仿宋"/>
                <w:kern w:val="0"/>
                <w:sz w:val="20"/>
                <w:szCs w:val="20"/>
              </w:rPr>
              <w:t>　11</w:t>
            </w:r>
          </w:p>
        </w:tc>
        <w:tc>
          <w:tcPr>
            <w:tcW w:w="569" w:type="dxa"/>
            <w:shd w:val="clear" w:color="auto" w:fill="FFFFFF"/>
          </w:tcPr>
          <w:p>
            <w:pPr>
              <w:widowControl/>
              <w:jc w:val="left"/>
              <w:outlineLvl w:val="1"/>
              <w:rPr>
                <w:rFonts w:ascii="仿宋_GB2312" w:hAnsi="宋体" w:eastAsia="仿宋_GB2312"/>
                <w:kern w:val="0"/>
                <w:sz w:val="18"/>
                <w:szCs w:val="18"/>
              </w:rPr>
            </w:pPr>
            <w:r>
              <w:rPr>
                <w:rFonts w:hint="eastAsia" w:ascii="仿宋" w:hAnsi="仿宋" w:eastAsia="仿宋" w:cs="仿宋"/>
                <w:kern w:val="0"/>
                <w:sz w:val="20"/>
                <w:szCs w:val="20"/>
              </w:rPr>
              <w:t>　</w:t>
            </w:r>
          </w:p>
        </w:tc>
        <w:tc>
          <w:tcPr>
            <w:tcW w:w="536" w:type="dxa"/>
          </w:tcPr>
          <w:p>
            <w:pPr>
              <w:widowControl/>
              <w:jc w:val="left"/>
              <w:outlineLvl w:val="1"/>
              <w:rPr>
                <w:rFonts w:ascii="仿宋_GB2312" w:hAnsi="宋体" w:eastAsia="仿宋_GB2312"/>
                <w:kern w:val="0"/>
                <w:sz w:val="18"/>
                <w:szCs w:val="18"/>
              </w:rPr>
            </w:pPr>
            <w:r>
              <w:rPr>
                <w:rFonts w:hint="eastAsia" w:ascii="仿宋" w:hAnsi="仿宋" w:eastAsia="仿宋" w:cs="仿宋"/>
                <w:kern w:val="0"/>
                <w:sz w:val="20"/>
                <w:szCs w:val="20"/>
              </w:rPr>
              <w:t>11</w:t>
            </w: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shd w:val="clear" w:color="auto" w:fill="FFFFFF"/>
          </w:tcPr>
          <w:p>
            <w:pPr>
              <w:widowControl/>
              <w:jc w:val="center"/>
              <w:outlineLvl w:val="1"/>
              <w:rPr>
                <w:rFonts w:ascii="仿宋_GB2312" w:hAnsi="宋体" w:eastAsia="仿宋_GB2312"/>
                <w:kern w:val="0"/>
                <w:sz w:val="18"/>
                <w:szCs w:val="18"/>
              </w:rPr>
            </w:pPr>
          </w:p>
        </w:tc>
        <w:tc>
          <w:tcPr>
            <w:tcW w:w="495" w:type="dxa"/>
            <w:shd w:val="clear" w:color="auto" w:fill="FFFFFF"/>
          </w:tcPr>
          <w:p>
            <w:pPr>
              <w:widowControl/>
              <w:jc w:val="center"/>
              <w:outlineLvl w:val="1"/>
              <w:rPr>
                <w:rFonts w:ascii="仿宋_GB2312" w:hAnsi="宋体" w:eastAsia="仿宋_GB2312"/>
                <w:kern w:val="0"/>
                <w:sz w:val="18"/>
                <w:szCs w:val="18"/>
              </w:rPr>
            </w:pPr>
          </w:p>
        </w:tc>
        <w:tc>
          <w:tcPr>
            <w:tcW w:w="495" w:type="dxa"/>
            <w:shd w:val="clear" w:color="auto" w:fill="FFFFFF"/>
          </w:tcPr>
          <w:p>
            <w:pPr>
              <w:widowControl/>
              <w:jc w:val="center"/>
              <w:outlineLvl w:val="1"/>
              <w:rPr>
                <w:rFonts w:ascii="仿宋_GB2312" w:hAnsi="宋体" w:eastAsia="仿宋_GB2312"/>
                <w:kern w:val="0"/>
                <w:sz w:val="18"/>
                <w:szCs w:val="18"/>
              </w:rPr>
            </w:pPr>
          </w:p>
        </w:tc>
        <w:tc>
          <w:tcPr>
            <w:tcW w:w="750" w:type="dxa"/>
            <w:shd w:val="clear" w:color="auto" w:fill="FFFFFF"/>
          </w:tcPr>
          <w:p>
            <w:pPr>
              <w:widowControl/>
              <w:jc w:val="center"/>
              <w:outlineLvl w:val="1"/>
              <w:rPr>
                <w:rFonts w:ascii="仿宋_GB2312" w:hAnsi="宋体" w:eastAsia="仿宋_GB2312"/>
                <w:kern w:val="0"/>
                <w:sz w:val="18"/>
                <w:szCs w:val="18"/>
              </w:rPr>
            </w:pPr>
          </w:p>
        </w:tc>
        <w:tc>
          <w:tcPr>
            <w:tcW w:w="1242" w:type="dxa"/>
            <w:shd w:val="clear" w:color="auto" w:fill="FFFFFF"/>
          </w:tcPr>
          <w:p>
            <w:pPr>
              <w:widowControl/>
              <w:jc w:val="center"/>
              <w:outlineLvl w:val="1"/>
              <w:rPr>
                <w:rFonts w:ascii="仿宋_GB2312" w:hAnsi="宋体" w:eastAsia="仿宋_GB2312"/>
                <w:kern w:val="0"/>
                <w:sz w:val="18"/>
                <w:szCs w:val="18"/>
              </w:rPr>
            </w:pPr>
          </w:p>
        </w:tc>
        <w:tc>
          <w:tcPr>
            <w:tcW w:w="750" w:type="dxa"/>
            <w:shd w:val="clear" w:color="auto" w:fill="FFFFFF"/>
          </w:tcPr>
          <w:p>
            <w:pPr>
              <w:widowControl/>
              <w:jc w:val="center"/>
              <w:outlineLvl w:val="1"/>
              <w:rPr>
                <w:rFonts w:ascii="仿宋_GB2312" w:hAnsi="宋体" w:eastAsia="仿宋_GB2312"/>
                <w:kern w:val="0"/>
                <w:sz w:val="18"/>
                <w:szCs w:val="18"/>
              </w:rPr>
            </w:pPr>
          </w:p>
        </w:tc>
        <w:tc>
          <w:tcPr>
            <w:tcW w:w="569" w:type="dxa"/>
            <w:shd w:val="clear" w:color="auto" w:fill="FFFFFF"/>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1242"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1242"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1242"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495"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1242" w:type="dxa"/>
            <w:vAlign w:val="top"/>
          </w:tcPr>
          <w:p>
            <w:pPr>
              <w:jc w:val="center"/>
              <w:rPr>
                <w:rFonts w:ascii="仿宋" w:hAnsi="仿宋" w:eastAsia="仿宋" w:cs="仿宋"/>
                <w:color w:val="000000"/>
                <w:sz w:val="18"/>
                <w:szCs w:val="18"/>
              </w:rPr>
            </w:pPr>
          </w:p>
          <w:p>
            <w:pPr>
              <w:jc w:val="center"/>
              <w:rPr>
                <w:rFonts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合计</w:t>
            </w:r>
          </w:p>
        </w:tc>
        <w:tc>
          <w:tcPr>
            <w:tcW w:w="750" w:type="dxa"/>
            <w:vAlign w:val="top"/>
          </w:tcPr>
          <w:p>
            <w:pPr>
              <w:widowControl/>
              <w:jc w:val="left"/>
              <w:outlineLvl w:val="1"/>
              <w:rPr>
                <w:rFonts w:ascii="仿宋" w:hAnsi="仿宋" w:eastAsia="仿宋" w:cs="仿宋"/>
                <w:kern w:val="0"/>
                <w:sz w:val="20"/>
                <w:szCs w:val="20"/>
                <w:lang w:val="en-US" w:eastAsia="zh-CN" w:bidi="ar-SA"/>
              </w:rPr>
            </w:pPr>
            <w:r>
              <w:rPr>
                <w:rFonts w:hint="eastAsia" w:ascii="仿宋" w:hAnsi="仿宋" w:eastAsia="仿宋" w:cs="仿宋"/>
                <w:kern w:val="0"/>
                <w:sz w:val="20"/>
                <w:szCs w:val="20"/>
              </w:rPr>
              <w:t>　11</w:t>
            </w:r>
          </w:p>
        </w:tc>
        <w:tc>
          <w:tcPr>
            <w:tcW w:w="569" w:type="dxa"/>
            <w:vAlign w:val="top"/>
          </w:tcPr>
          <w:p>
            <w:pPr>
              <w:widowControl/>
              <w:jc w:val="left"/>
              <w:outlineLvl w:val="1"/>
              <w:rPr>
                <w:rFonts w:ascii="仿宋" w:hAnsi="仿宋" w:eastAsia="仿宋" w:cs="仿宋"/>
                <w:kern w:val="0"/>
                <w:sz w:val="20"/>
                <w:szCs w:val="20"/>
                <w:lang w:val="en-US" w:eastAsia="zh-CN" w:bidi="ar-SA"/>
              </w:rPr>
            </w:pPr>
            <w:r>
              <w:rPr>
                <w:rFonts w:hint="eastAsia" w:ascii="仿宋" w:hAnsi="仿宋" w:eastAsia="仿宋" w:cs="仿宋"/>
                <w:kern w:val="0"/>
                <w:sz w:val="20"/>
                <w:szCs w:val="20"/>
              </w:rPr>
              <w:t>　</w:t>
            </w:r>
          </w:p>
        </w:tc>
        <w:tc>
          <w:tcPr>
            <w:tcW w:w="536" w:type="dxa"/>
            <w:vAlign w:val="top"/>
          </w:tcPr>
          <w:p>
            <w:pPr>
              <w:widowControl/>
              <w:jc w:val="left"/>
              <w:outlineLvl w:val="1"/>
              <w:rPr>
                <w:rFonts w:ascii="仿宋" w:hAnsi="仿宋" w:eastAsia="仿宋" w:cs="仿宋"/>
                <w:kern w:val="0"/>
                <w:sz w:val="20"/>
                <w:szCs w:val="20"/>
                <w:lang w:val="en-US" w:eastAsia="zh-CN" w:bidi="ar-SA"/>
              </w:rPr>
            </w:pPr>
            <w:r>
              <w:rPr>
                <w:rFonts w:hint="eastAsia" w:ascii="仿宋" w:hAnsi="仿宋" w:eastAsia="仿宋" w:cs="仿宋"/>
                <w:kern w:val="0"/>
                <w:sz w:val="20"/>
                <w:szCs w:val="20"/>
              </w:rPr>
              <w:t>11</w:t>
            </w:r>
          </w:p>
        </w:tc>
        <w:tc>
          <w:tcPr>
            <w:tcW w:w="652"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652"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578" w:type="dxa"/>
            <w:gridSpan w:val="2"/>
            <w:vAlign w:val="top"/>
          </w:tcPr>
          <w:p>
            <w:pPr>
              <w:widowControl/>
              <w:jc w:val="center"/>
              <w:outlineLvl w:val="1"/>
              <w:rPr>
                <w:rFonts w:ascii="仿宋_GB2312" w:hAnsi="宋体" w:eastAsia="仿宋_GB2312" w:cs="Times New Roman"/>
                <w:kern w:val="0"/>
                <w:sz w:val="18"/>
                <w:szCs w:val="18"/>
                <w:lang w:val="en-US" w:eastAsia="zh-CN" w:bidi="ar-SA"/>
              </w:rPr>
            </w:pPr>
          </w:p>
        </w:tc>
        <w:tc>
          <w:tcPr>
            <w:tcW w:w="419"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578"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420"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420" w:type="dxa"/>
            <w:vAlign w:val="top"/>
          </w:tcPr>
          <w:p>
            <w:pPr>
              <w:widowControl/>
              <w:jc w:val="center"/>
              <w:outlineLvl w:val="1"/>
              <w:rPr>
                <w:rFonts w:ascii="仿宋_GB2312" w:hAnsi="宋体" w:eastAsia="仿宋_GB2312" w:cs="Times New Roman"/>
                <w:kern w:val="0"/>
                <w:sz w:val="18"/>
                <w:szCs w:val="18"/>
                <w:lang w:val="en-US" w:eastAsia="zh-CN" w:bidi="ar-SA"/>
              </w:rPr>
            </w:pPr>
          </w:p>
        </w:tc>
        <w:tc>
          <w:tcPr>
            <w:tcW w:w="468" w:type="dxa"/>
            <w:gridSpan w:val="2"/>
            <w:vAlign w:val="top"/>
          </w:tcPr>
          <w:p>
            <w:pPr>
              <w:widowControl/>
              <w:jc w:val="center"/>
              <w:outlineLvl w:val="1"/>
              <w:rPr>
                <w:rFonts w:ascii="仿宋_GB2312" w:hAnsi="宋体" w:eastAsia="仿宋_GB2312" w:cs="Times New Roman"/>
                <w:kern w:val="0"/>
                <w:sz w:val="18"/>
                <w:szCs w:val="18"/>
                <w:lang w:val="en-US" w:eastAsia="zh-CN" w:bidi="ar-SA"/>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编制单位：昌吉州食品药品检验所                                 单位：万元</w:t>
      </w:r>
    </w:p>
    <w:tbl>
      <w:tblPr>
        <w:tblStyle w:val="4"/>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编制单位：昌吉州食品药品检验所                                  单位：万元</w:t>
      </w:r>
    </w:p>
    <w:tbl>
      <w:tblPr>
        <w:tblStyle w:val="4"/>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无</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2020年收支预算情况的总体说明</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按照全口径预算的原则，昌吉州食品药品检验所2020年所有收入和支出均纳入部门预算管理。收支总预算408.21万元。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昌吉州食品药品检验所收入预算408.21万元，其中：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一般公共预算408.21万元，占100 %，</w:t>
      </w:r>
      <w:r>
        <w:rPr>
          <w:rFonts w:hint="eastAsia" w:ascii="仿宋_GB2312" w:hAnsi="宋体" w:eastAsia="仿宋_GB2312" w:cs="宋体"/>
          <w:kern w:val="0"/>
          <w:sz w:val="32"/>
          <w:szCs w:val="32"/>
          <w:lang w:eastAsia="zh-CN"/>
        </w:rPr>
        <w:t>比</w:t>
      </w:r>
      <w:r>
        <w:rPr>
          <w:rFonts w:hint="eastAsia" w:ascii="仿宋" w:hAnsi="仿宋" w:eastAsia="仿宋" w:cs="仿宋"/>
          <w:sz w:val="32"/>
          <w:szCs w:val="32"/>
        </w:rPr>
        <w:t>上年减少36.89万元，下降8.29%，主要原因</w:t>
      </w:r>
      <w:r>
        <w:rPr>
          <w:rFonts w:hint="eastAsia" w:ascii="仿宋" w:hAnsi="仿宋" w:eastAsia="仿宋" w:cs="仿宋"/>
          <w:sz w:val="32"/>
          <w:szCs w:val="32"/>
          <w:lang w:eastAsia="zh-CN"/>
        </w:rPr>
        <w:t>是</w:t>
      </w:r>
      <w:r>
        <w:rPr>
          <w:rFonts w:hint="eastAsia" w:ascii="仿宋" w:hAnsi="仿宋" w:eastAsia="仿宋" w:cs="仿宋"/>
          <w:sz w:val="32"/>
          <w:szCs w:val="32"/>
        </w:rPr>
        <w:t>2019年新增退休人员2人，导致人员经费下降，我单位严格遵守财经纪律，缩减开支。</w:t>
      </w:r>
      <w:r>
        <w:rPr>
          <w:rFonts w:hint="eastAsia" w:ascii="华文仿宋" w:hAnsi="华文仿宋" w:eastAsia="华文仿宋" w:cs="华文仿宋"/>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或</w:t>
      </w:r>
      <w:r>
        <w:rPr>
          <w:rFonts w:hint="eastAsia" w:ascii="仿宋_GB2312" w:hAnsi="宋体" w:eastAsia="仿宋_GB2312" w:cs="宋体"/>
          <w:kern w:val="0"/>
          <w:sz w:val="32"/>
          <w:szCs w:val="32"/>
        </w:rPr>
        <w:t>0万元，占0%，比上年增加0万元，主要原因是无政府性基金预算收入；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昌吉州食品药品检验所单位2020年支出预算408.21万元，其中：</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基本支出397.21万元，</w:t>
      </w:r>
      <w:r>
        <w:rPr>
          <w:rFonts w:hint="eastAsia" w:ascii="仿宋_GB2312" w:hAnsi="宋体" w:eastAsia="仿宋_GB2312" w:cs="宋体"/>
          <w:kern w:val="0"/>
          <w:sz w:val="32"/>
          <w:szCs w:val="32"/>
        </w:rPr>
        <w:t>占97.31%，</w:t>
      </w:r>
      <w:r>
        <w:rPr>
          <w:rFonts w:hint="eastAsia" w:ascii="仿宋" w:hAnsi="仿宋" w:eastAsia="仿宋" w:cs="仿宋"/>
          <w:sz w:val="32"/>
          <w:szCs w:val="32"/>
          <w:lang w:eastAsia="zh-CN"/>
        </w:rPr>
        <w:t>比</w:t>
      </w:r>
      <w:r>
        <w:rPr>
          <w:rFonts w:hint="eastAsia" w:ascii="仿宋" w:hAnsi="仿宋" w:eastAsia="仿宋" w:cs="仿宋"/>
          <w:sz w:val="32"/>
          <w:szCs w:val="32"/>
        </w:rPr>
        <w:t>上年减少36.89万元，下降8.5%，主要原因是：2019年新增退休人员2人，我单位严格遵守财经纪律，缩减开支。</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项目支出11万元，占2.69%，比上年增加0万元，主要原因是</w:t>
      </w:r>
      <w:r>
        <w:rPr>
          <w:rFonts w:hint="eastAsia" w:ascii="仿宋_GB2312" w:hAnsi="宋体" w:eastAsia="仿宋_GB2312" w:cs="宋体"/>
          <w:kern w:val="0"/>
          <w:sz w:val="32"/>
          <w:szCs w:val="32"/>
          <w:lang w:eastAsia="zh-CN"/>
        </w:rPr>
        <w:t>项目内容和经费</w:t>
      </w:r>
      <w:r>
        <w:rPr>
          <w:rFonts w:hint="eastAsia" w:ascii="仿宋_GB2312" w:hAnsi="宋体" w:eastAsia="仿宋_GB2312" w:cs="宋体"/>
          <w:kern w:val="0"/>
          <w:sz w:val="32"/>
          <w:szCs w:val="32"/>
        </w:rPr>
        <w:t>与上年相比无变化。</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kern w:val="0"/>
          <w:sz w:val="32"/>
          <w:szCs w:val="32"/>
          <w:highlight w:val="none"/>
        </w:rPr>
        <w:t>昌吉州食品药品检验所</w:t>
      </w:r>
      <w:r>
        <w:rPr>
          <w:rFonts w:hint="eastAsia" w:ascii="黑体" w:hAnsi="黑体" w:eastAsia="黑体" w:cs="宋体"/>
          <w:bCs/>
          <w:kern w:val="0"/>
          <w:sz w:val="32"/>
          <w:szCs w:val="32"/>
          <w:highlight w:val="none"/>
        </w:rPr>
        <w:t>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w:t>
      </w:r>
      <w:r>
        <w:rPr>
          <w:rFonts w:hint="eastAsia" w:ascii="仿宋_GB2312" w:hAnsi="宋体" w:eastAsia="仿宋_GB2312" w:cs="宋体"/>
          <w:kern w:val="0"/>
          <w:sz w:val="32"/>
          <w:szCs w:val="32"/>
          <w:lang w:val="en-US" w:eastAsia="zh-CN"/>
        </w:rPr>
        <w:t>408.21</w:t>
      </w:r>
      <w:r>
        <w:rPr>
          <w:rFonts w:hint="eastAsia" w:ascii="仿宋_GB2312" w:hAnsi="宋体" w:eastAsia="仿宋_GB2312" w:cs="宋体"/>
          <w:kern w:val="0"/>
          <w:sz w:val="32"/>
          <w:szCs w:val="32"/>
        </w:rPr>
        <w:t>万元。</w:t>
      </w:r>
    </w:p>
    <w:p>
      <w:pPr>
        <w:spacing w:line="560" w:lineRule="exact"/>
        <w:ind w:left="638" w:leftChars="304" w:firstLine="0" w:firstLineChars="0"/>
        <w:rPr>
          <w:rFonts w:hint="eastAsia" w:ascii="黑体" w:hAnsi="黑体" w:eastAsia="黑体" w:cs="宋体"/>
          <w:bCs/>
          <w:kern w:val="0"/>
          <w:sz w:val="32"/>
          <w:szCs w:val="32"/>
          <w:highlight w:val="none"/>
          <w:lang w:eastAsia="zh-CN"/>
        </w:rPr>
      </w:pPr>
      <w:r>
        <w:rPr>
          <w:rFonts w:hint="eastAsia" w:ascii="仿宋_GB2312" w:hAnsi="宋体" w:eastAsia="仿宋_GB2312" w:cs="宋体"/>
          <w:spacing w:val="-6"/>
          <w:kern w:val="0"/>
          <w:sz w:val="32"/>
          <w:szCs w:val="32"/>
        </w:rPr>
        <w:t>收入全部为一般公共预算拨款，无政府性基金预算拨款。</w:t>
      </w:r>
      <w:r>
        <w:rPr>
          <w:rFonts w:hint="eastAsia" w:ascii="黑体" w:hAnsi="黑体" w:eastAsia="黑体" w:cs="宋体"/>
          <w:bCs/>
          <w:kern w:val="0"/>
          <w:sz w:val="32"/>
          <w:szCs w:val="32"/>
          <w:highlight w:val="none"/>
        </w:rPr>
        <w:t>五、关于昌吉州食品药品检验所2020年一般公共</w:t>
      </w:r>
      <w:r>
        <w:rPr>
          <w:rFonts w:hint="eastAsia" w:ascii="黑体" w:hAnsi="黑体" w:eastAsia="黑体" w:cs="宋体"/>
          <w:bCs/>
          <w:kern w:val="0"/>
          <w:sz w:val="32"/>
          <w:szCs w:val="32"/>
          <w:highlight w:val="none"/>
          <w:lang w:eastAsia="zh-CN"/>
        </w:rPr>
        <w:t>预算</w:t>
      </w:r>
    </w:p>
    <w:p>
      <w:pPr>
        <w:spacing w:line="560" w:lineRule="exact"/>
        <w:rPr>
          <w:rFonts w:hint="eastAsia" w:ascii="黑体" w:hAnsi="黑体" w:eastAsia="黑体" w:cs="宋体"/>
          <w:bCs/>
          <w:kern w:val="0"/>
          <w:sz w:val="32"/>
          <w:szCs w:val="32"/>
          <w:highlight w:val="none"/>
        </w:rPr>
      </w:pPr>
      <w:r>
        <w:rPr>
          <w:rFonts w:hint="eastAsia" w:ascii="黑体" w:hAnsi="黑体" w:eastAsia="黑体" w:cs="宋体"/>
          <w:bCs/>
          <w:kern w:val="0"/>
          <w:sz w:val="32"/>
          <w:szCs w:val="32"/>
          <w:highlight w:val="none"/>
        </w:rPr>
        <w:t>当年拨款情况说明</w:t>
      </w:r>
    </w:p>
    <w:p>
      <w:pPr>
        <w:spacing w:line="560" w:lineRule="exact"/>
        <w:ind w:firstLine="640" w:firstLineChars="200"/>
        <w:rPr>
          <w:rFonts w:ascii="楷体_GB2312" w:hAnsi="宋体" w:eastAsia="楷体_GB2312" w:cs="宋体"/>
          <w:b/>
          <w:kern w:val="0"/>
          <w:sz w:val="32"/>
          <w:szCs w:val="32"/>
        </w:rPr>
      </w:pPr>
      <w:r>
        <w:rPr>
          <w:rFonts w:hint="eastAsia" w:ascii="黑体" w:hAnsi="黑体" w:eastAsia="黑体" w:cs="宋体"/>
          <w:bCs/>
          <w:kern w:val="0"/>
          <w:sz w:val="32"/>
          <w:szCs w:val="32"/>
          <w:highlight w:val="none"/>
        </w:rPr>
        <w:t>（一）一般公用预算当年拨</w:t>
      </w:r>
      <w:r>
        <w:rPr>
          <w:rFonts w:hint="eastAsia" w:ascii="楷体_GB2312" w:hAnsi="宋体" w:eastAsia="楷体_GB2312" w:cs="宋体"/>
          <w:b/>
          <w:kern w:val="0"/>
          <w:sz w:val="32"/>
          <w:szCs w:val="32"/>
        </w:rPr>
        <w:t>款规模变化情况</w:t>
      </w:r>
    </w:p>
    <w:p>
      <w:pPr>
        <w:spacing w:line="560" w:lineRule="exact"/>
        <w:ind w:firstLine="640" w:firstLineChars="200"/>
        <w:rPr>
          <w:rFonts w:ascii="仿宋" w:hAnsi="仿宋" w:eastAsia="仿宋" w:cs="仿宋"/>
          <w:sz w:val="32"/>
          <w:szCs w:val="32"/>
        </w:rPr>
      </w:pPr>
      <w:r>
        <w:rPr>
          <w:rFonts w:hint="eastAsia" w:ascii="仿宋_GB2312" w:hAnsi="宋体" w:eastAsia="仿宋_GB2312" w:cs="宋体"/>
          <w:kern w:val="0"/>
          <w:sz w:val="32"/>
          <w:szCs w:val="32"/>
        </w:rPr>
        <w:t>昌吉州食品药品检验所2020年一般公共预算拨款基本支出397.21万元，占97.31%，</w:t>
      </w:r>
      <w:r>
        <w:rPr>
          <w:rFonts w:hint="eastAsia" w:ascii="仿宋" w:hAnsi="仿宋" w:eastAsia="仿宋" w:cs="仿宋"/>
          <w:sz w:val="32"/>
          <w:szCs w:val="32"/>
          <w:lang w:eastAsia="zh-CN"/>
        </w:rPr>
        <w:t>比</w:t>
      </w:r>
      <w:r>
        <w:rPr>
          <w:rFonts w:hint="eastAsia" w:ascii="仿宋" w:hAnsi="仿宋" w:eastAsia="仿宋" w:cs="仿宋"/>
          <w:sz w:val="32"/>
          <w:szCs w:val="32"/>
        </w:rPr>
        <w:t>上年减少36.89万元，下降8.5%，主要原因是：2019年新增退休人员2人，我单位严格遵守财经纪律，缩减开支。</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1.</w:t>
      </w:r>
      <w:r>
        <w:rPr>
          <w:rFonts w:hint="eastAsia" w:ascii="仿宋_GB2312" w:eastAsia="仿宋_GB2312"/>
          <w:sz w:val="32"/>
          <w:szCs w:val="32"/>
          <w:highlight w:val="none"/>
          <w:lang w:eastAsia="zh-CN"/>
        </w:rPr>
        <w:t>一般公共服务</w:t>
      </w:r>
      <w:r>
        <w:rPr>
          <w:rFonts w:hint="eastAsia" w:ascii="仿宋_GB2312" w:eastAsia="仿宋_GB2312"/>
          <w:sz w:val="32"/>
          <w:szCs w:val="32"/>
          <w:highlight w:val="none"/>
        </w:rPr>
        <w:t>（类）</w:t>
      </w:r>
      <w:r>
        <w:rPr>
          <w:rFonts w:hint="eastAsia" w:ascii="楷体_GB2312" w:eastAsia="楷体_GB2312"/>
          <w:sz w:val="32"/>
          <w:szCs w:val="32"/>
          <w:highlight w:val="none"/>
        </w:rPr>
        <w:t xml:space="preserve"> 397.21</w:t>
      </w:r>
      <w:r>
        <w:rPr>
          <w:rFonts w:hint="eastAsia" w:ascii="仿宋_GB2312" w:hAnsi="宋体" w:eastAsia="仿宋_GB2312" w:cs="宋体"/>
          <w:kern w:val="0"/>
          <w:sz w:val="32"/>
          <w:szCs w:val="32"/>
          <w:highlight w:val="none"/>
        </w:rPr>
        <w:t>万元，占97.31%。</w:t>
      </w:r>
    </w:p>
    <w:p>
      <w:pPr>
        <w:spacing w:line="580" w:lineRule="exact"/>
        <w:ind w:firstLine="640"/>
        <w:rPr>
          <w:rFonts w:ascii="仿宋_GB2312" w:eastAsia="仿宋_GB2312"/>
          <w:b/>
          <w:sz w:val="32"/>
          <w:szCs w:val="32"/>
          <w:highlight w:val="none"/>
        </w:rPr>
      </w:pPr>
      <w:r>
        <w:rPr>
          <w:rFonts w:hint="eastAsia" w:ascii="仿宋_GB2312" w:hAnsi="宋体" w:eastAsia="仿宋_GB2312" w:cs="宋体"/>
          <w:kern w:val="0"/>
          <w:sz w:val="32"/>
          <w:szCs w:val="32"/>
          <w:highlight w:val="none"/>
        </w:rPr>
        <w:t>2.</w:t>
      </w:r>
      <w:r>
        <w:rPr>
          <w:rFonts w:hint="eastAsia" w:ascii="仿宋_GB2312" w:eastAsia="仿宋_GB2312"/>
          <w:sz w:val="32"/>
          <w:szCs w:val="32"/>
          <w:highlight w:val="none"/>
          <w:lang w:eastAsia="zh-CN"/>
        </w:rPr>
        <w:t>一般公共服务</w:t>
      </w:r>
      <w:r>
        <w:rPr>
          <w:rFonts w:hint="eastAsia" w:ascii="仿宋_GB2312" w:eastAsia="仿宋_GB2312"/>
          <w:sz w:val="32"/>
          <w:szCs w:val="32"/>
          <w:highlight w:val="none"/>
        </w:rPr>
        <w:t>（类）</w:t>
      </w:r>
      <w:r>
        <w:rPr>
          <w:rFonts w:hint="eastAsia" w:ascii="楷体_GB2312" w:eastAsia="楷体_GB2312"/>
          <w:sz w:val="32"/>
          <w:szCs w:val="32"/>
          <w:highlight w:val="none"/>
        </w:rPr>
        <w:t xml:space="preserve"> 11</w:t>
      </w:r>
      <w:r>
        <w:rPr>
          <w:rFonts w:hint="eastAsia" w:ascii="仿宋_GB2312" w:hAnsi="宋体" w:eastAsia="仿宋_GB2312" w:cs="宋体"/>
          <w:kern w:val="0"/>
          <w:sz w:val="32"/>
          <w:szCs w:val="32"/>
          <w:highlight w:val="none"/>
        </w:rPr>
        <w:t>万元，占2.69%。</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spacing w:line="580" w:lineRule="exact"/>
        <w:ind w:firstLine="640"/>
        <w:rPr>
          <w:rFonts w:hint="eastAsia" w:ascii="仿宋" w:hAnsi="仿宋" w:eastAsia="仿宋" w:cs="仿宋"/>
          <w:sz w:val="32"/>
          <w:szCs w:val="32"/>
        </w:rPr>
      </w:pPr>
      <w:r>
        <w:rPr>
          <w:rFonts w:hint="eastAsia" w:ascii="仿宋_GB2312" w:hAnsi="宋体" w:eastAsia="仿宋_GB2312" w:cs="宋体"/>
          <w:kern w:val="0"/>
          <w:sz w:val="32"/>
          <w:szCs w:val="32"/>
          <w:highlight w:val="none"/>
          <w:lang w:val="en-US" w:eastAsia="zh-CN"/>
        </w:rPr>
        <w:t>1.</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lang w:eastAsia="zh-CN"/>
        </w:rPr>
        <w:t>市场监督管理事务</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事业</w:t>
      </w:r>
      <w:r>
        <w:rPr>
          <w:rFonts w:ascii="仿宋_GB2312" w:hAnsi="宋体" w:eastAsia="仿宋_GB2312" w:cs="宋体"/>
          <w:kern w:val="0"/>
          <w:sz w:val="32"/>
          <w:szCs w:val="32"/>
          <w:highlight w:val="none"/>
        </w:rPr>
        <w:t>运行（项）:</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rPr>
        <w:t>年预算数为</w:t>
      </w:r>
      <w:r>
        <w:rPr>
          <w:rFonts w:hint="eastAsia" w:ascii="楷体_GB2312" w:eastAsia="楷体_GB2312"/>
          <w:sz w:val="32"/>
          <w:szCs w:val="32"/>
          <w:highlight w:val="none"/>
        </w:rPr>
        <w:t>397.21</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rPr>
        <w:t>，</w:t>
      </w:r>
      <w:r>
        <w:rPr>
          <w:rFonts w:hint="eastAsia" w:ascii="仿宋" w:hAnsi="仿宋" w:eastAsia="仿宋" w:cs="仿宋"/>
          <w:sz w:val="32"/>
          <w:szCs w:val="32"/>
          <w:lang w:eastAsia="zh-CN"/>
        </w:rPr>
        <w:t>比</w:t>
      </w:r>
      <w:r>
        <w:rPr>
          <w:rFonts w:hint="eastAsia" w:ascii="仿宋" w:hAnsi="仿宋" w:eastAsia="仿宋" w:cs="仿宋"/>
          <w:sz w:val="32"/>
          <w:szCs w:val="32"/>
        </w:rPr>
        <w:t>上年减少36.89万元，下降8.5%，主要原因是：2019年新增退休人员2人，我单位严格遵守财经纪律，缩减开支。</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仿宋"/>
          <w:sz w:val="32"/>
          <w:szCs w:val="32"/>
          <w:lang w:val="en-US" w:eastAsia="zh-CN"/>
        </w:rPr>
        <w:t>2.</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lang w:eastAsia="zh-CN"/>
        </w:rPr>
        <w:t>市场监督管理事务</w:t>
      </w:r>
      <w:r>
        <w:rPr>
          <w:rFonts w:ascii="仿宋_GB2312" w:hAnsi="宋体" w:eastAsia="仿宋_GB2312" w:cs="宋体"/>
          <w:kern w:val="0"/>
          <w:sz w:val="32"/>
          <w:szCs w:val="32"/>
          <w:highlight w:val="none"/>
        </w:rPr>
        <w:t>（款）</w:t>
      </w:r>
      <w:r>
        <w:rPr>
          <w:rFonts w:hint="eastAsia" w:ascii="仿宋_GB2312" w:hAnsi="宋体" w:eastAsia="仿宋_GB2312" w:cs="宋体"/>
          <w:kern w:val="0"/>
          <w:sz w:val="32"/>
          <w:szCs w:val="32"/>
          <w:highlight w:val="none"/>
          <w:lang w:eastAsia="zh-CN"/>
        </w:rPr>
        <w:t>药品事务（项）：</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11万元，比上年增加0万元，主要原因是</w:t>
      </w:r>
      <w:r>
        <w:rPr>
          <w:rFonts w:hint="eastAsia" w:ascii="仿宋_GB2312" w:hAnsi="宋体" w:eastAsia="仿宋_GB2312" w:cs="宋体"/>
          <w:kern w:val="0"/>
          <w:sz w:val="32"/>
          <w:szCs w:val="32"/>
          <w:lang w:eastAsia="zh-CN"/>
        </w:rPr>
        <w:t>项目内容和经费</w:t>
      </w:r>
      <w:r>
        <w:rPr>
          <w:rFonts w:hint="eastAsia" w:ascii="仿宋_GB2312" w:hAnsi="宋体" w:eastAsia="仿宋_GB2312" w:cs="宋体"/>
          <w:kern w:val="0"/>
          <w:sz w:val="32"/>
          <w:szCs w:val="32"/>
        </w:rPr>
        <w:t>与上年相比无变化。</w:t>
      </w:r>
    </w:p>
    <w:p>
      <w:pPr>
        <w:spacing w:line="560" w:lineRule="exact"/>
        <w:rPr>
          <w:rFonts w:ascii="黑体" w:hAnsi="宋体" w:eastAsia="黑体" w:cs="宋体"/>
          <w:kern w:val="0"/>
          <w:sz w:val="32"/>
          <w:szCs w:val="32"/>
        </w:rPr>
      </w:pPr>
      <w:r>
        <w:rPr>
          <w:rFonts w:hint="eastAsia" w:ascii="仿宋_GB2312" w:hAnsi="宋体" w:eastAsia="仿宋_GB2312" w:cs="宋体"/>
          <w:b/>
          <w:kern w:val="0"/>
          <w:sz w:val="32"/>
          <w:szCs w:val="32"/>
        </w:rPr>
        <w:t xml:space="preserve">    </w:t>
      </w:r>
      <w:r>
        <w:rPr>
          <w:rFonts w:hint="eastAsia" w:ascii="黑体" w:hAnsi="宋体" w:eastAsia="黑体" w:cs="宋体"/>
          <w:kern w:val="0"/>
          <w:sz w:val="32"/>
          <w:szCs w:val="32"/>
        </w:rPr>
        <w:t>六、关于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2020年一般公共预算基本支出情况说明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昌吉州食品药品检验所20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年一般公共预算基本支出397.21万元，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360.29万元，主要包括：基本工资136.74万元、奖金9.08万元、伙食补助费35.28万元、绩效工资73.27万元、机关事业单位基本养老保险缴费35.05万元、职工基本医疗保险缴费24.18万元、公务员医疗补助缴费10.18万元、其他社会保障缴费1.75万元、住房公积金26.29万元、其他工资福利支出2.61万元、奖励金1.46万元、其他对个人和家庭的补助4.4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公用经费36.92万元，主要包括：办公费4.35万元、印刷费0.2万元、水费1.4万元、电费1.5万元、邮电费1万元、物业管理费1万元、差旅费5万元、维修（护）费1万元、培训费0.63万元、专用材料费2万元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劳务费3万元、工会经费2.73万元、福利费6.29万元、公务用车运行维护费1.5万元、其他商品和服务支出5.32万元等。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kern w:val="0"/>
          <w:sz w:val="32"/>
          <w:szCs w:val="32"/>
        </w:rPr>
        <w:t>昌吉州食品药品检验所2020</w:t>
      </w:r>
      <w:r>
        <w:rPr>
          <w:rFonts w:hint="eastAsia" w:ascii="黑体" w:hAnsi="宋体" w:eastAsia="黑体" w:cs="宋体"/>
          <w:kern w:val="0"/>
          <w:sz w:val="32"/>
          <w:szCs w:val="32"/>
        </w:rPr>
        <w:t>年项目支出情况说明</w:t>
      </w:r>
    </w:p>
    <w:p>
      <w:pPr>
        <w:widowControl/>
        <w:spacing w:line="580" w:lineRule="exact"/>
        <w:ind w:firstLine="640"/>
        <w:jc w:val="left"/>
        <w:rPr>
          <w:rFonts w:ascii="仿宋" w:hAnsi="仿宋" w:eastAsia="仿宋" w:cs="仿宋"/>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sz w:val="32"/>
          <w:szCs w:val="32"/>
        </w:rPr>
        <w:t>药品事务专项业务经费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highlight w:val="none"/>
        </w:rPr>
        <w:t>保障全州人民群众的饮食用药安全，为食品药品监管提供技术支撑。</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：11万元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：昌吉州食品药品检验所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：2020年度</w:t>
      </w:r>
    </w:p>
    <w:p>
      <w:pPr>
        <w:widowControl/>
        <w:spacing w:line="580" w:lineRule="exact"/>
        <w:ind w:firstLine="640"/>
        <w:jc w:val="left"/>
        <w:rPr>
          <w:rFonts w:ascii="黑体" w:hAnsi="宋体" w:eastAsia="黑体" w:cs="宋体"/>
          <w:kern w:val="0"/>
          <w:sz w:val="32"/>
          <w:szCs w:val="32"/>
        </w:rPr>
      </w:pPr>
      <w:r>
        <w:rPr>
          <w:rFonts w:hint="eastAsia" w:ascii="仿宋_GB2312" w:hAnsi="黑体" w:eastAsia="仿宋_GB2312"/>
          <w:sz w:val="32"/>
          <w:szCs w:val="32"/>
        </w:rPr>
        <w:t xml:space="preserve"> </w:t>
      </w:r>
      <w:r>
        <w:rPr>
          <w:rFonts w:hint="eastAsia" w:ascii="黑体" w:hAnsi="宋体" w:eastAsia="黑体" w:cs="宋体"/>
          <w:kern w:val="0"/>
          <w:sz w:val="32"/>
          <w:szCs w:val="32"/>
        </w:rPr>
        <w:t>八、关于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2020年一般公共预算“三公”经费预算情况说明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昌吉州食品药品检验所2020年“三公”经费财政拨款预算数为1.5万元，其中：因公出国（境）费0万元，公务用车购置0万元，公务用车运行费1.5万元，公务接待费    0万元。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2020年“三公”经费财政拨款预算比上年减少0.49 万元，其中：因公出国（境）费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0万元，主要原因</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是无因公出国（境）</w:t>
      </w:r>
      <w:r>
        <w:rPr>
          <w:rFonts w:hint="eastAsia" w:ascii="仿宋_GB2312" w:hAnsi="宋体" w:eastAsia="仿宋_GB2312" w:cs="宋体"/>
          <w:kern w:val="0"/>
          <w:sz w:val="32"/>
          <w:szCs w:val="32"/>
          <w:lang w:eastAsia="zh-CN"/>
        </w:rPr>
        <w:t>业务</w:t>
      </w:r>
      <w:r>
        <w:rPr>
          <w:rFonts w:hint="eastAsia" w:ascii="仿宋_GB2312" w:hAnsi="宋体" w:eastAsia="仿宋_GB2312" w:cs="宋体"/>
          <w:kern w:val="0"/>
          <w:sz w:val="32"/>
          <w:szCs w:val="32"/>
        </w:rPr>
        <w:t>；公务用车购置费增加0万元，主要原因是无公务用车购置</w:t>
      </w:r>
      <w:r>
        <w:rPr>
          <w:rFonts w:hint="eastAsia" w:ascii="仿宋_GB2312" w:hAnsi="宋体" w:eastAsia="仿宋_GB2312" w:cs="宋体"/>
          <w:kern w:val="0"/>
          <w:sz w:val="32"/>
          <w:szCs w:val="32"/>
          <w:lang w:eastAsia="zh-CN"/>
        </w:rPr>
        <w:t>计划，未安排预算</w:t>
      </w:r>
      <w:r>
        <w:rPr>
          <w:rFonts w:hint="eastAsia" w:ascii="仿宋_GB2312" w:hAnsi="宋体" w:eastAsia="仿宋_GB2312" w:cs="宋体"/>
          <w:kern w:val="0"/>
          <w:sz w:val="32"/>
          <w:szCs w:val="32"/>
        </w:rPr>
        <w:t>；公务用车运行费减少0</w:t>
      </w:r>
      <w:r>
        <w:rPr>
          <w:rFonts w:hint="eastAsia" w:ascii="仿宋_GB2312" w:hAnsi="宋体" w:eastAsia="仿宋_GB2312" w:cs="宋体"/>
          <w:kern w:val="0"/>
          <w:sz w:val="32"/>
          <w:szCs w:val="32"/>
          <w:highlight w:val="none"/>
        </w:rPr>
        <w:t>.49万元，主要原因是单位严格遵守中央八项规定，减少开支；公务接待费减少</w:t>
      </w:r>
      <w:r>
        <w:rPr>
          <w:rFonts w:hint="eastAsia" w:ascii="仿宋_GB2312" w:hAnsi="宋体" w:eastAsia="仿宋_GB2312" w:cs="宋体"/>
          <w:kern w:val="0"/>
          <w:sz w:val="32"/>
          <w:szCs w:val="32"/>
          <w:highlight w:val="none"/>
          <w:lang w:val="en-US" w:eastAsia="zh-CN"/>
        </w:rPr>
        <w:t>0.4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highlight w:val="none"/>
        </w:rPr>
        <w:t>是</w:t>
      </w:r>
      <w:r>
        <w:rPr>
          <w:rFonts w:hint="eastAsia" w:ascii="仿宋" w:hAnsi="仿宋" w:eastAsia="仿宋" w:cs="仿宋"/>
          <w:sz w:val="32"/>
          <w:szCs w:val="32"/>
          <w:highlight w:val="none"/>
        </w:rPr>
        <w:t>严格</w:t>
      </w:r>
      <w:r>
        <w:rPr>
          <w:rFonts w:hint="eastAsia" w:ascii="仿宋" w:hAnsi="仿宋" w:eastAsia="仿宋" w:cs="仿宋"/>
          <w:sz w:val="32"/>
          <w:szCs w:val="32"/>
        </w:rPr>
        <w:t>执行中央八项规定，缩减开支</w:t>
      </w:r>
      <w:r>
        <w:rPr>
          <w:rFonts w:hint="eastAsia" w:ascii="仿宋" w:hAnsi="仿宋" w:eastAsia="仿宋" w:cs="仿宋"/>
          <w:sz w:val="32"/>
          <w:szCs w:val="32"/>
          <w:lang w:eastAsia="zh-CN"/>
        </w:rPr>
        <w:t>，减少支出</w:t>
      </w:r>
      <w:r>
        <w:rPr>
          <w:rFonts w:hint="eastAsia" w:ascii="仿宋" w:hAnsi="仿宋" w:eastAsia="仿宋" w:cs="仿宋"/>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昌吉州食品药品检验所</w:t>
      </w:r>
      <w:r>
        <w:rPr>
          <w:rFonts w:hint="eastAsia" w:ascii="黑体" w:hAnsi="宋体" w:eastAsia="黑体" w:cs="宋体"/>
          <w:kern w:val="0"/>
          <w:sz w:val="32"/>
          <w:szCs w:val="32"/>
        </w:rPr>
        <w:t>2020年政府性基金预算拨款情况说明</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昌吉州食品药品检验所20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年没有使用政府性基金预算拨款安排的支出，政府性基金预算支出情况表为空表。</w:t>
      </w:r>
      <w:r>
        <w:rPr>
          <w:rFonts w:hint="eastAsia" w:ascii="仿宋_GB2312" w:hAnsi="宋体" w:eastAsia="仿宋_GB2312" w:cs="宋体"/>
          <w:b/>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2020年，昌吉州食品药品检验所是全额拨款事业单位，机关运行经费财政拨款预算36.92万元，比上年预算减少 4.03万元，下降9.84%。</w:t>
      </w:r>
      <w:bookmarkStart w:id="0" w:name="_GoBack"/>
      <w:bookmarkEnd w:id="0"/>
      <w:r>
        <w:rPr>
          <w:rFonts w:hint="eastAsia" w:ascii="仿宋_GB2312" w:hAnsi="宋体" w:eastAsia="仿宋_GB2312" w:cs="宋体"/>
          <w:kern w:val="0"/>
          <w:sz w:val="32"/>
          <w:szCs w:val="32"/>
        </w:rPr>
        <w:t>主要原因是减少开支，缩减成本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2020年，昌吉州食品药品检验所政府采购预算39万元，其中：政府采购货物预算39万元，政府采购工程预算 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截至2019年底，昌吉州食品药品检验所占用使用国有资产总体情况为：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1.房屋 139.97 平方米，价值 11.68 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2.车辆1辆，价值 19.52 万元；其中：一般公务用车 1 辆，价值19.52万元；执法执勤用车 0 辆，价值 0万元；其他车辆0 辆，价值0 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3.办公家具价值16.5万元。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4.其他资产价值937.33万元。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 11万元。具体情况见下表（按项目分别填报）：</w:t>
      </w:r>
    </w:p>
    <w:p>
      <w:pPr>
        <w:widowControl/>
        <w:spacing w:line="600" w:lineRule="exact"/>
        <w:sectPr>
          <w:pgSz w:w="11906" w:h="16838"/>
          <w:pgMar w:top="1440" w:right="1800" w:bottom="1440" w:left="1800" w:header="851" w:footer="992" w:gutter="0"/>
          <w:pgNumType w:fmt="numberInDash" w:start="24"/>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昌吉州食品药品检验所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药品事务专项业务经费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11</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11</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产出指标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项目资金（万元）</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11万元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完成数量指标需要的时间（月）</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12个月</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中药饮片抽检（批次）</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90批次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基本药物抽检（批次）</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80批次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监督抽检（批次）</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200批次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形成抽验检测报告（份）</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至少300份</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完成职工工资福利支出和业务正常运转率（%）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基层监管队伍执法能力和监管能力</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0"/>
              </w:rPr>
              <w:t>提高</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0"/>
              </w:rPr>
              <w:t>药品安全监查水平</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0"/>
              </w:rPr>
              <w:t>提高</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解决药品安全问题</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提高</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社会满意度（%）</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22"/>
              </w:rPr>
              <w:t>97%</w:t>
            </w:r>
          </w:p>
        </w:tc>
      </w:tr>
    </w:tbl>
    <w:p>
      <w:pPr>
        <w:widowControl/>
        <w:spacing w:line="560" w:lineRule="exact"/>
        <w:ind w:firstLine="411" w:firstLineChars="196"/>
        <w:jc w:val="left"/>
        <w:sectPr>
          <w:pgSz w:w="16838" w:h="11906" w:orient="landscape"/>
          <w:pgMar w:top="1800" w:right="1440" w:bottom="1800" w:left="1440" w:header="851" w:footer="992" w:gutter="0"/>
          <w:pgNumType w:fmt="numberInDash" w:start="32"/>
          <w:cols w:space="720"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昌吉州食品药品检验所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roman"/>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34</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4C"/>
    <w:rsid w:val="002158BE"/>
    <w:rsid w:val="00780865"/>
    <w:rsid w:val="00A56776"/>
    <w:rsid w:val="00CA78B7"/>
    <w:rsid w:val="00DC2A20"/>
    <w:rsid w:val="00E9244C"/>
    <w:rsid w:val="00FF5057"/>
    <w:rsid w:val="057744D0"/>
    <w:rsid w:val="06A77120"/>
    <w:rsid w:val="06C2059B"/>
    <w:rsid w:val="07D92508"/>
    <w:rsid w:val="09CF4ECD"/>
    <w:rsid w:val="0BCF7E97"/>
    <w:rsid w:val="0DD14144"/>
    <w:rsid w:val="0DF05D05"/>
    <w:rsid w:val="0F7015FE"/>
    <w:rsid w:val="112B0A92"/>
    <w:rsid w:val="165D4245"/>
    <w:rsid w:val="1A565469"/>
    <w:rsid w:val="1DFD2795"/>
    <w:rsid w:val="1E520FE3"/>
    <w:rsid w:val="210C0935"/>
    <w:rsid w:val="22C6382F"/>
    <w:rsid w:val="22EC6B2D"/>
    <w:rsid w:val="23233B25"/>
    <w:rsid w:val="24EB5718"/>
    <w:rsid w:val="28B54BB5"/>
    <w:rsid w:val="2B024E11"/>
    <w:rsid w:val="3646104A"/>
    <w:rsid w:val="394B3C3D"/>
    <w:rsid w:val="3E6376B3"/>
    <w:rsid w:val="4035292E"/>
    <w:rsid w:val="425C2F88"/>
    <w:rsid w:val="43B36B5D"/>
    <w:rsid w:val="44B63E91"/>
    <w:rsid w:val="4A4E6150"/>
    <w:rsid w:val="4D854999"/>
    <w:rsid w:val="4E223C29"/>
    <w:rsid w:val="533E0346"/>
    <w:rsid w:val="56241429"/>
    <w:rsid w:val="62600D6F"/>
    <w:rsid w:val="654B193E"/>
    <w:rsid w:val="6AD95791"/>
    <w:rsid w:val="6DF03207"/>
    <w:rsid w:val="72145365"/>
    <w:rsid w:val="756F2458"/>
    <w:rsid w:val="77683469"/>
    <w:rsid w:val="7F503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字符"/>
    <w:link w:val="2"/>
    <w:semiHidden/>
    <w:qFormat/>
    <w:uiPriority w:val="0"/>
    <w:rPr>
      <w:rFonts w:ascii="Times New Roman" w:hAnsi="Times New Roman" w:eastAsia="黑体" w:cs="Times New Roman"/>
      <w:snapToGrid w:val="0"/>
      <w:kern w:val="0"/>
      <w:sz w:val="18"/>
      <w:szCs w:val="18"/>
    </w:rPr>
  </w:style>
  <w:style w:type="character" w:customStyle="1" w:styleId="8">
    <w:name w:val="页眉 字符"/>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8"/>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0"/>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普通(网站)21"/>
    <w:basedOn w:val="1"/>
    <w:qFormat/>
    <w:uiPriority w:val="0"/>
    <w:rPr>
      <w:rFonts w:ascii="Calibri" w:hAnsi="Calibri" w:cs="黑体"/>
      <w:sz w:val="24"/>
    </w:rPr>
  </w:style>
  <w:style w:type="paragraph" w:customStyle="1" w:styleId="17">
    <w:name w:val="普通(网站)3"/>
    <w:basedOn w:val="1"/>
    <w:qFormat/>
    <w:uiPriority w:val="0"/>
    <w:rPr>
      <w:rFonts w:ascii="Calibri" w:hAnsi="Calibri" w:cs="黑体"/>
      <w:sz w:val="24"/>
    </w:rPr>
  </w:style>
  <w:style w:type="character" w:customStyle="1" w:styleId="18">
    <w:name w:val="批注框文本 Char Char Char Char"/>
    <w:link w:val="11"/>
    <w:semiHidden/>
    <w:qFormat/>
    <w:uiPriority w:val="0"/>
    <w:rPr>
      <w:rFonts w:ascii="Times New Roman" w:hAnsi="Times New Roman" w:eastAsia="宋体" w:cs="Times New Roman"/>
      <w:sz w:val="18"/>
      <w:szCs w:val="18"/>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1427</Words>
  <Characters>8140</Characters>
  <Lines>67</Lines>
  <Paragraphs>19</Paragraphs>
  <TotalTime>2</TotalTime>
  <ScaleCrop>false</ScaleCrop>
  <LinksUpToDate>false</LinksUpToDate>
  <CharactersWithSpaces>9548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2020-01-11T15:32:00Z</dcterms:created>
  <dc:creator>闫超</dc:creator>
  <cp:lastModifiedBy>Administrator</cp:lastModifiedBy>
  <cp:lastPrinted>2021-05-27T04:28:00Z</cp:lastPrinted>
  <dcterms:modified xsi:type="dcterms:W3CDTF">2021-05-31T11:31:02Z</dcterms:modified>
  <dc:title>闫超</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262559AA51454BE0904362B7A2911F27</vt:lpwstr>
  </property>
</Properties>
</file>