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回族文学杂志社2019年部门预算公开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回族文学杂志社单位概况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一、关于回族文学杂志社2019年收支预算情况的总体说明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二、关于回族文学杂志社2019年收入预算情况说明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三、关于回族文学杂志社2019年支出预算情况说明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回族文学杂志社2019</w:t>
      </w:r>
      <w:r>
        <w:rPr>
          <w:rFonts w:hint="eastAsia" w:ascii="仿宋_GB2312" w:hAnsi="宋体" w:eastAsia="仿宋_GB2312"/>
          <w:bCs/>
          <w:kern w:val="0"/>
          <w:sz w:val="32"/>
          <w:szCs w:val="32"/>
        </w:rPr>
        <w:t>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五、关于回族文学杂志社2019年一般公共预算当年拨款情况说明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六、关于回族文学杂志社2019年一般公共预算基本支出情况说明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七、关于回族文学杂志社2019年项目支出情况说明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八、关于回族文学杂志社2019年一般公共预算“三公”经费预算情况说明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九、关于回族文学杂志社2019年政府性基金预算拨款情况说明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回族文学杂志社部门单位概况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480"/>
        <w:jc w:val="left"/>
        <w:rPr>
          <w:rFonts w:ascii="仿宋" w:hAnsi="仿宋" w:eastAsia="仿宋" w:cs="仿宋"/>
          <w:color w:val="2B2B2B"/>
          <w:kern w:val="0"/>
          <w:sz w:val="32"/>
          <w:szCs w:val="32"/>
        </w:rPr>
      </w:pPr>
      <w:r>
        <w:rPr>
          <w:rFonts w:hint="eastAsia" w:ascii="仿宋" w:hAnsi="仿宋" w:eastAsia="仿宋" w:cs="仿宋"/>
          <w:color w:val="2B2B2B"/>
          <w:kern w:val="0"/>
          <w:sz w:val="32"/>
          <w:szCs w:val="32"/>
        </w:rPr>
        <w:t>《回族文学》杂志期刊的编辑、出版；主办文学期刊及图书出版等工作。</w:t>
      </w:r>
    </w:p>
    <w:p>
      <w:pPr>
        <w:widowControl/>
        <w:spacing w:line="560" w:lineRule="exact"/>
        <w:ind w:firstLine="480"/>
        <w:jc w:val="left"/>
        <w:rPr>
          <w:rFonts w:ascii="仿宋_GB2312" w:hAnsi="黑体" w:eastAsia="仿宋_GB2312" w:cs="宋体"/>
          <w:b/>
          <w:bCs/>
          <w:kern w:val="0"/>
          <w:sz w:val="32"/>
          <w:szCs w:val="32"/>
        </w:rPr>
      </w:pPr>
      <w:r>
        <w:rPr>
          <w:rFonts w:hint="eastAsia" w:ascii="黑体" w:hAnsi="黑体" w:eastAsia="黑体" w:cs="宋体"/>
          <w:bCs/>
          <w:kern w:val="0"/>
          <w:sz w:val="32"/>
          <w:szCs w:val="32"/>
        </w:rPr>
        <w:t>二、机构设置及人员情况</w:t>
      </w:r>
    </w:p>
    <w:p>
      <w:pPr>
        <w:widowControl/>
        <w:spacing w:line="560" w:lineRule="exact"/>
        <w:ind w:firstLine="480"/>
        <w:jc w:val="left"/>
        <w:rPr>
          <w:rFonts w:ascii="仿宋" w:hAnsi="仿宋" w:eastAsia="仿宋" w:cs="仿宋"/>
          <w:color w:val="2B2B2B"/>
          <w:kern w:val="0"/>
          <w:sz w:val="32"/>
          <w:szCs w:val="32"/>
        </w:rPr>
      </w:pPr>
      <w:r>
        <w:rPr>
          <w:rFonts w:hint="eastAsia" w:ascii="仿宋" w:hAnsi="仿宋" w:eastAsia="仿宋" w:cs="仿宋"/>
          <w:color w:val="2B2B2B"/>
          <w:kern w:val="0"/>
          <w:sz w:val="32"/>
          <w:szCs w:val="32"/>
        </w:rPr>
        <w:t>回族文学杂志社无下属预算单位，下设3个处室，分别是：办公室、编辑部、事业发展部。</w:t>
      </w:r>
    </w:p>
    <w:p>
      <w:pPr>
        <w:widowControl/>
        <w:spacing w:line="560" w:lineRule="exact"/>
        <w:ind w:firstLine="48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2019年单位编制数 10人 ，实有人数13人，其中：在职10人，增加或减少0人； 退休3人，增加或减少0人；离休0人，增加或减少0人。</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ind w:firstLine="1600" w:firstLineChars="500"/>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编制部门：回族文学杂志社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216.6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216.6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216.6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216.6</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216.6</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216.6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216.6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填报部门：回族文学杂志社                                 单位：万元</w:t>
      </w:r>
    </w:p>
    <w:tbl>
      <w:tblPr>
        <w:tblStyle w:val="7"/>
        <w:tblW w:w="9654" w:type="dxa"/>
        <w:tblInd w:w="93" w:type="dxa"/>
        <w:tblLayout w:type="fixed"/>
        <w:tblCellMar>
          <w:top w:w="0" w:type="dxa"/>
          <w:left w:w="108" w:type="dxa"/>
          <w:bottom w:w="0" w:type="dxa"/>
          <w:right w:w="108" w:type="dxa"/>
        </w:tblCellMar>
      </w:tblPr>
      <w:tblGrid>
        <w:gridCol w:w="615"/>
        <w:gridCol w:w="450"/>
        <w:gridCol w:w="420"/>
        <w:gridCol w:w="2115"/>
        <w:gridCol w:w="735"/>
        <w:gridCol w:w="720"/>
        <w:gridCol w:w="521"/>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4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1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73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7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2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61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1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3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207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99　</w:t>
            </w:r>
          </w:p>
        </w:tc>
        <w:tc>
          <w:tcPr>
            <w:tcW w:w="21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其他文化和旅游支出　</w:t>
            </w:r>
          </w:p>
        </w:tc>
        <w:tc>
          <w:tcPr>
            <w:tcW w:w="7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216.6　</w:t>
            </w:r>
          </w:p>
        </w:tc>
        <w:tc>
          <w:tcPr>
            <w:tcW w:w="7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216.6　</w:t>
            </w:r>
          </w:p>
        </w:tc>
        <w:tc>
          <w:tcPr>
            <w:tcW w:w="5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7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216.6　</w:t>
            </w:r>
          </w:p>
        </w:tc>
        <w:tc>
          <w:tcPr>
            <w:tcW w:w="7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216.6　</w:t>
            </w:r>
          </w:p>
        </w:tc>
        <w:tc>
          <w:tcPr>
            <w:tcW w:w="5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编制部门：回族文学杂志社                                      单位：万元</w:t>
      </w:r>
    </w:p>
    <w:tbl>
      <w:tblPr>
        <w:tblStyle w:val="7"/>
        <w:tblW w:w="9239" w:type="dxa"/>
        <w:tblInd w:w="93" w:type="dxa"/>
        <w:tblLayout w:type="fixed"/>
        <w:tblCellMar>
          <w:top w:w="0" w:type="dxa"/>
          <w:left w:w="108" w:type="dxa"/>
          <w:bottom w:w="0" w:type="dxa"/>
          <w:right w:w="108" w:type="dxa"/>
        </w:tblCellMar>
      </w:tblPr>
      <w:tblGrid>
        <w:gridCol w:w="540"/>
        <w:gridCol w:w="435"/>
        <w:gridCol w:w="525"/>
        <w:gridCol w:w="2305"/>
        <w:gridCol w:w="10"/>
        <w:gridCol w:w="1845"/>
        <w:gridCol w:w="10"/>
        <w:gridCol w:w="1846"/>
        <w:gridCol w:w="10"/>
        <w:gridCol w:w="1703"/>
        <w:gridCol w:w="10"/>
      </w:tblGrid>
      <w:tr>
        <w:tblPrEx>
          <w:tblLayout w:type="fixed"/>
          <w:tblCellMar>
            <w:top w:w="0" w:type="dxa"/>
            <w:left w:w="108" w:type="dxa"/>
            <w:bottom w:w="0" w:type="dxa"/>
            <w:right w:w="108" w:type="dxa"/>
          </w:tblCellMar>
        </w:tblPrEx>
        <w:trPr>
          <w:gridAfter w:val="1"/>
          <w:wAfter w:w="10" w:type="dxa"/>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6"/>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gridAfter w:val="1"/>
          <w:wAfter w:w="10" w:type="dxa"/>
          <w:trHeight w:val="480" w:hRule="atLeast"/>
        </w:trPr>
        <w:tc>
          <w:tcPr>
            <w:tcW w:w="15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05"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gridSpan w:val="2"/>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gridSpan w:val="2"/>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gridSpan w:val="2"/>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207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01</w:t>
            </w:r>
          </w:p>
        </w:tc>
        <w:tc>
          <w:tcPr>
            <w:tcW w:w="525"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99　</w:t>
            </w:r>
          </w:p>
        </w:tc>
        <w:tc>
          <w:tcPr>
            <w:tcW w:w="2315"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rPr>
              <w:t>其他文化和旅游支出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216.6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146.6　</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70　</w:t>
            </w:r>
          </w:p>
        </w:tc>
      </w:tr>
      <w:tr>
        <w:tblPrEx>
          <w:tblLayout w:type="fixed"/>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1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1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1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1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1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1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1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1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1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1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31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216.6</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146.6</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70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outlineLvl w:val="1"/>
        <w:rPr>
          <w:rFonts w:ascii="仿宋_GB2312" w:hAnsi="宋体" w:eastAsia="仿宋_GB2312"/>
          <w:b/>
          <w:kern w:val="0"/>
          <w:sz w:val="32"/>
          <w:szCs w:val="32"/>
        </w:rPr>
      </w:pP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回族文学杂志社</w:t>
      </w:r>
      <w:r>
        <w:rPr>
          <w:rFonts w:hint="eastAsia" w:ascii="仿宋_GB2312" w:hAnsi="宋体" w:eastAsia="仿宋_GB2312"/>
          <w:kern w:val="0"/>
          <w:sz w:val="28"/>
          <w:szCs w:val="28"/>
        </w:rPr>
        <w:t xml:space="preserve">                            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216.6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216.6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216.6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216.6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216.6</w:t>
            </w:r>
          </w:p>
          <w:p>
            <w:pPr>
              <w:widowControl/>
              <w:jc w:val="left"/>
              <w:rPr>
                <w:rFonts w:ascii="仿宋_GB2312" w:hAnsi="宋体" w:eastAsia="仿宋_GB2312" w:cs="宋体"/>
                <w:color w:val="000000"/>
                <w:kern w:val="0"/>
                <w:sz w:val="22"/>
                <w:szCs w:val="22"/>
              </w:rPr>
            </w:pP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216.6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216.6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216.6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087" w:type="dxa"/>
        <w:tblInd w:w="93" w:type="dxa"/>
        <w:tblLayout w:type="fixed"/>
        <w:tblCellMar>
          <w:top w:w="0" w:type="dxa"/>
          <w:left w:w="108" w:type="dxa"/>
          <w:bottom w:w="0" w:type="dxa"/>
          <w:right w:w="108" w:type="dxa"/>
        </w:tblCellMar>
      </w:tblPr>
      <w:tblGrid>
        <w:gridCol w:w="540"/>
        <w:gridCol w:w="540"/>
        <w:gridCol w:w="465"/>
        <w:gridCol w:w="2315"/>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回族文学杂志社</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54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1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4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65"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1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207　</w:t>
            </w:r>
          </w:p>
        </w:tc>
        <w:tc>
          <w:tcPr>
            <w:tcW w:w="5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01</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99　</w:t>
            </w:r>
          </w:p>
        </w:tc>
        <w:tc>
          <w:tcPr>
            <w:tcW w:w="23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其他文化和旅游支出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right"/>
              <w:rPr>
                <w:rFonts w:ascii="仿宋_GB2312" w:eastAsia="仿宋_GB2312"/>
                <w:color w:val="000000"/>
                <w:sz w:val="20"/>
                <w:szCs w:val="20"/>
              </w:rPr>
            </w:pPr>
            <w:r>
              <w:rPr>
                <w:rFonts w:hint="eastAsia" w:ascii="仿宋_GB2312" w:eastAsia="仿宋_GB2312"/>
                <w:color w:val="000000"/>
                <w:sz w:val="20"/>
                <w:szCs w:val="20"/>
              </w:rPr>
              <w:t>　216.6</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right"/>
              <w:rPr>
                <w:rFonts w:ascii="仿宋_GB2312" w:eastAsia="仿宋_GB2312"/>
                <w:color w:val="000000"/>
                <w:sz w:val="20"/>
                <w:szCs w:val="20"/>
              </w:rPr>
            </w:pPr>
            <w:r>
              <w:rPr>
                <w:rFonts w:hint="eastAsia" w:ascii="仿宋_GB2312" w:eastAsia="仿宋_GB2312"/>
                <w:color w:val="000000"/>
                <w:sz w:val="20"/>
                <w:szCs w:val="20"/>
              </w:rPr>
              <w:t>　146.6</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eastAsia="仿宋_GB2312"/>
                <w:color w:val="000000"/>
                <w:sz w:val="20"/>
                <w:szCs w:val="20"/>
              </w:rPr>
            </w:pPr>
            <w:r>
              <w:rPr>
                <w:rFonts w:hint="eastAsia" w:ascii="仿宋_GB2312" w:eastAsia="仿宋_GB2312"/>
                <w:color w:val="000000"/>
                <w:sz w:val="20"/>
                <w:szCs w:val="20"/>
              </w:rPr>
              <w:t>　70</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rPr>
                <w:rFonts w:ascii="宋体" w:hAnsi="宋体" w:cs="宋体"/>
                <w:color w:val="000000"/>
                <w:kern w:val="0"/>
                <w:sz w:val="20"/>
                <w:szCs w:val="20"/>
              </w:rPr>
            </w:pPr>
          </w:p>
        </w:tc>
        <w:tc>
          <w:tcPr>
            <w:tcW w:w="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3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3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6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3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6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3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6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3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6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3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6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315" w:type="dxa"/>
            <w:tcBorders>
              <w:top w:val="nil"/>
              <w:left w:val="nil"/>
              <w:bottom w:val="single" w:color="auto" w:sz="4" w:space="0"/>
              <w:right w:val="single" w:color="auto" w:sz="4" w:space="0"/>
            </w:tcBorders>
            <w:shd w:val="clear" w:color="auto" w:fill="auto"/>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hint="eastAsia" w:ascii="仿宋_GB2312" w:eastAsia="仿宋_GB2312"/>
                <w:color w:val="000000"/>
                <w:sz w:val="20"/>
                <w:szCs w:val="20"/>
              </w:rPr>
              <w:t>216.6</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hint="eastAsia" w:ascii="仿宋_GB2312" w:eastAsia="仿宋_GB2312"/>
                <w:color w:val="000000"/>
                <w:sz w:val="20"/>
                <w:szCs w:val="20"/>
              </w:rPr>
              <w:t>146.6</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hint="eastAsia" w:ascii="仿宋_GB2312" w:eastAsia="仿宋_GB2312"/>
                <w:color w:val="000000"/>
                <w:sz w:val="20"/>
                <w:szCs w:val="20"/>
              </w:rPr>
              <w:t>70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87" w:type="dxa"/>
        <w:tblInd w:w="93" w:type="dxa"/>
        <w:tblLayout w:type="fixed"/>
        <w:tblCellMar>
          <w:top w:w="0" w:type="dxa"/>
          <w:left w:w="108" w:type="dxa"/>
          <w:bottom w:w="0" w:type="dxa"/>
          <w:right w:w="108" w:type="dxa"/>
        </w:tblCellMar>
      </w:tblPr>
      <w:tblGrid>
        <w:gridCol w:w="630"/>
        <w:gridCol w:w="525"/>
        <w:gridCol w:w="2829"/>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回族文学杂志社</w:t>
            </w:r>
          </w:p>
        </w:tc>
        <w:tc>
          <w:tcPr>
            <w:tcW w:w="995"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2426" w:type="dxa"/>
            <w:gridSpan w:val="2"/>
            <w:tcBorders>
              <w:top w:val="nil"/>
              <w:left w:val="nil"/>
              <w:bottom w:val="nil"/>
              <w:right w:val="nil"/>
            </w:tcBorders>
            <w:shd w:val="clear" w:color="auto" w:fill="auto"/>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155"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2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2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301</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01</w:t>
            </w:r>
          </w:p>
        </w:tc>
        <w:tc>
          <w:tcPr>
            <w:tcW w:w="2829"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45.28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45.28</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301</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03</w:t>
            </w:r>
          </w:p>
        </w:tc>
        <w:tc>
          <w:tcPr>
            <w:tcW w:w="2829"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奖金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3.05</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301</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06</w:t>
            </w:r>
          </w:p>
        </w:tc>
        <w:tc>
          <w:tcPr>
            <w:tcW w:w="2829"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伙食补助费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12.6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12.6</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301</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07</w:t>
            </w:r>
          </w:p>
        </w:tc>
        <w:tc>
          <w:tcPr>
            <w:tcW w:w="2829"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绩效工资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27.98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27.98</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301</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08</w:t>
            </w:r>
          </w:p>
        </w:tc>
        <w:tc>
          <w:tcPr>
            <w:tcW w:w="2829"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15.26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15.26</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301</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10</w:t>
            </w:r>
          </w:p>
        </w:tc>
        <w:tc>
          <w:tcPr>
            <w:tcW w:w="2829"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职工基本医疗保险缴费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9.24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9.24</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301</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11</w:t>
            </w:r>
          </w:p>
        </w:tc>
        <w:tc>
          <w:tcPr>
            <w:tcW w:w="2829"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公务员医疗补助缴费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7.19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7.19</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301</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12</w:t>
            </w:r>
          </w:p>
        </w:tc>
        <w:tc>
          <w:tcPr>
            <w:tcW w:w="2829"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0.58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0.58</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301</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13</w:t>
            </w:r>
          </w:p>
        </w:tc>
        <w:tc>
          <w:tcPr>
            <w:tcW w:w="2829"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9.16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9.16</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302</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01</w:t>
            </w:r>
          </w:p>
        </w:tc>
        <w:tc>
          <w:tcPr>
            <w:tcW w:w="2829"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1.4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1.4</w:t>
            </w:r>
          </w:p>
        </w:tc>
      </w:tr>
      <w:tr>
        <w:tblPrEx>
          <w:tblLayout w:type="fixed"/>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302</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05</w:t>
            </w:r>
          </w:p>
        </w:tc>
        <w:tc>
          <w:tcPr>
            <w:tcW w:w="2829"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0.43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0.43</w:t>
            </w:r>
          </w:p>
        </w:tc>
      </w:tr>
      <w:tr>
        <w:tblPrEx>
          <w:tblLayout w:type="fixed"/>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302</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07</w:t>
            </w:r>
          </w:p>
        </w:tc>
        <w:tc>
          <w:tcPr>
            <w:tcW w:w="2829"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0.25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0.25</w:t>
            </w:r>
          </w:p>
        </w:tc>
      </w:tr>
      <w:tr>
        <w:tblPrEx>
          <w:tblLayout w:type="fixed"/>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302</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11</w:t>
            </w:r>
          </w:p>
        </w:tc>
        <w:tc>
          <w:tcPr>
            <w:tcW w:w="2829"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6</w:t>
            </w:r>
          </w:p>
        </w:tc>
      </w:tr>
      <w:tr>
        <w:tblPrEx>
          <w:tblLayout w:type="fixed"/>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302</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13</w:t>
            </w:r>
          </w:p>
        </w:tc>
        <w:tc>
          <w:tcPr>
            <w:tcW w:w="2829"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维修(护)费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0.11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0.11</w:t>
            </w:r>
          </w:p>
        </w:tc>
      </w:tr>
      <w:tr>
        <w:tblPrEx>
          <w:tblLayout w:type="fixed"/>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302</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16</w:t>
            </w:r>
          </w:p>
        </w:tc>
        <w:tc>
          <w:tcPr>
            <w:tcW w:w="2829"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培训费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0.69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0.69</w:t>
            </w:r>
          </w:p>
        </w:tc>
      </w:tr>
      <w:tr>
        <w:tblPrEx>
          <w:tblLayout w:type="fixed"/>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302</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26</w:t>
            </w:r>
          </w:p>
        </w:tc>
        <w:tc>
          <w:tcPr>
            <w:tcW w:w="2829"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劳务费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1</w:t>
            </w:r>
          </w:p>
        </w:tc>
      </w:tr>
      <w:tr>
        <w:tblPrEx>
          <w:tblLayout w:type="fixed"/>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302</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28</w:t>
            </w:r>
          </w:p>
        </w:tc>
        <w:tc>
          <w:tcPr>
            <w:tcW w:w="2829"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0.91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0.91</w:t>
            </w:r>
          </w:p>
        </w:tc>
      </w:tr>
      <w:tr>
        <w:tblPrEx>
          <w:tblLayout w:type="fixed"/>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302</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29</w:t>
            </w:r>
          </w:p>
        </w:tc>
        <w:tc>
          <w:tcPr>
            <w:tcW w:w="2829"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0.5</w:t>
            </w:r>
          </w:p>
        </w:tc>
      </w:tr>
      <w:tr>
        <w:tblPrEx>
          <w:tblLayout w:type="fixed"/>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302</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31</w:t>
            </w:r>
          </w:p>
        </w:tc>
        <w:tc>
          <w:tcPr>
            <w:tcW w:w="2829"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公务车运行维护费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1.98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1.98</w:t>
            </w:r>
          </w:p>
        </w:tc>
      </w:tr>
      <w:tr>
        <w:tblPrEx>
          <w:tblLayout w:type="fixed"/>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302</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99</w:t>
            </w:r>
          </w:p>
        </w:tc>
        <w:tc>
          <w:tcPr>
            <w:tcW w:w="2829"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其他商品和服务支出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1.45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1.45</w:t>
            </w:r>
          </w:p>
        </w:tc>
      </w:tr>
      <w:tr>
        <w:tblPrEx>
          <w:tblLayout w:type="fixed"/>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303</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09</w:t>
            </w:r>
          </w:p>
        </w:tc>
        <w:tc>
          <w:tcPr>
            <w:tcW w:w="2829"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0.24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0.24</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303</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14</w:t>
            </w:r>
          </w:p>
        </w:tc>
        <w:tc>
          <w:tcPr>
            <w:tcW w:w="2829"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职工住宅取暖费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1.3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1.3</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hint="eastAsia" w:ascii="仿宋_GB2312" w:eastAsia="仿宋_GB2312"/>
                <w:color w:val="000000"/>
                <w:sz w:val="20"/>
                <w:szCs w:val="20"/>
              </w:rPr>
              <w:t>　</w:t>
            </w:r>
          </w:p>
        </w:tc>
        <w:tc>
          <w:tcPr>
            <w:tcW w:w="2829"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hint="eastAsia" w:ascii="仿宋_GB2312" w:eastAsia="仿宋_GB2312"/>
                <w:color w:val="00000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hint="eastAsia" w:ascii="仿宋_GB2312" w:eastAsia="仿宋_GB2312"/>
                <w:color w:val="000000"/>
                <w:sz w:val="20"/>
                <w:szCs w:val="20"/>
              </w:rPr>
              <w:t>　146.6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hint="eastAsia" w:ascii="仿宋_GB2312" w:eastAsia="仿宋_GB2312"/>
                <w:color w:val="000000"/>
                <w:sz w:val="20"/>
                <w:szCs w:val="20"/>
              </w:rPr>
              <w:t>　131.88</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eastAsia="仿宋_GB2312"/>
                <w:color w:val="000000"/>
                <w:sz w:val="20"/>
                <w:szCs w:val="20"/>
              </w:rPr>
            </w:pPr>
            <w:r>
              <w:rPr>
                <w:rFonts w:hint="eastAsia" w:ascii="仿宋_GB2312" w:eastAsia="仿宋_GB2312"/>
                <w:color w:val="000000"/>
                <w:sz w:val="20"/>
                <w:szCs w:val="20"/>
              </w:rPr>
              <w:t>　14.72</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8" w:type="dxa"/>
        <w:tblInd w:w="93" w:type="dxa"/>
        <w:tblLayout w:type="fixed"/>
        <w:tblCellMar>
          <w:top w:w="0" w:type="dxa"/>
          <w:left w:w="108" w:type="dxa"/>
          <w:bottom w:w="0" w:type="dxa"/>
          <w:right w:w="108" w:type="dxa"/>
        </w:tblCellMar>
      </w:tblPr>
      <w:tblGrid>
        <w:gridCol w:w="8"/>
        <w:gridCol w:w="637"/>
        <w:gridCol w:w="540"/>
        <w:gridCol w:w="495"/>
        <w:gridCol w:w="1170"/>
        <w:gridCol w:w="930"/>
        <w:gridCol w:w="547"/>
        <w:gridCol w:w="569"/>
        <w:gridCol w:w="536"/>
        <w:gridCol w:w="652"/>
        <w:gridCol w:w="652"/>
        <w:gridCol w:w="299"/>
        <w:gridCol w:w="279"/>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532" w:type="dxa"/>
            <w:gridSpan w:val="17"/>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19" w:type="dxa"/>
            <w:gridSpan w:val="6"/>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回族文学杂志社</w:t>
            </w:r>
          </w:p>
        </w:tc>
        <w:tc>
          <w:tcPr>
            <w:tcW w:w="1105"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03"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2505"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8" w:type="dxa"/>
          <w:trHeight w:val="944" w:hRule="atLeast"/>
        </w:trPr>
        <w:tc>
          <w:tcPr>
            <w:tcW w:w="1680"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170"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eastAsia="仿宋_GB2312"/>
                <w:b/>
                <w:color w:val="000000"/>
                <w:sz w:val="20"/>
                <w:szCs w:val="20"/>
              </w:rPr>
              <w:t>功能分类科目名称</w:t>
            </w:r>
          </w:p>
        </w:tc>
        <w:tc>
          <w:tcPr>
            <w:tcW w:w="930"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547"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8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8" w:type="dxa"/>
          <w:trHeight w:val="419" w:hRule="atLeast"/>
        </w:trPr>
        <w:tc>
          <w:tcPr>
            <w:tcW w:w="645"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40"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95"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170"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93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47"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8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8" w:type="dxa"/>
          <w:trHeight w:val="585" w:hRule="atLeast"/>
        </w:trPr>
        <w:tc>
          <w:tcPr>
            <w:tcW w:w="645" w:type="dxa"/>
            <w:gridSpan w:val="2"/>
            <w:shd w:val="clear" w:color="auto" w:fill="auto"/>
            <w:vAlign w:val="center"/>
          </w:tcPr>
          <w:p>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207</w:t>
            </w:r>
          </w:p>
        </w:tc>
        <w:tc>
          <w:tcPr>
            <w:tcW w:w="540" w:type="dxa"/>
            <w:shd w:val="clear" w:color="auto" w:fill="auto"/>
            <w:vAlign w:val="center"/>
          </w:tcPr>
          <w:p>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01</w:t>
            </w:r>
          </w:p>
        </w:tc>
        <w:tc>
          <w:tcPr>
            <w:tcW w:w="495" w:type="dxa"/>
            <w:shd w:val="clear" w:color="auto" w:fill="auto"/>
            <w:vAlign w:val="center"/>
          </w:tcPr>
          <w:p>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99</w:t>
            </w:r>
          </w:p>
        </w:tc>
        <w:tc>
          <w:tcPr>
            <w:tcW w:w="1170" w:type="dxa"/>
            <w:shd w:val="clear" w:color="auto" w:fill="auto"/>
            <w:vAlign w:val="center"/>
          </w:tcPr>
          <w:p>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其他文化和旅游支出</w:t>
            </w:r>
          </w:p>
        </w:tc>
        <w:tc>
          <w:tcPr>
            <w:tcW w:w="930" w:type="dxa"/>
            <w:shd w:val="clear" w:color="auto" w:fill="auto"/>
            <w:vAlign w:val="center"/>
          </w:tcPr>
          <w:p>
            <w:pPr>
              <w:widowControl/>
              <w:jc w:val="right"/>
              <w:textAlignment w:val="center"/>
              <w:rPr>
                <w:rFonts w:ascii="仿宋_GB2312" w:hAnsi="宋体" w:eastAsia="仿宋_GB2312"/>
                <w:kern w:val="0"/>
                <w:sz w:val="18"/>
                <w:szCs w:val="18"/>
              </w:rPr>
            </w:pPr>
            <w:r>
              <w:rPr>
                <w:rFonts w:hint="eastAsia" w:ascii="仿宋_GB2312" w:hAnsi="宋体" w:eastAsia="仿宋_GB2312"/>
                <w:kern w:val="0"/>
                <w:sz w:val="18"/>
                <w:szCs w:val="18"/>
              </w:rPr>
              <w:t>办刊经费</w:t>
            </w:r>
          </w:p>
        </w:tc>
        <w:tc>
          <w:tcPr>
            <w:tcW w:w="547" w:type="dxa"/>
            <w:shd w:val="clear" w:color="auto" w:fill="auto"/>
          </w:tcPr>
          <w:p>
            <w:pPr>
              <w:widowControl/>
              <w:outlineLvl w:val="1"/>
              <w:rPr>
                <w:rFonts w:ascii="仿宋_GB2312" w:hAnsi="宋体" w:eastAsia="仿宋_GB2312"/>
                <w:kern w:val="0"/>
                <w:sz w:val="18"/>
                <w:szCs w:val="18"/>
              </w:rPr>
            </w:pPr>
            <w:r>
              <w:rPr>
                <w:rFonts w:hint="eastAsia" w:ascii="仿宋_GB2312" w:hAnsi="宋体" w:eastAsia="仿宋_GB2312"/>
                <w:kern w:val="0"/>
                <w:sz w:val="18"/>
                <w:szCs w:val="18"/>
              </w:rPr>
              <w:t>25</w:t>
            </w:r>
          </w:p>
        </w:tc>
        <w:tc>
          <w:tcPr>
            <w:tcW w:w="569" w:type="dxa"/>
            <w:shd w:val="clear" w:color="auto" w:fill="auto"/>
          </w:tcPr>
          <w:p>
            <w:pPr>
              <w:widowControl/>
              <w:outlineLvl w:val="1"/>
              <w:rPr>
                <w:rFonts w:ascii="仿宋_GB2312" w:hAnsi="宋体" w:eastAsia="仿宋_GB2312"/>
                <w:kern w:val="0"/>
                <w:sz w:val="18"/>
                <w:szCs w:val="18"/>
              </w:rPr>
            </w:pPr>
          </w:p>
        </w:tc>
        <w:tc>
          <w:tcPr>
            <w:tcW w:w="536" w:type="dxa"/>
            <w:shd w:val="clear" w:color="auto" w:fill="auto"/>
          </w:tcPr>
          <w:p>
            <w:pPr>
              <w:widowControl/>
              <w:outlineLvl w:val="1"/>
              <w:rPr>
                <w:rFonts w:ascii="仿宋_GB2312" w:hAnsi="宋体" w:eastAsia="仿宋_GB2312"/>
                <w:kern w:val="0"/>
                <w:sz w:val="18"/>
                <w:szCs w:val="18"/>
              </w:rPr>
            </w:pPr>
            <w:r>
              <w:rPr>
                <w:rFonts w:hint="eastAsia" w:ascii="仿宋_GB2312" w:hAnsi="宋体" w:eastAsia="仿宋_GB2312"/>
                <w:kern w:val="0"/>
                <w:sz w:val="18"/>
                <w:szCs w:val="18"/>
              </w:rPr>
              <w:t>25</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8" w:type="dxa"/>
          <w:trHeight w:val="585" w:hRule="atLeast"/>
        </w:trPr>
        <w:tc>
          <w:tcPr>
            <w:tcW w:w="645" w:type="dxa"/>
            <w:gridSpan w:val="2"/>
            <w:shd w:val="clear" w:color="auto" w:fill="auto"/>
            <w:vAlign w:val="center"/>
          </w:tcPr>
          <w:p>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207</w:t>
            </w:r>
          </w:p>
        </w:tc>
        <w:tc>
          <w:tcPr>
            <w:tcW w:w="540" w:type="dxa"/>
            <w:shd w:val="clear" w:color="auto" w:fill="auto"/>
            <w:vAlign w:val="center"/>
          </w:tcPr>
          <w:p>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01</w:t>
            </w:r>
          </w:p>
        </w:tc>
        <w:tc>
          <w:tcPr>
            <w:tcW w:w="495" w:type="dxa"/>
            <w:shd w:val="clear" w:color="auto" w:fill="auto"/>
            <w:vAlign w:val="center"/>
          </w:tcPr>
          <w:p>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99</w:t>
            </w:r>
          </w:p>
        </w:tc>
        <w:tc>
          <w:tcPr>
            <w:tcW w:w="117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r>
              <w:rPr>
                <w:rFonts w:ascii="仿宋_GB2312" w:hAnsi="宋体" w:eastAsia="仿宋_GB2312"/>
                <w:kern w:val="0"/>
                <w:sz w:val="18"/>
                <w:szCs w:val="18"/>
              </w:rPr>
              <w:t>其他文化和旅游支出</w:t>
            </w:r>
          </w:p>
        </w:tc>
        <w:tc>
          <w:tcPr>
            <w:tcW w:w="93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刊物邮寄费　</w:t>
            </w:r>
          </w:p>
        </w:tc>
        <w:tc>
          <w:tcPr>
            <w:tcW w:w="54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5</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3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8" w:type="dxa"/>
          <w:trHeight w:val="585" w:hRule="atLeast"/>
        </w:trPr>
        <w:tc>
          <w:tcPr>
            <w:tcW w:w="645" w:type="dxa"/>
            <w:gridSpan w:val="2"/>
            <w:shd w:val="clear" w:color="auto" w:fill="auto"/>
            <w:vAlign w:val="center"/>
          </w:tcPr>
          <w:p>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207</w:t>
            </w:r>
          </w:p>
        </w:tc>
        <w:tc>
          <w:tcPr>
            <w:tcW w:w="540" w:type="dxa"/>
            <w:shd w:val="clear" w:color="auto" w:fill="auto"/>
            <w:vAlign w:val="center"/>
          </w:tcPr>
          <w:p>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01</w:t>
            </w:r>
          </w:p>
        </w:tc>
        <w:tc>
          <w:tcPr>
            <w:tcW w:w="495" w:type="dxa"/>
            <w:shd w:val="clear" w:color="auto" w:fill="auto"/>
            <w:vAlign w:val="center"/>
          </w:tcPr>
          <w:p>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99</w:t>
            </w:r>
          </w:p>
        </w:tc>
        <w:tc>
          <w:tcPr>
            <w:tcW w:w="117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r>
              <w:rPr>
                <w:rFonts w:ascii="仿宋_GB2312" w:hAnsi="宋体" w:eastAsia="仿宋_GB2312"/>
                <w:kern w:val="0"/>
                <w:sz w:val="18"/>
                <w:szCs w:val="18"/>
              </w:rPr>
              <w:t>其他文化和旅游支出</w:t>
            </w:r>
          </w:p>
        </w:tc>
        <w:tc>
          <w:tcPr>
            <w:tcW w:w="93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刊期经费</w:t>
            </w:r>
          </w:p>
        </w:tc>
        <w:tc>
          <w:tcPr>
            <w:tcW w:w="54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31</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3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31</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8" w:type="dxa"/>
          <w:trHeight w:val="585" w:hRule="atLeast"/>
        </w:trPr>
        <w:tc>
          <w:tcPr>
            <w:tcW w:w="645" w:type="dxa"/>
            <w:gridSpan w:val="2"/>
            <w:shd w:val="clear" w:color="auto" w:fill="auto"/>
            <w:vAlign w:val="center"/>
          </w:tcPr>
          <w:p>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207</w:t>
            </w:r>
          </w:p>
        </w:tc>
        <w:tc>
          <w:tcPr>
            <w:tcW w:w="540" w:type="dxa"/>
            <w:shd w:val="clear" w:color="auto" w:fill="auto"/>
            <w:vAlign w:val="center"/>
          </w:tcPr>
          <w:p>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01</w:t>
            </w:r>
          </w:p>
        </w:tc>
        <w:tc>
          <w:tcPr>
            <w:tcW w:w="495" w:type="dxa"/>
            <w:shd w:val="clear" w:color="auto" w:fill="auto"/>
            <w:vAlign w:val="center"/>
          </w:tcPr>
          <w:p>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99</w:t>
            </w:r>
          </w:p>
        </w:tc>
        <w:tc>
          <w:tcPr>
            <w:tcW w:w="1170" w:type="dxa"/>
            <w:shd w:val="clear" w:color="auto" w:fill="auto"/>
          </w:tcPr>
          <w:p>
            <w:pPr>
              <w:widowControl/>
              <w:jc w:val="left"/>
              <w:outlineLvl w:val="1"/>
              <w:rPr>
                <w:rFonts w:ascii="仿宋_GB2312" w:hAnsi="宋体" w:eastAsia="仿宋_GB2312"/>
                <w:kern w:val="0"/>
                <w:sz w:val="18"/>
                <w:szCs w:val="18"/>
              </w:rPr>
            </w:pPr>
            <w:r>
              <w:rPr>
                <w:rFonts w:ascii="仿宋_GB2312" w:hAnsi="宋体" w:eastAsia="仿宋_GB2312"/>
                <w:kern w:val="0"/>
                <w:sz w:val="18"/>
                <w:szCs w:val="18"/>
              </w:rPr>
              <w:t>其他文化和旅游支出</w:t>
            </w:r>
            <w:r>
              <w:rPr>
                <w:rFonts w:hint="eastAsia" w:ascii="仿宋_GB2312" w:hAnsi="宋体" w:eastAsia="仿宋_GB2312"/>
                <w:kern w:val="0"/>
                <w:sz w:val="18"/>
                <w:szCs w:val="18"/>
              </w:rPr>
              <w:t>　</w:t>
            </w:r>
          </w:p>
        </w:tc>
        <w:tc>
          <w:tcPr>
            <w:tcW w:w="93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全国回族作家学者笔会</w:t>
            </w:r>
          </w:p>
        </w:tc>
        <w:tc>
          <w:tcPr>
            <w:tcW w:w="54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9　</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3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9</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8" w:type="dxa"/>
          <w:trHeight w:val="585" w:hRule="atLeast"/>
        </w:trPr>
        <w:tc>
          <w:tcPr>
            <w:tcW w:w="645"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7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8" w:type="dxa"/>
          <w:trHeight w:val="585" w:hRule="atLeast"/>
        </w:trPr>
        <w:tc>
          <w:tcPr>
            <w:tcW w:w="645" w:type="dxa"/>
            <w:gridSpan w:val="2"/>
            <w:shd w:val="clear" w:color="auto" w:fill="auto"/>
          </w:tcPr>
          <w:p>
            <w:pPr>
              <w:widowControl/>
              <w:jc w:val="left"/>
              <w:outlineLvl w:val="1"/>
              <w:rPr>
                <w:rFonts w:hint="eastAsia" w:ascii="仿宋_GB2312" w:hAnsi="宋体" w:eastAsia="仿宋_GB2312"/>
                <w:kern w:val="0"/>
                <w:sz w:val="32"/>
                <w:szCs w:val="32"/>
              </w:rPr>
            </w:pPr>
          </w:p>
        </w:tc>
        <w:tc>
          <w:tcPr>
            <w:tcW w:w="540" w:type="dxa"/>
            <w:shd w:val="clear" w:color="auto" w:fill="auto"/>
          </w:tcPr>
          <w:p>
            <w:pPr>
              <w:widowControl/>
              <w:jc w:val="left"/>
              <w:outlineLvl w:val="1"/>
              <w:rPr>
                <w:rFonts w:hint="eastAsia" w:ascii="仿宋_GB2312" w:hAnsi="宋体" w:eastAsia="仿宋_GB2312"/>
                <w:kern w:val="0"/>
                <w:sz w:val="32"/>
                <w:szCs w:val="32"/>
              </w:rPr>
            </w:pPr>
          </w:p>
        </w:tc>
        <w:tc>
          <w:tcPr>
            <w:tcW w:w="495" w:type="dxa"/>
            <w:shd w:val="clear" w:color="auto" w:fill="auto"/>
          </w:tcPr>
          <w:p>
            <w:pPr>
              <w:widowControl/>
              <w:jc w:val="left"/>
              <w:outlineLvl w:val="1"/>
              <w:rPr>
                <w:rFonts w:hint="eastAsia" w:ascii="仿宋_GB2312" w:hAnsi="宋体" w:eastAsia="仿宋_GB2312"/>
                <w:kern w:val="0"/>
                <w:sz w:val="32"/>
                <w:szCs w:val="32"/>
              </w:rPr>
            </w:pPr>
          </w:p>
        </w:tc>
        <w:tc>
          <w:tcPr>
            <w:tcW w:w="1170" w:type="dxa"/>
            <w:shd w:val="clear" w:color="auto" w:fill="auto"/>
          </w:tcPr>
          <w:p>
            <w:pPr>
              <w:widowControl/>
              <w:jc w:val="left"/>
              <w:outlineLvl w:val="1"/>
              <w:rPr>
                <w:rFonts w:hint="eastAsia" w:ascii="仿宋_GB2312" w:hAnsi="宋体" w:eastAsia="仿宋_GB2312"/>
                <w:kern w:val="0"/>
                <w:sz w:val="32"/>
                <w:szCs w:val="32"/>
              </w:rPr>
            </w:pPr>
          </w:p>
        </w:tc>
        <w:tc>
          <w:tcPr>
            <w:tcW w:w="930" w:type="dxa"/>
            <w:shd w:val="clear" w:color="auto" w:fill="auto"/>
          </w:tcPr>
          <w:p>
            <w:pPr>
              <w:widowControl/>
              <w:jc w:val="left"/>
              <w:outlineLvl w:val="1"/>
              <w:rPr>
                <w:rFonts w:hint="eastAsia" w:ascii="仿宋_GB2312" w:hAnsi="宋体" w:eastAsia="仿宋_GB2312"/>
                <w:kern w:val="0"/>
                <w:sz w:val="32"/>
                <w:szCs w:val="32"/>
              </w:rPr>
            </w:pPr>
          </w:p>
        </w:tc>
        <w:tc>
          <w:tcPr>
            <w:tcW w:w="547" w:type="dxa"/>
            <w:shd w:val="clear" w:color="auto" w:fill="auto"/>
          </w:tcPr>
          <w:p>
            <w:pPr>
              <w:widowControl/>
              <w:jc w:val="left"/>
              <w:outlineLvl w:val="1"/>
              <w:rPr>
                <w:rFonts w:hint="eastAsia" w:ascii="仿宋_GB2312" w:hAnsi="宋体" w:eastAsia="仿宋_GB2312"/>
                <w:kern w:val="0"/>
                <w:sz w:val="32"/>
                <w:szCs w:val="32"/>
              </w:rPr>
            </w:pPr>
          </w:p>
        </w:tc>
        <w:tc>
          <w:tcPr>
            <w:tcW w:w="569" w:type="dxa"/>
            <w:shd w:val="clear" w:color="auto" w:fill="auto"/>
          </w:tcPr>
          <w:p>
            <w:pPr>
              <w:widowControl/>
              <w:jc w:val="left"/>
              <w:outlineLvl w:val="1"/>
              <w:rPr>
                <w:rFonts w:hint="eastAsia" w:ascii="仿宋_GB2312" w:hAnsi="宋体" w:eastAsia="仿宋_GB2312"/>
                <w:kern w:val="0"/>
                <w:sz w:val="32"/>
                <w:szCs w:val="32"/>
              </w:rPr>
            </w:pPr>
          </w:p>
        </w:tc>
        <w:tc>
          <w:tcPr>
            <w:tcW w:w="536" w:type="dxa"/>
            <w:shd w:val="clear" w:color="auto" w:fill="auto"/>
          </w:tcPr>
          <w:p>
            <w:pPr>
              <w:widowControl/>
              <w:jc w:val="left"/>
              <w:outlineLvl w:val="1"/>
              <w:rPr>
                <w:rFonts w:hint="eastAsia" w:ascii="仿宋_GB2312" w:hAnsi="宋体" w:eastAsia="仿宋_GB2312"/>
                <w:kern w:val="0"/>
                <w:sz w:val="32"/>
                <w:szCs w:val="32"/>
              </w:rPr>
            </w:pPr>
          </w:p>
        </w:tc>
        <w:tc>
          <w:tcPr>
            <w:tcW w:w="652" w:type="dxa"/>
            <w:shd w:val="clear" w:color="auto" w:fill="auto"/>
          </w:tcPr>
          <w:p>
            <w:pPr>
              <w:widowControl/>
              <w:jc w:val="left"/>
              <w:outlineLvl w:val="1"/>
              <w:rPr>
                <w:rFonts w:hint="eastAsia" w:ascii="仿宋_GB2312" w:hAnsi="宋体" w:eastAsia="仿宋_GB2312"/>
                <w:kern w:val="0"/>
                <w:sz w:val="32"/>
                <w:szCs w:val="32"/>
              </w:rPr>
            </w:pPr>
          </w:p>
        </w:tc>
        <w:tc>
          <w:tcPr>
            <w:tcW w:w="652" w:type="dxa"/>
            <w:shd w:val="clear" w:color="auto" w:fill="auto"/>
          </w:tcPr>
          <w:p>
            <w:pPr>
              <w:widowControl/>
              <w:jc w:val="left"/>
              <w:outlineLvl w:val="1"/>
              <w:rPr>
                <w:rFonts w:hint="eastAsia" w:ascii="仿宋_GB2312" w:hAnsi="宋体" w:eastAsia="仿宋_GB2312"/>
                <w:kern w:val="0"/>
                <w:sz w:val="32"/>
                <w:szCs w:val="32"/>
              </w:rPr>
            </w:pPr>
          </w:p>
        </w:tc>
        <w:tc>
          <w:tcPr>
            <w:tcW w:w="578" w:type="dxa"/>
            <w:gridSpan w:val="2"/>
            <w:shd w:val="clear" w:color="auto" w:fill="auto"/>
          </w:tcPr>
          <w:p>
            <w:pPr>
              <w:widowControl/>
              <w:jc w:val="left"/>
              <w:outlineLvl w:val="1"/>
              <w:rPr>
                <w:rFonts w:hint="eastAsia" w:ascii="仿宋_GB2312" w:hAnsi="宋体" w:eastAsia="仿宋_GB2312"/>
                <w:kern w:val="0"/>
                <w:sz w:val="32"/>
                <w:szCs w:val="32"/>
              </w:rPr>
            </w:pPr>
          </w:p>
        </w:tc>
        <w:tc>
          <w:tcPr>
            <w:tcW w:w="419" w:type="dxa"/>
            <w:shd w:val="clear" w:color="auto" w:fill="auto"/>
          </w:tcPr>
          <w:p>
            <w:pPr>
              <w:widowControl/>
              <w:jc w:val="left"/>
              <w:outlineLvl w:val="1"/>
              <w:rPr>
                <w:rFonts w:hint="eastAsia" w:ascii="仿宋_GB2312" w:hAnsi="宋体" w:eastAsia="仿宋_GB2312"/>
                <w:kern w:val="0"/>
                <w:sz w:val="32"/>
                <w:szCs w:val="32"/>
              </w:rPr>
            </w:pPr>
          </w:p>
        </w:tc>
        <w:tc>
          <w:tcPr>
            <w:tcW w:w="578" w:type="dxa"/>
            <w:shd w:val="clear" w:color="auto" w:fill="auto"/>
          </w:tcPr>
          <w:p>
            <w:pPr>
              <w:widowControl/>
              <w:jc w:val="left"/>
              <w:outlineLvl w:val="1"/>
              <w:rPr>
                <w:rFonts w:hint="eastAsia" w:ascii="仿宋_GB2312" w:hAnsi="宋体" w:eastAsia="仿宋_GB2312"/>
                <w:kern w:val="0"/>
                <w:sz w:val="32"/>
                <w:szCs w:val="32"/>
              </w:rPr>
            </w:pPr>
          </w:p>
        </w:tc>
        <w:tc>
          <w:tcPr>
            <w:tcW w:w="420" w:type="dxa"/>
            <w:shd w:val="clear" w:color="auto" w:fill="auto"/>
          </w:tcPr>
          <w:p>
            <w:pPr>
              <w:widowControl/>
              <w:jc w:val="left"/>
              <w:outlineLvl w:val="1"/>
              <w:rPr>
                <w:rFonts w:hint="eastAsia" w:ascii="仿宋_GB2312" w:hAnsi="宋体" w:eastAsia="仿宋_GB2312"/>
                <w:kern w:val="0"/>
                <w:sz w:val="32"/>
                <w:szCs w:val="32"/>
              </w:rPr>
            </w:pPr>
          </w:p>
        </w:tc>
        <w:tc>
          <w:tcPr>
            <w:tcW w:w="420" w:type="dxa"/>
            <w:shd w:val="clear" w:color="auto" w:fill="auto"/>
          </w:tcPr>
          <w:p>
            <w:pPr>
              <w:widowControl/>
              <w:jc w:val="left"/>
              <w:outlineLvl w:val="1"/>
              <w:rPr>
                <w:rFonts w:hint="eastAsia" w:ascii="仿宋_GB2312" w:hAnsi="宋体" w:eastAsia="仿宋_GB2312"/>
                <w:kern w:val="0"/>
                <w:sz w:val="32"/>
                <w:szCs w:val="32"/>
              </w:rPr>
            </w:pPr>
          </w:p>
        </w:tc>
        <w:tc>
          <w:tcPr>
            <w:tcW w:w="389" w:type="dxa"/>
            <w:shd w:val="clear" w:color="auto" w:fill="auto"/>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8" w:type="dxa"/>
          <w:trHeight w:val="585" w:hRule="atLeast"/>
        </w:trPr>
        <w:tc>
          <w:tcPr>
            <w:tcW w:w="645" w:type="dxa"/>
            <w:gridSpan w:val="2"/>
            <w:shd w:val="clear" w:color="auto" w:fill="auto"/>
          </w:tcPr>
          <w:p>
            <w:pPr>
              <w:widowControl/>
              <w:jc w:val="left"/>
              <w:outlineLvl w:val="1"/>
              <w:rPr>
                <w:rFonts w:hint="eastAsia" w:ascii="仿宋_GB2312" w:hAnsi="宋体" w:eastAsia="仿宋_GB2312"/>
                <w:kern w:val="0"/>
                <w:sz w:val="32"/>
                <w:szCs w:val="32"/>
              </w:rPr>
            </w:pPr>
          </w:p>
        </w:tc>
        <w:tc>
          <w:tcPr>
            <w:tcW w:w="540" w:type="dxa"/>
            <w:shd w:val="clear" w:color="auto" w:fill="auto"/>
          </w:tcPr>
          <w:p>
            <w:pPr>
              <w:widowControl/>
              <w:jc w:val="left"/>
              <w:outlineLvl w:val="1"/>
              <w:rPr>
                <w:rFonts w:hint="eastAsia" w:ascii="仿宋_GB2312" w:hAnsi="宋体" w:eastAsia="仿宋_GB2312"/>
                <w:kern w:val="0"/>
                <w:sz w:val="32"/>
                <w:szCs w:val="32"/>
              </w:rPr>
            </w:pPr>
          </w:p>
        </w:tc>
        <w:tc>
          <w:tcPr>
            <w:tcW w:w="495" w:type="dxa"/>
            <w:shd w:val="clear" w:color="auto" w:fill="auto"/>
          </w:tcPr>
          <w:p>
            <w:pPr>
              <w:widowControl/>
              <w:jc w:val="left"/>
              <w:outlineLvl w:val="1"/>
              <w:rPr>
                <w:rFonts w:hint="eastAsia" w:ascii="仿宋_GB2312" w:hAnsi="宋体" w:eastAsia="仿宋_GB2312"/>
                <w:kern w:val="0"/>
                <w:sz w:val="32"/>
                <w:szCs w:val="32"/>
              </w:rPr>
            </w:pPr>
          </w:p>
        </w:tc>
        <w:tc>
          <w:tcPr>
            <w:tcW w:w="1170" w:type="dxa"/>
            <w:shd w:val="clear" w:color="auto" w:fill="auto"/>
          </w:tcPr>
          <w:p>
            <w:pPr>
              <w:widowControl/>
              <w:jc w:val="left"/>
              <w:outlineLvl w:val="1"/>
              <w:rPr>
                <w:rFonts w:hint="eastAsia" w:ascii="仿宋_GB2312" w:hAnsi="宋体" w:eastAsia="仿宋_GB2312"/>
                <w:kern w:val="0"/>
                <w:sz w:val="32"/>
                <w:szCs w:val="32"/>
              </w:rPr>
            </w:pPr>
          </w:p>
        </w:tc>
        <w:tc>
          <w:tcPr>
            <w:tcW w:w="930" w:type="dxa"/>
            <w:shd w:val="clear" w:color="auto" w:fill="auto"/>
          </w:tcPr>
          <w:p>
            <w:pPr>
              <w:widowControl/>
              <w:jc w:val="left"/>
              <w:outlineLvl w:val="1"/>
              <w:rPr>
                <w:rFonts w:hint="eastAsia" w:ascii="仿宋_GB2312" w:hAnsi="宋体" w:eastAsia="仿宋_GB2312"/>
                <w:kern w:val="0"/>
                <w:sz w:val="32"/>
                <w:szCs w:val="32"/>
              </w:rPr>
            </w:pPr>
          </w:p>
        </w:tc>
        <w:tc>
          <w:tcPr>
            <w:tcW w:w="547" w:type="dxa"/>
            <w:shd w:val="clear" w:color="auto" w:fill="auto"/>
          </w:tcPr>
          <w:p>
            <w:pPr>
              <w:widowControl/>
              <w:jc w:val="left"/>
              <w:outlineLvl w:val="1"/>
              <w:rPr>
                <w:rFonts w:hint="eastAsia" w:ascii="仿宋_GB2312" w:hAnsi="宋体" w:eastAsia="仿宋_GB2312"/>
                <w:kern w:val="0"/>
                <w:sz w:val="32"/>
                <w:szCs w:val="32"/>
              </w:rPr>
            </w:pPr>
          </w:p>
        </w:tc>
        <w:tc>
          <w:tcPr>
            <w:tcW w:w="569" w:type="dxa"/>
            <w:shd w:val="clear" w:color="auto" w:fill="auto"/>
          </w:tcPr>
          <w:p>
            <w:pPr>
              <w:widowControl/>
              <w:jc w:val="left"/>
              <w:outlineLvl w:val="1"/>
              <w:rPr>
                <w:rFonts w:hint="eastAsia" w:ascii="仿宋_GB2312" w:hAnsi="宋体" w:eastAsia="仿宋_GB2312"/>
                <w:kern w:val="0"/>
                <w:sz w:val="32"/>
                <w:szCs w:val="32"/>
              </w:rPr>
            </w:pPr>
          </w:p>
        </w:tc>
        <w:tc>
          <w:tcPr>
            <w:tcW w:w="536" w:type="dxa"/>
            <w:shd w:val="clear" w:color="auto" w:fill="auto"/>
          </w:tcPr>
          <w:p>
            <w:pPr>
              <w:widowControl/>
              <w:jc w:val="left"/>
              <w:outlineLvl w:val="1"/>
              <w:rPr>
                <w:rFonts w:hint="eastAsia" w:ascii="仿宋_GB2312" w:hAnsi="宋体" w:eastAsia="仿宋_GB2312"/>
                <w:kern w:val="0"/>
                <w:sz w:val="32"/>
                <w:szCs w:val="32"/>
              </w:rPr>
            </w:pPr>
          </w:p>
        </w:tc>
        <w:tc>
          <w:tcPr>
            <w:tcW w:w="652" w:type="dxa"/>
            <w:shd w:val="clear" w:color="auto" w:fill="auto"/>
          </w:tcPr>
          <w:p>
            <w:pPr>
              <w:widowControl/>
              <w:jc w:val="left"/>
              <w:outlineLvl w:val="1"/>
              <w:rPr>
                <w:rFonts w:hint="eastAsia" w:ascii="仿宋_GB2312" w:hAnsi="宋体" w:eastAsia="仿宋_GB2312"/>
                <w:kern w:val="0"/>
                <w:sz w:val="32"/>
                <w:szCs w:val="32"/>
              </w:rPr>
            </w:pPr>
          </w:p>
        </w:tc>
        <w:tc>
          <w:tcPr>
            <w:tcW w:w="652" w:type="dxa"/>
            <w:shd w:val="clear" w:color="auto" w:fill="auto"/>
          </w:tcPr>
          <w:p>
            <w:pPr>
              <w:widowControl/>
              <w:jc w:val="left"/>
              <w:outlineLvl w:val="1"/>
              <w:rPr>
                <w:rFonts w:hint="eastAsia" w:ascii="仿宋_GB2312" w:hAnsi="宋体" w:eastAsia="仿宋_GB2312"/>
                <w:kern w:val="0"/>
                <w:sz w:val="32"/>
                <w:szCs w:val="32"/>
              </w:rPr>
            </w:pPr>
          </w:p>
        </w:tc>
        <w:tc>
          <w:tcPr>
            <w:tcW w:w="578" w:type="dxa"/>
            <w:gridSpan w:val="2"/>
            <w:shd w:val="clear" w:color="auto" w:fill="auto"/>
          </w:tcPr>
          <w:p>
            <w:pPr>
              <w:widowControl/>
              <w:jc w:val="left"/>
              <w:outlineLvl w:val="1"/>
              <w:rPr>
                <w:rFonts w:hint="eastAsia" w:ascii="仿宋_GB2312" w:hAnsi="宋体" w:eastAsia="仿宋_GB2312"/>
                <w:kern w:val="0"/>
                <w:sz w:val="32"/>
                <w:szCs w:val="32"/>
              </w:rPr>
            </w:pPr>
          </w:p>
        </w:tc>
        <w:tc>
          <w:tcPr>
            <w:tcW w:w="419" w:type="dxa"/>
            <w:shd w:val="clear" w:color="auto" w:fill="auto"/>
          </w:tcPr>
          <w:p>
            <w:pPr>
              <w:widowControl/>
              <w:jc w:val="left"/>
              <w:outlineLvl w:val="1"/>
              <w:rPr>
                <w:rFonts w:hint="eastAsia" w:ascii="仿宋_GB2312" w:hAnsi="宋体" w:eastAsia="仿宋_GB2312"/>
                <w:kern w:val="0"/>
                <w:sz w:val="32"/>
                <w:szCs w:val="32"/>
              </w:rPr>
            </w:pPr>
          </w:p>
        </w:tc>
        <w:tc>
          <w:tcPr>
            <w:tcW w:w="578" w:type="dxa"/>
            <w:shd w:val="clear" w:color="auto" w:fill="auto"/>
          </w:tcPr>
          <w:p>
            <w:pPr>
              <w:widowControl/>
              <w:jc w:val="left"/>
              <w:outlineLvl w:val="1"/>
              <w:rPr>
                <w:rFonts w:hint="eastAsia" w:ascii="仿宋_GB2312" w:hAnsi="宋体" w:eastAsia="仿宋_GB2312"/>
                <w:kern w:val="0"/>
                <w:sz w:val="32"/>
                <w:szCs w:val="32"/>
              </w:rPr>
            </w:pPr>
          </w:p>
        </w:tc>
        <w:tc>
          <w:tcPr>
            <w:tcW w:w="420" w:type="dxa"/>
            <w:shd w:val="clear" w:color="auto" w:fill="auto"/>
          </w:tcPr>
          <w:p>
            <w:pPr>
              <w:widowControl/>
              <w:jc w:val="left"/>
              <w:outlineLvl w:val="1"/>
              <w:rPr>
                <w:rFonts w:hint="eastAsia" w:ascii="仿宋_GB2312" w:hAnsi="宋体" w:eastAsia="仿宋_GB2312"/>
                <w:kern w:val="0"/>
                <w:sz w:val="32"/>
                <w:szCs w:val="32"/>
              </w:rPr>
            </w:pPr>
          </w:p>
        </w:tc>
        <w:tc>
          <w:tcPr>
            <w:tcW w:w="420" w:type="dxa"/>
            <w:shd w:val="clear" w:color="auto" w:fill="auto"/>
          </w:tcPr>
          <w:p>
            <w:pPr>
              <w:widowControl/>
              <w:jc w:val="left"/>
              <w:outlineLvl w:val="1"/>
              <w:rPr>
                <w:rFonts w:hint="eastAsia" w:ascii="仿宋_GB2312" w:hAnsi="宋体" w:eastAsia="仿宋_GB2312"/>
                <w:kern w:val="0"/>
                <w:sz w:val="32"/>
                <w:szCs w:val="32"/>
              </w:rPr>
            </w:pPr>
          </w:p>
        </w:tc>
        <w:tc>
          <w:tcPr>
            <w:tcW w:w="389" w:type="dxa"/>
            <w:shd w:val="clear" w:color="auto" w:fill="auto"/>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8" w:type="dxa"/>
          <w:trHeight w:val="585" w:hRule="atLeast"/>
        </w:trPr>
        <w:tc>
          <w:tcPr>
            <w:tcW w:w="645" w:type="dxa"/>
            <w:gridSpan w:val="2"/>
            <w:shd w:val="clear" w:color="auto" w:fill="auto"/>
          </w:tcPr>
          <w:p>
            <w:pPr>
              <w:widowControl/>
              <w:jc w:val="left"/>
              <w:outlineLvl w:val="1"/>
              <w:rPr>
                <w:rFonts w:hint="eastAsia" w:ascii="仿宋_GB2312" w:hAnsi="宋体" w:eastAsia="仿宋_GB2312"/>
                <w:kern w:val="0"/>
                <w:sz w:val="32"/>
                <w:szCs w:val="32"/>
              </w:rPr>
            </w:pPr>
          </w:p>
        </w:tc>
        <w:tc>
          <w:tcPr>
            <w:tcW w:w="540" w:type="dxa"/>
            <w:shd w:val="clear" w:color="auto" w:fill="auto"/>
          </w:tcPr>
          <w:p>
            <w:pPr>
              <w:widowControl/>
              <w:jc w:val="left"/>
              <w:outlineLvl w:val="1"/>
              <w:rPr>
                <w:rFonts w:hint="eastAsia" w:ascii="仿宋_GB2312" w:hAnsi="宋体" w:eastAsia="仿宋_GB2312"/>
                <w:kern w:val="0"/>
                <w:sz w:val="32"/>
                <w:szCs w:val="32"/>
              </w:rPr>
            </w:pPr>
          </w:p>
        </w:tc>
        <w:tc>
          <w:tcPr>
            <w:tcW w:w="495" w:type="dxa"/>
            <w:shd w:val="clear" w:color="auto" w:fill="auto"/>
          </w:tcPr>
          <w:p>
            <w:pPr>
              <w:widowControl/>
              <w:jc w:val="left"/>
              <w:outlineLvl w:val="1"/>
              <w:rPr>
                <w:rFonts w:hint="eastAsia" w:ascii="仿宋_GB2312" w:hAnsi="宋体" w:eastAsia="仿宋_GB2312"/>
                <w:kern w:val="0"/>
                <w:sz w:val="32"/>
                <w:szCs w:val="32"/>
              </w:rPr>
            </w:pPr>
          </w:p>
        </w:tc>
        <w:tc>
          <w:tcPr>
            <w:tcW w:w="1170" w:type="dxa"/>
            <w:shd w:val="clear" w:color="auto" w:fill="auto"/>
          </w:tcPr>
          <w:p>
            <w:pPr>
              <w:widowControl/>
              <w:jc w:val="left"/>
              <w:outlineLvl w:val="1"/>
              <w:rPr>
                <w:rFonts w:hint="eastAsia" w:ascii="仿宋_GB2312" w:hAnsi="宋体" w:eastAsia="仿宋_GB2312"/>
                <w:kern w:val="0"/>
                <w:sz w:val="32"/>
                <w:szCs w:val="32"/>
              </w:rPr>
            </w:pPr>
          </w:p>
        </w:tc>
        <w:tc>
          <w:tcPr>
            <w:tcW w:w="930" w:type="dxa"/>
            <w:shd w:val="clear" w:color="auto" w:fill="auto"/>
          </w:tcPr>
          <w:p>
            <w:pPr>
              <w:widowControl/>
              <w:jc w:val="left"/>
              <w:outlineLvl w:val="1"/>
              <w:rPr>
                <w:rFonts w:hint="eastAsia" w:ascii="仿宋_GB2312" w:hAnsi="宋体" w:eastAsia="仿宋_GB2312"/>
                <w:kern w:val="0"/>
                <w:sz w:val="32"/>
                <w:szCs w:val="32"/>
              </w:rPr>
            </w:pPr>
          </w:p>
        </w:tc>
        <w:tc>
          <w:tcPr>
            <w:tcW w:w="547" w:type="dxa"/>
            <w:shd w:val="clear" w:color="auto" w:fill="auto"/>
          </w:tcPr>
          <w:p>
            <w:pPr>
              <w:widowControl/>
              <w:jc w:val="left"/>
              <w:outlineLvl w:val="1"/>
              <w:rPr>
                <w:rFonts w:hint="eastAsia" w:ascii="仿宋_GB2312" w:hAnsi="宋体" w:eastAsia="仿宋_GB2312"/>
                <w:kern w:val="0"/>
                <w:sz w:val="32"/>
                <w:szCs w:val="32"/>
              </w:rPr>
            </w:pPr>
          </w:p>
        </w:tc>
        <w:tc>
          <w:tcPr>
            <w:tcW w:w="569" w:type="dxa"/>
            <w:shd w:val="clear" w:color="auto" w:fill="auto"/>
          </w:tcPr>
          <w:p>
            <w:pPr>
              <w:widowControl/>
              <w:jc w:val="left"/>
              <w:outlineLvl w:val="1"/>
              <w:rPr>
                <w:rFonts w:hint="eastAsia" w:ascii="仿宋_GB2312" w:hAnsi="宋体" w:eastAsia="仿宋_GB2312"/>
                <w:kern w:val="0"/>
                <w:sz w:val="32"/>
                <w:szCs w:val="32"/>
              </w:rPr>
            </w:pPr>
          </w:p>
        </w:tc>
        <w:tc>
          <w:tcPr>
            <w:tcW w:w="536" w:type="dxa"/>
            <w:shd w:val="clear" w:color="auto" w:fill="auto"/>
          </w:tcPr>
          <w:p>
            <w:pPr>
              <w:widowControl/>
              <w:jc w:val="left"/>
              <w:outlineLvl w:val="1"/>
              <w:rPr>
                <w:rFonts w:hint="eastAsia" w:ascii="仿宋_GB2312" w:hAnsi="宋体" w:eastAsia="仿宋_GB2312"/>
                <w:kern w:val="0"/>
                <w:sz w:val="32"/>
                <w:szCs w:val="32"/>
              </w:rPr>
            </w:pPr>
          </w:p>
        </w:tc>
        <w:tc>
          <w:tcPr>
            <w:tcW w:w="652" w:type="dxa"/>
            <w:shd w:val="clear" w:color="auto" w:fill="auto"/>
          </w:tcPr>
          <w:p>
            <w:pPr>
              <w:widowControl/>
              <w:jc w:val="left"/>
              <w:outlineLvl w:val="1"/>
              <w:rPr>
                <w:rFonts w:hint="eastAsia" w:ascii="仿宋_GB2312" w:hAnsi="宋体" w:eastAsia="仿宋_GB2312"/>
                <w:kern w:val="0"/>
                <w:sz w:val="32"/>
                <w:szCs w:val="32"/>
              </w:rPr>
            </w:pPr>
          </w:p>
        </w:tc>
        <w:tc>
          <w:tcPr>
            <w:tcW w:w="652" w:type="dxa"/>
            <w:shd w:val="clear" w:color="auto" w:fill="auto"/>
          </w:tcPr>
          <w:p>
            <w:pPr>
              <w:widowControl/>
              <w:jc w:val="left"/>
              <w:outlineLvl w:val="1"/>
              <w:rPr>
                <w:rFonts w:hint="eastAsia" w:ascii="仿宋_GB2312" w:hAnsi="宋体" w:eastAsia="仿宋_GB2312"/>
                <w:kern w:val="0"/>
                <w:sz w:val="32"/>
                <w:szCs w:val="32"/>
              </w:rPr>
            </w:pPr>
          </w:p>
        </w:tc>
        <w:tc>
          <w:tcPr>
            <w:tcW w:w="578" w:type="dxa"/>
            <w:gridSpan w:val="2"/>
            <w:shd w:val="clear" w:color="auto" w:fill="auto"/>
          </w:tcPr>
          <w:p>
            <w:pPr>
              <w:widowControl/>
              <w:jc w:val="left"/>
              <w:outlineLvl w:val="1"/>
              <w:rPr>
                <w:rFonts w:hint="eastAsia" w:ascii="仿宋_GB2312" w:hAnsi="宋体" w:eastAsia="仿宋_GB2312"/>
                <w:kern w:val="0"/>
                <w:sz w:val="32"/>
                <w:szCs w:val="32"/>
              </w:rPr>
            </w:pPr>
          </w:p>
        </w:tc>
        <w:tc>
          <w:tcPr>
            <w:tcW w:w="419" w:type="dxa"/>
            <w:shd w:val="clear" w:color="auto" w:fill="auto"/>
          </w:tcPr>
          <w:p>
            <w:pPr>
              <w:widowControl/>
              <w:jc w:val="left"/>
              <w:outlineLvl w:val="1"/>
              <w:rPr>
                <w:rFonts w:hint="eastAsia" w:ascii="仿宋_GB2312" w:hAnsi="宋体" w:eastAsia="仿宋_GB2312"/>
                <w:kern w:val="0"/>
                <w:sz w:val="32"/>
                <w:szCs w:val="32"/>
              </w:rPr>
            </w:pPr>
          </w:p>
        </w:tc>
        <w:tc>
          <w:tcPr>
            <w:tcW w:w="578" w:type="dxa"/>
            <w:shd w:val="clear" w:color="auto" w:fill="auto"/>
          </w:tcPr>
          <w:p>
            <w:pPr>
              <w:widowControl/>
              <w:jc w:val="left"/>
              <w:outlineLvl w:val="1"/>
              <w:rPr>
                <w:rFonts w:hint="eastAsia" w:ascii="仿宋_GB2312" w:hAnsi="宋体" w:eastAsia="仿宋_GB2312"/>
                <w:kern w:val="0"/>
                <w:sz w:val="32"/>
                <w:szCs w:val="32"/>
              </w:rPr>
            </w:pPr>
          </w:p>
        </w:tc>
        <w:tc>
          <w:tcPr>
            <w:tcW w:w="420" w:type="dxa"/>
            <w:shd w:val="clear" w:color="auto" w:fill="auto"/>
          </w:tcPr>
          <w:p>
            <w:pPr>
              <w:widowControl/>
              <w:jc w:val="left"/>
              <w:outlineLvl w:val="1"/>
              <w:rPr>
                <w:rFonts w:hint="eastAsia" w:ascii="仿宋_GB2312" w:hAnsi="宋体" w:eastAsia="仿宋_GB2312"/>
                <w:kern w:val="0"/>
                <w:sz w:val="32"/>
                <w:szCs w:val="32"/>
              </w:rPr>
            </w:pPr>
          </w:p>
        </w:tc>
        <w:tc>
          <w:tcPr>
            <w:tcW w:w="420" w:type="dxa"/>
            <w:shd w:val="clear" w:color="auto" w:fill="auto"/>
          </w:tcPr>
          <w:p>
            <w:pPr>
              <w:widowControl/>
              <w:jc w:val="left"/>
              <w:outlineLvl w:val="1"/>
              <w:rPr>
                <w:rFonts w:hint="eastAsia" w:ascii="仿宋_GB2312" w:hAnsi="宋体" w:eastAsia="仿宋_GB2312"/>
                <w:kern w:val="0"/>
                <w:sz w:val="32"/>
                <w:szCs w:val="32"/>
              </w:rPr>
            </w:pPr>
          </w:p>
        </w:tc>
        <w:tc>
          <w:tcPr>
            <w:tcW w:w="389" w:type="dxa"/>
            <w:shd w:val="clear" w:color="auto" w:fill="auto"/>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8" w:type="dxa"/>
          <w:trHeight w:val="585" w:hRule="atLeast"/>
        </w:trPr>
        <w:tc>
          <w:tcPr>
            <w:tcW w:w="645"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7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45"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7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645"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7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trPr>
        <w:tc>
          <w:tcPr>
            <w:tcW w:w="645"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7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30" w:type="dxa"/>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合计</w:t>
            </w:r>
          </w:p>
        </w:tc>
        <w:tc>
          <w:tcPr>
            <w:tcW w:w="547" w:type="dxa"/>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70</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3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70</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编制单位：回族文学杂志社                                      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4"/>
              </w:rPr>
            </w:pPr>
            <w:r>
              <w:rPr>
                <w:rFonts w:ascii="Dialog" w:hAnsi="Dialog" w:eastAsia="Dialog" w:cs="Dialog"/>
                <w:color w:val="000000"/>
                <w:kern w:val="0"/>
                <w:sz w:val="24"/>
              </w:rPr>
              <w:t>1.98</w:t>
            </w:r>
          </w:p>
        </w:tc>
        <w:tc>
          <w:tcPr>
            <w:tcW w:w="1417"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4"/>
              </w:rPr>
            </w:pPr>
            <w:r>
              <w:rPr>
                <w:rFonts w:ascii="Dialog" w:hAnsi="Dialog" w:eastAsia="Dialog" w:cs="Dialog"/>
                <w:color w:val="000000"/>
                <w:kern w:val="0"/>
                <w:sz w:val="24"/>
              </w:rPr>
              <w:t>0</w:t>
            </w:r>
          </w:p>
        </w:tc>
        <w:tc>
          <w:tcPr>
            <w:tcW w:w="1559"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4"/>
              </w:rPr>
            </w:pPr>
            <w:r>
              <w:rPr>
                <w:rFonts w:ascii="Dialog" w:hAnsi="Dialog" w:eastAsia="Dialog" w:cs="Dialog"/>
                <w:color w:val="000000"/>
                <w:kern w:val="0"/>
                <w:sz w:val="24"/>
              </w:rPr>
              <w:t>1.98</w:t>
            </w:r>
          </w:p>
        </w:tc>
        <w:tc>
          <w:tcPr>
            <w:tcW w:w="1418"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4"/>
              </w:rPr>
            </w:pPr>
            <w:r>
              <w:rPr>
                <w:rFonts w:ascii="Dialog" w:hAnsi="Dialog" w:eastAsia="Dialog" w:cs="Dialog"/>
                <w:color w:val="000000"/>
                <w:kern w:val="0"/>
                <w:sz w:val="24"/>
              </w:rPr>
              <w:t>0</w:t>
            </w:r>
          </w:p>
        </w:tc>
        <w:tc>
          <w:tcPr>
            <w:tcW w:w="1559"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4"/>
              </w:rPr>
            </w:pPr>
            <w:r>
              <w:rPr>
                <w:rFonts w:ascii="Dialog" w:hAnsi="Dialog" w:eastAsia="Dialog" w:cs="Dialog"/>
                <w:color w:val="000000"/>
                <w:kern w:val="0"/>
                <w:sz w:val="24"/>
              </w:rPr>
              <w:t>1.98</w:t>
            </w:r>
          </w:p>
        </w:tc>
        <w:tc>
          <w:tcPr>
            <w:tcW w:w="1559"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4"/>
              </w:rPr>
            </w:pPr>
            <w:r>
              <w:rPr>
                <w:rFonts w:ascii="Dialog" w:hAnsi="Dialog" w:eastAsia="Dialog" w:cs="Dialog"/>
                <w:color w:val="000000"/>
                <w:kern w:val="0"/>
                <w:sz w:val="24"/>
              </w:rPr>
              <w:t>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编制单位：回族文学杂志社                                        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备注：回族文学杂志社2019年无政府性基金预算支出，政府性基金预算支出情况表为空表。</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关于回族文学杂志社部门2019年收支预算情况的总体说明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按照全口径预算的原则，回族文学杂志社部门2019年所有收入和支出均纳入部门预算管理。收支总预算216.6万元。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收入预算包括：一般公共预算216.6万元。</w:t>
      </w:r>
    </w:p>
    <w:p>
      <w:pPr>
        <w:spacing w:line="360" w:lineRule="auto"/>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支出预算包括：文化旅游体育与传媒支出216.6万元。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cs="黑体"/>
          <w:kern w:val="0"/>
          <w:sz w:val="32"/>
          <w:szCs w:val="32"/>
        </w:rPr>
        <w:t>回族文学杂志社</w:t>
      </w:r>
      <w:r>
        <w:rPr>
          <w:rFonts w:hint="eastAsia" w:ascii="黑体" w:hAnsi="宋体" w:eastAsia="黑体" w:cs="宋体"/>
          <w:kern w:val="0"/>
          <w:sz w:val="32"/>
          <w:szCs w:val="32"/>
        </w:rPr>
        <w:t>部门2019年收入预算情况说明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回族文学杂志社部门收入预算216.6万元，其中：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一般公共预算216.6万元，占总预算100 %，比上年增加0.79万元，主要原因是逐年工资调整及社保增加支出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三、关于回族文学杂志社部门单位2019年支出预算情况说明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回族文学杂志社2019年支出预算216.6万元，其中：</w:t>
      </w:r>
    </w:p>
    <w:p>
      <w:pPr>
        <w:widowControl/>
        <w:spacing w:line="580" w:lineRule="exact"/>
        <w:ind w:firstLine="640" w:firstLineChars="20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基本支出146.6万元，占68 %，比上年增加0.79 万元，主要原因是人员经费增加。</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项目支出70 万元，占 32%，比上年增加0元，主要原因是与去年持平没有新增专项业务经费。</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四、关于回族文学杂志社2019年财政拨款收支预算情况的总体说明</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 216.6万元。</w:t>
      </w:r>
    </w:p>
    <w:p>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支出预算包括：一般公共服务文化旅游体育与传媒支出216.6万元，主要用于维护单位基本运行，保障职工的薪酬奖金等人员经费支出131.88万元、公用经费14.72万元，专项业务经费支出70万元。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五、关于回族文学杂志社部门2019年一般公共预算当年拨款情况说明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回族文学杂志社部门2019年一般公共预算拨款基本支出 146.6 万元，比上年执行数增加0.79 万元，增长0.5 %。主要原因是：主要原因是逐年工资调整及社保增加支出。</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一般公共服务其他文化和旅游支出（207）216.6万</w:t>
      </w:r>
      <w:r>
        <w:rPr>
          <w:rFonts w:hint="eastAsia" w:ascii="仿宋_GB2312" w:hAnsi="宋体" w:eastAsia="仿宋_GB2312" w:cs="宋体"/>
          <w:kern w:val="0"/>
          <w:sz w:val="32"/>
          <w:szCs w:val="32"/>
        </w:rPr>
        <w:t>元，占一般预算支出的 100%。</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文化旅游体育与传媒支出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207</w:t>
      </w:r>
      <w:r>
        <w:rPr>
          <w:rFonts w:ascii="仿宋_GB2312" w:hAnsi="宋体" w:eastAsia="仿宋_GB2312" w:cs="宋体"/>
          <w:kern w:val="0"/>
          <w:sz w:val="32"/>
          <w:szCs w:val="32"/>
        </w:rPr>
        <w:t>）</w:t>
      </w:r>
      <w:r>
        <w:rPr>
          <w:rFonts w:hint="eastAsia" w:ascii="仿宋_GB2312" w:hAnsi="宋体" w:eastAsia="仿宋_GB2312" w:cs="宋体"/>
          <w:kern w:val="0"/>
          <w:sz w:val="32"/>
          <w:szCs w:val="32"/>
        </w:rPr>
        <w:t>文化和旅游</w:t>
      </w:r>
      <w:r>
        <w:rPr>
          <w:rFonts w:ascii="仿宋_GB2312" w:hAnsi="宋体" w:eastAsia="仿宋_GB2312" w:cs="宋体"/>
          <w:kern w:val="0"/>
          <w:sz w:val="32"/>
          <w:szCs w:val="32"/>
        </w:rPr>
        <w:t>（</w:t>
      </w:r>
      <w:r>
        <w:rPr>
          <w:rFonts w:hint="eastAsia" w:ascii="仿宋_GB2312" w:hAnsi="宋体" w:eastAsia="仿宋_GB2312" w:cs="宋体"/>
          <w:kern w:val="0"/>
          <w:sz w:val="32"/>
          <w:szCs w:val="32"/>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其他文化和旅游支出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99</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216.6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比上年执行数增加0.79 万元，增长0.5%，主要原因是：工资福利支出增加。</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六、关于回族文学杂志社部门2019年一般公共预算基本支出情况说明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回族文学杂志社部门2019年一般公共预算基本支出 146.6万元，其中：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131.88万元，主要包括：基本工资、奖金、伙食补助费、绩效工资、机关事业单位基本养老保险缴费、职工基本医疗保险缴费、公务员医疗补助缴费、其他社会保障缴费、住房公积金、奖励金、其他对个人和家庭的补助等。</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公用经费14.72万元，主要包括：办公费、水费、邮电费、差旅费、维修（护）费、培训费、劳务费、工会经费、福利费、公务用车运行维护费、其他商品和服务支出等。</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七、关于州文联部门2019年项目支出情况说明</w:t>
      </w:r>
    </w:p>
    <w:p>
      <w:pPr>
        <w:widowControl/>
        <w:spacing w:line="560" w:lineRule="exact"/>
        <w:ind w:firstLine="640" w:firstLineChars="200"/>
        <w:jc w:val="left"/>
        <w:rPr>
          <w:rFonts w:ascii="仿宋_GB2312" w:hAnsi="黑体" w:eastAsia="仿宋_GB2312"/>
          <w:b/>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 w:hAnsi="仿宋" w:eastAsia="仿宋" w:cs="仿宋"/>
          <w:color w:val="2B2B2B"/>
          <w:kern w:val="0"/>
          <w:sz w:val="32"/>
          <w:szCs w:val="32"/>
        </w:rPr>
        <w:t>回族文学办刊业务经费</w:t>
      </w:r>
    </w:p>
    <w:p>
      <w:pPr>
        <w:widowControl/>
        <w:spacing w:line="560" w:lineRule="exact"/>
        <w:ind w:firstLine="640" w:firstLineChars="200"/>
        <w:jc w:val="left"/>
        <w:rPr>
          <w:rFonts w:ascii="仿宋" w:hAnsi="仿宋" w:eastAsia="仿宋" w:cs="仿宋"/>
          <w:color w:val="2B2B2B"/>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 w:hAnsi="仿宋" w:eastAsia="仿宋" w:cs="仿宋"/>
          <w:color w:val="2B2B2B"/>
          <w:kern w:val="0"/>
          <w:sz w:val="32"/>
          <w:szCs w:val="32"/>
        </w:rPr>
        <w:t>促进昌吉州文学艺术事业的发展</w:t>
      </w:r>
    </w:p>
    <w:p>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：25万元</w:t>
      </w:r>
    </w:p>
    <w:p>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 w:hAnsi="仿宋" w:eastAsia="仿宋" w:cs="仿宋"/>
          <w:color w:val="2B2B2B"/>
          <w:kern w:val="0"/>
          <w:sz w:val="32"/>
          <w:szCs w:val="32"/>
        </w:rPr>
        <w:t>昌吉州回族文学杂志社</w:t>
      </w:r>
    </w:p>
    <w:p>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color w:val="2B2B2B"/>
          <w:kern w:val="0"/>
          <w:sz w:val="32"/>
          <w:szCs w:val="32"/>
        </w:rPr>
        <w:t>商品服务支出25万元，主要用于支付杂志印刷费及相关费用</w:t>
      </w:r>
    </w:p>
    <w:p>
      <w:pPr>
        <w:widowControl/>
        <w:spacing w:line="560" w:lineRule="exact"/>
        <w:ind w:firstLine="640" w:firstLineChars="20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2019年1月-12月</w:t>
      </w:r>
    </w:p>
    <w:p>
      <w:pPr>
        <w:widowControl/>
        <w:spacing w:line="560" w:lineRule="exact"/>
        <w:ind w:firstLine="643" w:firstLineChars="200"/>
        <w:jc w:val="left"/>
        <w:rPr>
          <w:rFonts w:ascii="仿宋" w:hAnsi="仿宋" w:eastAsia="仿宋_GB2312" w:cs="仿宋"/>
          <w:color w:val="2B2B2B"/>
          <w:kern w:val="0"/>
          <w:sz w:val="32"/>
          <w:szCs w:val="32"/>
        </w:rPr>
      </w:pPr>
      <w:r>
        <w:rPr>
          <w:rFonts w:hint="eastAsia" w:ascii="仿宋_GB2312" w:hAnsi="黑体" w:eastAsia="仿宋_GB2312"/>
          <w:b/>
          <w:sz w:val="32"/>
          <w:szCs w:val="32"/>
        </w:rPr>
        <w:t>2、</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 w:hAnsi="仿宋" w:eastAsia="仿宋" w:cs="仿宋"/>
          <w:color w:val="2B2B2B"/>
          <w:kern w:val="0"/>
          <w:sz w:val="32"/>
          <w:szCs w:val="32"/>
        </w:rPr>
        <w:t>刊物邮寄费</w:t>
      </w:r>
    </w:p>
    <w:p>
      <w:pPr>
        <w:widowControl/>
        <w:spacing w:line="560" w:lineRule="exact"/>
        <w:ind w:firstLine="640" w:firstLineChars="200"/>
        <w:jc w:val="left"/>
        <w:rPr>
          <w:rFonts w:ascii="仿宋" w:hAnsi="仿宋" w:eastAsia="仿宋" w:cs="仿宋"/>
          <w:color w:val="2B2B2B"/>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 w:hAnsi="仿宋" w:eastAsia="仿宋" w:cs="仿宋"/>
          <w:color w:val="2B2B2B"/>
          <w:kern w:val="0"/>
          <w:sz w:val="32"/>
          <w:szCs w:val="32"/>
        </w:rPr>
        <w:t>促进昌吉州文学艺术事业的发展</w:t>
      </w:r>
    </w:p>
    <w:p>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：5万元</w:t>
      </w:r>
    </w:p>
    <w:p>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 w:hAnsi="仿宋" w:eastAsia="仿宋" w:cs="仿宋"/>
          <w:color w:val="2B2B2B"/>
          <w:kern w:val="0"/>
          <w:sz w:val="32"/>
          <w:szCs w:val="32"/>
        </w:rPr>
        <w:t>昌吉州回族文学杂志社</w:t>
      </w:r>
    </w:p>
    <w:p>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color w:val="2B2B2B"/>
          <w:kern w:val="0"/>
          <w:sz w:val="32"/>
          <w:szCs w:val="32"/>
        </w:rPr>
        <w:t>商品服务支出5万元，主要用于发行费及零散邮寄费。</w:t>
      </w:r>
    </w:p>
    <w:p>
      <w:pPr>
        <w:widowControl/>
        <w:spacing w:line="560" w:lineRule="exact"/>
        <w:ind w:firstLine="640" w:firstLineChars="20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2019年1月-12月</w:t>
      </w:r>
    </w:p>
    <w:p>
      <w:pPr>
        <w:widowControl/>
        <w:spacing w:line="560" w:lineRule="exact"/>
        <w:ind w:firstLine="643" w:firstLineChars="200"/>
        <w:jc w:val="left"/>
        <w:rPr>
          <w:rFonts w:ascii="仿宋" w:hAnsi="仿宋" w:eastAsia="仿宋_GB2312" w:cs="仿宋"/>
          <w:color w:val="2B2B2B"/>
          <w:kern w:val="0"/>
          <w:sz w:val="32"/>
          <w:szCs w:val="32"/>
        </w:rPr>
      </w:pPr>
      <w:r>
        <w:rPr>
          <w:rFonts w:hint="eastAsia" w:ascii="仿宋_GB2312" w:hAnsi="黑体" w:eastAsia="仿宋_GB2312"/>
          <w:b/>
          <w:sz w:val="32"/>
          <w:szCs w:val="32"/>
        </w:rPr>
        <w:t>3、</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 w:hAnsi="仿宋" w:eastAsia="仿宋" w:cs="仿宋"/>
          <w:color w:val="2B2B2B"/>
          <w:kern w:val="0"/>
          <w:sz w:val="32"/>
          <w:szCs w:val="32"/>
        </w:rPr>
        <w:t>期刊经费</w:t>
      </w:r>
    </w:p>
    <w:p>
      <w:pPr>
        <w:widowControl/>
        <w:spacing w:line="560" w:lineRule="exact"/>
        <w:ind w:firstLine="640" w:firstLineChars="200"/>
        <w:jc w:val="left"/>
        <w:rPr>
          <w:rFonts w:ascii="仿宋" w:hAnsi="仿宋" w:eastAsia="仿宋" w:cs="仿宋"/>
          <w:color w:val="2B2B2B"/>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 w:hAnsi="仿宋" w:eastAsia="仿宋" w:cs="仿宋"/>
          <w:color w:val="2B2B2B"/>
          <w:kern w:val="0"/>
          <w:sz w:val="32"/>
          <w:szCs w:val="32"/>
        </w:rPr>
        <w:t>促进昌吉州文学艺术事业的发展</w:t>
      </w:r>
    </w:p>
    <w:p>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：31万元</w:t>
      </w:r>
    </w:p>
    <w:p>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 w:hAnsi="仿宋" w:eastAsia="仿宋" w:cs="仿宋"/>
          <w:color w:val="2B2B2B"/>
          <w:kern w:val="0"/>
          <w:sz w:val="32"/>
          <w:szCs w:val="32"/>
        </w:rPr>
        <w:t>昌吉州回族文学杂志社</w:t>
      </w:r>
    </w:p>
    <w:p>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color w:val="2B2B2B"/>
          <w:kern w:val="0"/>
          <w:sz w:val="32"/>
          <w:szCs w:val="32"/>
        </w:rPr>
        <w:t>商品服务支出31万元，主要用于支出《回族文学》作者及相关征文、微信平台原创作者稿酬。</w:t>
      </w:r>
    </w:p>
    <w:p>
      <w:pPr>
        <w:widowControl/>
        <w:spacing w:line="560" w:lineRule="exact"/>
        <w:ind w:firstLine="640" w:firstLineChars="20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2019年1月-12月</w:t>
      </w:r>
    </w:p>
    <w:p>
      <w:pPr>
        <w:widowControl/>
        <w:spacing w:line="560" w:lineRule="exact"/>
        <w:ind w:firstLine="643" w:firstLineChars="200"/>
        <w:jc w:val="left"/>
        <w:rPr>
          <w:rFonts w:ascii="仿宋" w:hAnsi="仿宋" w:eastAsia="仿宋_GB2312" w:cs="仿宋"/>
          <w:color w:val="2B2B2B"/>
          <w:kern w:val="0"/>
          <w:sz w:val="32"/>
          <w:szCs w:val="32"/>
        </w:rPr>
      </w:pPr>
      <w:r>
        <w:rPr>
          <w:rFonts w:hint="eastAsia" w:ascii="仿宋_GB2312" w:hAnsi="黑体" w:eastAsia="仿宋_GB2312"/>
          <w:b/>
          <w:sz w:val="32"/>
          <w:szCs w:val="32"/>
        </w:rPr>
        <w:t>4、</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 w:hAnsi="仿宋" w:eastAsia="仿宋" w:cs="仿宋"/>
          <w:color w:val="2B2B2B"/>
          <w:kern w:val="0"/>
          <w:sz w:val="32"/>
          <w:szCs w:val="32"/>
        </w:rPr>
        <w:t>全国回族作家学者笔会</w:t>
      </w:r>
    </w:p>
    <w:p>
      <w:pPr>
        <w:widowControl/>
        <w:spacing w:line="560" w:lineRule="exact"/>
        <w:ind w:firstLine="640" w:firstLineChars="200"/>
        <w:jc w:val="left"/>
        <w:rPr>
          <w:rFonts w:ascii="仿宋" w:hAnsi="仿宋" w:eastAsia="仿宋" w:cs="仿宋"/>
          <w:color w:val="2B2B2B"/>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 w:hAnsi="仿宋" w:eastAsia="仿宋" w:cs="仿宋"/>
          <w:color w:val="2B2B2B"/>
          <w:kern w:val="0"/>
          <w:sz w:val="32"/>
          <w:szCs w:val="32"/>
        </w:rPr>
        <w:t>促进昌吉州文学艺术事业的发展</w:t>
      </w:r>
    </w:p>
    <w:p>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：9万元</w:t>
      </w:r>
    </w:p>
    <w:p>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 w:hAnsi="仿宋" w:eastAsia="仿宋" w:cs="仿宋"/>
          <w:color w:val="2B2B2B"/>
          <w:kern w:val="0"/>
          <w:sz w:val="32"/>
          <w:szCs w:val="32"/>
        </w:rPr>
        <w:t>昌吉州回族文学杂志社</w:t>
      </w:r>
    </w:p>
    <w:p>
      <w:pPr>
        <w:widowControl/>
        <w:spacing w:line="560" w:lineRule="exact"/>
        <w:ind w:firstLine="480"/>
        <w:jc w:val="left"/>
        <w:rPr>
          <w:rFonts w:ascii="仿宋" w:hAnsi="仿宋" w:eastAsia="仿宋" w:cs="仿宋"/>
          <w:color w:val="2B2B2B"/>
          <w:kern w:val="0"/>
          <w:sz w:val="32"/>
          <w:szCs w:val="32"/>
        </w:rPr>
      </w:pPr>
      <w:r>
        <w:rPr>
          <w:rFonts w:hint="eastAsia" w:ascii="仿宋_GB2312" w:hAnsi="黑体" w:eastAsia="仿宋_GB2312"/>
          <w:sz w:val="32"/>
          <w:szCs w:val="32"/>
        </w:rPr>
        <w:t xml:space="preserve"> </w:t>
      </w:r>
      <w:r>
        <w:rPr>
          <w:rFonts w:ascii="仿宋_GB2312" w:hAnsi="黑体" w:eastAsia="仿宋_GB2312"/>
          <w:sz w:val="32"/>
          <w:szCs w:val="32"/>
        </w:rPr>
        <w:t>金分配情况</w:t>
      </w:r>
      <w:r>
        <w:rPr>
          <w:rFonts w:hint="eastAsia" w:ascii="仿宋_GB2312" w:hAnsi="黑体" w:eastAsia="仿宋_GB2312"/>
          <w:sz w:val="32"/>
          <w:szCs w:val="32"/>
        </w:rPr>
        <w:t>：</w:t>
      </w:r>
      <w:r>
        <w:rPr>
          <w:rFonts w:hint="eastAsia" w:ascii="仿宋" w:hAnsi="仿宋" w:eastAsia="仿宋" w:cs="仿宋"/>
          <w:color w:val="2B2B2B"/>
          <w:kern w:val="0"/>
          <w:sz w:val="32"/>
          <w:szCs w:val="32"/>
        </w:rPr>
        <w:t>商品服务支出9万元，主要用于开办笔会参会作者食宿费用、特邀知名作家往返交通费用、场地租用费、租车费等。</w:t>
      </w:r>
    </w:p>
    <w:p>
      <w:pPr>
        <w:widowControl/>
        <w:spacing w:line="560" w:lineRule="exact"/>
        <w:ind w:firstLine="48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2019年1月-12月</w:t>
      </w:r>
      <w:r>
        <w:rPr>
          <w:rFonts w:ascii="仿宋_GB2312" w:hAnsi="宋体" w:eastAsia="仿宋_GB2312" w:cs="宋体"/>
          <w:kern w:val="0"/>
          <w:sz w:val="32"/>
          <w:szCs w:val="32"/>
        </w:rPr>
        <w:tab/>
      </w:r>
    </w:p>
    <w:p>
      <w:pPr>
        <w:widowControl/>
        <w:spacing w:line="56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八、关于回族文学杂志社部门2019年一般公共预算“三公”经费预算情况说明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回族文学杂志社部门2019年“三公”经费财政拨款预算数为 1.98万元，其中：因公出国（境）费0</w:t>
      </w:r>
      <w:r>
        <w:rPr>
          <w:rFonts w:hint="eastAsia" w:ascii="仿宋_GB2312" w:hAnsi="宋体" w:eastAsia="仿宋_GB2312" w:cs="宋体"/>
          <w:kern w:val="0"/>
          <w:sz w:val="32"/>
          <w:szCs w:val="32"/>
          <w:lang w:eastAsia="zh-CN"/>
        </w:rPr>
        <w:t>万</w:t>
      </w:r>
      <w:r>
        <w:rPr>
          <w:rFonts w:hint="eastAsia" w:ascii="仿宋_GB2312" w:hAnsi="宋体" w:eastAsia="仿宋_GB2312" w:cs="宋体"/>
          <w:kern w:val="0"/>
          <w:sz w:val="32"/>
          <w:szCs w:val="32"/>
        </w:rPr>
        <w:t>元，公务用车购置0万元，公务用车运行费1.98 万元，公务接待费 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2019年“三公”经费财政拨款预算比上年减少0.02万元，其中：因公出国（境）费增加（减少）0</w:t>
      </w:r>
      <w:r>
        <w:rPr>
          <w:rFonts w:hint="eastAsia" w:ascii="仿宋_GB2312" w:hAnsi="宋体" w:eastAsia="仿宋_GB2312" w:cs="宋体"/>
          <w:kern w:val="0"/>
          <w:sz w:val="32"/>
          <w:szCs w:val="32"/>
          <w:lang w:eastAsia="zh-CN"/>
        </w:rPr>
        <w:t>万</w:t>
      </w:r>
      <w:r>
        <w:rPr>
          <w:rFonts w:hint="eastAsia" w:ascii="仿宋_GB2312" w:hAnsi="宋体" w:eastAsia="仿宋_GB2312" w:cs="宋体"/>
          <w:kern w:val="0"/>
          <w:sz w:val="32"/>
          <w:szCs w:val="32"/>
        </w:rPr>
        <w:t>元，，公务用车购置费为0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，未安排预算。公务用车运行费减少0.02万元，主要原因是主要原因是</w:t>
      </w:r>
      <w:r>
        <w:rPr>
          <w:rFonts w:hint="eastAsia" w:ascii="仿宋_GB2312" w:hAnsi="Tahoma" w:eastAsia="仿宋_GB2312" w:cs="Tahoma"/>
          <w:sz w:val="32"/>
          <w:szCs w:val="32"/>
        </w:rPr>
        <w:t>提高公务用车效率</w:t>
      </w:r>
      <w:r>
        <w:rPr>
          <w:rFonts w:hint="eastAsia" w:ascii="仿宋_GB2312" w:hAnsi="宋体" w:eastAsia="仿宋_GB2312" w:cs="宋体"/>
          <w:kern w:val="0"/>
          <w:sz w:val="32"/>
          <w:szCs w:val="32"/>
        </w:rPr>
        <w:t xml:space="preserve"> ；公务接待费增加（减少）0万元，。</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九、关于回族文学杂志社部门2019年政府性基金预算拨款情况说明</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回族文学杂志社部门2019年没有使用政府性基金预算拨款安排的支出，政府性基金预算支出情况表为空表。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2019年，回族文学杂志社事业单位的机关运行经费财政拨款预算 14.72 万元，比上年预算增加 0.02万元，增长0.1%。主要原因是机关运行经费有所提高。</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2019年，回族文学杂志社部门及下属单位政府采购预算 20万元，其中：政府采购货物预算 4.08万元，政府采购工程预算   0  万元，政府采购服务预算 15.92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  0 万元，其中：面向小微企业预留政府采购项目预算金额   0 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w:t>
      </w:r>
      <w:r>
        <w:rPr>
          <w:rFonts w:hint="eastAsia" w:ascii="仿宋_GB2312" w:hAnsi="宋体" w:eastAsia="仿宋_GB2312" w:cs="宋体"/>
          <w:kern w:val="0"/>
          <w:sz w:val="32"/>
          <w:szCs w:val="32"/>
          <w:lang w:val="en-US" w:eastAsia="zh-CN"/>
        </w:rPr>
        <w:t>8</w:t>
      </w:r>
      <w:bookmarkStart w:id="0" w:name="_GoBack"/>
      <w:bookmarkEnd w:id="0"/>
      <w:r>
        <w:rPr>
          <w:rFonts w:hint="eastAsia" w:ascii="仿宋_GB2312" w:hAnsi="宋体" w:eastAsia="仿宋_GB2312" w:cs="宋体"/>
          <w:kern w:val="0"/>
          <w:sz w:val="32"/>
          <w:szCs w:val="32"/>
        </w:rPr>
        <w:t>年底，回族文学杂志社部门及下属各预算单位占用使用国有资产总体情况为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1.房屋0方米，价值0元。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2.车辆1，价值19.7万元；其中：一般公务用车0，价值0元；执法执勤用车0，价值0元；其他车辆1，价值19.7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3.办公家具价值26.39万元。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4.其他资产价值0元。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单位价值50万元以上大型设备0（套），单位价值100万元以上大型设备0（套）。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 0 万元），安排购置50万元以上大型设备0台（套），单位价值100万元以上大型设备0台（套）。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2019年度，本年度实行绩效管理的项目4，涉及预算金额70元。具体情况见下表（按项目分别填报）：</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回族文学杂志社</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期刊经费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31万元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31万元</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both"/>
              <w:rPr>
                <w:rFonts w:hint="eastAsia" w:ascii="宋体" w:hAnsi="宋体" w:cs="宋体"/>
                <w:kern w:val="0"/>
                <w:sz w:val="18"/>
                <w:szCs w:val="18"/>
              </w:rPr>
            </w:pPr>
            <w:r>
              <w:rPr>
                <w:rFonts w:hint="eastAsia" w:ascii="宋体" w:hAnsi="宋体" w:cs="宋体"/>
                <w:kern w:val="0"/>
                <w:sz w:val="18"/>
                <w:szCs w:val="18"/>
              </w:rPr>
              <w:t>　   2019年回族文学杂志社负责《回族文学》杂志期刊的编辑、出版；主办文学期刊及图书出版等工作，促进回族文学的发展。</w:t>
            </w:r>
          </w:p>
          <w:p>
            <w:pPr>
              <w:widowControl/>
              <w:jc w:val="both"/>
              <w:rPr>
                <w:rFonts w:hint="eastAsia" w:ascii="宋体" w:hAnsi="宋体" w:cs="宋体"/>
                <w:kern w:val="0"/>
                <w:sz w:val="18"/>
                <w:szCs w:val="18"/>
              </w:rPr>
            </w:pPr>
          </w:p>
          <w:p>
            <w:pPr>
              <w:widowControl/>
              <w:jc w:val="left"/>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用于支付出版刊物印刷费、装订成册费用（万元）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31万元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2019年完成出版发行6期工作时限(年)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1年</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《回族文学》出版6（期）</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6期</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文化交流活动（次）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3场次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送公益公共文化服务活动（项）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3项</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《回族文学》出版发行合格率（%）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文化交流活动完成率（%）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100%</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围绕《纪要》精神聚焦总目标，坚定文化自信，培养扶持文学新人、提升本土作者实力,引导文艺工作者深入生活关注社会.</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提升</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对《回族文学》杂志全面改版,确保《回族文学》刊发的作品艺术水平较高，内容健康向上。</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改善</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eastAsia="zh-CN"/>
              </w:rPr>
              <w:t>读者</w:t>
            </w:r>
            <w:r>
              <w:rPr>
                <w:rFonts w:hint="eastAsia" w:ascii="宋体" w:hAnsi="宋体" w:cs="宋体"/>
                <w:kern w:val="0"/>
                <w:sz w:val="18"/>
                <w:szCs w:val="18"/>
              </w:rPr>
              <w:t>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98%</w:t>
            </w:r>
          </w:p>
        </w:tc>
      </w:tr>
    </w:tbl>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tbl>
      <w:tblPr>
        <w:tblStyle w:val="7"/>
        <w:tblW w:w="13680" w:type="dxa"/>
        <w:tblInd w:w="93" w:type="dxa"/>
        <w:tblLayout w:type="fixed"/>
        <w:tblCellMar>
          <w:top w:w="0" w:type="dxa"/>
          <w:left w:w="108" w:type="dxa"/>
          <w:bottom w:w="0" w:type="dxa"/>
          <w:right w:w="108" w:type="dxa"/>
        </w:tblCellMar>
      </w:tblPr>
      <w:tblGrid>
        <w:gridCol w:w="2148"/>
        <w:gridCol w:w="1817"/>
        <w:gridCol w:w="1628"/>
        <w:gridCol w:w="489"/>
        <w:gridCol w:w="1139"/>
        <w:gridCol w:w="315"/>
        <w:gridCol w:w="315"/>
        <w:gridCol w:w="1884"/>
        <w:gridCol w:w="243"/>
        <w:gridCol w:w="1109"/>
        <w:gridCol w:w="2097"/>
        <w:gridCol w:w="243"/>
        <w:gridCol w:w="253"/>
      </w:tblGrid>
      <w:tr>
        <w:tblPrEx>
          <w:tblLayout w:type="fixed"/>
          <w:tblCellMar>
            <w:top w:w="0" w:type="dxa"/>
            <w:left w:w="108" w:type="dxa"/>
            <w:bottom w:w="0" w:type="dxa"/>
            <w:right w:w="108" w:type="dxa"/>
          </w:tblCellMar>
        </w:tblPrEx>
        <w:trPr>
          <w:trHeight w:val="90" w:hRule="atLeast"/>
        </w:trPr>
        <w:tc>
          <w:tcPr>
            <w:tcW w:w="13680"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90" w:hRule="atLeast"/>
        </w:trPr>
        <w:tc>
          <w:tcPr>
            <w:tcW w:w="2148"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1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28"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28"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1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1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8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06"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5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90" w:hRule="atLeast"/>
        </w:trPr>
        <w:tc>
          <w:tcPr>
            <w:tcW w:w="21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703"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回族文学杂志社</w:t>
            </w:r>
          </w:p>
        </w:tc>
        <w:tc>
          <w:tcPr>
            <w:tcW w:w="188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3945"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办刊经费</w:t>
            </w:r>
          </w:p>
        </w:tc>
      </w:tr>
      <w:tr>
        <w:tblPrEx>
          <w:tblLayout w:type="fixed"/>
          <w:tblCellMar>
            <w:top w:w="0" w:type="dxa"/>
            <w:left w:w="108" w:type="dxa"/>
            <w:bottom w:w="0" w:type="dxa"/>
            <w:right w:w="108" w:type="dxa"/>
          </w:tblCellMar>
        </w:tblPrEx>
        <w:trPr>
          <w:trHeight w:val="90" w:hRule="atLeast"/>
        </w:trPr>
        <w:tc>
          <w:tcPr>
            <w:tcW w:w="21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17"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25</w:t>
            </w:r>
            <w:r>
              <w:rPr>
                <w:rFonts w:hint="eastAsia" w:ascii="宋体" w:hAnsi="宋体" w:cs="宋体"/>
                <w:kern w:val="0"/>
                <w:sz w:val="18"/>
                <w:szCs w:val="18"/>
              </w:rPr>
              <w:t>万元　</w:t>
            </w:r>
          </w:p>
        </w:tc>
        <w:tc>
          <w:tcPr>
            <w:tcW w:w="176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8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25</w:t>
            </w:r>
            <w:r>
              <w:rPr>
                <w:rFonts w:hint="eastAsia" w:ascii="宋体" w:hAnsi="宋体" w:cs="宋体"/>
                <w:kern w:val="0"/>
                <w:sz w:val="18"/>
                <w:szCs w:val="18"/>
              </w:rPr>
              <w:t>万元　</w:t>
            </w:r>
          </w:p>
        </w:tc>
        <w:tc>
          <w:tcPr>
            <w:tcW w:w="135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59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90" w:hRule="atLeast"/>
        </w:trPr>
        <w:tc>
          <w:tcPr>
            <w:tcW w:w="214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532"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2019年回族文学杂志社对《回族文学》杂志期刊的编辑、出版；主办文学期刊及图书出版等工作，促进回族文学的发展</w:t>
            </w:r>
          </w:p>
        </w:tc>
      </w:tr>
      <w:tr>
        <w:tblPrEx>
          <w:tblLayout w:type="fixed"/>
          <w:tblCellMar>
            <w:top w:w="0" w:type="dxa"/>
            <w:left w:w="108" w:type="dxa"/>
            <w:bottom w:w="0" w:type="dxa"/>
            <w:right w:w="108" w:type="dxa"/>
          </w:tblCellMar>
        </w:tblPrEx>
        <w:trPr>
          <w:trHeight w:val="90" w:hRule="atLeast"/>
        </w:trPr>
        <w:tc>
          <w:tcPr>
            <w:tcW w:w="214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1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01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02"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90" w:hRule="atLeast"/>
        </w:trPr>
        <w:tc>
          <w:tcPr>
            <w:tcW w:w="214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1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01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用于支付出版刊物作者稿酬（万元）　</w:t>
            </w:r>
          </w:p>
        </w:tc>
        <w:tc>
          <w:tcPr>
            <w:tcW w:w="3702"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cs="宋体"/>
                <w:i w:val="0"/>
                <w:iCs w:val="0"/>
                <w:color w:val="000000"/>
                <w:kern w:val="0"/>
                <w:sz w:val="18"/>
                <w:szCs w:val="18"/>
                <w:u w:val="none"/>
                <w:lang w:val="en-US" w:eastAsia="zh-CN" w:bidi="ar"/>
              </w:rPr>
              <w:t>25万元</w:t>
            </w:r>
          </w:p>
        </w:tc>
      </w:tr>
      <w:tr>
        <w:tblPrEx>
          <w:tblLayout w:type="fixed"/>
          <w:tblCellMar>
            <w:top w:w="0" w:type="dxa"/>
            <w:left w:w="108" w:type="dxa"/>
            <w:bottom w:w="0" w:type="dxa"/>
            <w:right w:w="108" w:type="dxa"/>
          </w:tblCellMar>
        </w:tblPrEx>
        <w:trPr>
          <w:trHeight w:val="90" w:hRule="atLeast"/>
        </w:trPr>
        <w:tc>
          <w:tcPr>
            <w:tcW w:w="214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1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01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截止2019年12月底完成</w:t>
            </w:r>
          </w:p>
        </w:tc>
        <w:tc>
          <w:tcPr>
            <w:tcW w:w="3702"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2019年12底前</w:t>
            </w:r>
          </w:p>
        </w:tc>
      </w:tr>
      <w:tr>
        <w:tblPrEx>
          <w:tblLayout w:type="fixed"/>
          <w:tblCellMar>
            <w:top w:w="0" w:type="dxa"/>
            <w:left w:w="108" w:type="dxa"/>
            <w:bottom w:w="0" w:type="dxa"/>
            <w:right w:w="108" w:type="dxa"/>
          </w:tblCellMar>
        </w:tblPrEx>
        <w:trPr>
          <w:trHeight w:val="90" w:hRule="atLeast"/>
        </w:trPr>
        <w:tc>
          <w:tcPr>
            <w:tcW w:w="214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1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013"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《回族文学》出版6期（期）</w:t>
            </w:r>
          </w:p>
        </w:tc>
        <w:tc>
          <w:tcPr>
            <w:tcW w:w="3702"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《回族文学》刊发6期</w:t>
            </w:r>
          </w:p>
        </w:tc>
      </w:tr>
      <w:tr>
        <w:tblPrEx>
          <w:tblLayout w:type="fixed"/>
          <w:tblCellMar>
            <w:top w:w="0" w:type="dxa"/>
            <w:left w:w="108" w:type="dxa"/>
            <w:bottom w:w="0" w:type="dxa"/>
            <w:right w:w="108" w:type="dxa"/>
          </w:tblCellMar>
        </w:tblPrEx>
        <w:trPr>
          <w:trHeight w:val="90" w:hRule="atLeast"/>
        </w:trPr>
        <w:tc>
          <w:tcPr>
            <w:tcW w:w="214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1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013"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文化交流活动（次）</w:t>
            </w:r>
          </w:p>
        </w:tc>
        <w:tc>
          <w:tcPr>
            <w:tcW w:w="3702"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3场次</w:t>
            </w:r>
          </w:p>
        </w:tc>
      </w:tr>
      <w:tr>
        <w:tblPrEx>
          <w:tblLayout w:type="fixed"/>
          <w:tblCellMar>
            <w:top w:w="0" w:type="dxa"/>
            <w:left w:w="108" w:type="dxa"/>
            <w:bottom w:w="0" w:type="dxa"/>
            <w:right w:w="108" w:type="dxa"/>
          </w:tblCellMar>
        </w:tblPrEx>
        <w:trPr>
          <w:trHeight w:val="90" w:hRule="atLeast"/>
        </w:trPr>
        <w:tc>
          <w:tcPr>
            <w:tcW w:w="214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1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013"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送公益公共文化服务活动（项）</w:t>
            </w:r>
          </w:p>
        </w:tc>
        <w:tc>
          <w:tcPr>
            <w:tcW w:w="3702"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3项</w:t>
            </w:r>
          </w:p>
        </w:tc>
      </w:tr>
      <w:tr>
        <w:tblPrEx>
          <w:tblLayout w:type="fixed"/>
          <w:tblCellMar>
            <w:top w:w="0" w:type="dxa"/>
            <w:left w:w="108" w:type="dxa"/>
            <w:bottom w:w="0" w:type="dxa"/>
            <w:right w:w="108" w:type="dxa"/>
          </w:tblCellMar>
        </w:tblPrEx>
        <w:trPr>
          <w:trHeight w:val="90" w:hRule="atLeast"/>
        </w:trPr>
        <w:tc>
          <w:tcPr>
            <w:tcW w:w="214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1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013"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《回族文学》出版发行合格率（</w:t>
            </w:r>
          </w:p>
        </w:tc>
        <w:tc>
          <w:tcPr>
            <w:tcW w:w="3702"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100%</w:t>
            </w:r>
          </w:p>
        </w:tc>
      </w:tr>
      <w:tr>
        <w:tblPrEx>
          <w:tblLayout w:type="fixed"/>
          <w:tblCellMar>
            <w:top w:w="0" w:type="dxa"/>
            <w:left w:w="108" w:type="dxa"/>
            <w:bottom w:w="0" w:type="dxa"/>
            <w:right w:w="108" w:type="dxa"/>
          </w:tblCellMar>
        </w:tblPrEx>
        <w:trPr>
          <w:trHeight w:val="90" w:hRule="atLeast"/>
        </w:trPr>
        <w:tc>
          <w:tcPr>
            <w:tcW w:w="214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1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013"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文化交流活动完成率（%）</w:t>
            </w:r>
          </w:p>
        </w:tc>
        <w:tc>
          <w:tcPr>
            <w:tcW w:w="3702"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100%</w:t>
            </w:r>
          </w:p>
        </w:tc>
      </w:tr>
      <w:tr>
        <w:tblPrEx>
          <w:tblLayout w:type="fixed"/>
          <w:tblCellMar>
            <w:top w:w="0" w:type="dxa"/>
            <w:left w:w="108" w:type="dxa"/>
            <w:bottom w:w="0" w:type="dxa"/>
            <w:right w:w="108" w:type="dxa"/>
          </w:tblCellMar>
        </w:tblPrEx>
        <w:trPr>
          <w:trHeight w:val="90" w:hRule="atLeast"/>
        </w:trPr>
        <w:tc>
          <w:tcPr>
            <w:tcW w:w="214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1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01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提高《回族文学》刊发的作品艺术水平</w:t>
            </w:r>
          </w:p>
        </w:tc>
        <w:tc>
          <w:tcPr>
            <w:tcW w:w="3702"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提高</w:t>
            </w:r>
          </w:p>
        </w:tc>
      </w:tr>
      <w:tr>
        <w:tblPrEx>
          <w:tblLayout w:type="fixed"/>
          <w:tblCellMar>
            <w:top w:w="0" w:type="dxa"/>
            <w:left w:w="108" w:type="dxa"/>
            <w:bottom w:w="0" w:type="dxa"/>
            <w:right w:w="108" w:type="dxa"/>
          </w:tblCellMar>
        </w:tblPrEx>
        <w:trPr>
          <w:trHeight w:val="90" w:hRule="atLeast"/>
        </w:trPr>
        <w:tc>
          <w:tcPr>
            <w:tcW w:w="214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1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01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围绕《纪要》精神聚焦总目标，坚定文化自信，引导文艺工作者深入生活关注社会</w:t>
            </w:r>
          </w:p>
        </w:tc>
        <w:tc>
          <w:tcPr>
            <w:tcW w:w="3702"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持续</w:t>
            </w:r>
          </w:p>
        </w:tc>
      </w:tr>
      <w:tr>
        <w:tblPrEx>
          <w:tblLayout w:type="fixed"/>
          <w:tblCellMar>
            <w:top w:w="0" w:type="dxa"/>
            <w:left w:w="108" w:type="dxa"/>
            <w:bottom w:w="0" w:type="dxa"/>
            <w:right w:w="108" w:type="dxa"/>
          </w:tblCellMar>
        </w:tblPrEx>
        <w:trPr>
          <w:trHeight w:val="90" w:hRule="atLeast"/>
        </w:trPr>
        <w:tc>
          <w:tcPr>
            <w:tcW w:w="214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1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01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读者满意度（%）</w:t>
            </w:r>
          </w:p>
        </w:tc>
        <w:tc>
          <w:tcPr>
            <w:tcW w:w="3702"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100%</w:t>
            </w:r>
          </w:p>
        </w:tc>
      </w:tr>
    </w:tbl>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tbl>
      <w:tblPr>
        <w:tblStyle w:val="7"/>
        <w:tblW w:w="14081" w:type="dxa"/>
        <w:tblInd w:w="93" w:type="dxa"/>
        <w:tblLayout w:type="fixed"/>
        <w:tblCellMar>
          <w:top w:w="0" w:type="dxa"/>
          <w:left w:w="108" w:type="dxa"/>
          <w:bottom w:w="0" w:type="dxa"/>
          <w:right w:w="108" w:type="dxa"/>
        </w:tblCellMar>
      </w:tblPr>
      <w:tblGrid>
        <w:gridCol w:w="1444"/>
        <w:gridCol w:w="1773"/>
        <w:gridCol w:w="1598"/>
        <w:gridCol w:w="480"/>
        <w:gridCol w:w="1118"/>
        <w:gridCol w:w="376"/>
        <w:gridCol w:w="376"/>
        <w:gridCol w:w="1277"/>
        <w:gridCol w:w="411"/>
        <w:gridCol w:w="1523"/>
        <w:gridCol w:w="2884"/>
        <w:gridCol w:w="411"/>
        <w:gridCol w:w="410"/>
      </w:tblGrid>
      <w:tr>
        <w:tblPrEx>
          <w:tblLayout w:type="fixed"/>
          <w:tblCellMar>
            <w:top w:w="0" w:type="dxa"/>
            <w:left w:w="108" w:type="dxa"/>
            <w:bottom w:w="0" w:type="dxa"/>
            <w:right w:w="108" w:type="dxa"/>
          </w:tblCellMar>
        </w:tblPrEx>
        <w:trPr>
          <w:trHeight w:val="406" w:hRule="atLeast"/>
        </w:trPr>
        <w:tc>
          <w:tcPr>
            <w:tcW w:w="14081"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144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77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598"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598"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76"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76"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27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411"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4407"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411"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410"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14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72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回族文学杂志社</w:t>
            </w:r>
          </w:p>
        </w:tc>
        <w:tc>
          <w:tcPr>
            <w:tcW w:w="127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5639"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刊物邮寄费</w:t>
            </w:r>
          </w:p>
        </w:tc>
      </w:tr>
      <w:tr>
        <w:tblPrEx>
          <w:tblLayout w:type="fixed"/>
          <w:tblCellMar>
            <w:top w:w="0" w:type="dxa"/>
            <w:left w:w="108" w:type="dxa"/>
            <w:bottom w:w="0" w:type="dxa"/>
            <w:right w:w="108" w:type="dxa"/>
          </w:tblCellMar>
        </w:tblPrEx>
        <w:trPr>
          <w:trHeight w:val="451" w:hRule="atLeast"/>
        </w:trPr>
        <w:tc>
          <w:tcPr>
            <w:tcW w:w="144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77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078"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5万元</w:t>
            </w:r>
          </w:p>
        </w:tc>
        <w:tc>
          <w:tcPr>
            <w:tcW w:w="187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277"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5万元</w:t>
            </w:r>
          </w:p>
        </w:tc>
        <w:tc>
          <w:tcPr>
            <w:tcW w:w="193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370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144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2637"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2019年回族文学杂志社负责《回族文学》杂志期刊的编辑、出版；完成《回族文学》1-6期投寄、转运工作，促进回族文学的发展</w:t>
            </w:r>
          </w:p>
        </w:tc>
      </w:tr>
      <w:tr>
        <w:tblPrEx>
          <w:tblLayout w:type="fixed"/>
          <w:tblCellMar>
            <w:top w:w="0" w:type="dxa"/>
            <w:left w:w="108" w:type="dxa"/>
            <w:bottom w:w="0" w:type="dxa"/>
            <w:right w:w="108" w:type="dxa"/>
          </w:tblCellMar>
        </w:tblPrEx>
        <w:trPr>
          <w:trHeight w:val="271" w:hRule="atLeast"/>
        </w:trPr>
        <w:tc>
          <w:tcPr>
            <w:tcW w:w="144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773"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636"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522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82" w:hRule="atLeast"/>
        </w:trPr>
        <w:tc>
          <w:tcPr>
            <w:tcW w:w="144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77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636"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刊物邮寄、运输费用（万元）</w:t>
            </w:r>
          </w:p>
        </w:tc>
        <w:tc>
          <w:tcPr>
            <w:tcW w:w="522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cs="宋体"/>
                <w:i w:val="0"/>
                <w:iCs w:val="0"/>
                <w:color w:val="000000"/>
                <w:kern w:val="0"/>
                <w:sz w:val="18"/>
                <w:szCs w:val="18"/>
                <w:u w:val="none"/>
                <w:lang w:val="en-US" w:eastAsia="zh-CN" w:bidi="ar"/>
              </w:rPr>
              <w:t>5万</w:t>
            </w:r>
          </w:p>
        </w:tc>
      </w:tr>
      <w:tr>
        <w:tblPrEx>
          <w:tblLayout w:type="fixed"/>
          <w:tblCellMar>
            <w:top w:w="0" w:type="dxa"/>
            <w:left w:w="108" w:type="dxa"/>
            <w:bottom w:w="0" w:type="dxa"/>
            <w:right w:w="108" w:type="dxa"/>
          </w:tblCellMar>
        </w:tblPrEx>
        <w:trPr>
          <w:trHeight w:val="271" w:hRule="atLeast"/>
        </w:trPr>
        <w:tc>
          <w:tcPr>
            <w:tcW w:w="144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7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636"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2019年底完成出版刊物</w:t>
            </w:r>
            <w:r>
              <w:rPr>
                <w:rFonts w:hint="eastAsia" w:ascii="宋体" w:hAnsi="宋体" w:cs="宋体"/>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期投寄工作</w:t>
            </w:r>
          </w:p>
        </w:tc>
        <w:tc>
          <w:tcPr>
            <w:tcW w:w="522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6期</w:t>
            </w:r>
          </w:p>
        </w:tc>
      </w:tr>
      <w:tr>
        <w:tblPrEx>
          <w:tblLayout w:type="fixed"/>
          <w:tblCellMar>
            <w:top w:w="0" w:type="dxa"/>
            <w:left w:w="108" w:type="dxa"/>
            <w:bottom w:w="0" w:type="dxa"/>
            <w:right w:w="108" w:type="dxa"/>
          </w:tblCellMar>
        </w:tblPrEx>
        <w:trPr>
          <w:trHeight w:val="271" w:hRule="atLeast"/>
        </w:trPr>
        <w:tc>
          <w:tcPr>
            <w:tcW w:w="144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7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636"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《回族文学》杂志应邮寄期数(期)</w:t>
            </w:r>
          </w:p>
        </w:tc>
        <w:tc>
          <w:tcPr>
            <w:tcW w:w="522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6期</w:t>
            </w:r>
          </w:p>
        </w:tc>
      </w:tr>
      <w:tr>
        <w:tblPrEx>
          <w:tblLayout w:type="fixed"/>
          <w:tblCellMar>
            <w:top w:w="0" w:type="dxa"/>
            <w:left w:w="108" w:type="dxa"/>
            <w:bottom w:w="0" w:type="dxa"/>
            <w:right w:w="108" w:type="dxa"/>
          </w:tblCellMar>
        </w:tblPrEx>
        <w:trPr>
          <w:trHeight w:val="271" w:hRule="atLeast"/>
        </w:trPr>
        <w:tc>
          <w:tcPr>
            <w:tcW w:w="144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7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636"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文化交流活动（次）</w:t>
            </w:r>
          </w:p>
        </w:tc>
        <w:tc>
          <w:tcPr>
            <w:tcW w:w="522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3场次</w:t>
            </w:r>
          </w:p>
        </w:tc>
      </w:tr>
      <w:tr>
        <w:tblPrEx>
          <w:tblLayout w:type="fixed"/>
          <w:tblCellMar>
            <w:top w:w="0" w:type="dxa"/>
            <w:left w:w="108" w:type="dxa"/>
            <w:bottom w:w="0" w:type="dxa"/>
            <w:right w:w="108" w:type="dxa"/>
          </w:tblCellMar>
        </w:tblPrEx>
        <w:trPr>
          <w:trHeight w:val="271" w:hRule="atLeast"/>
        </w:trPr>
        <w:tc>
          <w:tcPr>
            <w:tcW w:w="144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7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636"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送公益公共文化服务活动（项）</w:t>
            </w:r>
          </w:p>
        </w:tc>
        <w:tc>
          <w:tcPr>
            <w:tcW w:w="522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3项</w:t>
            </w:r>
          </w:p>
        </w:tc>
      </w:tr>
      <w:tr>
        <w:tblPrEx>
          <w:tblLayout w:type="fixed"/>
          <w:tblCellMar>
            <w:top w:w="0" w:type="dxa"/>
            <w:left w:w="108" w:type="dxa"/>
            <w:bottom w:w="0" w:type="dxa"/>
            <w:right w:w="108" w:type="dxa"/>
          </w:tblCellMar>
        </w:tblPrEx>
        <w:trPr>
          <w:trHeight w:val="271" w:hRule="atLeast"/>
        </w:trPr>
        <w:tc>
          <w:tcPr>
            <w:tcW w:w="144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7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636"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《回族文学》出版刊物投寄合格率（%）</w:t>
            </w:r>
          </w:p>
        </w:tc>
        <w:tc>
          <w:tcPr>
            <w:tcW w:w="522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100%</w:t>
            </w:r>
          </w:p>
        </w:tc>
      </w:tr>
      <w:tr>
        <w:tblPrEx>
          <w:tblLayout w:type="fixed"/>
          <w:tblCellMar>
            <w:top w:w="0" w:type="dxa"/>
            <w:left w:w="108" w:type="dxa"/>
            <w:bottom w:w="0" w:type="dxa"/>
            <w:right w:w="108" w:type="dxa"/>
          </w:tblCellMar>
        </w:tblPrEx>
        <w:trPr>
          <w:trHeight w:val="271" w:hRule="atLeast"/>
        </w:trPr>
        <w:tc>
          <w:tcPr>
            <w:tcW w:w="144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7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636"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《回族文学》刊物邮寄完成率（%）</w:t>
            </w:r>
          </w:p>
        </w:tc>
        <w:tc>
          <w:tcPr>
            <w:tcW w:w="522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100%</w:t>
            </w:r>
          </w:p>
        </w:tc>
      </w:tr>
      <w:tr>
        <w:tblPrEx>
          <w:tblLayout w:type="fixed"/>
          <w:tblCellMar>
            <w:top w:w="0" w:type="dxa"/>
            <w:left w:w="108" w:type="dxa"/>
            <w:bottom w:w="0" w:type="dxa"/>
            <w:right w:w="108" w:type="dxa"/>
          </w:tblCellMar>
        </w:tblPrEx>
        <w:trPr>
          <w:trHeight w:val="283" w:hRule="atLeast"/>
        </w:trPr>
        <w:tc>
          <w:tcPr>
            <w:tcW w:w="144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7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636"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确保《回族文学》刊发的作品艺术水平较高，内容健康向上。</w:t>
            </w:r>
          </w:p>
        </w:tc>
        <w:tc>
          <w:tcPr>
            <w:tcW w:w="522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改善</w:t>
            </w:r>
          </w:p>
        </w:tc>
      </w:tr>
      <w:tr>
        <w:tblPrEx>
          <w:tblLayout w:type="fixed"/>
          <w:tblCellMar>
            <w:top w:w="0" w:type="dxa"/>
            <w:left w:w="108" w:type="dxa"/>
            <w:bottom w:w="0" w:type="dxa"/>
            <w:right w:w="108" w:type="dxa"/>
          </w:tblCellMar>
        </w:tblPrEx>
        <w:trPr>
          <w:trHeight w:val="283" w:hRule="atLeast"/>
        </w:trPr>
        <w:tc>
          <w:tcPr>
            <w:tcW w:w="144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7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5636"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围绕《纪要》精神聚焦总目标，坚定文化自信，引导文艺工作者深入生活关注社会</w:t>
            </w:r>
          </w:p>
        </w:tc>
        <w:tc>
          <w:tcPr>
            <w:tcW w:w="522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持续</w:t>
            </w:r>
          </w:p>
        </w:tc>
      </w:tr>
      <w:tr>
        <w:tblPrEx>
          <w:tblLayout w:type="fixed"/>
          <w:tblCellMar>
            <w:top w:w="0" w:type="dxa"/>
            <w:left w:w="108" w:type="dxa"/>
            <w:bottom w:w="0" w:type="dxa"/>
            <w:right w:w="108" w:type="dxa"/>
          </w:tblCellMar>
        </w:tblPrEx>
        <w:trPr>
          <w:trHeight w:val="271" w:hRule="atLeast"/>
        </w:trPr>
        <w:tc>
          <w:tcPr>
            <w:tcW w:w="144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77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636"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投稿作者满意度（%）</w:t>
            </w:r>
          </w:p>
        </w:tc>
        <w:tc>
          <w:tcPr>
            <w:tcW w:w="522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98%</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152"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both"/>
              <w:rPr>
                <w:rFonts w:ascii="宋体" w:hAnsi="宋体" w:cs="宋体"/>
                <w:kern w:val="0"/>
                <w:sz w:val="18"/>
                <w:szCs w:val="18"/>
              </w:rPr>
            </w:pPr>
            <w:r>
              <w:rPr>
                <w:rFonts w:hint="eastAsia" w:ascii="宋体" w:hAnsi="宋体" w:cs="宋体"/>
                <w:kern w:val="0"/>
                <w:sz w:val="18"/>
                <w:szCs w:val="18"/>
              </w:rPr>
              <w:t>回族文学杂志社</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全国回族作家学者笔会</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9</w:t>
            </w:r>
            <w:r>
              <w:rPr>
                <w:rFonts w:hint="eastAsia" w:ascii="宋体" w:hAnsi="宋体" w:cs="宋体"/>
                <w:kern w:val="0"/>
                <w:sz w:val="18"/>
                <w:szCs w:val="18"/>
              </w:rPr>
              <w:t>万元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9</w:t>
            </w:r>
            <w:r>
              <w:rPr>
                <w:rFonts w:hint="eastAsia" w:ascii="宋体" w:hAnsi="宋体" w:cs="宋体"/>
                <w:kern w:val="0"/>
                <w:sz w:val="18"/>
                <w:szCs w:val="18"/>
              </w:rPr>
              <w:t>万元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2019年回族文学杂志社负责《回族文学》杂志期刊的编辑、出版；举办学着笔会及作家培训班，促进回族文学的发展</w:t>
            </w:r>
          </w:p>
          <w:p>
            <w:pPr>
              <w:widowControl/>
              <w:jc w:val="left"/>
              <w:rPr>
                <w:rFonts w:ascii="宋体" w:hAnsi="宋体" w:cs="宋体"/>
                <w:kern w:val="0"/>
                <w:sz w:val="18"/>
                <w:szCs w:val="18"/>
              </w:rPr>
            </w:pPr>
          </w:p>
        </w:tc>
      </w:tr>
      <w:tr>
        <w:tblPrEx>
          <w:tblLayout w:type="fixed"/>
          <w:tblCellMar>
            <w:top w:w="0" w:type="dxa"/>
            <w:left w:w="108" w:type="dxa"/>
            <w:bottom w:w="0" w:type="dxa"/>
            <w:right w:w="108" w:type="dxa"/>
          </w:tblCellMar>
        </w:tblPrEx>
        <w:trPr>
          <w:trHeight w:val="372"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开办笔会等活动所需住宿、活动场所租赁等费用（万元）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9万元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2019年底举办中青年作家培训班</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2期</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举办作家培训班（期</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2场次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开展学者笔会，文艺沙龙(次）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3场次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举办作家培训班完成率（%）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学者笔会，文艺沙龙完成（%）</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100%</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增进文化交流</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促进</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发挥文艺作品启迪引导作用,培育优秀文艺队伍</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提升</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读者及文学爱好者满意度（%）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98%</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pPr>
        <w:widowControl/>
        <w:spacing w:line="560" w:lineRule="exact"/>
        <w:jc w:val="left"/>
        <w:rPr>
          <w:rFonts w:ascii="仿宋_GB2312" w:hAnsi="宋体" w:eastAsia="仿宋_GB2312" w:cs="宋体"/>
          <w:kern w:val="0"/>
          <w:sz w:val="32"/>
          <w:szCs w:val="32"/>
        </w:r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hAnsi="宋体" w:eastAsia="仿宋_GB2312" w:cs="宋体"/>
          <w:kern w:val="0"/>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回族文学杂志社</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5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Dialog">
    <w:altName w:val="Times New Roman"/>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29</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B5144"/>
    <w:rsid w:val="00050C73"/>
    <w:rsid w:val="001833B0"/>
    <w:rsid w:val="001A56F4"/>
    <w:rsid w:val="00262FDB"/>
    <w:rsid w:val="002B5144"/>
    <w:rsid w:val="00315C08"/>
    <w:rsid w:val="00325B17"/>
    <w:rsid w:val="00355145"/>
    <w:rsid w:val="00362B87"/>
    <w:rsid w:val="004606BE"/>
    <w:rsid w:val="00757310"/>
    <w:rsid w:val="00841512"/>
    <w:rsid w:val="00A8034A"/>
    <w:rsid w:val="00C06195"/>
    <w:rsid w:val="00CC003B"/>
    <w:rsid w:val="00CE5FFB"/>
    <w:rsid w:val="00D95B2F"/>
    <w:rsid w:val="00DC5F96"/>
    <w:rsid w:val="00E66667"/>
    <w:rsid w:val="00EE458B"/>
    <w:rsid w:val="00FC6ABD"/>
    <w:rsid w:val="051A3A59"/>
    <w:rsid w:val="066C2E74"/>
    <w:rsid w:val="09712DCB"/>
    <w:rsid w:val="0AB45390"/>
    <w:rsid w:val="0E0F21FF"/>
    <w:rsid w:val="13AC163E"/>
    <w:rsid w:val="146769F1"/>
    <w:rsid w:val="15D30463"/>
    <w:rsid w:val="19FE6B2E"/>
    <w:rsid w:val="1E4837D9"/>
    <w:rsid w:val="1EAD42A3"/>
    <w:rsid w:val="1F1C2153"/>
    <w:rsid w:val="227072B3"/>
    <w:rsid w:val="243E5A11"/>
    <w:rsid w:val="24BC757E"/>
    <w:rsid w:val="2748346B"/>
    <w:rsid w:val="2C8D5F5A"/>
    <w:rsid w:val="343872B3"/>
    <w:rsid w:val="352518C8"/>
    <w:rsid w:val="3575385F"/>
    <w:rsid w:val="36085C44"/>
    <w:rsid w:val="39003C24"/>
    <w:rsid w:val="3A2A3A11"/>
    <w:rsid w:val="3C0251A5"/>
    <w:rsid w:val="3C394AB1"/>
    <w:rsid w:val="3D9C4556"/>
    <w:rsid w:val="421D0C5B"/>
    <w:rsid w:val="42512A02"/>
    <w:rsid w:val="4285353C"/>
    <w:rsid w:val="43D87008"/>
    <w:rsid w:val="4A2666D0"/>
    <w:rsid w:val="4A423792"/>
    <w:rsid w:val="4BE93A97"/>
    <w:rsid w:val="4C81767E"/>
    <w:rsid w:val="4D444503"/>
    <w:rsid w:val="4E2661E6"/>
    <w:rsid w:val="51020C12"/>
    <w:rsid w:val="529B2DB0"/>
    <w:rsid w:val="53770CA5"/>
    <w:rsid w:val="56DA04E1"/>
    <w:rsid w:val="654F5C37"/>
    <w:rsid w:val="67A80882"/>
    <w:rsid w:val="67F57BFB"/>
    <w:rsid w:val="690302C1"/>
    <w:rsid w:val="6942677A"/>
    <w:rsid w:val="69A109D3"/>
    <w:rsid w:val="6ADD532D"/>
    <w:rsid w:val="6D8A269C"/>
    <w:rsid w:val="6E9F57A6"/>
    <w:rsid w:val="6FC06ABA"/>
    <w:rsid w:val="703C08D8"/>
    <w:rsid w:val="73943EA0"/>
    <w:rsid w:val="761C7FD7"/>
    <w:rsid w:val="77E75DC7"/>
    <w:rsid w:val="78612CBA"/>
    <w:rsid w:val="7BE23682"/>
    <w:rsid w:val="7E564EC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Char"/>
    <w:basedOn w:val="9"/>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9"/>
    <w:link w:val="2"/>
    <w:semiHidden/>
    <w:qFormat/>
    <w:uiPriority w:val="0"/>
    <w:rPr>
      <w:rFonts w:ascii="Times New Roman" w:hAnsi="Times New Roman" w:eastAsia="宋体" w:cs="Times New Roman"/>
      <w:sz w:val="18"/>
      <w:szCs w:val="18"/>
    </w:rPr>
  </w:style>
  <w:style w:type="character" w:customStyle="1" w:styleId="15">
    <w:name w:val="页眉 Char"/>
    <w:basedOn w:val="9"/>
    <w:link w:val="4"/>
    <w:qFormat/>
    <w:uiPriority w:val="0"/>
    <w:rPr>
      <w:rFonts w:ascii="Times New Roman" w:hAnsi="Times New Roman" w:eastAsia="宋体" w:cs="Times New Roman"/>
      <w:sz w:val="18"/>
      <w:szCs w:val="18"/>
    </w:rPr>
  </w:style>
  <w:style w:type="character" w:customStyle="1" w:styleId="16">
    <w:name w:val="正文文本缩进 3 Char"/>
    <w:basedOn w:val="9"/>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29</Pages>
  <Words>1774</Words>
  <Characters>10116</Characters>
  <Lines>84</Lines>
  <Paragraphs>23</Paragraphs>
  <TotalTime>2</TotalTime>
  <ScaleCrop>false</ScaleCrop>
  <LinksUpToDate>false</LinksUpToDate>
  <CharactersWithSpaces>11867</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2019-01-15T10:37:00Z</dcterms:created>
  <dc:creator>王怡</dc:creator>
  <cp:lastModifiedBy>admin</cp:lastModifiedBy>
  <dcterms:modified xsi:type="dcterms:W3CDTF">2021-05-28T03:34:25Z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AB1D5685C5ED4DD2A0B88043EA8E1C5E</vt:lpwstr>
  </property>
</Properties>
</file>