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昌吉州第二中学</w:t>
      </w:r>
      <w:r>
        <w:rPr>
          <w:rFonts w:ascii="方正小标宋_GBK" w:hAnsi="宋体" w:eastAsia="方正小标宋_GBK"/>
          <w:kern w:val="0"/>
          <w:sz w:val="44"/>
          <w:szCs w:val="44"/>
        </w:rPr>
        <w:t>2019</w:t>
      </w:r>
      <w:r>
        <w:rPr>
          <w:rFonts w:hint="eastAsia" w:ascii="方正小标宋_GBK" w:hAnsi="宋体" w:eastAsia="方正小标宋_GBK"/>
          <w:kern w:val="0"/>
          <w:sz w:val="44"/>
          <w:szCs w:val="44"/>
        </w:rPr>
        <w:t>年部门预算公开</w:t>
      </w: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500" w:lineRule="exact"/>
        <w:jc w:val="center"/>
        <w:outlineLvl w:val="1"/>
        <w:rPr>
          <w:rFonts w:ascii="宋体"/>
          <w:b/>
          <w:kern w:val="0"/>
          <w:sz w:val="44"/>
          <w:szCs w:val="44"/>
        </w:rPr>
      </w:pP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第一部分昌吉州第二中学单位概况</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w:t>
      </w:r>
      <w:r>
        <w:rPr>
          <w:rFonts w:ascii="宋体" w:hAnsi="宋体"/>
          <w:b/>
          <w:kern w:val="0"/>
          <w:sz w:val="32"/>
          <w:szCs w:val="32"/>
        </w:rPr>
        <w:t>2019</w:t>
      </w:r>
      <w:r>
        <w:rPr>
          <w:rFonts w:hint="eastAsia" w:ascii="仿宋_GB2312" w:hAnsi="宋体" w:eastAsia="仿宋_GB2312"/>
          <w:b/>
          <w:kern w:val="0"/>
          <w:sz w:val="32"/>
          <w:szCs w:val="32"/>
        </w:rPr>
        <w:t>年部门预算公开表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w:t>
      </w:r>
      <w:r>
        <w:rPr>
          <w:rFonts w:ascii="仿宋_GB2312" w:hAnsi="宋体" w:eastAsia="仿宋_GB2312"/>
          <w:b/>
          <w:kern w:val="0"/>
          <w:sz w:val="32"/>
          <w:szCs w:val="32"/>
        </w:rPr>
        <w:t xml:space="preserve">  </w:t>
      </w:r>
      <w:r>
        <w:rPr>
          <w:rFonts w:ascii="宋体" w:hAnsi="宋体"/>
          <w:b/>
          <w:kern w:val="0"/>
          <w:sz w:val="32"/>
          <w:szCs w:val="32"/>
        </w:rPr>
        <w:t>2019</w:t>
      </w:r>
      <w:r>
        <w:rPr>
          <w:rFonts w:hint="eastAsia" w:ascii="仿宋_GB2312" w:hAnsi="宋体" w:eastAsia="仿宋_GB2312"/>
          <w:b/>
          <w:kern w:val="0"/>
          <w:sz w:val="32"/>
          <w:szCs w:val="32"/>
        </w:rPr>
        <w:t>年部门预算情况说明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一、关于昌吉州第二中学</w:t>
      </w:r>
      <w:r>
        <w:rPr>
          <w:rFonts w:ascii="仿宋_GB2312" w:hAnsi="宋体" w:eastAsia="仿宋_GB2312"/>
          <w:kern w:val="0"/>
          <w:sz w:val="32"/>
          <w:szCs w:val="32"/>
        </w:rPr>
        <w:t>2019</w:t>
      </w:r>
      <w:r>
        <w:rPr>
          <w:rFonts w:hint="eastAsia" w:ascii="仿宋_GB2312" w:hAnsi="宋体" w:eastAsia="仿宋_GB2312"/>
          <w:kern w:val="0"/>
          <w:sz w:val="32"/>
          <w:szCs w:val="32"/>
        </w:rPr>
        <w:t>年收支预算情况的总体说明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二、关于昌吉州第二中学</w:t>
      </w:r>
      <w:r>
        <w:rPr>
          <w:rFonts w:ascii="仿宋_GB2312" w:hAnsi="宋体" w:eastAsia="仿宋_GB2312"/>
          <w:kern w:val="0"/>
          <w:sz w:val="32"/>
          <w:szCs w:val="32"/>
        </w:rPr>
        <w:t>2019</w:t>
      </w:r>
      <w:r>
        <w:rPr>
          <w:rFonts w:hint="eastAsia" w:ascii="仿宋_GB2312" w:hAnsi="宋体" w:eastAsia="仿宋_GB2312"/>
          <w:kern w:val="0"/>
          <w:sz w:val="32"/>
          <w:szCs w:val="32"/>
        </w:rPr>
        <w:t>年收入预算情况说明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三、关于昌吉州第二中学</w:t>
      </w:r>
      <w:r>
        <w:rPr>
          <w:rFonts w:ascii="仿宋_GB2312" w:hAnsi="宋体" w:eastAsia="仿宋_GB2312"/>
          <w:kern w:val="0"/>
          <w:sz w:val="32"/>
          <w:szCs w:val="32"/>
        </w:rPr>
        <w:t>2019</w:t>
      </w:r>
      <w:r>
        <w:rPr>
          <w:rFonts w:hint="eastAsia" w:ascii="仿宋_GB2312" w:hAnsi="宋体" w:eastAsia="仿宋_GB2312"/>
          <w:kern w:val="0"/>
          <w:sz w:val="32"/>
          <w:szCs w:val="32"/>
        </w:rPr>
        <w:t>年支出预算情况说明</w:t>
      </w:r>
    </w:p>
    <w:p>
      <w:pPr>
        <w:widowControl/>
        <w:spacing w:line="4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昌吉州第二中学</w:t>
      </w:r>
      <w:r>
        <w:rPr>
          <w:rFonts w:ascii="仿宋_GB2312" w:hAnsi="宋体" w:eastAsia="仿宋_GB2312"/>
          <w:kern w:val="0"/>
          <w:sz w:val="32"/>
          <w:szCs w:val="32"/>
        </w:rPr>
        <w:t>2019</w:t>
      </w:r>
      <w:r>
        <w:rPr>
          <w:rFonts w:hint="eastAsia" w:ascii="仿宋_GB2312" w:hAnsi="宋体" w:eastAsia="仿宋_GB2312"/>
          <w:kern w:val="0"/>
          <w:sz w:val="32"/>
          <w:szCs w:val="32"/>
        </w:rPr>
        <w:t>年</w:t>
      </w:r>
      <w:r>
        <w:rPr>
          <w:rFonts w:hint="eastAsia" w:ascii="仿宋_GB2312" w:hAnsi="宋体" w:eastAsia="仿宋_GB2312"/>
          <w:bCs/>
          <w:kern w:val="0"/>
          <w:sz w:val="32"/>
          <w:szCs w:val="32"/>
        </w:rPr>
        <w:t>财政拨款收支预算情况的总体说明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五、关于昌吉州第二中学</w:t>
      </w:r>
      <w:r>
        <w:rPr>
          <w:rFonts w:ascii="仿宋_GB2312" w:hAnsi="宋体" w:eastAsia="仿宋_GB2312"/>
          <w:kern w:val="0"/>
          <w:sz w:val="32"/>
          <w:szCs w:val="32"/>
        </w:rPr>
        <w:t>2019</w:t>
      </w:r>
      <w:r>
        <w:rPr>
          <w:rFonts w:hint="eastAsia" w:ascii="仿宋_GB2312" w:hAnsi="宋体" w:eastAsia="仿宋_GB2312"/>
          <w:kern w:val="0"/>
          <w:sz w:val="32"/>
          <w:szCs w:val="32"/>
        </w:rPr>
        <w:t>年一般公共预算当年拨款情况说明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六、关于昌吉州第二中学</w:t>
      </w:r>
      <w:r>
        <w:rPr>
          <w:rFonts w:ascii="仿宋_GB2312" w:hAnsi="宋体" w:eastAsia="仿宋_GB2312"/>
          <w:kern w:val="0"/>
          <w:sz w:val="32"/>
          <w:szCs w:val="32"/>
        </w:rPr>
        <w:t>2019</w:t>
      </w:r>
      <w:r>
        <w:rPr>
          <w:rFonts w:hint="eastAsia" w:ascii="仿宋_GB2312" w:hAnsi="宋体" w:eastAsia="仿宋_GB2312"/>
          <w:kern w:val="0"/>
          <w:sz w:val="32"/>
          <w:szCs w:val="32"/>
        </w:rPr>
        <w:t>年一般公共预算基本支出情况说明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七、关于昌吉州第二中学</w:t>
      </w:r>
      <w:r>
        <w:rPr>
          <w:rFonts w:ascii="仿宋_GB2312" w:hAnsi="宋体" w:eastAsia="仿宋_GB2312"/>
          <w:kern w:val="0"/>
          <w:sz w:val="32"/>
          <w:szCs w:val="32"/>
        </w:rPr>
        <w:t>2019</w:t>
      </w:r>
      <w:r>
        <w:rPr>
          <w:rFonts w:hint="eastAsia" w:ascii="仿宋_GB2312" w:hAnsi="宋体" w:eastAsia="仿宋_GB2312"/>
          <w:kern w:val="0"/>
          <w:sz w:val="32"/>
          <w:szCs w:val="32"/>
        </w:rPr>
        <w:t>年项目支出情况说明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八、关于昌吉州第二中学</w:t>
      </w:r>
      <w:r>
        <w:rPr>
          <w:rFonts w:ascii="仿宋_GB2312" w:hAnsi="宋体" w:eastAsia="仿宋_GB2312"/>
          <w:kern w:val="0"/>
          <w:sz w:val="32"/>
          <w:szCs w:val="32"/>
        </w:rPr>
        <w:t>2019</w:t>
      </w:r>
      <w:r>
        <w:rPr>
          <w:rFonts w:hint="eastAsia" w:ascii="仿宋_GB2312" w:hAnsi="宋体" w:eastAsia="仿宋_GB2312"/>
          <w:kern w:val="0"/>
          <w:sz w:val="32"/>
          <w:szCs w:val="32"/>
        </w:rPr>
        <w:t>年一般公共预算“三公”经费预算情况说明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九、关于昌吉州第二中学</w:t>
      </w:r>
      <w:r>
        <w:rPr>
          <w:rFonts w:ascii="仿宋_GB2312" w:hAnsi="宋体" w:eastAsia="仿宋_GB2312"/>
          <w:kern w:val="0"/>
          <w:sz w:val="32"/>
          <w:szCs w:val="32"/>
        </w:rPr>
        <w:t>2019</w:t>
      </w:r>
      <w:r>
        <w:rPr>
          <w:rFonts w:hint="eastAsia" w:ascii="仿宋_GB2312" w:hAnsi="宋体" w:eastAsia="仿宋_GB2312"/>
          <w:kern w:val="0"/>
          <w:sz w:val="32"/>
          <w:szCs w:val="32"/>
        </w:rPr>
        <w:t>年政府性基金预算拨款情况说明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名词解释</w:t>
      </w: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w:t>
      </w:r>
      <w:r>
        <w:rPr>
          <w:rFonts w:ascii="黑体" w:hAnsi="黑体" w:eastAsia="黑体"/>
          <w:kern w:val="0"/>
          <w:sz w:val="32"/>
          <w:szCs w:val="32"/>
        </w:rPr>
        <w:t xml:space="preserve">  </w:t>
      </w:r>
      <w:r>
        <w:rPr>
          <w:rFonts w:hint="eastAsia" w:ascii="黑体" w:hAnsi="黑体" w:eastAsia="黑体"/>
          <w:kern w:val="0"/>
          <w:sz w:val="32"/>
          <w:szCs w:val="32"/>
        </w:rPr>
        <w:t>昌吉州第二中学单位概况</w:t>
      </w:r>
    </w:p>
    <w:p>
      <w:pPr>
        <w:widowControl/>
        <w:spacing w:line="560" w:lineRule="exact"/>
        <w:jc w:val="center"/>
        <w:outlineLvl w:val="1"/>
        <w:rPr>
          <w:rFonts w:asci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w:t>
      </w:r>
      <w:r>
        <w:rPr>
          <w:rFonts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jc w:val="left"/>
        <w:rPr>
          <w:rFonts w:ascii="黑体" w:hAnsi="黑体" w:eastAsia="黑体" w:cs="宋体"/>
          <w:bCs/>
          <w:kern w:val="0"/>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昌吉州第二中学主要职能范围：初中、高中学历教育。实施初中义务教育和高中学历教育，促进基础教育发展，教育学生成长为品德优秀、思想端正的学生，让学生获得基本的基础知识，尽可能培养其自学能力。</w:t>
      </w:r>
    </w:p>
    <w:p>
      <w:pPr>
        <w:widowControl/>
        <w:spacing w:line="560" w:lineRule="exact"/>
        <w:ind w:left="420" w:firstLine="320" w:firstLineChars="100"/>
        <w:jc w:val="left"/>
        <w:rPr>
          <w:rFonts w:ascii="黑体" w:hAnsi="黑体" w:eastAsia="黑体" w:cs="宋体"/>
          <w:bCs/>
          <w:kern w:val="0"/>
          <w:sz w:val="32"/>
          <w:szCs w:val="32"/>
        </w:rPr>
      </w:pPr>
      <w:r>
        <w:rPr>
          <w:rFonts w:hint="eastAsia" w:ascii="黑体" w:hAnsi="黑体" w:eastAsia="黑体" w:cs="宋体"/>
          <w:bCs/>
          <w:kern w:val="0"/>
          <w:sz w:val="32"/>
          <w:szCs w:val="32"/>
        </w:rPr>
        <w:t>二、机构设置及人员情况</w:t>
      </w:r>
    </w:p>
    <w:p>
      <w:pPr>
        <w:widowControl/>
        <w:spacing w:line="560" w:lineRule="exact"/>
        <w:ind w:firstLine="640"/>
        <w:jc w:val="left"/>
        <w:rPr>
          <w:rFonts w:ascii="仿宋_GB2312" w:hAnsi="宋体" w:eastAsia="仿宋_GB2312"/>
          <w:sz w:val="32"/>
          <w:szCs w:val="32"/>
        </w:rPr>
      </w:pPr>
      <w:r>
        <w:rPr>
          <w:rFonts w:hint="eastAsia" w:ascii="仿宋_GB2312" w:hAnsi="宋体" w:eastAsia="仿宋_GB2312"/>
          <w:sz w:val="32"/>
          <w:szCs w:val="32"/>
        </w:rPr>
        <w:t>昌吉州第二中学</w:t>
      </w:r>
      <w:r>
        <w:rPr>
          <w:rFonts w:hint="eastAsia" w:ascii="仿宋_GB2312" w:hAnsi="黑体" w:eastAsia="仿宋_GB2312" w:cs="宋体"/>
          <w:bCs/>
          <w:kern w:val="0"/>
          <w:sz w:val="32"/>
          <w:szCs w:val="32"/>
        </w:rPr>
        <w:t>无下属预算单位，</w:t>
      </w:r>
      <w:r>
        <w:rPr>
          <w:rFonts w:hint="eastAsia" w:ascii="仿宋_GB2312" w:hAnsi="宋体" w:eastAsia="仿宋_GB2312"/>
          <w:sz w:val="32"/>
          <w:szCs w:val="32"/>
        </w:rPr>
        <w:t>下设</w:t>
      </w:r>
      <w:r>
        <w:rPr>
          <w:rFonts w:ascii="仿宋_GB2312" w:hAnsi="宋体" w:eastAsia="仿宋_GB2312"/>
          <w:sz w:val="32"/>
          <w:szCs w:val="32"/>
        </w:rPr>
        <w:t>10</w:t>
      </w:r>
      <w:r>
        <w:rPr>
          <w:rFonts w:hint="eastAsia" w:ascii="仿宋_GB2312" w:hAnsi="宋体" w:eastAsia="仿宋_GB2312"/>
          <w:sz w:val="32"/>
          <w:szCs w:val="32"/>
        </w:rPr>
        <w:t>个处室，分别是：办公室、政教处、教务处、总务处、信息中心、教研中心、学生科、保卫科、团委、工会。</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sz w:val="32"/>
          <w:szCs w:val="32"/>
        </w:rPr>
        <w:t>单位编制数</w:t>
      </w:r>
      <w:r>
        <w:rPr>
          <w:rFonts w:ascii="仿宋_GB2312" w:hAnsi="宋体" w:eastAsia="仿宋_GB2312"/>
          <w:sz w:val="32"/>
          <w:szCs w:val="32"/>
        </w:rPr>
        <w:t>351</w:t>
      </w:r>
      <w:r>
        <w:rPr>
          <w:rFonts w:hint="eastAsia" w:ascii="仿宋_GB2312" w:hAnsi="宋体" w:eastAsia="仿宋_GB2312"/>
          <w:sz w:val="32"/>
          <w:szCs w:val="32"/>
        </w:rPr>
        <w:t>人，实有人数</w:t>
      </w:r>
      <w:r>
        <w:rPr>
          <w:rFonts w:ascii="仿宋_GB2312" w:hAnsi="宋体" w:eastAsia="仿宋_GB2312"/>
          <w:sz w:val="32"/>
          <w:szCs w:val="32"/>
        </w:rPr>
        <w:t xml:space="preserve"> </w:t>
      </w:r>
      <w:r>
        <w:rPr>
          <w:rFonts w:hint="eastAsia" w:ascii="仿宋_GB2312" w:hAnsi="宋体" w:eastAsia="仿宋_GB2312"/>
          <w:sz w:val="32"/>
          <w:szCs w:val="32"/>
          <w:lang w:val="en-US" w:eastAsia="zh-CN"/>
        </w:rPr>
        <w:t>479</w:t>
      </w:r>
      <w:r>
        <w:rPr>
          <w:rFonts w:hint="eastAsia" w:ascii="仿宋_GB2312" w:hAnsi="宋体" w:eastAsia="仿宋_GB2312"/>
          <w:sz w:val="32"/>
          <w:szCs w:val="32"/>
        </w:rPr>
        <w:t>人，其中：</w:t>
      </w:r>
      <w:r>
        <w:rPr>
          <w:rFonts w:hint="eastAsia" w:ascii="仿宋_GB2312" w:hAnsi="宋体" w:eastAsia="仿宋_GB2312" w:cs="宋体"/>
          <w:kern w:val="0"/>
          <w:sz w:val="32"/>
          <w:szCs w:val="32"/>
        </w:rPr>
        <w:t>在职</w:t>
      </w:r>
      <w:r>
        <w:rPr>
          <w:rFonts w:ascii="仿宋_GB2312" w:hAnsi="宋体" w:eastAsia="仿宋_GB2312" w:cs="宋体"/>
          <w:kern w:val="0"/>
          <w:sz w:val="32"/>
          <w:szCs w:val="32"/>
        </w:rPr>
        <w:t>342</w:t>
      </w:r>
      <w:r>
        <w:rPr>
          <w:rFonts w:hint="eastAsia" w:ascii="仿宋_GB2312" w:hAnsi="宋体" w:eastAsia="仿宋_GB2312" w:cs="宋体"/>
          <w:kern w:val="0"/>
          <w:sz w:val="32"/>
          <w:szCs w:val="32"/>
        </w:rPr>
        <w:t>人，</w:t>
      </w:r>
      <w:r>
        <w:rPr>
          <w:rFonts w:hint="eastAsia" w:ascii="仿宋_GB2312" w:hAnsi="宋体" w:eastAsia="仿宋_GB2312"/>
          <w:sz w:val="32"/>
          <w:szCs w:val="32"/>
        </w:rPr>
        <w:t>较上年预算人数减少</w:t>
      </w:r>
      <w:r>
        <w:rPr>
          <w:rFonts w:ascii="仿宋_GB2312" w:hAnsi="宋体" w:eastAsia="仿宋_GB2312"/>
          <w:sz w:val="32"/>
          <w:szCs w:val="32"/>
        </w:rPr>
        <w:t>3</w:t>
      </w:r>
      <w:r>
        <w:rPr>
          <w:rFonts w:hint="eastAsia" w:ascii="仿宋_GB2312" w:hAnsi="宋体" w:eastAsia="仿宋_GB2312"/>
          <w:sz w:val="32"/>
          <w:szCs w:val="32"/>
        </w:rPr>
        <w:t>人；</w:t>
      </w:r>
      <w:r>
        <w:rPr>
          <w:rFonts w:hint="eastAsia" w:ascii="仿宋_GB2312" w:hAnsi="宋体" w:eastAsia="仿宋_GB2312" w:cs="宋体"/>
          <w:kern w:val="0"/>
          <w:sz w:val="32"/>
          <w:szCs w:val="32"/>
        </w:rPr>
        <w:t>退休</w:t>
      </w:r>
      <w:r>
        <w:rPr>
          <w:rFonts w:ascii="仿宋_GB2312" w:hAnsi="宋体" w:eastAsia="仿宋_GB2312" w:cs="宋体"/>
          <w:kern w:val="0"/>
          <w:sz w:val="32"/>
          <w:szCs w:val="32"/>
        </w:rPr>
        <w:t>136</w:t>
      </w:r>
      <w:r>
        <w:rPr>
          <w:rFonts w:hint="eastAsia" w:ascii="仿宋_GB2312" w:hAnsi="宋体" w:eastAsia="仿宋_GB2312" w:cs="宋体"/>
          <w:kern w:val="0"/>
          <w:sz w:val="32"/>
          <w:szCs w:val="32"/>
        </w:rPr>
        <w:t>人，较上年预算人数增加</w:t>
      </w:r>
      <w:r>
        <w:rPr>
          <w:rFonts w:ascii="仿宋_GB2312" w:hAnsi="宋体" w:eastAsia="仿宋_GB2312" w:cs="宋体"/>
          <w:kern w:val="0"/>
          <w:sz w:val="32"/>
          <w:szCs w:val="32"/>
        </w:rPr>
        <w:t>9</w:t>
      </w:r>
      <w:r>
        <w:rPr>
          <w:rFonts w:hint="eastAsia" w:ascii="仿宋_GB2312" w:hAnsi="宋体" w:eastAsia="仿宋_GB2312" w:cs="宋体"/>
          <w:kern w:val="0"/>
          <w:sz w:val="32"/>
          <w:szCs w:val="32"/>
        </w:rPr>
        <w:t>人；离休</w:t>
      </w:r>
      <w:r>
        <w:rPr>
          <w:rFonts w:ascii="仿宋_GB2312" w:hAnsi="宋体" w:eastAsia="仿宋_GB2312" w:cs="宋体"/>
          <w:kern w:val="0"/>
          <w:sz w:val="32"/>
          <w:szCs w:val="32"/>
        </w:rPr>
        <w:t>1</w:t>
      </w:r>
      <w:r>
        <w:rPr>
          <w:rFonts w:hint="eastAsia" w:ascii="仿宋_GB2312" w:hAnsi="宋体" w:eastAsia="仿宋_GB2312" w:cs="宋体"/>
          <w:kern w:val="0"/>
          <w:sz w:val="32"/>
          <w:szCs w:val="32"/>
        </w:rPr>
        <w:t>人，较上年预算人数减少</w:t>
      </w:r>
      <w:r>
        <w:rPr>
          <w:rFonts w:ascii="仿宋_GB2312" w:hAnsi="宋体" w:eastAsia="仿宋_GB2312" w:cs="宋体"/>
          <w:kern w:val="0"/>
          <w:sz w:val="32"/>
          <w:szCs w:val="32"/>
        </w:rPr>
        <w:t>2</w:t>
      </w:r>
      <w:r>
        <w:rPr>
          <w:rFonts w:hint="eastAsia" w:ascii="仿宋_GB2312" w:hAnsi="宋体" w:eastAsia="仿宋_GB2312" w:cs="宋体"/>
          <w:kern w:val="0"/>
          <w:sz w:val="32"/>
          <w:szCs w:val="32"/>
        </w:rPr>
        <w:t>人。</w:t>
      </w:r>
    </w:p>
    <w:p>
      <w:pPr>
        <w:widowControl/>
        <w:spacing w:line="560" w:lineRule="exact"/>
        <w:ind w:firstLine="640" w:firstLineChars="200"/>
        <w:jc w:val="left"/>
        <w:rPr>
          <w:rFonts w:ascii="仿宋_GB2312" w:hAnsi="宋体" w:eastAsia="仿宋_GB2312" w:cs="宋体"/>
          <w:kern w:val="0"/>
          <w:sz w:val="32"/>
          <w:szCs w:val="32"/>
        </w:rPr>
      </w:pPr>
    </w:p>
    <w:p>
      <w:pPr>
        <w:widowControl/>
        <w:spacing w:line="560" w:lineRule="exact"/>
        <w:ind w:firstLine="640" w:firstLineChars="200"/>
        <w:jc w:val="left"/>
        <w:rPr>
          <w:rFonts w:ascii="仿宋_GB2312" w:hAnsi="宋体" w:eastAsia="仿宋_GB2312" w:cs="宋体"/>
          <w:kern w:val="0"/>
          <w:sz w:val="32"/>
          <w:szCs w:val="32"/>
        </w:rPr>
      </w:pPr>
    </w:p>
    <w:p>
      <w:pPr>
        <w:widowControl/>
        <w:spacing w:line="560" w:lineRule="exact"/>
        <w:ind w:firstLine="640" w:firstLineChars="200"/>
        <w:jc w:val="left"/>
        <w:rPr>
          <w:rFonts w:ascii="仿宋_GB2312" w:hAnsi="宋体" w:eastAsia="仿宋_GB2312" w:cs="宋体"/>
          <w:kern w:val="0"/>
          <w:sz w:val="32"/>
          <w:szCs w:val="32"/>
        </w:rPr>
      </w:pPr>
    </w:p>
    <w:p>
      <w:pPr>
        <w:widowControl/>
        <w:spacing w:line="560" w:lineRule="exact"/>
        <w:ind w:firstLine="640" w:firstLineChars="200"/>
        <w:jc w:val="left"/>
        <w:rPr>
          <w:rFonts w:ascii="仿宋_GB2312" w:hAnsi="宋体" w:eastAsia="仿宋_GB2312" w:cs="宋体"/>
          <w:kern w:val="0"/>
          <w:sz w:val="32"/>
          <w:szCs w:val="32"/>
        </w:rPr>
      </w:pPr>
    </w:p>
    <w:p>
      <w:pPr>
        <w:widowControl/>
        <w:spacing w:line="560" w:lineRule="exact"/>
        <w:ind w:firstLine="640" w:firstLineChars="200"/>
        <w:jc w:val="left"/>
        <w:rPr>
          <w:rFonts w:ascii="仿宋_GB2312" w:hAnsi="宋体" w:eastAsia="仿宋_GB2312" w:cs="宋体"/>
          <w:kern w:val="0"/>
          <w:sz w:val="32"/>
          <w:szCs w:val="32"/>
        </w:rPr>
      </w:pPr>
    </w:p>
    <w:p>
      <w:pPr>
        <w:widowControl/>
        <w:spacing w:line="560" w:lineRule="exact"/>
        <w:ind w:firstLine="640" w:firstLineChars="200"/>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before="120" w:beforeLines="50"/>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第二部分</w:t>
      </w:r>
      <w:r>
        <w:rPr>
          <w:rFonts w:ascii="黑体" w:hAnsi="黑体" w:eastAsia="黑体"/>
          <w:kern w:val="0"/>
          <w:sz w:val="32"/>
          <w:szCs w:val="32"/>
        </w:rPr>
        <w:t xml:space="preserve"> 2019</w:t>
      </w:r>
      <w:r>
        <w:rPr>
          <w:rFonts w:hint="eastAsia" w:ascii="黑体" w:hAnsi="黑体" w:eastAsia="黑体"/>
          <w:kern w:val="0"/>
          <w:sz w:val="32"/>
          <w:szCs w:val="32"/>
        </w:rPr>
        <w:t>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w:t>
      </w:r>
      <w:r>
        <w:rPr>
          <w:rFonts w:ascii="仿宋_GB2312" w:hAnsi="宋体" w:eastAsia="仿宋_GB2312"/>
          <w:kern w:val="0"/>
          <w:sz w:val="24"/>
        </w:rPr>
        <w:t xml:space="preserve"> </w:t>
      </w:r>
      <w:r>
        <w:rPr>
          <w:rFonts w:hint="eastAsia" w:ascii="仿宋_GB2312" w:hAnsi="宋体" w:eastAsia="仿宋_GB2312"/>
          <w:kern w:val="0"/>
          <w:sz w:val="24"/>
        </w:rPr>
        <w:t>昌吉州第二中学</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入</w:t>
            </w:r>
          </w:p>
        </w:tc>
        <w:tc>
          <w:tcPr>
            <w:tcW w:w="4394" w:type="dxa"/>
            <w:gridSpan w:val="2"/>
            <w:tcBorders>
              <w:top w:val="single" w:color="auto" w:sz="4" w:space="0"/>
              <w:left w:val="nil"/>
              <w:bottom w:val="single" w:color="auto" w:sz="4" w:space="0"/>
              <w:right w:val="single" w:color="auto" w:sz="4" w:space="0"/>
            </w:tcBorders>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目</w:t>
            </w:r>
          </w:p>
        </w:tc>
        <w:tc>
          <w:tcPr>
            <w:tcW w:w="1988" w:type="dxa"/>
            <w:tcBorders>
              <w:top w:val="nil"/>
              <w:left w:val="nil"/>
              <w:bottom w:val="single" w:color="auto" w:sz="4" w:space="0"/>
              <w:right w:val="single" w:color="auto" w:sz="4" w:space="0"/>
            </w:tcBorders>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5633.13</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201 </w:t>
            </w:r>
            <w:r>
              <w:rPr>
                <w:rFonts w:hint="eastAsia" w:ascii="仿宋_GB2312" w:hAnsi="宋体" w:eastAsia="仿宋_GB2312" w:cs="宋体"/>
                <w:kern w:val="0"/>
                <w:sz w:val="18"/>
                <w:szCs w:val="18"/>
              </w:rPr>
              <w:t>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一般公共预算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5633.13</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202 </w:t>
            </w:r>
            <w:r>
              <w:rPr>
                <w:rFonts w:hint="eastAsia" w:ascii="仿宋_GB2312" w:hAnsi="宋体" w:eastAsia="仿宋_GB2312" w:cs="宋体"/>
                <w:kern w:val="0"/>
                <w:sz w:val="18"/>
                <w:szCs w:val="18"/>
              </w:rPr>
              <w:t>外交支出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政府性基金预算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203 </w:t>
            </w:r>
            <w:r>
              <w:rPr>
                <w:rFonts w:hint="eastAsia" w:ascii="仿宋_GB2312" w:hAnsi="宋体" w:eastAsia="仿宋_GB2312" w:cs="宋体"/>
                <w:kern w:val="0"/>
                <w:sz w:val="18"/>
                <w:szCs w:val="18"/>
              </w:rPr>
              <w:t>国防支出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204 </w:t>
            </w:r>
            <w:r>
              <w:rPr>
                <w:rFonts w:hint="eastAsia" w:ascii="仿宋_GB2312" w:hAnsi="宋体" w:eastAsia="仿宋_GB2312" w:cs="宋体"/>
                <w:kern w:val="0"/>
                <w:sz w:val="18"/>
                <w:szCs w:val="18"/>
              </w:rPr>
              <w:t>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205 </w:t>
            </w:r>
            <w:r>
              <w:rPr>
                <w:rFonts w:hint="eastAsia" w:ascii="仿宋_GB2312" w:hAnsi="宋体" w:eastAsia="仿宋_GB2312" w:cs="宋体"/>
                <w:kern w:val="0"/>
                <w:sz w:val="18"/>
                <w:szCs w:val="18"/>
              </w:rPr>
              <w:t>教育支出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5633.13</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206 </w:t>
            </w:r>
            <w:r>
              <w:rPr>
                <w:rFonts w:hint="eastAsia" w:ascii="仿宋_GB2312" w:hAnsi="宋体" w:eastAsia="仿宋_GB2312" w:cs="宋体"/>
                <w:kern w:val="0"/>
                <w:sz w:val="18"/>
                <w:szCs w:val="18"/>
              </w:rPr>
              <w:t>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207 </w:t>
            </w:r>
            <w:r>
              <w:rPr>
                <w:rFonts w:hint="eastAsia" w:ascii="仿宋_GB2312" w:hAnsi="宋体" w:eastAsia="仿宋_GB2312" w:cs="宋体"/>
                <w:kern w:val="0"/>
                <w:sz w:val="18"/>
                <w:szCs w:val="18"/>
              </w:rPr>
              <w:t>文化体育与传媒支出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208 </w:t>
            </w:r>
            <w:r>
              <w:rPr>
                <w:rFonts w:hint="eastAsia" w:ascii="仿宋_GB2312" w:hAnsi="宋体" w:eastAsia="仿宋_GB2312" w:cs="宋体"/>
                <w:kern w:val="0"/>
                <w:sz w:val="18"/>
                <w:szCs w:val="18"/>
              </w:rPr>
              <w:t>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210 </w:t>
            </w:r>
            <w:r>
              <w:rPr>
                <w:rFonts w:hint="eastAsia" w:ascii="仿宋_GB2312" w:hAnsi="宋体" w:eastAsia="仿宋_GB2312" w:cs="宋体"/>
                <w:kern w:val="0"/>
                <w:sz w:val="18"/>
                <w:szCs w:val="18"/>
              </w:rPr>
              <w:t>医疗卫生与计划生育支出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211 </w:t>
            </w:r>
            <w:r>
              <w:rPr>
                <w:rFonts w:hint="eastAsia" w:ascii="仿宋_GB2312" w:hAnsi="宋体" w:eastAsia="仿宋_GB2312" w:cs="宋体"/>
                <w:kern w:val="0"/>
                <w:sz w:val="18"/>
                <w:szCs w:val="18"/>
              </w:rPr>
              <w:t>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212 </w:t>
            </w:r>
            <w:r>
              <w:rPr>
                <w:rFonts w:hint="eastAsia" w:ascii="仿宋_GB2312" w:hAnsi="宋体" w:eastAsia="仿宋_GB2312" w:cs="宋体"/>
                <w:kern w:val="0"/>
                <w:sz w:val="18"/>
                <w:szCs w:val="18"/>
              </w:rPr>
              <w:t>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213 </w:t>
            </w:r>
            <w:r>
              <w:rPr>
                <w:rFonts w:hint="eastAsia" w:ascii="仿宋_GB2312" w:hAnsi="宋体" w:eastAsia="仿宋_GB2312" w:cs="宋体"/>
                <w:kern w:val="0"/>
                <w:sz w:val="18"/>
                <w:szCs w:val="18"/>
              </w:rPr>
              <w:t>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214 </w:t>
            </w:r>
            <w:r>
              <w:rPr>
                <w:rFonts w:hint="eastAsia" w:ascii="仿宋_GB2312" w:hAnsi="宋体" w:eastAsia="仿宋_GB2312" w:cs="宋体"/>
                <w:kern w:val="0"/>
                <w:sz w:val="18"/>
                <w:szCs w:val="18"/>
              </w:rPr>
              <w:t>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215 </w:t>
            </w:r>
            <w:r>
              <w:rPr>
                <w:rFonts w:hint="eastAsia" w:ascii="仿宋_GB2312" w:hAnsi="宋体" w:eastAsia="仿宋_GB2312" w:cs="宋体"/>
                <w:kern w:val="0"/>
                <w:sz w:val="18"/>
                <w:szCs w:val="18"/>
              </w:rPr>
              <w:t>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216 </w:t>
            </w:r>
            <w:r>
              <w:rPr>
                <w:rFonts w:hint="eastAsia" w:ascii="仿宋_GB2312" w:hAnsi="宋体" w:eastAsia="仿宋_GB2312" w:cs="宋体"/>
                <w:kern w:val="0"/>
                <w:sz w:val="18"/>
                <w:szCs w:val="18"/>
              </w:rPr>
              <w:t>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217 </w:t>
            </w:r>
            <w:r>
              <w:rPr>
                <w:rFonts w:hint="eastAsia" w:ascii="仿宋_GB2312" w:hAnsi="宋体" w:eastAsia="仿宋_GB2312" w:cs="宋体"/>
                <w:kern w:val="0"/>
                <w:sz w:val="18"/>
                <w:szCs w:val="18"/>
              </w:rPr>
              <w:t>金融支出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219 </w:t>
            </w:r>
            <w:r>
              <w:rPr>
                <w:rFonts w:hint="eastAsia" w:ascii="仿宋_GB2312" w:hAnsi="宋体" w:eastAsia="仿宋_GB2312" w:cs="宋体"/>
                <w:kern w:val="0"/>
                <w:sz w:val="18"/>
                <w:szCs w:val="18"/>
              </w:rPr>
              <w:t>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220 </w:t>
            </w:r>
            <w:r>
              <w:rPr>
                <w:rFonts w:hint="eastAsia" w:ascii="仿宋_GB2312" w:hAnsi="宋体" w:eastAsia="仿宋_GB2312" w:cs="宋体"/>
                <w:kern w:val="0"/>
                <w:sz w:val="18"/>
                <w:szCs w:val="18"/>
              </w:rPr>
              <w:t>国土资源气象等支出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221 </w:t>
            </w:r>
            <w:r>
              <w:rPr>
                <w:rFonts w:hint="eastAsia" w:ascii="仿宋_GB2312" w:hAnsi="宋体" w:eastAsia="仿宋_GB2312" w:cs="宋体"/>
                <w:kern w:val="0"/>
                <w:sz w:val="18"/>
                <w:szCs w:val="18"/>
              </w:rPr>
              <w:t>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222 </w:t>
            </w:r>
            <w:r>
              <w:rPr>
                <w:rFonts w:hint="eastAsia" w:ascii="仿宋_GB2312" w:hAnsi="宋体" w:eastAsia="仿宋_GB2312" w:cs="宋体"/>
                <w:kern w:val="0"/>
                <w:sz w:val="18"/>
                <w:szCs w:val="18"/>
              </w:rPr>
              <w:t>粮油物资管理支出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223 </w:t>
            </w:r>
            <w:r>
              <w:rPr>
                <w:rFonts w:hint="eastAsia" w:ascii="仿宋_GB2312" w:hAnsi="宋体" w:eastAsia="仿宋_GB2312" w:cs="宋体"/>
                <w:kern w:val="0"/>
                <w:sz w:val="18"/>
                <w:szCs w:val="18"/>
              </w:rPr>
              <w:t>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227 </w:t>
            </w:r>
            <w:r>
              <w:rPr>
                <w:rFonts w:hint="eastAsia" w:ascii="仿宋_GB2312" w:hAnsi="宋体" w:eastAsia="仿宋_GB2312" w:cs="宋体"/>
                <w:kern w:val="0"/>
                <w:sz w:val="18"/>
                <w:szCs w:val="18"/>
              </w:rPr>
              <w:t>预备费</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229 </w:t>
            </w:r>
            <w:r>
              <w:rPr>
                <w:rFonts w:hint="eastAsia" w:ascii="仿宋_GB2312" w:hAnsi="宋体" w:eastAsia="仿宋_GB2312" w:cs="宋体"/>
                <w:kern w:val="0"/>
                <w:sz w:val="18"/>
                <w:szCs w:val="18"/>
              </w:rPr>
              <w:t>其他支出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231 </w:t>
            </w:r>
            <w:r>
              <w:rPr>
                <w:rFonts w:hint="eastAsia" w:ascii="仿宋_GB2312" w:hAnsi="宋体" w:eastAsia="仿宋_GB2312" w:cs="宋体"/>
                <w:kern w:val="0"/>
                <w:sz w:val="18"/>
                <w:szCs w:val="18"/>
              </w:rPr>
              <w:t>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232 </w:t>
            </w:r>
            <w:r>
              <w:rPr>
                <w:rFonts w:hint="eastAsia" w:ascii="仿宋_GB2312" w:hAnsi="宋体" w:eastAsia="仿宋_GB2312" w:cs="宋体"/>
                <w:kern w:val="0"/>
                <w:sz w:val="18"/>
                <w:szCs w:val="18"/>
              </w:rPr>
              <w:t>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233 </w:t>
            </w:r>
            <w:r>
              <w:rPr>
                <w:rFonts w:hint="eastAsia" w:ascii="仿宋_GB2312" w:hAnsi="宋体" w:eastAsia="仿宋_GB2312" w:cs="宋体"/>
                <w:kern w:val="0"/>
                <w:sz w:val="18"/>
                <w:szCs w:val="18"/>
              </w:rPr>
              <w:t>债务发行费支出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988" w:type="dxa"/>
            <w:tcBorders>
              <w:top w:val="nil"/>
              <w:left w:val="single" w:color="auto" w:sz="4" w:space="0"/>
              <w:bottom w:val="single" w:color="auto" w:sz="4" w:space="0"/>
              <w:right w:val="single" w:color="auto" w:sz="4" w:space="0"/>
            </w:tcBorders>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r>
              <w:rPr>
                <w:rFonts w:ascii="仿宋_GB2312" w:hAnsi="宋体" w:eastAsia="仿宋_GB2312" w:cs="宋体"/>
                <w:kern w:val="0"/>
                <w:sz w:val="18"/>
                <w:szCs w:val="18"/>
              </w:rPr>
              <w:t>5633.13</w:t>
            </w:r>
          </w:p>
        </w:tc>
        <w:tc>
          <w:tcPr>
            <w:tcW w:w="2693" w:type="dxa"/>
            <w:tcBorders>
              <w:top w:val="nil"/>
              <w:left w:val="nil"/>
              <w:bottom w:val="single" w:color="auto" w:sz="4" w:space="0"/>
              <w:right w:val="single" w:color="auto" w:sz="4" w:space="0"/>
            </w:tcBorders>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701" w:type="dxa"/>
            <w:tcBorders>
              <w:top w:val="nil"/>
              <w:left w:val="nil"/>
              <w:bottom w:val="single" w:color="auto" w:sz="4" w:space="0"/>
              <w:right w:val="single" w:color="auto" w:sz="4" w:space="0"/>
            </w:tcBorders>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r>
              <w:rPr>
                <w:rFonts w:ascii="仿宋_GB2312" w:hAnsi="宋体" w:eastAsia="仿宋_GB2312" w:cs="宋体"/>
                <w:kern w:val="0"/>
                <w:sz w:val="18"/>
                <w:szCs w:val="18"/>
              </w:rPr>
              <w:t>5633.13</w:t>
            </w:r>
          </w:p>
        </w:tc>
      </w:tr>
      <w:tr>
        <w:tblPrEx>
          <w:tblLayout w:type="fixed"/>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noWrap/>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center"/>
              <w:rPr>
                <w:rFonts w:ascii="仿宋_GB2312" w:hAnsi="宋体" w:eastAsia="仿宋_GB2312" w:cs="宋体"/>
                <w:kern w:val="0"/>
                <w:sz w:val="20"/>
                <w:szCs w:val="20"/>
              </w:rPr>
            </w:pPr>
            <w:r>
              <w:rPr>
                <w:rFonts w:ascii="仿宋_GB2312" w:hAnsi="宋体" w:eastAsia="仿宋_GB2312" w:cs="宋体"/>
                <w:kern w:val="0"/>
                <w:sz w:val="20"/>
                <w:szCs w:val="20"/>
              </w:rPr>
              <w:t xml:space="preserve">230 </w:t>
            </w:r>
            <w:r>
              <w:rPr>
                <w:rFonts w:hint="eastAsia" w:ascii="仿宋_GB2312" w:hAnsi="宋体" w:eastAsia="仿宋_GB2312" w:cs="宋体"/>
                <w:kern w:val="0"/>
                <w:sz w:val="20"/>
                <w:szCs w:val="20"/>
              </w:rPr>
              <w:t>转移性支出</w:t>
            </w:r>
          </w:p>
        </w:tc>
        <w:tc>
          <w:tcPr>
            <w:tcW w:w="1701" w:type="dxa"/>
            <w:tcBorders>
              <w:top w:val="nil"/>
              <w:left w:val="single" w:color="auto" w:sz="4" w:space="0"/>
              <w:bottom w:val="single" w:color="auto" w:sz="4" w:space="0"/>
              <w:right w:val="single" w:color="auto" w:sz="4" w:space="0"/>
            </w:tcBorders>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入</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5633.13</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出</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合</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701" w:type="dxa"/>
            <w:tcBorders>
              <w:top w:val="nil"/>
              <w:left w:val="single" w:color="auto" w:sz="4" w:space="0"/>
              <w:bottom w:val="single" w:color="auto" w:sz="4" w:space="0"/>
              <w:right w:val="single" w:color="auto" w:sz="4" w:space="0"/>
            </w:tcBorders>
            <w:noWrap/>
            <w:vAlign w:val="center"/>
          </w:tcPr>
          <w:p>
            <w:pPr>
              <w:widowControl/>
              <w:spacing w:line="30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5633.13</w:t>
            </w:r>
            <w:r>
              <w:rPr>
                <w:rFonts w:hint="eastAsia" w:ascii="仿宋_GB2312" w:hAnsi="宋体" w:eastAsia="仿宋_GB2312"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填报部门：昌吉州第二中学</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654" w:type="dxa"/>
        <w:tblInd w:w="93" w:type="dxa"/>
        <w:tblLayout w:type="fixed"/>
        <w:tblCellMar>
          <w:top w:w="0" w:type="dxa"/>
          <w:left w:w="108" w:type="dxa"/>
          <w:bottom w:w="0" w:type="dxa"/>
          <w:right w:w="108" w:type="dxa"/>
        </w:tblCellMar>
      </w:tblPr>
      <w:tblGrid>
        <w:gridCol w:w="550"/>
        <w:gridCol w:w="439"/>
        <w:gridCol w:w="439"/>
        <w:gridCol w:w="1590"/>
        <w:gridCol w:w="939"/>
        <w:gridCol w:w="939"/>
        <w:gridCol w:w="680"/>
        <w:gridCol w:w="680"/>
        <w:gridCol w:w="680"/>
        <w:gridCol w:w="680"/>
        <w:gridCol w:w="680"/>
        <w:gridCol w:w="680"/>
        <w:gridCol w:w="678"/>
      </w:tblGrid>
      <w:tr>
        <w:tblPrEx>
          <w:tblLayout w:type="fixed"/>
          <w:tblCellMar>
            <w:top w:w="0" w:type="dxa"/>
            <w:left w:w="108" w:type="dxa"/>
            <w:bottom w:w="0" w:type="dxa"/>
            <w:right w:w="108" w:type="dxa"/>
          </w:tblCellMar>
        </w:tblPrEx>
        <w:trPr>
          <w:trHeight w:val="510" w:hRule="atLeast"/>
        </w:trPr>
        <w:tc>
          <w:tcPr>
            <w:tcW w:w="1428"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59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93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w:t>
            </w:r>
            <w:r>
              <w:rPr>
                <w:rFonts w:ascii="仿宋_GB2312" w:eastAsia="仿宋_GB2312"/>
                <w:b/>
                <w:color w:val="000000"/>
                <w:sz w:val="20"/>
                <w:szCs w:val="20"/>
              </w:rPr>
              <w:t xml:space="preserve">  </w:t>
            </w:r>
            <w:r>
              <w:rPr>
                <w:rFonts w:hint="eastAsia" w:ascii="仿宋_GB2312" w:eastAsia="仿宋_GB2312"/>
                <w:b/>
                <w:color w:val="000000"/>
                <w:sz w:val="20"/>
                <w:szCs w:val="20"/>
              </w:rPr>
              <w:t>计</w:t>
            </w:r>
          </w:p>
        </w:tc>
        <w:tc>
          <w:tcPr>
            <w:tcW w:w="93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550"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39"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39"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59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3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3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50"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205</w:t>
            </w: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02</w:t>
            </w: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03</w:t>
            </w:r>
            <w:r>
              <w:rPr>
                <w:rFonts w:hint="eastAsia" w:ascii="仿宋_GB2312" w:eastAsia="仿宋_GB2312"/>
                <w:color w:val="000000"/>
                <w:sz w:val="20"/>
                <w:szCs w:val="20"/>
              </w:rPr>
              <w:t>　</w:t>
            </w:r>
          </w:p>
        </w:tc>
        <w:tc>
          <w:tcPr>
            <w:tcW w:w="159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初中教育</w:t>
            </w:r>
          </w:p>
        </w:tc>
        <w:tc>
          <w:tcPr>
            <w:tcW w:w="939" w:type="dxa"/>
            <w:tcBorders>
              <w:top w:val="nil"/>
              <w:left w:val="nil"/>
              <w:bottom w:val="single" w:color="auto" w:sz="4" w:space="0"/>
              <w:right w:val="single" w:color="auto" w:sz="4" w:space="0"/>
            </w:tcBorders>
            <w:shd w:val="clear" w:color="000000" w:fill="FFFFFF"/>
            <w:noWrap/>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r>
              <w:rPr>
                <w:rFonts w:ascii="仿宋_GB2312" w:eastAsia="仿宋_GB2312"/>
                <w:color w:val="000000"/>
                <w:sz w:val="20"/>
                <w:szCs w:val="20"/>
              </w:rPr>
              <w:t>2213.71</w:t>
            </w:r>
          </w:p>
        </w:tc>
        <w:tc>
          <w:tcPr>
            <w:tcW w:w="939" w:type="dxa"/>
            <w:tcBorders>
              <w:top w:val="nil"/>
              <w:left w:val="nil"/>
              <w:bottom w:val="single" w:color="auto" w:sz="4" w:space="0"/>
              <w:right w:val="single" w:color="auto" w:sz="4" w:space="0"/>
            </w:tcBorders>
            <w:shd w:val="clear" w:color="000000" w:fill="FFFFFF"/>
            <w:noWrap/>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r>
              <w:rPr>
                <w:rFonts w:ascii="仿宋_GB2312" w:eastAsia="仿宋_GB2312"/>
                <w:color w:val="000000"/>
                <w:sz w:val="20"/>
                <w:szCs w:val="20"/>
              </w:rPr>
              <w:t>2213.71</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50"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205</w:t>
            </w: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02</w:t>
            </w: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04</w:t>
            </w:r>
            <w:r>
              <w:rPr>
                <w:rFonts w:hint="eastAsia" w:ascii="仿宋_GB2312" w:eastAsia="仿宋_GB2312"/>
                <w:color w:val="000000"/>
                <w:sz w:val="20"/>
                <w:szCs w:val="20"/>
              </w:rPr>
              <w:t>　</w:t>
            </w:r>
          </w:p>
        </w:tc>
        <w:tc>
          <w:tcPr>
            <w:tcW w:w="159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高中教育　</w:t>
            </w:r>
          </w:p>
        </w:tc>
        <w:tc>
          <w:tcPr>
            <w:tcW w:w="93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ascii="仿宋_GB2312" w:eastAsia="仿宋_GB2312"/>
                <w:color w:val="000000"/>
                <w:sz w:val="20"/>
                <w:szCs w:val="20"/>
              </w:rPr>
              <w:t>3419.42</w:t>
            </w: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ascii="仿宋_GB2312" w:eastAsia="仿宋_GB2312"/>
                <w:color w:val="000000"/>
                <w:sz w:val="20"/>
                <w:szCs w:val="20"/>
              </w:rPr>
              <w:t>3419.42</w:t>
            </w: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50"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9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50"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9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50"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9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50"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9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50"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9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50"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9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50"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9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50"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9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50"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9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50"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9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50"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9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50"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9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50"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9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9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5633.13</w:t>
            </w:r>
            <w:r>
              <w:rPr>
                <w:rFonts w:hint="eastAsia" w:ascii="仿宋_GB2312" w:eastAsia="仿宋_GB2312"/>
                <w:color w:val="000000"/>
                <w:sz w:val="20"/>
                <w:szCs w:val="20"/>
              </w:rPr>
              <w:t>　</w:t>
            </w:r>
          </w:p>
        </w:tc>
        <w:tc>
          <w:tcPr>
            <w:tcW w:w="9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5633.13</w:t>
            </w: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编制部门：昌吉州第二中学</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229" w:type="dxa"/>
        <w:tblInd w:w="93" w:type="dxa"/>
        <w:tblLayout w:type="fixed"/>
        <w:tblCellMar>
          <w:top w:w="0" w:type="dxa"/>
          <w:left w:w="108" w:type="dxa"/>
          <w:bottom w:w="0" w:type="dxa"/>
          <w:right w:w="108" w:type="dxa"/>
        </w:tblCellMar>
      </w:tblPr>
      <w:tblGrid>
        <w:gridCol w:w="550"/>
        <w:gridCol w:w="439"/>
        <w:gridCol w:w="439"/>
        <w:gridCol w:w="2526"/>
        <w:gridCol w:w="1804"/>
        <w:gridCol w:w="1804"/>
        <w:gridCol w:w="1667"/>
      </w:tblGrid>
      <w:tr>
        <w:tblPrEx>
          <w:tblLayout w:type="fixed"/>
          <w:tblCellMar>
            <w:top w:w="0" w:type="dxa"/>
            <w:left w:w="108" w:type="dxa"/>
            <w:bottom w:w="0" w:type="dxa"/>
            <w:right w:w="108" w:type="dxa"/>
          </w:tblCellMar>
        </w:tblPrEx>
        <w:trPr>
          <w:trHeight w:val="345" w:hRule="atLeast"/>
        </w:trPr>
        <w:tc>
          <w:tcPr>
            <w:tcW w:w="3954"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项目</w:t>
            </w:r>
          </w:p>
        </w:tc>
        <w:tc>
          <w:tcPr>
            <w:tcW w:w="5275" w:type="dxa"/>
            <w:gridSpan w:val="3"/>
            <w:tcBorders>
              <w:top w:val="single" w:color="auto" w:sz="4" w:space="0"/>
              <w:left w:val="nil"/>
              <w:bottom w:val="single" w:color="auto" w:sz="4" w:space="0"/>
              <w:right w:val="single" w:color="000000"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428"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26"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04"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合计</w:t>
            </w:r>
          </w:p>
        </w:tc>
        <w:tc>
          <w:tcPr>
            <w:tcW w:w="1804"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基本支出</w:t>
            </w:r>
          </w:p>
        </w:tc>
        <w:tc>
          <w:tcPr>
            <w:tcW w:w="1667"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550"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类</w:t>
            </w:r>
          </w:p>
        </w:tc>
        <w:tc>
          <w:tcPr>
            <w:tcW w:w="4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款</w:t>
            </w:r>
          </w:p>
        </w:tc>
        <w:tc>
          <w:tcPr>
            <w:tcW w:w="4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项</w:t>
            </w:r>
          </w:p>
        </w:tc>
        <w:tc>
          <w:tcPr>
            <w:tcW w:w="252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8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8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667"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205</w:t>
            </w: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02</w:t>
            </w: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03</w:t>
            </w:r>
            <w:r>
              <w:rPr>
                <w:rFonts w:hint="eastAsia" w:ascii="仿宋_GB2312" w:eastAsia="仿宋_GB2312"/>
                <w:color w:val="000000"/>
                <w:sz w:val="20"/>
                <w:szCs w:val="20"/>
              </w:rPr>
              <w:t>　</w:t>
            </w:r>
          </w:p>
        </w:tc>
        <w:tc>
          <w:tcPr>
            <w:tcW w:w="25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初中教育</w:t>
            </w:r>
          </w:p>
        </w:tc>
        <w:tc>
          <w:tcPr>
            <w:tcW w:w="180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r>
              <w:rPr>
                <w:rFonts w:ascii="仿宋_GB2312" w:eastAsia="仿宋_GB2312"/>
                <w:color w:val="000000"/>
                <w:sz w:val="20"/>
                <w:szCs w:val="20"/>
              </w:rPr>
              <w:t>2213.71</w:t>
            </w:r>
          </w:p>
        </w:tc>
        <w:tc>
          <w:tcPr>
            <w:tcW w:w="180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r>
              <w:rPr>
                <w:rFonts w:ascii="仿宋_GB2312" w:eastAsia="仿宋_GB2312"/>
                <w:color w:val="000000"/>
                <w:sz w:val="20"/>
                <w:szCs w:val="20"/>
              </w:rPr>
              <w:t>2213.71</w:t>
            </w:r>
          </w:p>
        </w:tc>
        <w:tc>
          <w:tcPr>
            <w:tcW w:w="166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205</w:t>
            </w: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02</w:t>
            </w: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04</w:t>
            </w:r>
            <w:r>
              <w:rPr>
                <w:rFonts w:hint="eastAsia" w:ascii="仿宋_GB2312" w:eastAsia="仿宋_GB2312"/>
                <w:color w:val="000000"/>
                <w:sz w:val="20"/>
                <w:szCs w:val="20"/>
              </w:rPr>
              <w:t>　</w:t>
            </w:r>
          </w:p>
        </w:tc>
        <w:tc>
          <w:tcPr>
            <w:tcW w:w="25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高中教育　</w:t>
            </w:r>
          </w:p>
        </w:tc>
        <w:tc>
          <w:tcPr>
            <w:tcW w:w="180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3419.42</w:t>
            </w:r>
            <w:r>
              <w:rPr>
                <w:rFonts w:hint="eastAsia" w:ascii="仿宋_GB2312" w:eastAsia="仿宋_GB2312"/>
                <w:color w:val="000000"/>
                <w:sz w:val="20"/>
                <w:szCs w:val="20"/>
              </w:rPr>
              <w:t>　</w:t>
            </w:r>
          </w:p>
        </w:tc>
        <w:tc>
          <w:tcPr>
            <w:tcW w:w="180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3419.42</w:t>
            </w:r>
            <w:r>
              <w:rPr>
                <w:rFonts w:hint="eastAsia" w:ascii="仿宋_GB2312" w:eastAsia="仿宋_GB2312"/>
                <w:color w:val="000000"/>
                <w:sz w:val="20"/>
                <w:szCs w:val="20"/>
              </w:rPr>
              <w:t>　</w:t>
            </w:r>
          </w:p>
        </w:tc>
        <w:tc>
          <w:tcPr>
            <w:tcW w:w="166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6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6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6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6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6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6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6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6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66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66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66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66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66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66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66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66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66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6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6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2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04"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66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50" w:type="dxa"/>
            <w:tcBorders>
              <w:top w:val="nil"/>
              <w:left w:val="single" w:color="auto" w:sz="4" w:space="0"/>
              <w:bottom w:val="single" w:color="auto" w:sz="4" w:space="0"/>
              <w:right w:val="single" w:color="auto" w:sz="4" w:space="0"/>
            </w:tcBorders>
            <w:noWrap/>
            <w:vAlign w:val="center"/>
          </w:tcPr>
          <w:p>
            <w:pPr>
              <w:widowControl/>
              <w:jc w:val="left"/>
              <w:rPr>
                <w:rFonts w:ascii="宋体" w:cs="宋体"/>
                <w:color w:val="000000"/>
                <w:kern w:val="0"/>
                <w:sz w:val="22"/>
                <w:szCs w:val="22"/>
              </w:rPr>
            </w:pPr>
            <w:r>
              <w:rPr>
                <w:rFonts w:hint="eastAsia" w:ascii="宋体" w:hAnsi="宋体" w:cs="宋体"/>
                <w:color w:val="000000"/>
                <w:kern w:val="0"/>
                <w:sz w:val="22"/>
                <w:szCs w:val="22"/>
              </w:rPr>
              <w:t>　</w:t>
            </w:r>
          </w:p>
        </w:tc>
        <w:tc>
          <w:tcPr>
            <w:tcW w:w="439"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2"/>
                <w:szCs w:val="22"/>
              </w:rPr>
            </w:pPr>
            <w:r>
              <w:rPr>
                <w:rFonts w:hint="eastAsia" w:ascii="宋体" w:hAnsi="宋体" w:cs="宋体"/>
                <w:color w:val="000000"/>
                <w:kern w:val="0"/>
                <w:sz w:val="22"/>
                <w:szCs w:val="22"/>
              </w:rPr>
              <w:t>　</w:t>
            </w:r>
          </w:p>
        </w:tc>
        <w:tc>
          <w:tcPr>
            <w:tcW w:w="43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252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2"/>
                <w:szCs w:val="22"/>
              </w:rPr>
            </w:pPr>
            <w:r>
              <w:rPr>
                <w:rFonts w:hint="eastAsia" w:ascii="宋体" w:hAnsi="宋体" w:cs="宋体"/>
                <w:color w:val="000000"/>
                <w:kern w:val="0"/>
                <w:sz w:val="22"/>
                <w:szCs w:val="22"/>
              </w:rPr>
              <w:t>合计</w:t>
            </w:r>
          </w:p>
        </w:tc>
        <w:tc>
          <w:tcPr>
            <w:tcW w:w="180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5633.13</w:t>
            </w:r>
            <w:r>
              <w:rPr>
                <w:rFonts w:hint="eastAsia" w:ascii="仿宋_GB2312" w:eastAsia="仿宋_GB2312"/>
                <w:color w:val="000000"/>
                <w:sz w:val="20"/>
                <w:szCs w:val="20"/>
              </w:rPr>
              <w:t>　</w:t>
            </w:r>
          </w:p>
        </w:tc>
        <w:tc>
          <w:tcPr>
            <w:tcW w:w="180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5633.13</w:t>
            </w:r>
            <w:r>
              <w:rPr>
                <w:rFonts w:hint="eastAsia" w:ascii="仿宋_GB2312" w:eastAsia="仿宋_GB2312"/>
                <w:color w:val="000000"/>
                <w:sz w:val="20"/>
                <w:szCs w:val="20"/>
              </w:rPr>
              <w:t>　</w:t>
            </w:r>
          </w:p>
        </w:tc>
        <w:tc>
          <w:tcPr>
            <w:tcW w:w="166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ind w:firstLine="2409" w:firstLineChars="750"/>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jc w:val="left"/>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4"/>
        </w:rPr>
        <w:t>昌吉州第二中学</w:t>
      </w:r>
      <w:r>
        <w:rPr>
          <w:rFonts w:ascii="仿宋_GB2312" w:hAnsi="宋体" w:eastAsia="仿宋_GB2312"/>
          <w:kern w:val="0"/>
          <w:sz w:val="24"/>
        </w:rPr>
        <w:t xml:space="preserve">             </w:t>
      </w:r>
      <w:r>
        <w:rPr>
          <w:rFonts w:ascii="仿宋_GB2312" w:hAnsi="宋体" w:eastAsia="仿宋_GB2312"/>
          <w:kern w:val="0"/>
          <w:sz w:val="28"/>
          <w:szCs w:val="28"/>
        </w:rPr>
        <w:t xml:space="preserve">                   </w:t>
      </w:r>
      <w:r>
        <w:rPr>
          <w:rFonts w:hint="eastAsia" w:ascii="仿宋_GB2312" w:hAnsi="宋体" w:eastAsia="仿宋_GB2312"/>
          <w:kern w:val="0"/>
          <w:sz w:val="28"/>
          <w:szCs w:val="28"/>
        </w:rPr>
        <w:t>单位：万元</w:t>
      </w:r>
    </w:p>
    <w:tbl>
      <w:tblPr>
        <w:tblStyle w:val="7"/>
        <w:tblW w:w="9229" w:type="dxa"/>
        <w:tblInd w:w="93" w:type="dxa"/>
        <w:tblLayout w:type="fixed"/>
        <w:tblCellMar>
          <w:top w:w="0" w:type="dxa"/>
          <w:left w:w="108" w:type="dxa"/>
          <w:bottom w:w="0" w:type="dxa"/>
          <w:right w:w="108" w:type="dxa"/>
        </w:tblCellMar>
      </w:tblPr>
      <w:tblGrid>
        <w:gridCol w:w="1620"/>
        <w:gridCol w:w="1230"/>
        <w:gridCol w:w="2250"/>
        <w:gridCol w:w="1035"/>
        <w:gridCol w:w="1440"/>
        <w:gridCol w:w="1654"/>
      </w:tblGrid>
      <w:tr>
        <w:tblPrEx>
          <w:tblLayout w:type="fixed"/>
          <w:tblCellMar>
            <w:top w:w="0" w:type="dxa"/>
            <w:left w:w="108" w:type="dxa"/>
            <w:bottom w:w="0" w:type="dxa"/>
            <w:right w:w="108" w:type="dxa"/>
          </w:tblCellMar>
        </w:tblPrEx>
        <w:trPr>
          <w:trHeight w:val="169" w:hRule="atLeast"/>
        </w:trPr>
        <w:tc>
          <w:tcPr>
            <w:tcW w:w="2850" w:type="dxa"/>
            <w:gridSpan w:val="2"/>
            <w:tcBorders>
              <w:top w:val="single" w:color="auto" w:sz="4" w:space="0"/>
              <w:left w:val="single" w:color="auto" w:sz="4" w:space="0"/>
              <w:bottom w:val="single" w:color="auto" w:sz="4" w:space="0"/>
              <w:right w:val="single" w:color="000000" w:sz="4" w:space="0"/>
            </w:tcBorders>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70" w:hRule="atLeast"/>
        </w:trPr>
        <w:tc>
          <w:tcPr>
            <w:tcW w:w="16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目</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能</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分</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类</w:t>
            </w:r>
          </w:p>
        </w:tc>
        <w:tc>
          <w:tcPr>
            <w:tcW w:w="103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4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6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5633.13</w:t>
            </w:r>
            <w:r>
              <w:rPr>
                <w:rFonts w:hint="eastAsia" w:ascii="仿宋_GB2312" w:hAnsi="宋体" w:eastAsia="仿宋_GB2312" w:cs="宋体"/>
                <w:kern w:val="0"/>
                <w:sz w:val="18"/>
                <w:szCs w:val="18"/>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201 </w:t>
            </w:r>
            <w:r>
              <w:rPr>
                <w:rFonts w:hint="eastAsia" w:ascii="仿宋_GB2312" w:hAnsi="宋体" w:eastAsia="仿宋_GB2312" w:cs="宋体"/>
                <w:kern w:val="0"/>
                <w:sz w:val="18"/>
                <w:szCs w:val="18"/>
              </w:rPr>
              <w:t>一般公共服务支出</w:t>
            </w:r>
          </w:p>
        </w:tc>
        <w:tc>
          <w:tcPr>
            <w:tcW w:w="103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40"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65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一般公共预算</w:t>
            </w:r>
          </w:p>
        </w:tc>
        <w:tc>
          <w:tcPr>
            <w:tcW w:w="1230"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5633.13</w:t>
            </w:r>
            <w:r>
              <w:rPr>
                <w:rFonts w:hint="eastAsia" w:ascii="仿宋_GB2312" w:hAnsi="宋体" w:eastAsia="仿宋_GB2312" w:cs="宋体"/>
                <w:kern w:val="0"/>
                <w:sz w:val="18"/>
                <w:szCs w:val="18"/>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202 </w:t>
            </w:r>
            <w:r>
              <w:rPr>
                <w:rFonts w:hint="eastAsia" w:ascii="仿宋_GB2312" w:hAnsi="宋体" w:eastAsia="仿宋_GB2312" w:cs="宋体"/>
                <w:kern w:val="0"/>
                <w:sz w:val="18"/>
                <w:szCs w:val="18"/>
              </w:rPr>
              <w:t>外交支出</w:t>
            </w:r>
          </w:p>
        </w:tc>
        <w:tc>
          <w:tcPr>
            <w:tcW w:w="103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40"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65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color w:val="000000"/>
                <w:kern w:val="0"/>
                <w:sz w:val="18"/>
                <w:szCs w:val="18"/>
              </w:rPr>
            </w:pP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政府性基金预算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203 </w:t>
            </w:r>
            <w:r>
              <w:rPr>
                <w:rFonts w:hint="eastAsia" w:ascii="仿宋_GB2312" w:hAnsi="宋体" w:eastAsia="仿宋_GB2312" w:cs="宋体"/>
                <w:kern w:val="0"/>
                <w:sz w:val="18"/>
                <w:szCs w:val="18"/>
              </w:rPr>
              <w:t>国防支出</w:t>
            </w:r>
          </w:p>
        </w:tc>
        <w:tc>
          <w:tcPr>
            <w:tcW w:w="103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40"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65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204 </w:t>
            </w:r>
            <w:r>
              <w:rPr>
                <w:rFonts w:hint="eastAsia" w:ascii="仿宋_GB2312" w:hAnsi="宋体" w:eastAsia="仿宋_GB2312" w:cs="宋体"/>
                <w:kern w:val="0"/>
                <w:sz w:val="18"/>
                <w:szCs w:val="18"/>
              </w:rPr>
              <w:t>公共安全支出</w:t>
            </w:r>
          </w:p>
        </w:tc>
        <w:tc>
          <w:tcPr>
            <w:tcW w:w="103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40"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65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205 </w:t>
            </w:r>
            <w:r>
              <w:rPr>
                <w:rFonts w:hint="eastAsia" w:ascii="仿宋_GB2312" w:hAnsi="宋体" w:eastAsia="仿宋_GB2312" w:cs="宋体"/>
                <w:kern w:val="0"/>
                <w:sz w:val="18"/>
                <w:szCs w:val="18"/>
              </w:rPr>
              <w:t>教育支出</w:t>
            </w:r>
          </w:p>
        </w:tc>
        <w:tc>
          <w:tcPr>
            <w:tcW w:w="103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ascii="宋体" w:hAnsi="宋体" w:cs="宋体"/>
                <w:kern w:val="0"/>
                <w:sz w:val="18"/>
                <w:szCs w:val="18"/>
              </w:rPr>
              <w:t>5633.13</w:t>
            </w:r>
            <w:r>
              <w:rPr>
                <w:rFonts w:hint="eastAsia" w:ascii="宋体" w:hAnsi="宋体" w:cs="宋体"/>
                <w:kern w:val="0"/>
                <w:sz w:val="18"/>
                <w:szCs w:val="18"/>
              </w:rPr>
              <w:t>　</w:t>
            </w:r>
          </w:p>
        </w:tc>
        <w:tc>
          <w:tcPr>
            <w:tcW w:w="1440"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ascii="宋体" w:hAnsi="宋体" w:cs="宋体"/>
                <w:kern w:val="0"/>
                <w:sz w:val="18"/>
                <w:szCs w:val="18"/>
              </w:rPr>
              <w:t>5633.13</w:t>
            </w:r>
            <w:r>
              <w:rPr>
                <w:rFonts w:hint="eastAsia" w:ascii="宋体" w:hAnsi="宋体" w:cs="宋体"/>
                <w:kern w:val="0"/>
                <w:sz w:val="18"/>
                <w:szCs w:val="18"/>
              </w:rPr>
              <w:t>　</w:t>
            </w:r>
          </w:p>
        </w:tc>
        <w:tc>
          <w:tcPr>
            <w:tcW w:w="165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206 </w:t>
            </w:r>
            <w:r>
              <w:rPr>
                <w:rFonts w:hint="eastAsia" w:ascii="仿宋_GB2312" w:hAnsi="宋体" w:eastAsia="仿宋_GB2312" w:cs="宋体"/>
                <w:kern w:val="0"/>
                <w:sz w:val="18"/>
                <w:szCs w:val="18"/>
              </w:rPr>
              <w:t>科学技术支出</w:t>
            </w:r>
          </w:p>
        </w:tc>
        <w:tc>
          <w:tcPr>
            <w:tcW w:w="103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40"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65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207 </w:t>
            </w:r>
            <w:r>
              <w:rPr>
                <w:rFonts w:hint="eastAsia" w:ascii="仿宋_GB2312" w:hAnsi="宋体" w:eastAsia="仿宋_GB2312" w:cs="宋体"/>
                <w:kern w:val="0"/>
                <w:sz w:val="18"/>
                <w:szCs w:val="18"/>
              </w:rPr>
              <w:t>文化体育与传媒支出</w:t>
            </w:r>
          </w:p>
        </w:tc>
        <w:tc>
          <w:tcPr>
            <w:tcW w:w="103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40"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65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208 </w:t>
            </w:r>
            <w:r>
              <w:rPr>
                <w:rFonts w:hint="eastAsia" w:ascii="仿宋_GB2312" w:hAnsi="宋体" w:eastAsia="仿宋_GB2312" w:cs="宋体"/>
                <w:kern w:val="0"/>
                <w:sz w:val="18"/>
                <w:szCs w:val="18"/>
              </w:rPr>
              <w:t>社会保障和就业支出</w:t>
            </w:r>
          </w:p>
        </w:tc>
        <w:tc>
          <w:tcPr>
            <w:tcW w:w="103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40"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65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社会保险基金支出</w:t>
            </w:r>
          </w:p>
        </w:tc>
        <w:tc>
          <w:tcPr>
            <w:tcW w:w="103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40"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65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5"/>
                <w:szCs w:val="15"/>
              </w:rPr>
            </w:pPr>
            <w:r>
              <w:rPr>
                <w:rFonts w:ascii="仿宋_GB2312" w:hAnsi="宋体" w:eastAsia="仿宋_GB2312" w:cs="宋体"/>
                <w:kern w:val="0"/>
                <w:sz w:val="15"/>
                <w:szCs w:val="15"/>
              </w:rPr>
              <w:t xml:space="preserve">210 </w:t>
            </w:r>
            <w:r>
              <w:rPr>
                <w:rFonts w:hint="eastAsia" w:ascii="仿宋_GB2312" w:hAnsi="宋体" w:eastAsia="仿宋_GB2312" w:cs="宋体"/>
                <w:kern w:val="0"/>
                <w:sz w:val="15"/>
                <w:szCs w:val="15"/>
              </w:rPr>
              <w:t>医疗卫生与计划生育支出</w:t>
            </w:r>
          </w:p>
        </w:tc>
        <w:tc>
          <w:tcPr>
            <w:tcW w:w="103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40"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65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211 </w:t>
            </w:r>
            <w:r>
              <w:rPr>
                <w:rFonts w:hint="eastAsia" w:ascii="仿宋_GB2312" w:hAnsi="宋体" w:eastAsia="仿宋_GB2312" w:cs="宋体"/>
                <w:kern w:val="0"/>
                <w:sz w:val="18"/>
                <w:szCs w:val="18"/>
              </w:rPr>
              <w:t>节能环保支出</w:t>
            </w:r>
          </w:p>
        </w:tc>
        <w:tc>
          <w:tcPr>
            <w:tcW w:w="103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40"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65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212 </w:t>
            </w:r>
            <w:r>
              <w:rPr>
                <w:rFonts w:hint="eastAsia" w:ascii="仿宋_GB2312" w:hAnsi="宋体" w:eastAsia="仿宋_GB2312" w:cs="宋体"/>
                <w:kern w:val="0"/>
                <w:sz w:val="18"/>
                <w:szCs w:val="18"/>
              </w:rPr>
              <w:t>城乡社区支出</w:t>
            </w:r>
          </w:p>
        </w:tc>
        <w:tc>
          <w:tcPr>
            <w:tcW w:w="103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40"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65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213 </w:t>
            </w:r>
            <w:r>
              <w:rPr>
                <w:rFonts w:hint="eastAsia" w:ascii="仿宋_GB2312" w:hAnsi="宋体" w:eastAsia="仿宋_GB2312" w:cs="宋体"/>
                <w:kern w:val="0"/>
                <w:sz w:val="18"/>
                <w:szCs w:val="18"/>
              </w:rPr>
              <w:t>农林水支出</w:t>
            </w:r>
          </w:p>
        </w:tc>
        <w:tc>
          <w:tcPr>
            <w:tcW w:w="103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40"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65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214 </w:t>
            </w:r>
            <w:r>
              <w:rPr>
                <w:rFonts w:hint="eastAsia" w:ascii="仿宋_GB2312" w:hAnsi="宋体" w:eastAsia="仿宋_GB2312" w:cs="宋体"/>
                <w:kern w:val="0"/>
                <w:sz w:val="18"/>
                <w:szCs w:val="18"/>
              </w:rPr>
              <w:t>交通运输支出</w:t>
            </w:r>
          </w:p>
        </w:tc>
        <w:tc>
          <w:tcPr>
            <w:tcW w:w="103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40"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65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215 </w:t>
            </w:r>
            <w:r>
              <w:rPr>
                <w:rFonts w:hint="eastAsia" w:ascii="仿宋_GB2312" w:hAnsi="宋体" w:eastAsia="仿宋_GB2312" w:cs="宋体"/>
                <w:kern w:val="0"/>
                <w:sz w:val="18"/>
                <w:szCs w:val="18"/>
              </w:rPr>
              <w:t>资源勘探信息等支出</w:t>
            </w:r>
          </w:p>
        </w:tc>
        <w:tc>
          <w:tcPr>
            <w:tcW w:w="103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40"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65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216 </w:t>
            </w:r>
            <w:r>
              <w:rPr>
                <w:rFonts w:hint="eastAsia" w:ascii="仿宋_GB2312" w:hAnsi="宋体" w:eastAsia="仿宋_GB2312" w:cs="宋体"/>
                <w:kern w:val="0"/>
                <w:sz w:val="18"/>
                <w:szCs w:val="18"/>
              </w:rPr>
              <w:t>商业服务业等支出</w:t>
            </w:r>
          </w:p>
        </w:tc>
        <w:tc>
          <w:tcPr>
            <w:tcW w:w="103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40"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65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217 </w:t>
            </w:r>
            <w:r>
              <w:rPr>
                <w:rFonts w:hint="eastAsia" w:ascii="仿宋_GB2312" w:hAnsi="宋体" w:eastAsia="仿宋_GB2312" w:cs="宋体"/>
                <w:kern w:val="0"/>
                <w:sz w:val="18"/>
                <w:szCs w:val="18"/>
              </w:rPr>
              <w:t>金融支出</w:t>
            </w:r>
          </w:p>
        </w:tc>
        <w:tc>
          <w:tcPr>
            <w:tcW w:w="103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40"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65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219 </w:t>
            </w:r>
            <w:r>
              <w:rPr>
                <w:rFonts w:hint="eastAsia" w:ascii="仿宋_GB2312" w:hAnsi="宋体" w:eastAsia="仿宋_GB2312" w:cs="宋体"/>
                <w:kern w:val="0"/>
                <w:sz w:val="18"/>
                <w:szCs w:val="18"/>
              </w:rPr>
              <w:t>援助其他地区支出</w:t>
            </w:r>
          </w:p>
        </w:tc>
        <w:tc>
          <w:tcPr>
            <w:tcW w:w="103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40"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65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220 </w:t>
            </w:r>
            <w:r>
              <w:rPr>
                <w:rFonts w:hint="eastAsia" w:ascii="仿宋_GB2312" w:hAnsi="宋体" w:eastAsia="仿宋_GB2312" w:cs="宋体"/>
                <w:kern w:val="0"/>
                <w:sz w:val="18"/>
                <w:szCs w:val="18"/>
              </w:rPr>
              <w:t>国土资源气象等支出</w:t>
            </w:r>
          </w:p>
        </w:tc>
        <w:tc>
          <w:tcPr>
            <w:tcW w:w="103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40"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65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221 </w:t>
            </w:r>
            <w:r>
              <w:rPr>
                <w:rFonts w:hint="eastAsia" w:ascii="仿宋_GB2312" w:hAnsi="宋体" w:eastAsia="仿宋_GB2312" w:cs="宋体"/>
                <w:kern w:val="0"/>
                <w:sz w:val="18"/>
                <w:szCs w:val="18"/>
              </w:rPr>
              <w:t>住房保障支出</w:t>
            </w:r>
          </w:p>
        </w:tc>
        <w:tc>
          <w:tcPr>
            <w:tcW w:w="103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40"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65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222 </w:t>
            </w:r>
            <w:r>
              <w:rPr>
                <w:rFonts w:hint="eastAsia" w:ascii="仿宋_GB2312" w:hAnsi="宋体" w:eastAsia="仿宋_GB2312" w:cs="宋体"/>
                <w:kern w:val="0"/>
                <w:sz w:val="18"/>
                <w:szCs w:val="18"/>
              </w:rPr>
              <w:t>粮油物资管理支出</w:t>
            </w:r>
          </w:p>
        </w:tc>
        <w:tc>
          <w:tcPr>
            <w:tcW w:w="103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40"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65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5"/>
                <w:szCs w:val="15"/>
              </w:rPr>
            </w:pPr>
            <w:r>
              <w:rPr>
                <w:rFonts w:ascii="仿宋_GB2312" w:hAnsi="宋体" w:eastAsia="仿宋_GB2312" w:cs="宋体"/>
                <w:kern w:val="0"/>
                <w:sz w:val="15"/>
                <w:szCs w:val="15"/>
              </w:rPr>
              <w:t>2</w:t>
            </w:r>
            <w:r>
              <w:rPr>
                <w:rFonts w:ascii="仿宋_GB2312" w:hAnsi="宋体" w:eastAsia="仿宋_GB2312" w:cs="宋体"/>
                <w:color w:val="000000"/>
                <w:kern w:val="0"/>
                <w:sz w:val="15"/>
                <w:szCs w:val="15"/>
              </w:rPr>
              <w:t xml:space="preserve">23 </w:t>
            </w:r>
            <w:r>
              <w:rPr>
                <w:rFonts w:hint="eastAsia" w:ascii="仿宋_GB2312" w:hAnsi="宋体" w:eastAsia="仿宋_GB2312" w:cs="宋体"/>
                <w:color w:val="000000"/>
                <w:kern w:val="0"/>
                <w:sz w:val="15"/>
                <w:szCs w:val="15"/>
              </w:rPr>
              <w:t>国有资本经营预算支出</w:t>
            </w:r>
          </w:p>
        </w:tc>
        <w:tc>
          <w:tcPr>
            <w:tcW w:w="103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40"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65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227 </w:t>
            </w:r>
            <w:r>
              <w:rPr>
                <w:rFonts w:hint="eastAsia" w:ascii="仿宋_GB2312" w:hAnsi="宋体" w:eastAsia="仿宋_GB2312" w:cs="宋体"/>
                <w:kern w:val="0"/>
                <w:sz w:val="18"/>
                <w:szCs w:val="18"/>
              </w:rPr>
              <w:t>预备费</w:t>
            </w:r>
          </w:p>
        </w:tc>
        <w:tc>
          <w:tcPr>
            <w:tcW w:w="103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40"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65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229 </w:t>
            </w:r>
            <w:r>
              <w:rPr>
                <w:rFonts w:hint="eastAsia" w:ascii="仿宋_GB2312" w:hAnsi="宋体" w:eastAsia="仿宋_GB2312" w:cs="宋体"/>
                <w:kern w:val="0"/>
                <w:sz w:val="18"/>
                <w:szCs w:val="18"/>
              </w:rPr>
              <w:t>其他支出</w:t>
            </w:r>
          </w:p>
        </w:tc>
        <w:tc>
          <w:tcPr>
            <w:tcW w:w="103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40"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65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2</w:t>
            </w:r>
            <w:r>
              <w:rPr>
                <w:rFonts w:ascii="仿宋_GB2312" w:hAnsi="宋体" w:eastAsia="仿宋_GB2312" w:cs="宋体"/>
                <w:color w:val="000000"/>
                <w:kern w:val="0"/>
                <w:sz w:val="18"/>
                <w:szCs w:val="18"/>
              </w:rPr>
              <w:t xml:space="preserve">31 </w:t>
            </w:r>
            <w:r>
              <w:rPr>
                <w:rFonts w:hint="eastAsia" w:ascii="仿宋_GB2312" w:hAnsi="宋体" w:eastAsia="仿宋_GB2312" w:cs="宋体"/>
                <w:color w:val="000000"/>
                <w:kern w:val="0"/>
                <w:sz w:val="18"/>
                <w:szCs w:val="18"/>
              </w:rPr>
              <w:t>债务还本支出</w:t>
            </w:r>
          </w:p>
        </w:tc>
        <w:tc>
          <w:tcPr>
            <w:tcW w:w="103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c>
          <w:tcPr>
            <w:tcW w:w="1440"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c>
          <w:tcPr>
            <w:tcW w:w="1654"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2</w:t>
            </w:r>
            <w:r>
              <w:rPr>
                <w:rFonts w:ascii="仿宋_GB2312" w:hAnsi="宋体" w:eastAsia="仿宋_GB2312" w:cs="宋体"/>
                <w:color w:val="000000"/>
                <w:kern w:val="0"/>
                <w:sz w:val="18"/>
                <w:szCs w:val="18"/>
              </w:rPr>
              <w:t xml:space="preserve">32 </w:t>
            </w:r>
            <w:r>
              <w:rPr>
                <w:rFonts w:hint="eastAsia" w:ascii="仿宋_GB2312" w:hAnsi="宋体" w:eastAsia="仿宋_GB2312" w:cs="宋体"/>
                <w:color w:val="000000"/>
                <w:kern w:val="0"/>
                <w:sz w:val="18"/>
                <w:szCs w:val="18"/>
              </w:rPr>
              <w:t>债务付息支出</w:t>
            </w:r>
          </w:p>
        </w:tc>
        <w:tc>
          <w:tcPr>
            <w:tcW w:w="103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c>
          <w:tcPr>
            <w:tcW w:w="1440"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c>
          <w:tcPr>
            <w:tcW w:w="1654"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ascii="仿宋_GB2312" w:hAnsi="宋体" w:eastAsia="仿宋_GB2312" w:cs="宋体"/>
                <w:kern w:val="0"/>
                <w:sz w:val="18"/>
                <w:szCs w:val="18"/>
              </w:rPr>
              <w:t>233</w:t>
            </w:r>
            <w:r>
              <w:rPr>
                <w:rFonts w:ascii="仿宋_GB2312" w:hAnsi="宋体" w:eastAsia="仿宋_GB2312" w:cs="宋体"/>
                <w:color w:val="000000"/>
                <w:kern w:val="0"/>
                <w:sz w:val="18"/>
                <w:szCs w:val="18"/>
              </w:rPr>
              <w:t xml:space="preserve"> </w:t>
            </w:r>
            <w:r>
              <w:rPr>
                <w:rFonts w:hint="eastAsia" w:ascii="仿宋_GB2312" w:hAnsi="宋体" w:eastAsia="仿宋_GB2312" w:cs="宋体"/>
                <w:color w:val="000000"/>
                <w:kern w:val="0"/>
                <w:sz w:val="18"/>
                <w:szCs w:val="18"/>
              </w:rPr>
              <w:t>债务发行费支出</w:t>
            </w:r>
          </w:p>
        </w:tc>
        <w:tc>
          <w:tcPr>
            <w:tcW w:w="103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440"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c>
          <w:tcPr>
            <w:tcW w:w="165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70"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23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r>
              <w:rPr>
                <w:rFonts w:ascii="仿宋_GB2312" w:eastAsia="仿宋_GB2312"/>
                <w:color w:val="000000"/>
                <w:sz w:val="20"/>
                <w:szCs w:val="20"/>
              </w:rPr>
              <w:t>5633.13</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035"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ascii="仿宋_GB2312" w:eastAsia="仿宋_GB2312"/>
                <w:color w:val="000000"/>
                <w:sz w:val="20"/>
                <w:szCs w:val="20"/>
              </w:rPr>
              <w:t>5633.13</w:t>
            </w:r>
            <w:r>
              <w:rPr>
                <w:rFonts w:hint="eastAsia" w:ascii="宋体" w:hAnsi="宋体" w:cs="宋体"/>
                <w:color w:val="000000"/>
                <w:kern w:val="0"/>
                <w:sz w:val="22"/>
                <w:szCs w:val="22"/>
              </w:rPr>
              <w:t>　</w:t>
            </w:r>
          </w:p>
        </w:tc>
        <w:tc>
          <w:tcPr>
            <w:tcW w:w="1440" w:type="dxa"/>
            <w:tcBorders>
              <w:top w:val="nil"/>
              <w:left w:val="nil"/>
              <w:bottom w:val="single" w:color="auto" w:sz="4" w:space="0"/>
              <w:right w:val="single" w:color="auto" w:sz="4" w:space="0"/>
            </w:tcBorders>
            <w:noWrap/>
            <w:vAlign w:val="center"/>
          </w:tcPr>
          <w:p>
            <w:pPr>
              <w:widowControl/>
              <w:jc w:val="right"/>
              <w:rPr>
                <w:rFonts w:ascii="宋体" w:cs="宋体"/>
                <w:kern w:val="0"/>
                <w:sz w:val="18"/>
                <w:szCs w:val="18"/>
              </w:rPr>
            </w:pPr>
            <w:r>
              <w:rPr>
                <w:rFonts w:ascii="仿宋_GB2312" w:eastAsia="仿宋_GB2312"/>
                <w:color w:val="000000"/>
                <w:sz w:val="20"/>
                <w:szCs w:val="20"/>
              </w:rPr>
              <w:t>5633.13</w:t>
            </w:r>
            <w:r>
              <w:rPr>
                <w:rFonts w:hint="eastAsia" w:ascii="宋体" w:hAnsi="宋体" w:cs="宋体"/>
                <w:color w:val="000000"/>
                <w:kern w:val="0"/>
                <w:sz w:val="22"/>
                <w:szCs w:val="22"/>
              </w:rPr>
              <w:t>　</w:t>
            </w:r>
          </w:p>
        </w:tc>
        <w:tc>
          <w:tcPr>
            <w:tcW w:w="165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noWrap/>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kern w:val="0"/>
                <w:sz w:val="20"/>
                <w:szCs w:val="20"/>
              </w:rPr>
            </w:pPr>
            <w:r>
              <w:rPr>
                <w:rFonts w:ascii="仿宋_GB2312" w:hAnsi="宋体" w:eastAsia="仿宋_GB2312" w:cs="宋体"/>
                <w:kern w:val="0"/>
                <w:sz w:val="20"/>
                <w:szCs w:val="20"/>
              </w:rPr>
              <w:t xml:space="preserve">230 </w:t>
            </w:r>
            <w:r>
              <w:rPr>
                <w:rFonts w:hint="eastAsia" w:ascii="仿宋_GB2312" w:hAnsi="宋体" w:eastAsia="仿宋_GB2312" w:cs="宋体"/>
                <w:kern w:val="0"/>
                <w:sz w:val="20"/>
                <w:szCs w:val="20"/>
              </w:rPr>
              <w:t>转移性支出</w:t>
            </w:r>
          </w:p>
        </w:tc>
        <w:tc>
          <w:tcPr>
            <w:tcW w:w="103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kern w:val="0"/>
                <w:sz w:val="18"/>
                <w:szCs w:val="18"/>
              </w:rPr>
              <w:t>　</w:t>
            </w:r>
          </w:p>
        </w:tc>
        <w:tc>
          <w:tcPr>
            <w:tcW w:w="1440"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kern w:val="0"/>
                <w:sz w:val="18"/>
                <w:szCs w:val="18"/>
              </w:rPr>
              <w:t>　</w:t>
            </w:r>
          </w:p>
        </w:tc>
        <w:tc>
          <w:tcPr>
            <w:tcW w:w="165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入</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23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ascii="仿宋_GB2312" w:eastAsia="仿宋_GB2312"/>
                <w:color w:val="000000"/>
                <w:sz w:val="20"/>
                <w:szCs w:val="20"/>
              </w:rPr>
              <w:t>5633.13</w:t>
            </w:r>
            <w:r>
              <w:rPr>
                <w:rFonts w:hint="eastAsia" w:ascii="仿宋_GB2312" w:eastAsia="仿宋_GB2312"/>
                <w:color w:val="000000"/>
                <w:sz w:val="20"/>
                <w:szCs w:val="20"/>
              </w:rPr>
              <w:t>　</w:t>
            </w:r>
          </w:p>
        </w:tc>
        <w:tc>
          <w:tcPr>
            <w:tcW w:w="2250" w:type="dxa"/>
            <w:tcBorders>
              <w:top w:val="nil"/>
              <w:left w:val="nil"/>
              <w:bottom w:val="single" w:color="auto" w:sz="4" w:space="0"/>
              <w:right w:val="single" w:color="auto" w:sz="4" w:space="0"/>
            </w:tcBorders>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出</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总</w:t>
            </w:r>
            <w:r>
              <w:rPr>
                <w:rFonts w:ascii="仿宋_GB2312" w:hAnsi="宋体" w:eastAsia="仿宋_GB2312" w:cs="宋体"/>
                <w:kern w:val="0"/>
                <w:sz w:val="20"/>
                <w:szCs w:val="20"/>
              </w:rPr>
              <w:t xml:space="preserve">  </w:t>
            </w:r>
            <w:r>
              <w:rPr>
                <w:rFonts w:hint="eastAsia" w:ascii="仿宋_GB2312" w:hAnsi="宋体" w:eastAsia="仿宋_GB2312" w:cs="宋体"/>
                <w:kern w:val="0"/>
                <w:sz w:val="20"/>
                <w:szCs w:val="20"/>
              </w:rPr>
              <w:t>计</w:t>
            </w:r>
          </w:p>
        </w:tc>
        <w:tc>
          <w:tcPr>
            <w:tcW w:w="103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ascii="仿宋_GB2312" w:eastAsia="仿宋_GB2312"/>
                <w:color w:val="000000"/>
                <w:sz w:val="20"/>
                <w:szCs w:val="20"/>
              </w:rPr>
              <w:t>5633.13</w:t>
            </w:r>
            <w:r>
              <w:rPr>
                <w:rFonts w:hint="eastAsia" w:ascii="仿宋_GB2312" w:eastAsia="仿宋_GB2312"/>
                <w:color w:val="000000"/>
                <w:sz w:val="20"/>
                <w:szCs w:val="20"/>
              </w:rPr>
              <w:t>　</w:t>
            </w:r>
          </w:p>
        </w:tc>
        <w:tc>
          <w:tcPr>
            <w:tcW w:w="144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ascii="仿宋_GB2312" w:eastAsia="仿宋_GB2312"/>
                <w:color w:val="000000"/>
                <w:sz w:val="20"/>
                <w:szCs w:val="20"/>
              </w:rPr>
              <w:t>5633.13</w:t>
            </w:r>
            <w:r>
              <w:rPr>
                <w:rFonts w:hint="eastAsia" w:ascii="仿宋_GB2312" w:eastAsia="仿宋_GB2312"/>
                <w:color w:val="000000"/>
                <w:sz w:val="20"/>
                <w:szCs w:val="20"/>
              </w:rPr>
              <w:t>　</w:t>
            </w:r>
          </w:p>
        </w:tc>
        <w:tc>
          <w:tcPr>
            <w:tcW w:w="1654"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088" w:type="dxa"/>
        <w:tblInd w:w="93" w:type="dxa"/>
        <w:tblLayout w:type="fixed"/>
        <w:tblCellMar>
          <w:top w:w="0" w:type="dxa"/>
          <w:left w:w="108" w:type="dxa"/>
          <w:bottom w:w="0" w:type="dxa"/>
          <w:right w:w="108" w:type="dxa"/>
        </w:tblCellMar>
      </w:tblPr>
      <w:tblGrid>
        <w:gridCol w:w="550"/>
        <w:gridCol w:w="491"/>
        <w:gridCol w:w="439"/>
        <w:gridCol w:w="2465"/>
        <w:gridCol w:w="1657"/>
        <w:gridCol w:w="1812"/>
        <w:gridCol w:w="1674"/>
      </w:tblGrid>
      <w:tr>
        <w:tblPrEx>
          <w:tblLayout w:type="fixed"/>
          <w:tblCellMar>
            <w:top w:w="0" w:type="dxa"/>
            <w:left w:w="108" w:type="dxa"/>
            <w:bottom w:w="0" w:type="dxa"/>
            <w:right w:w="108" w:type="dxa"/>
          </w:tblCellMar>
        </w:tblPrEx>
        <w:trPr>
          <w:trHeight w:val="1086" w:hRule="atLeast"/>
        </w:trPr>
        <w:tc>
          <w:tcPr>
            <w:tcW w:w="9088" w:type="dxa"/>
            <w:gridSpan w:val="7"/>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p>
            <w:pPr>
              <w:widowControl/>
              <w:rPr>
                <w:rFonts w:ascii="仿宋_GB2312" w:hAnsi="宋体" w:eastAsia="仿宋_GB2312" w:cs="宋体"/>
                <w:b/>
                <w:bCs/>
                <w:color w:val="000000"/>
                <w:kern w:val="0"/>
                <w:sz w:val="32"/>
                <w:szCs w:val="32"/>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昌吉州第二中学</w:t>
            </w:r>
            <w:r>
              <w:rPr>
                <w:rFonts w:ascii="仿宋_GB2312" w:hAnsi="宋体" w:eastAsia="仿宋_GB2312"/>
                <w:kern w:val="0"/>
                <w:sz w:val="24"/>
              </w:rPr>
              <w:t xml:space="preserve">                                     </w:t>
            </w: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45"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143"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80"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465"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57"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1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67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5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39"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465"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57"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1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7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205</w:t>
            </w:r>
            <w:r>
              <w:rPr>
                <w:rFonts w:hint="eastAsia" w:ascii="仿宋_GB2312" w:eastAsia="仿宋_GB2312"/>
                <w:color w:val="000000"/>
                <w:sz w:val="20"/>
                <w:szCs w:val="20"/>
              </w:rPr>
              <w:t>　</w:t>
            </w:r>
          </w:p>
        </w:tc>
        <w:tc>
          <w:tcPr>
            <w:tcW w:w="49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02</w:t>
            </w: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03</w:t>
            </w:r>
            <w:r>
              <w:rPr>
                <w:rFonts w:hint="eastAsia" w:ascii="仿宋_GB2312" w:eastAsia="仿宋_GB2312"/>
                <w:color w:val="000000"/>
                <w:sz w:val="20"/>
                <w:szCs w:val="20"/>
              </w:rPr>
              <w:t>　</w:t>
            </w:r>
          </w:p>
        </w:tc>
        <w:tc>
          <w:tcPr>
            <w:tcW w:w="24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初中教育</w:t>
            </w:r>
          </w:p>
        </w:tc>
        <w:tc>
          <w:tcPr>
            <w:tcW w:w="165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r>
              <w:rPr>
                <w:rFonts w:ascii="仿宋_GB2312" w:eastAsia="仿宋_GB2312"/>
                <w:color w:val="000000"/>
                <w:sz w:val="20"/>
                <w:szCs w:val="20"/>
              </w:rPr>
              <w:t>2213.71</w:t>
            </w:r>
          </w:p>
        </w:tc>
        <w:tc>
          <w:tcPr>
            <w:tcW w:w="181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r>
              <w:rPr>
                <w:rFonts w:ascii="仿宋_GB2312" w:eastAsia="仿宋_GB2312"/>
                <w:color w:val="000000"/>
                <w:sz w:val="20"/>
                <w:szCs w:val="20"/>
              </w:rPr>
              <w:t>2213.71</w:t>
            </w:r>
          </w:p>
        </w:tc>
        <w:tc>
          <w:tcPr>
            <w:tcW w:w="1674"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205</w:t>
            </w:r>
            <w:r>
              <w:rPr>
                <w:rFonts w:hint="eastAsia" w:ascii="仿宋_GB2312" w:eastAsia="仿宋_GB2312"/>
                <w:color w:val="000000"/>
                <w:sz w:val="20"/>
                <w:szCs w:val="20"/>
              </w:rPr>
              <w:t>　</w:t>
            </w:r>
          </w:p>
        </w:tc>
        <w:tc>
          <w:tcPr>
            <w:tcW w:w="49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02</w:t>
            </w: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04</w:t>
            </w:r>
            <w:r>
              <w:rPr>
                <w:rFonts w:hint="eastAsia" w:ascii="仿宋_GB2312" w:eastAsia="仿宋_GB2312"/>
                <w:color w:val="000000"/>
                <w:sz w:val="20"/>
                <w:szCs w:val="20"/>
              </w:rPr>
              <w:t>　</w:t>
            </w:r>
          </w:p>
        </w:tc>
        <w:tc>
          <w:tcPr>
            <w:tcW w:w="24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高中教育　</w:t>
            </w:r>
          </w:p>
        </w:tc>
        <w:tc>
          <w:tcPr>
            <w:tcW w:w="165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3419.42</w:t>
            </w:r>
            <w:r>
              <w:rPr>
                <w:rFonts w:hint="eastAsia" w:ascii="仿宋_GB2312" w:eastAsia="仿宋_GB2312"/>
                <w:color w:val="000000"/>
                <w:sz w:val="20"/>
                <w:szCs w:val="20"/>
              </w:rPr>
              <w:t>　</w:t>
            </w:r>
          </w:p>
        </w:tc>
        <w:tc>
          <w:tcPr>
            <w:tcW w:w="181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ascii="仿宋_GB2312" w:eastAsia="仿宋_GB2312"/>
                <w:color w:val="000000"/>
                <w:sz w:val="20"/>
                <w:szCs w:val="20"/>
              </w:rPr>
              <w:t>3419.42</w:t>
            </w:r>
            <w:r>
              <w:rPr>
                <w:rFonts w:hint="eastAsia" w:ascii="仿宋_GB2312" w:eastAsia="仿宋_GB2312"/>
                <w:color w:val="000000"/>
                <w:sz w:val="20"/>
                <w:szCs w:val="20"/>
              </w:rPr>
              <w:t>　</w:t>
            </w:r>
          </w:p>
        </w:tc>
        <w:tc>
          <w:tcPr>
            <w:tcW w:w="167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49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43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246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7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3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46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7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3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46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7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3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46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7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3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6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7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3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6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7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3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6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7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3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6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7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3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6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7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3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6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7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3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6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7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3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6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7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3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6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7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3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6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7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3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46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7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3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46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7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264" w:hRule="atLeast"/>
        </w:trPr>
        <w:tc>
          <w:tcPr>
            <w:tcW w:w="550"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3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465"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7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50"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3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465"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color w:val="000000"/>
                <w:kern w:val="0"/>
                <w:sz w:val="20"/>
                <w:szCs w:val="20"/>
              </w:rPr>
              <w:t>合计</w:t>
            </w:r>
          </w:p>
        </w:tc>
        <w:tc>
          <w:tcPr>
            <w:tcW w:w="1657"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cs="宋体"/>
                <w:color w:val="000000"/>
                <w:kern w:val="0"/>
                <w:sz w:val="20"/>
                <w:szCs w:val="20"/>
              </w:rPr>
              <w:t>5633.13</w:t>
            </w:r>
          </w:p>
        </w:tc>
        <w:tc>
          <w:tcPr>
            <w:tcW w:w="1812"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cs="宋体"/>
                <w:color w:val="000000"/>
                <w:kern w:val="0"/>
                <w:sz w:val="20"/>
                <w:szCs w:val="20"/>
              </w:rPr>
              <w:t>5633.13</w:t>
            </w:r>
          </w:p>
        </w:tc>
        <w:tc>
          <w:tcPr>
            <w:tcW w:w="167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324" w:type="dxa"/>
        <w:tblInd w:w="93" w:type="dxa"/>
        <w:tblLayout w:type="fixed"/>
        <w:tblCellMar>
          <w:top w:w="0" w:type="dxa"/>
          <w:left w:w="108" w:type="dxa"/>
          <w:bottom w:w="0" w:type="dxa"/>
          <w:right w:w="108" w:type="dxa"/>
        </w:tblCellMar>
      </w:tblPr>
      <w:tblGrid>
        <w:gridCol w:w="550"/>
        <w:gridCol w:w="576"/>
        <w:gridCol w:w="3029"/>
        <w:gridCol w:w="1543"/>
        <w:gridCol w:w="1695"/>
        <w:gridCol w:w="1695"/>
        <w:gridCol w:w="236"/>
      </w:tblGrid>
      <w:tr>
        <w:tblPrEx>
          <w:tblLayout w:type="fixed"/>
          <w:tblCellMar>
            <w:top w:w="0" w:type="dxa"/>
            <w:left w:w="108" w:type="dxa"/>
            <w:bottom w:w="0" w:type="dxa"/>
            <w:right w:w="108" w:type="dxa"/>
          </w:tblCellMar>
        </w:tblPrEx>
        <w:trPr>
          <w:gridAfter w:val="1"/>
          <w:wAfter w:w="236" w:type="dxa"/>
          <w:trHeight w:val="1185" w:hRule="atLeast"/>
        </w:trPr>
        <w:tc>
          <w:tcPr>
            <w:tcW w:w="9088" w:type="dxa"/>
            <w:gridSpan w:val="6"/>
            <w:tcBorders>
              <w:top w:val="nil"/>
              <w:left w:val="nil"/>
              <w:bottom w:val="single" w:color="auto" w:sz="4" w:space="0"/>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p>
            <w:pPr>
              <w:rPr>
                <w:rFonts w:ascii="仿宋_GB2312" w:hAnsi="宋体" w:eastAsia="仿宋_GB2312" w:cs="宋体"/>
                <w:b/>
                <w:bCs/>
                <w:color w:val="000000"/>
                <w:kern w:val="0"/>
                <w:sz w:val="32"/>
                <w:szCs w:val="32"/>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昌吉州第二中学</w:t>
            </w:r>
            <w:r>
              <w:rPr>
                <w:rFonts w:ascii="仿宋_GB2312" w:hAnsi="宋体" w:eastAsia="仿宋_GB2312"/>
                <w:kern w:val="0"/>
                <w:sz w:val="24"/>
              </w:rPr>
              <w:t xml:space="preserve">                                       </w:t>
            </w: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gridAfter w:val="1"/>
          <w:wAfter w:w="236" w:type="dxa"/>
          <w:trHeight w:val="510" w:hRule="atLeast"/>
        </w:trPr>
        <w:tc>
          <w:tcPr>
            <w:tcW w:w="4155" w:type="dxa"/>
            <w:gridSpan w:val="3"/>
            <w:tcBorders>
              <w:top w:val="single" w:color="auto" w:sz="4" w:space="0"/>
              <w:left w:val="single" w:color="auto" w:sz="4" w:space="0"/>
              <w:bottom w:val="single" w:color="auto" w:sz="4" w:space="0"/>
              <w:right w:val="single" w:color="auto" w:sz="4" w:space="0"/>
            </w:tcBorders>
            <w:noWrap/>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Cs w:val="21"/>
              </w:rPr>
              <w:t>项目</w:t>
            </w:r>
          </w:p>
        </w:tc>
        <w:tc>
          <w:tcPr>
            <w:tcW w:w="493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gridAfter w:val="1"/>
          <w:wAfter w:w="236" w:type="dxa"/>
          <w:trHeight w:val="495" w:hRule="atLeast"/>
        </w:trPr>
        <w:tc>
          <w:tcPr>
            <w:tcW w:w="1126"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02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543"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695"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695"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55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02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54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69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69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236" w:type="dxa"/>
            <w:tcBorders>
              <w:top w:val="nil"/>
              <w:left w:val="single" w:color="auto" w:sz="4" w:space="0"/>
              <w:right w:val="single" w:color="auto" w:sz="4" w:space="0"/>
            </w:tcBorders>
            <w:vAlign w:val="center"/>
          </w:tcPr>
          <w:p>
            <w:pPr>
              <w:widowControl/>
              <w:jc w:val="left"/>
              <w:rPr>
                <w:rFonts w:ascii="宋体" w:cs="宋体"/>
                <w:b/>
                <w:bCs/>
                <w:color w:val="000000"/>
                <w:kern w:val="0"/>
                <w:sz w:val="20"/>
                <w:szCs w:val="20"/>
              </w:rPr>
            </w:pPr>
          </w:p>
        </w:tc>
      </w:tr>
      <w:tr>
        <w:tblPrEx>
          <w:tblLayout w:type="fixed"/>
          <w:tblCellMar>
            <w:top w:w="0" w:type="dxa"/>
            <w:left w:w="108" w:type="dxa"/>
            <w:bottom w:w="0" w:type="dxa"/>
            <w:right w:w="108" w:type="dxa"/>
          </w:tblCellMar>
        </w:tblPrEx>
        <w:trPr>
          <w:gridAfter w:val="1"/>
          <w:wAfter w:w="236" w:type="dxa"/>
          <w:trHeight w:val="402" w:hRule="atLeast"/>
        </w:trPr>
        <w:tc>
          <w:tcPr>
            <w:tcW w:w="55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301</w:t>
            </w:r>
          </w:p>
        </w:tc>
        <w:tc>
          <w:tcPr>
            <w:tcW w:w="57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ascii="仿宋_GB2312" w:hAnsi="宋体" w:eastAsia="仿宋_GB2312" w:cs="宋体"/>
                <w:color w:val="000000"/>
                <w:kern w:val="0"/>
                <w:sz w:val="20"/>
                <w:szCs w:val="20"/>
              </w:rPr>
              <w:t>01</w:t>
            </w:r>
          </w:p>
        </w:tc>
        <w:tc>
          <w:tcPr>
            <w:tcW w:w="3029" w:type="dxa"/>
            <w:tcBorders>
              <w:top w:val="nil"/>
              <w:left w:val="nil"/>
              <w:bottom w:val="single" w:color="auto" w:sz="4" w:space="0"/>
              <w:right w:val="single" w:color="auto" w:sz="4" w:space="0"/>
            </w:tcBorders>
            <w:vAlign w:val="center"/>
          </w:tcPr>
          <w:p>
            <w:pPr>
              <w:rPr>
                <w:rFonts w:ascii="Arial" w:hAnsi="Arial" w:cs="Arial"/>
                <w:sz w:val="20"/>
                <w:szCs w:val="20"/>
              </w:rPr>
            </w:pPr>
            <w:r>
              <w:rPr>
                <w:rFonts w:hint="eastAsia" w:ascii="Arial" w:hAnsi="Arial" w:cs="Arial"/>
                <w:sz w:val="20"/>
                <w:szCs w:val="20"/>
              </w:rPr>
              <w:t>基本工资</w:t>
            </w:r>
          </w:p>
        </w:tc>
        <w:tc>
          <w:tcPr>
            <w:tcW w:w="1543"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hAnsi="宋体" w:cs="宋体"/>
                <w:color w:val="000000"/>
                <w:kern w:val="0"/>
                <w:sz w:val="20"/>
                <w:szCs w:val="20"/>
              </w:rPr>
              <w:t>1756.39</w:t>
            </w: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hAnsi="宋体" w:cs="宋体"/>
                <w:color w:val="000000"/>
                <w:kern w:val="0"/>
                <w:sz w:val="20"/>
                <w:szCs w:val="20"/>
              </w:rPr>
              <w:t>1756.39</w:t>
            </w: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p>
        </w:tc>
      </w:tr>
      <w:tr>
        <w:tblPrEx>
          <w:tblLayout w:type="fixed"/>
          <w:tblCellMar>
            <w:top w:w="0" w:type="dxa"/>
            <w:left w:w="108" w:type="dxa"/>
            <w:bottom w:w="0" w:type="dxa"/>
            <w:right w:w="108" w:type="dxa"/>
          </w:tblCellMar>
        </w:tblPrEx>
        <w:trPr>
          <w:gridAfter w:val="1"/>
          <w:wAfter w:w="236" w:type="dxa"/>
          <w:trHeight w:val="402" w:hRule="atLeast"/>
        </w:trPr>
        <w:tc>
          <w:tcPr>
            <w:tcW w:w="550" w:type="dxa"/>
            <w:tcBorders>
              <w:top w:val="nil"/>
              <w:left w:val="single" w:color="auto" w:sz="4" w:space="0"/>
              <w:bottom w:val="single" w:color="auto" w:sz="4" w:space="0"/>
              <w:right w:val="single" w:color="auto" w:sz="4" w:space="0"/>
            </w:tcBorders>
            <w:vAlign w:val="center"/>
          </w:tcPr>
          <w:p>
            <w:pPr>
              <w:jc w:val="center"/>
            </w:pPr>
            <w:r>
              <w:rPr>
                <w:rFonts w:ascii="仿宋_GB2312" w:hAnsi="宋体" w:eastAsia="仿宋_GB2312" w:cs="宋体"/>
                <w:color w:val="000000"/>
                <w:kern w:val="0"/>
                <w:sz w:val="20"/>
                <w:szCs w:val="20"/>
              </w:rPr>
              <w:t>301</w:t>
            </w:r>
          </w:p>
        </w:tc>
        <w:tc>
          <w:tcPr>
            <w:tcW w:w="57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03</w:t>
            </w:r>
          </w:p>
        </w:tc>
        <w:tc>
          <w:tcPr>
            <w:tcW w:w="3029" w:type="dxa"/>
            <w:tcBorders>
              <w:top w:val="nil"/>
              <w:left w:val="nil"/>
              <w:bottom w:val="single" w:color="auto" w:sz="4" w:space="0"/>
              <w:right w:val="single" w:color="auto" w:sz="4" w:space="0"/>
            </w:tcBorders>
            <w:vAlign w:val="center"/>
          </w:tcPr>
          <w:p>
            <w:pPr>
              <w:rPr>
                <w:rFonts w:ascii="Arial" w:hAnsi="Arial" w:cs="Arial"/>
                <w:sz w:val="20"/>
                <w:szCs w:val="20"/>
              </w:rPr>
            </w:pPr>
            <w:r>
              <w:rPr>
                <w:rFonts w:hint="eastAsia" w:ascii="Arial" w:hAnsi="Arial" w:cs="Arial"/>
                <w:sz w:val="20"/>
                <w:szCs w:val="20"/>
              </w:rPr>
              <w:t>奖金</w:t>
            </w:r>
          </w:p>
        </w:tc>
        <w:tc>
          <w:tcPr>
            <w:tcW w:w="1543"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hAnsi="宋体" w:cs="宋体"/>
                <w:color w:val="000000"/>
                <w:kern w:val="0"/>
                <w:sz w:val="20"/>
                <w:szCs w:val="20"/>
              </w:rPr>
              <w:t>119.91</w:t>
            </w: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hAnsi="宋体" w:cs="宋体"/>
                <w:color w:val="000000"/>
                <w:kern w:val="0"/>
                <w:sz w:val="20"/>
                <w:szCs w:val="20"/>
              </w:rPr>
              <w:t>119.91</w:t>
            </w: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p>
        </w:tc>
      </w:tr>
      <w:tr>
        <w:tblPrEx>
          <w:tblLayout w:type="fixed"/>
          <w:tblCellMar>
            <w:top w:w="0" w:type="dxa"/>
            <w:left w:w="108" w:type="dxa"/>
            <w:bottom w:w="0" w:type="dxa"/>
            <w:right w:w="108" w:type="dxa"/>
          </w:tblCellMar>
        </w:tblPrEx>
        <w:trPr>
          <w:gridAfter w:val="1"/>
          <w:wAfter w:w="236" w:type="dxa"/>
          <w:trHeight w:val="402" w:hRule="atLeast"/>
        </w:trPr>
        <w:tc>
          <w:tcPr>
            <w:tcW w:w="550" w:type="dxa"/>
            <w:tcBorders>
              <w:top w:val="nil"/>
              <w:left w:val="single" w:color="auto" w:sz="4" w:space="0"/>
              <w:bottom w:val="single" w:color="auto" w:sz="4" w:space="0"/>
              <w:right w:val="single" w:color="auto" w:sz="4" w:space="0"/>
            </w:tcBorders>
            <w:vAlign w:val="center"/>
          </w:tcPr>
          <w:p>
            <w:pPr>
              <w:jc w:val="center"/>
            </w:pPr>
            <w:r>
              <w:rPr>
                <w:rFonts w:ascii="仿宋_GB2312" w:hAnsi="宋体" w:eastAsia="仿宋_GB2312" w:cs="宋体"/>
                <w:color w:val="000000"/>
                <w:kern w:val="0"/>
                <w:sz w:val="20"/>
                <w:szCs w:val="20"/>
              </w:rPr>
              <w:t>301</w:t>
            </w:r>
          </w:p>
        </w:tc>
        <w:tc>
          <w:tcPr>
            <w:tcW w:w="57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06</w:t>
            </w:r>
          </w:p>
        </w:tc>
        <w:tc>
          <w:tcPr>
            <w:tcW w:w="3029" w:type="dxa"/>
            <w:tcBorders>
              <w:top w:val="nil"/>
              <w:left w:val="nil"/>
              <w:bottom w:val="single" w:color="auto" w:sz="4" w:space="0"/>
              <w:right w:val="single" w:color="auto" w:sz="4" w:space="0"/>
            </w:tcBorders>
            <w:vAlign w:val="center"/>
          </w:tcPr>
          <w:p>
            <w:pPr>
              <w:rPr>
                <w:rFonts w:ascii="Arial" w:hAnsi="Arial" w:cs="Arial"/>
                <w:sz w:val="20"/>
                <w:szCs w:val="20"/>
              </w:rPr>
            </w:pPr>
            <w:r>
              <w:rPr>
                <w:rFonts w:hint="eastAsia" w:ascii="Arial" w:hAnsi="Arial" w:cs="Arial"/>
                <w:sz w:val="20"/>
                <w:szCs w:val="20"/>
              </w:rPr>
              <w:t>伙食补助费</w:t>
            </w:r>
          </w:p>
        </w:tc>
        <w:tc>
          <w:tcPr>
            <w:tcW w:w="1543"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hAnsi="宋体" w:cs="宋体"/>
                <w:color w:val="000000"/>
                <w:kern w:val="0"/>
                <w:sz w:val="20"/>
                <w:szCs w:val="20"/>
              </w:rPr>
              <w:t>432.18</w:t>
            </w: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hAnsi="宋体" w:cs="宋体"/>
                <w:color w:val="000000"/>
                <w:kern w:val="0"/>
                <w:sz w:val="20"/>
                <w:szCs w:val="20"/>
              </w:rPr>
              <w:t>432.18</w:t>
            </w: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p>
        </w:tc>
      </w:tr>
      <w:tr>
        <w:tblPrEx>
          <w:tblLayout w:type="fixed"/>
          <w:tblCellMar>
            <w:top w:w="0" w:type="dxa"/>
            <w:left w:w="108" w:type="dxa"/>
            <w:bottom w:w="0" w:type="dxa"/>
            <w:right w:w="108" w:type="dxa"/>
          </w:tblCellMar>
        </w:tblPrEx>
        <w:trPr>
          <w:gridAfter w:val="1"/>
          <w:wAfter w:w="236" w:type="dxa"/>
          <w:trHeight w:val="402" w:hRule="atLeast"/>
        </w:trPr>
        <w:tc>
          <w:tcPr>
            <w:tcW w:w="550" w:type="dxa"/>
            <w:tcBorders>
              <w:top w:val="nil"/>
              <w:left w:val="single" w:color="auto" w:sz="4" w:space="0"/>
              <w:bottom w:val="single" w:color="auto" w:sz="4" w:space="0"/>
              <w:right w:val="single" w:color="auto" w:sz="4" w:space="0"/>
            </w:tcBorders>
            <w:vAlign w:val="center"/>
          </w:tcPr>
          <w:p>
            <w:pPr>
              <w:jc w:val="center"/>
            </w:pPr>
            <w:r>
              <w:rPr>
                <w:rFonts w:ascii="仿宋_GB2312" w:hAnsi="宋体" w:eastAsia="仿宋_GB2312" w:cs="宋体"/>
                <w:color w:val="000000"/>
                <w:kern w:val="0"/>
                <w:sz w:val="20"/>
                <w:szCs w:val="20"/>
              </w:rPr>
              <w:t>301</w:t>
            </w:r>
          </w:p>
        </w:tc>
        <w:tc>
          <w:tcPr>
            <w:tcW w:w="57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cs="宋体"/>
                <w:color w:val="000000"/>
                <w:kern w:val="0"/>
                <w:sz w:val="20"/>
                <w:szCs w:val="20"/>
              </w:rPr>
              <w:t>07</w:t>
            </w:r>
          </w:p>
        </w:tc>
        <w:tc>
          <w:tcPr>
            <w:tcW w:w="3029" w:type="dxa"/>
            <w:tcBorders>
              <w:top w:val="nil"/>
              <w:left w:val="nil"/>
              <w:bottom w:val="single" w:color="auto" w:sz="4" w:space="0"/>
              <w:right w:val="single" w:color="auto" w:sz="4" w:space="0"/>
            </w:tcBorders>
            <w:vAlign w:val="center"/>
          </w:tcPr>
          <w:p>
            <w:pPr>
              <w:rPr>
                <w:rFonts w:ascii="Arial" w:hAnsi="Arial" w:cs="Arial"/>
                <w:sz w:val="20"/>
                <w:szCs w:val="20"/>
              </w:rPr>
            </w:pPr>
            <w:r>
              <w:rPr>
                <w:rFonts w:hint="eastAsia" w:ascii="Arial" w:hAnsi="Arial" w:cs="Arial"/>
                <w:sz w:val="20"/>
                <w:szCs w:val="20"/>
              </w:rPr>
              <w:t>绩效工资</w:t>
            </w:r>
          </w:p>
        </w:tc>
        <w:tc>
          <w:tcPr>
            <w:tcW w:w="1543"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hAnsi="宋体" w:cs="宋体"/>
                <w:color w:val="000000"/>
                <w:kern w:val="0"/>
                <w:sz w:val="20"/>
                <w:szCs w:val="20"/>
              </w:rPr>
              <w:t>965.90</w:t>
            </w: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hAnsi="宋体" w:cs="宋体"/>
                <w:color w:val="000000"/>
                <w:kern w:val="0"/>
                <w:sz w:val="20"/>
                <w:szCs w:val="20"/>
              </w:rPr>
              <w:t>965.90</w:t>
            </w: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p>
        </w:tc>
      </w:tr>
      <w:tr>
        <w:tblPrEx>
          <w:tblLayout w:type="fixed"/>
          <w:tblCellMar>
            <w:top w:w="0" w:type="dxa"/>
            <w:left w:w="108" w:type="dxa"/>
            <w:bottom w:w="0" w:type="dxa"/>
            <w:right w:w="108" w:type="dxa"/>
          </w:tblCellMar>
        </w:tblPrEx>
        <w:trPr>
          <w:gridAfter w:val="1"/>
          <w:wAfter w:w="236" w:type="dxa"/>
          <w:trHeight w:val="402" w:hRule="atLeast"/>
        </w:trPr>
        <w:tc>
          <w:tcPr>
            <w:tcW w:w="550" w:type="dxa"/>
            <w:tcBorders>
              <w:top w:val="nil"/>
              <w:left w:val="single" w:color="auto" w:sz="4" w:space="0"/>
              <w:bottom w:val="single" w:color="auto" w:sz="4" w:space="0"/>
              <w:right w:val="single" w:color="auto" w:sz="4" w:space="0"/>
            </w:tcBorders>
            <w:vAlign w:val="center"/>
          </w:tcPr>
          <w:p>
            <w:pPr>
              <w:jc w:val="center"/>
            </w:pPr>
            <w:r>
              <w:rPr>
                <w:rFonts w:ascii="仿宋_GB2312" w:hAnsi="宋体" w:eastAsia="仿宋_GB2312" w:cs="宋体"/>
                <w:color w:val="000000"/>
                <w:kern w:val="0"/>
                <w:sz w:val="20"/>
                <w:szCs w:val="20"/>
              </w:rPr>
              <w:t>301</w:t>
            </w:r>
          </w:p>
        </w:tc>
        <w:tc>
          <w:tcPr>
            <w:tcW w:w="57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08</w:t>
            </w:r>
          </w:p>
        </w:tc>
        <w:tc>
          <w:tcPr>
            <w:tcW w:w="3029" w:type="dxa"/>
            <w:tcBorders>
              <w:top w:val="nil"/>
              <w:left w:val="nil"/>
              <w:bottom w:val="single" w:color="auto" w:sz="4" w:space="0"/>
              <w:right w:val="single" w:color="auto" w:sz="4" w:space="0"/>
            </w:tcBorders>
            <w:vAlign w:val="center"/>
          </w:tcPr>
          <w:p>
            <w:pPr>
              <w:rPr>
                <w:rFonts w:ascii="Arial" w:hAnsi="Arial" w:cs="Arial"/>
                <w:sz w:val="20"/>
                <w:szCs w:val="20"/>
              </w:rPr>
            </w:pPr>
            <w:r>
              <w:rPr>
                <w:rFonts w:hint="eastAsia" w:ascii="Arial" w:hAnsi="Arial" w:cs="Arial"/>
                <w:sz w:val="20"/>
                <w:szCs w:val="20"/>
              </w:rPr>
              <w:t>机关事业单位基本养老保险缴费</w:t>
            </w:r>
          </w:p>
        </w:tc>
        <w:tc>
          <w:tcPr>
            <w:tcW w:w="1543"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hAnsi="宋体" w:cs="宋体"/>
                <w:color w:val="000000"/>
                <w:kern w:val="0"/>
                <w:sz w:val="20"/>
                <w:szCs w:val="20"/>
              </w:rPr>
              <w:t>568.44</w:t>
            </w: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hAnsi="宋体" w:cs="宋体"/>
                <w:color w:val="000000"/>
                <w:kern w:val="0"/>
                <w:sz w:val="20"/>
                <w:szCs w:val="20"/>
              </w:rPr>
              <w:t>568.44</w:t>
            </w: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p>
        </w:tc>
      </w:tr>
      <w:tr>
        <w:tblPrEx>
          <w:tblLayout w:type="fixed"/>
          <w:tblCellMar>
            <w:top w:w="0" w:type="dxa"/>
            <w:left w:w="108" w:type="dxa"/>
            <w:bottom w:w="0" w:type="dxa"/>
            <w:right w:w="108" w:type="dxa"/>
          </w:tblCellMar>
        </w:tblPrEx>
        <w:trPr>
          <w:gridAfter w:val="1"/>
          <w:wAfter w:w="236" w:type="dxa"/>
          <w:trHeight w:val="402" w:hRule="atLeast"/>
        </w:trPr>
        <w:tc>
          <w:tcPr>
            <w:tcW w:w="550" w:type="dxa"/>
            <w:tcBorders>
              <w:top w:val="nil"/>
              <w:left w:val="single" w:color="auto" w:sz="4" w:space="0"/>
              <w:bottom w:val="single" w:color="auto" w:sz="4" w:space="0"/>
              <w:right w:val="single" w:color="auto" w:sz="4" w:space="0"/>
            </w:tcBorders>
            <w:vAlign w:val="center"/>
          </w:tcPr>
          <w:p>
            <w:pPr>
              <w:jc w:val="center"/>
            </w:pPr>
            <w:r>
              <w:rPr>
                <w:rFonts w:ascii="仿宋_GB2312" w:hAnsi="宋体" w:eastAsia="仿宋_GB2312" w:cs="宋体"/>
                <w:color w:val="000000"/>
                <w:kern w:val="0"/>
                <w:sz w:val="20"/>
                <w:szCs w:val="20"/>
              </w:rPr>
              <w:t>301</w:t>
            </w:r>
          </w:p>
        </w:tc>
        <w:tc>
          <w:tcPr>
            <w:tcW w:w="57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10</w:t>
            </w:r>
          </w:p>
        </w:tc>
        <w:tc>
          <w:tcPr>
            <w:tcW w:w="3029" w:type="dxa"/>
            <w:tcBorders>
              <w:top w:val="nil"/>
              <w:left w:val="nil"/>
              <w:bottom w:val="single" w:color="auto" w:sz="4" w:space="0"/>
              <w:right w:val="single" w:color="auto" w:sz="4" w:space="0"/>
            </w:tcBorders>
            <w:vAlign w:val="center"/>
          </w:tcPr>
          <w:p>
            <w:pPr>
              <w:rPr>
                <w:rFonts w:ascii="Arial" w:hAnsi="Arial" w:cs="Arial"/>
                <w:sz w:val="20"/>
                <w:szCs w:val="20"/>
              </w:rPr>
            </w:pPr>
            <w:r>
              <w:rPr>
                <w:rFonts w:hint="eastAsia" w:ascii="Arial" w:hAnsi="Arial" w:cs="Arial"/>
                <w:sz w:val="20"/>
                <w:szCs w:val="20"/>
              </w:rPr>
              <w:t>职工基本医疗保险缴费</w:t>
            </w:r>
          </w:p>
        </w:tc>
        <w:tc>
          <w:tcPr>
            <w:tcW w:w="1543"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hAnsi="宋体" w:cs="宋体"/>
                <w:color w:val="000000"/>
                <w:kern w:val="0"/>
                <w:sz w:val="20"/>
                <w:szCs w:val="20"/>
              </w:rPr>
              <w:t>349.50</w:t>
            </w: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hAnsi="宋体" w:cs="宋体"/>
                <w:color w:val="000000"/>
                <w:kern w:val="0"/>
                <w:sz w:val="20"/>
                <w:szCs w:val="20"/>
              </w:rPr>
              <w:t>349.50</w:t>
            </w: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p>
        </w:tc>
      </w:tr>
      <w:tr>
        <w:tblPrEx>
          <w:tblLayout w:type="fixed"/>
          <w:tblCellMar>
            <w:top w:w="0" w:type="dxa"/>
            <w:left w:w="108" w:type="dxa"/>
            <w:bottom w:w="0" w:type="dxa"/>
            <w:right w:w="108" w:type="dxa"/>
          </w:tblCellMar>
        </w:tblPrEx>
        <w:trPr>
          <w:gridAfter w:val="1"/>
          <w:wAfter w:w="236" w:type="dxa"/>
          <w:trHeight w:val="402" w:hRule="atLeast"/>
        </w:trPr>
        <w:tc>
          <w:tcPr>
            <w:tcW w:w="550" w:type="dxa"/>
            <w:tcBorders>
              <w:top w:val="nil"/>
              <w:left w:val="single" w:color="auto" w:sz="4" w:space="0"/>
              <w:bottom w:val="single" w:color="auto" w:sz="4" w:space="0"/>
              <w:right w:val="single" w:color="auto" w:sz="4" w:space="0"/>
            </w:tcBorders>
            <w:vAlign w:val="center"/>
          </w:tcPr>
          <w:p>
            <w:pPr>
              <w:jc w:val="center"/>
            </w:pPr>
            <w:r>
              <w:rPr>
                <w:rFonts w:ascii="仿宋_GB2312" w:hAnsi="宋体" w:eastAsia="仿宋_GB2312" w:cs="宋体"/>
                <w:color w:val="000000"/>
                <w:kern w:val="0"/>
                <w:sz w:val="20"/>
                <w:szCs w:val="20"/>
              </w:rPr>
              <w:t>301</w:t>
            </w:r>
          </w:p>
        </w:tc>
        <w:tc>
          <w:tcPr>
            <w:tcW w:w="57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cs="宋体"/>
                <w:color w:val="000000"/>
                <w:kern w:val="0"/>
                <w:sz w:val="20"/>
                <w:szCs w:val="20"/>
              </w:rPr>
              <w:t>11</w:t>
            </w:r>
          </w:p>
        </w:tc>
        <w:tc>
          <w:tcPr>
            <w:tcW w:w="3029" w:type="dxa"/>
            <w:tcBorders>
              <w:top w:val="nil"/>
              <w:left w:val="nil"/>
              <w:bottom w:val="single" w:color="auto" w:sz="4" w:space="0"/>
              <w:right w:val="single" w:color="auto" w:sz="4" w:space="0"/>
            </w:tcBorders>
            <w:vAlign w:val="center"/>
          </w:tcPr>
          <w:p>
            <w:pPr>
              <w:rPr>
                <w:rFonts w:ascii="Arial" w:hAnsi="Arial" w:cs="Arial"/>
                <w:sz w:val="20"/>
                <w:szCs w:val="20"/>
              </w:rPr>
            </w:pPr>
            <w:r>
              <w:rPr>
                <w:rFonts w:hint="eastAsia" w:ascii="Arial" w:hAnsi="Arial" w:cs="Arial"/>
                <w:sz w:val="20"/>
                <w:szCs w:val="20"/>
              </w:rPr>
              <w:t>公务员医疗补助缴费</w:t>
            </w:r>
          </w:p>
        </w:tc>
        <w:tc>
          <w:tcPr>
            <w:tcW w:w="1543"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hAnsi="宋体" w:cs="宋体"/>
                <w:color w:val="000000"/>
                <w:kern w:val="0"/>
                <w:sz w:val="20"/>
                <w:szCs w:val="20"/>
              </w:rPr>
              <w:t>271.84</w:t>
            </w: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hAnsi="宋体" w:cs="宋体"/>
                <w:color w:val="000000"/>
                <w:kern w:val="0"/>
                <w:sz w:val="20"/>
                <w:szCs w:val="20"/>
              </w:rPr>
              <w:t>271.84</w:t>
            </w: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p>
        </w:tc>
      </w:tr>
      <w:tr>
        <w:tblPrEx>
          <w:tblLayout w:type="fixed"/>
          <w:tblCellMar>
            <w:top w:w="0" w:type="dxa"/>
            <w:left w:w="108" w:type="dxa"/>
            <w:bottom w:w="0" w:type="dxa"/>
            <w:right w:w="108" w:type="dxa"/>
          </w:tblCellMar>
        </w:tblPrEx>
        <w:trPr>
          <w:gridAfter w:val="1"/>
          <w:wAfter w:w="236" w:type="dxa"/>
          <w:trHeight w:val="402" w:hRule="atLeast"/>
        </w:trPr>
        <w:tc>
          <w:tcPr>
            <w:tcW w:w="550" w:type="dxa"/>
            <w:tcBorders>
              <w:top w:val="nil"/>
              <w:left w:val="single" w:color="auto" w:sz="4" w:space="0"/>
              <w:bottom w:val="single" w:color="auto" w:sz="4" w:space="0"/>
              <w:right w:val="single" w:color="auto" w:sz="4" w:space="0"/>
            </w:tcBorders>
            <w:vAlign w:val="center"/>
          </w:tcPr>
          <w:p>
            <w:pPr>
              <w:jc w:val="center"/>
            </w:pPr>
            <w:r>
              <w:rPr>
                <w:rFonts w:ascii="仿宋_GB2312" w:hAnsi="宋体" w:eastAsia="仿宋_GB2312" w:cs="宋体"/>
                <w:color w:val="000000"/>
                <w:kern w:val="0"/>
                <w:sz w:val="20"/>
                <w:szCs w:val="20"/>
              </w:rPr>
              <w:t>301</w:t>
            </w:r>
          </w:p>
        </w:tc>
        <w:tc>
          <w:tcPr>
            <w:tcW w:w="57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cs="宋体"/>
                <w:color w:val="000000"/>
                <w:kern w:val="0"/>
                <w:sz w:val="20"/>
                <w:szCs w:val="20"/>
              </w:rPr>
              <w:t>12</w:t>
            </w:r>
          </w:p>
        </w:tc>
        <w:tc>
          <w:tcPr>
            <w:tcW w:w="3029" w:type="dxa"/>
            <w:tcBorders>
              <w:top w:val="nil"/>
              <w:left w:val="nil"/>
              <w:bottom w:val="single" w:color="auto" w:sz="4" w:space="0"/>
              <w:right w:val="single" w:color="auto" w:sz="4" w:space="0"/>
            </w:tcBorders>
            <w:vAlign w:val="center"/>
          </w:tcPr>
          <w:p>
            <w:pPr>
              <w:rPr>
                <w:rFonts w:ascii="Arial" w:hAnsi="Arial" w:cs="Arial"/>
                <w:sz w:val="20"/>
                <w:szCs w:val="20"/>
              </w:rPr>
            </w:pPr>
            <w:r>
              <w:rPr>
                <w:rFonts w:hint="eastAsia" w:ascii="Arial" w:hAnsi="Arial" w:cs="Arial"/>
                <w:sz w:val="20"/>
                <w:szCs w:val="20"/>
              </w:rPr>
              <w:t>其他社会保险缴费</w:t>
            </w:r>
          </w:p>
        </w:tc>
        <w:tc>
          <w:tcPr>
            <w:tcW w:w="1543"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hAnsi="宋体" w:cs="宋体"/>
                <w:color w:val="000000"/>
                <w:kern w:val="0"/>
                <w:sz w:val="20"/>
                <w:szCs w:val="20"/>
              </w:rPr>
              <w:t>22.51</w:t>
            </w: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hAnsi="宋体" w:cs="宋体"/>
                <w:color w:val="000000"/>
                <w:kern w:val="0"/>
                <w:sz w:val="20"/>
                <w:szCs w:val="20"/>
              </w:rPr>
              <w:t>22.51</w:t>
            </w: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p>
        </w:tc>
      </w:tr>
      <w:tr>
        <w:tblPrEx>
          <w:tblLayout w:type="fixed"/>
          <w:tblCellMar>
            <w:top w:w="0" w:type="dxa"/>
            <w:left w:w="108" w:type="dxa"/>
            <w:bottom w:w="0" w:type="dxa"/>
            <w:right w:w="108" w:type="dxa"/>
          </w:tblCellMar>
        </w:tblPrEx>
        <w:trPr>
          <w:gridAfter w:val="1"/>
          <w:wAfter w:w="236" w:type="dxa"/>
          <w:trHeight w:val="402" w:hRule="atLeast"/>
        </w:trPr>
        <w:tc>
          <w:tcPr>
            <w:tcW w:w="550" w:type="dxa"/>
            <w:tcBorders>
              <w:top w:val="nil"/>
              <w:left w:val="single" w:color="auto" w:sz="4" w:space="0"/>
              <w:bottom w:val="single" w:color="auto" w:sz="4" w:space="0"/>
              <w:right w:val="single" w:color="auto" w:sz="4" w:space="0"/>
            </w:tcBorders>
            <w:vAlign w:val="center"/>
          </w:tcPr>
          <w:p>
            <w:pPr>
              <w:jc w:val="center"/>
            </w:pPr>
            <w:r>
              <w:rPr>
                <w:rFonts w:ascii="仿宋_GB2312" w:hAnsi="宋体" w:eastAsia="仿宋_GB2312" w:cs="宋体"/>
                <w:color w:val="000000"/>
                <w:kern w:val="0"/>
                <w:sz w:val="20"/>
                <w:szCs w:val="20"/>
              </w:rPr>
              <w:t>301</w:t>
            </w:r>
          </w:p>
        </w:tc>
        <w:tc>
          <w:tcPr>
            <w:tcW w:w="57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cs="宋体"/>
                <w:color w:val="000000"/>
                <w:kern w:val="0"/>
                <w:sz w:val="20"/>
                <w:szCs w:val="20"/>
              </w:rPr>
              <w:t>13</w:t>
            </w:r>
          </w:p>
        </w:tc>
        <w:tc>
          <w:tcPr>
            <w:tcW w:w="3029" w:type="dxa"/>
            <w:tcBorders>
              <w:top w:val="nil"/>
              <w:left w:val="nil"/>
              <w:bottom w:val="single" w:color="auto" w:sz="4" w:space="0"/>
              <w:right w:val="single" w:color="auto" w:sz="4" w:space="0"/>
            </w:tcBorders>
            <w:vAlign w:val="center"/>
          </w:tcPr>
          <w:p>
            <w:pPr>
              <w:rPr>
                <w:rFonts w:ascii="Arial" w:hAnsi="Arial" w:cs="Arial"/>
                <w:sz w:val="20"/>
                <w:szCs w:val="20"/>
              </w:rPr>
            </w:pPr>
            <w:r>
              <w:rPr>
                <w:rFonts w:hint="eastAsia" w:ascii="Arial" w:hAnsi="Arial" w:cs="Arial"/>
                <w:sz w:val="20"/>
                <w:szCs w:val="20"/>
              </w:rPr>
              <w:t>住房公积金</w:t>
            </w:r>
          </w:p>
        </w:tc>
        <w:tc>
          <w:tcPr>
            <w:tcW w:w="1543"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hAnsi="宋体" w:cs="宋体"/>
                <w:color w:val="000000"/>
                <w:kern w:val="0"/>
                <w:sz w:val="20"/>
                <w:szCs w:val="20"/>
              </w:rPr>
              <w:t>341.07</w:t>
            </w: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hAnsi="宋体" w:cs="宋体"/>
                <w:color w:val="000000"/>
                <w:kern w:val="0"/>
                <w:sz w:val="20"/>
                <w:szCs w:val="20"/>
              </w:rPr>
              <w:t>341.07</w:t>
            </w: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p>
        </w:tc>
      </w:tr>
      <w:tr>
        <w:tblPrEx>
          <w:tblLayout w:type="fixed"/>
          <w:tblCellMar>
            <w:top w:w="0" w:type="dxa"/>
            <w:left w:w="108" w:type="dxa"/>
            <w:bottom w:w="0" w:type="dxa"/>
            <w:right w:w="108" w:type="dxa"/>
          </w:tblCellMar>
        </w:tblPrEx>
        <w:trPr>
          <w:gridAfter w:val="1"/>
          <w:wAfter w:w="236" w:type="dxa"/>
          <w:trHeight w:val="402" w:hRule="atLeast"/>
        </w:trPr>
        <w:tc>
          <w:tcPr>
            <w:tcW w:w="550" w:type="dxa"/>
            <w:tcBorders>
              <w:top w:val="nil"/>
              <w:left w:val="single" w:color="auto" w:sz="4" w:space="0"/>
              <w:bottom w:val="single" w:color="auto" w:sz="4" w:space="0"/>
              <w:right w:val="single" w:color="auto" w:sz="4" w:space="0"/>
            </w:tcBorders>
            <w:vAlign w:val="center"/>
          </w:tcPr>
          <w:p>
            <w:pPr>
              <w:jc w:val="center"/>
            </w:pPr>
            <w:r>
              <w:rPr>
                <w:rFonts w:ascii="仿宋_GB2312" w:hAnsi="宋体" w:eastAsia="仿宋_GB2312" w:cs="宋体"/>
                <w:color w:val="000000"/>
                <w:kern w:val="0"/>
                <w:sz w:val="20"/>
                <w:szCs w:val="20"/>
              </w:rPr>
              <w:t>302</w:t>
            </w:r>
          </w:p>
        </w:tc>
        <w:tc>
          <w:tcPr>
            <w:tcW w:w="57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cs="宋体"/>
                <w:color w:val="000000"/>
                <w:kern w:val="0"/>
                <w:sz w:val="20"/>
                <w:szCs w:val="20"/>
              </w:rPr>
              <w:t>01</w:t>
            </w:r>
          </w:p>
        </w:tc>
        <w:tc>
          <w:tcPr>
            <w:tcW w:w="3029" w:type="dxa"/>
            <w:tcBorders>
              <w:top w:val="nil"/>
              <w:left w:val="nil"/>
              <w:bottom w:val="single" w:color="auto" w:sz="4" w:space="0"/>
              <w:right w:val="single" w:color="auto" w:sz="4" w:space="0"/>
            </w:tcBorders>
            <w:vAlign w:val="center"/>
          </w:tcPr>
          <w:p>
            <w:pPr>
              <w:rPr>
                <w:rFonts w:ascii="Arial" w:hAnsi="Arial" w:cs="Arial"/>
                <w:sz w:val="20"/>
                <w:szCs w:val="20"/>
              </w:rPr>
            </w:pPr>
            <w:r>
              <w:rPr>
                <w:rFonts w:hint="eastAsia" w:ascii="Arial" w:hAnsi="Arial" w:cs="Arial"/>
                <w:sz w:val="20"/>
                <w:szCs w:val="20"/>
              </w:rPr>
              <w:t>办公费</w:t>
            </w:r>
          </w:p>
        </w:tc>
        <w:tc>
          <w:tcPr>
            <w:tcW w:w="1543"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hAnsi="宋体" w:cs="宋体"/>
                <w:color w:val="000000"/>
                <w:kern w:val="0"/>
                <w:sz w:val="20"/>
                <w:szCs w:val="20"/>
              </w:rPr>
              <w:t>37.88</w:t>
            </w: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hAnsi="宋体" w:cs="宋体"/>
                <w:color w:val="000000"/>
                <w:kern w:val="0"/>
                <w:sz w:val="20"/>
                <w:szCs w:val="20"/>
              </w:rPr>
              <w:t>37.88</w:t>
            </w:r>
          </w:p>
        </w:tc>
      </w:tr>
      <w:tr>
        <w:tblPrEx>
          <w:tblLayout w:type="fixed"/>
          <w:tblCellMar>
            <w:top w:w="0" w:type="dxa"/>
            <w:left w:w="108" w:type="dxa"/>
            <w:bottom w:w="0" w:type="dxa"/>
            <w:right w:w="108" w:type="dxa"/>
          </w:tblCellMar>
        </w:tblPrEx>
        <w:trPr>
          <w:gridAfter w:val="1"/>
          <w:wAfter w:w="236" w:type="dxa"/>
          <w:trHeight w:val="402" w:hRule="atLeast"/>
        </w:trPr>
        <w:tc>
          <w:tcPr>
            <w:tcW w:w="550" w:type="dxa"/>
            <w:tcBorders>
              <w:top w:val="nil"/>
              <w:left w:val="single" w:color="auto" w:sz="4" w:space="0"/>
              <w:bottom w:val="single" w:color="auto" w:sz="4" w:space="0"/>
              <w:right w:val="single" w:color="auto" w:sz="4" w:space="0"/>
            </w:tcBorders>
            <w:vAlign w:val="center"/>
          </w:tcPr>
          <w:p>
            <w:pPr>
              <w:jc w:val="center"/>
            </w:pPr>
            <w:r>
              <w:rPr>
                <w:rFonts w:ascii="仿宋_GB2312" w:hAnsi="宋体" w:eastAsia="仿宋_GB2312" w:cs="宋体"/>
                <w:color w:val="000000"/>
                <w:kern w:val="0"/>
                <w:sz w:val="20"/>
                <w:szCs w:val="20"/>
              </w:rPr>
              <w:t>302</w:t>
            </w:r>
          </w:p>
        </w:tc>
        <w:tc>
          <w:tcPr>
            <w:tcW w:w="57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cs="宋体"/>
                <w:color w:val="000000"/>
                <w:kern w:val="0"/>
                <w:sz w:val="20"/>
                <w:szCs w:val="20"/>
              </w:rPr>
              <w:t>05</w:t>
            </w:r>
          </w:p>
        </w:tc>
        <w:tc>
          <w:tcPr>
            <w:tcW w:w="3029" w:type="dxa"/>
            <w:tcBorders>
              <w:top w:val="nil"/>
              <w:left w:val="nil"/>
              <w:bottom w:val="single" w:color="auto" w:sz="4" w:space="0"/>
              <w:right w:val="single" w:color="auto" w:sz="4" w:space="0"/>
            </w:tcBorders>
            <w:vAlign w:val="center"/>
          </w:tcPr>
          <w:p>
            <w:pPr>
              <w:rPr>
                <w:rFonts w:ascii="Arial" w:hAnsi="Arial" w:cs="Arial"/>
                <w:sz w:val="20"/>
                <w:szCs w:val="20"/>
              </w:rPr>
            </w:pPr>
            <w:r>
              <w:rPr>
                <w:rFonts w:hint="eastAsia" w:ascii="Arial" w:hAnsi="Arial" w:cs="Arial"/>
                <w:sz w:val="20"/>
                <w:szCs w:val="20"/>
              </w:rPr>
              <w:t>水费</w:t>
            </w:r>
          </w:p>
        </w:tc>
        <w:tc>
          <w:tcPr>
            <w:tcW w:w="1543"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hAnsi="宋体" w:cs="宋体"/>
                <w:color w:val="000000"/>
                <w:kern w:val="0"/>
                <w:sz w:val="20"/>
                <w:szCs w:val="20"/>
              </w:rPr>
              <w:t>26</w:t>
            </w: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hAnsi="宋体" w:cs="宋体"/>
                <w:color w:val="000000"/>
                <w:kern w:val="0"/>
                <w:sz w:val="20"/>
                <w:szCs w:val="20"/>
              </w:rPr>
              <w:t>26</w:t>
            </w:r>
          </w:p>
        </w:tc>
      </w:tr>
      <w:tr>
        <w:tblPrEx>
          <w:tblLayout w:type="fixed"/>
          <w:tblCellMar>
            <w:top w:w="0" w:type="dxa"/>
            <w:left w:w="108" w:type="dxa"/>
            <w:bottom w:w="0" w:type="dxa"/>
            <w:right w:w="108" w:type="dxa"/>
          </w:tblCellMar>
        </w:tblPrEx>
        <w:trPr>
          <w:gridAfter w:val="1"/>
          <w:wAfter w:w="236" w:type="dxa"/>
          <w:trHeight w:val="402" w:hRule="atLeast"/>
        </w:trPr>
        <w:tc>
          <w:tcPr>
            <w:tcW w:w="550" w:type="dxa"/>
            <w:tcBorders>
              <w:top w:val="nil"/>
              <w:left w:val="single" w:color="auto" w:sz="4" w:space="0"/>
              <w:bottom w:val="single" w:color="auto" w:sz="4" w:space="0"/>
              <w:right w:val="single" w:color="auto" w:sz="4" w:space="0"/>
            </w:tcBorders>
            <w:vAlign w:val="center"/>
          </w:tcPr>
          <w:p>
            <w:pPr>
              <w:jc w:val="center"/>
            </w:pPr>
            <w:r>
              <w:rPr>
                <w:rFonts w:ascii="仿宋_GB2312" w:hAnsi="宋体" w:eastAsia="仿宋_GB2312" w:cs="宋体"/>
                <w:color w:val="000000"/>
                <w:kern w:val="0"/>
                <w:sz w:val="20"/>
                <w:szCs w:val="20"/>
              </w:rPr>
              <w:t>302</w:t>
            </w:r>
          </w:p>
        </w:tc>
        <w:tc>
          <w:tcPr>
            <w:tcW w:w="57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cs="宋体"/>
                <w:color w:val="000000"/>
                <w:kern w:val="0"/>
                <w:sz w:val="20"/>
                <w:szCs w:val="20"/>
              </w:rPr>
              <w:t>06</w:t>
            </w:r>
          </w:p>
        </w:tc>
        <w:tc>
          <w:tcPr>
            <w:tcW w:w="3029" w:type="dxa"/>
            <w:tcBorders>
              <w:top w:val="nil"/>
              <w:left w:val="nil"/>
              <w:bottom w:val="single" w:color="auto" w:sz="4" w:space="0"/>
              <w:right w:val="single" w:color="auto" w:sz="4" w:space="0"/>
            </w:tcBorders>
            <w:vAlign w:val="center"/>
          </w:tcPr>
          <w:p>
            <w:pPr>
              <w:rPr>
                <w:rFonts w:ascii="Arial" w:hAnsi="Arial" w:cs="Arial"/>
                <w:sz w:val="20"/>
                <w:szCs w:val="20"/>
              </w:rPr>
            </w:pPr>
            <w:r>
              <w:rPr>
                <w:rFonts w:hint="eastAsia" w:ascii="Arial" w:hAnsi="Arial" w:cs="Arial"/>
                <w:sz w:val="20"/>
                <w:szCs w:val="20"/>
              </w:rPr>
              <w:t>电费</w:t>
            </w:r>
          </w:p>
        </w:tc>
        <w:tc>
          <w:tcPr>
            <w:tcW w:w="1543"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hAnsi="宋体" w:cs="宋体"/>
                <w:color w:val="000000"/>
                <w:kern w:val="0"/>
                <w:sz w:val="20"/>
                <w:szCs w:val="20"/>
              </w:rPr>
              <w:t>54</w:t>
            </w: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hAnsi="宋体" w:cs="宋体"/>
                <w:color w:val="000000"/>
                <w:kern w:val="0"/>
                <w:sz w:val="20"/>
                <w:szCs w:val="20"/>
              </w:rPr>
              <w:t>54</w:t>
            </w:r>
          </w:p>
        </w:tc>
      </w:tr>
      <w:tr>
        <w:tblPrEx>
          <w:tblLayout w:type="fixed"/>
          <w:tblCellMar>
            <w:top w:w="0" w:type="dxa"/>
            <w:left w:w="108" w:type="dxa"/>
            <w:bottom w:w="0" w:type="dxa"/>
            <w:right w:w="108" w:type="dxa"/>
          </w:tblCellMar>
        </w:tblPrEx>
        <w:trPr>
          <w:gridAfter w:val="1"/>
          <w:wAfter w:w="236" w:type="dxa"/>
          <w:trHeight w:val="402" w:hRule="atLeast"/>
        </w:trPr>
        <w:tc>
          <w:tcPr>
            <w:tcW w:w="550" w:type="dxa"/>
            <w:tcBorders>
              <w:top w:val="nil"/>
              <w:left w:val="single" w:color="auto" w:sz="4" w:space="0"/>
              <w:bottom w:val="single" w:color="auto" w:sz="4" w:space="0"/>
              <w:right w:val="single" w:color="auto" w:sz="4" w:space="0"/>
            </w:tcBorders>
            <w:vAlign w:val="center"/>
          </w:tcPr>
          <w:p>
            <w:pPr>
              <w:jc w:val="center"/>
            </w:pPr>
            <w:r>
              <w:rPr>
                <w:rFonts w:ascii="仿宋_GB2312" w:hAnsi="宋体" w:eastAsia="仿宋_GB2312" w:cs="宋体"/>
                <w:color w:val="000000"/>
                <w:kern w:val="0"/>
                <w:sz w:val="20"/>
                <w:szCs w:val="20"/>
              </w:rPr>
              <w:t>302</w:t>
            </w:r>
          </w:p>
        </w:tc>
        <w:tc>
          <w:tcPr>
            <w:tcW w:w="57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cs="宋体"/>
                <w:color w:val="000000"/>
                <w:kern w:val="0"/>
                <w:sz w:val="20"/>
                <w:szCs w:val="20"/>
              </w:rPr>
              <w:t>07</w:t>
            </w:r>
          </w:p>
        </w:tc>
        <w:tc>
          <w:tcPr>
            <w:tcW w:w="3029" w:type="dxa"/>
            <w:tcBorders>
              <w:top w:val="nil"/>
              <w:left w:val="nil"/>
              <w:bottom w:val="single" w:color="auto" w:sz="4" w:space="0"/>
              <w:right w:val="single" w:color="auto" w:sz="4" w:space="0"/>
            </w:tcBorders>
            <w:vAlign w:val="center"/>
          </w:tcPr>
          <w:p>
            <w:pPr>
              <w:rPr>
                <w:rFonts w:ascii="Arial" w:hAnsi="Arial" w:cs="Arial"/>
                <w:sz w:val="20"/>
                <w:szCs w:val="20"/>
              </w:rPr>
            </w:pPr>
            <w:r>
              <w:rPr>
                <w:rFonts w:hint="eastAsia" w:ascii="Arial" w:hAnsi="Arial" w:cs="Arial"/>
                <w:sz w:val="20"/>
                <w:szCs w:val="20"/>
              </w:rPr>
              <w:t>邮电费</w:t>
            </w:r>
          </w:p>
        </w:tc>
        <w:tc>
          <w:tcPr>
            <w:tcW w:w="1543"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hAnsi="宋体" w:cs="宋体"/>
                <w:color w:val="000000"/>
                <w:kern w:val="0"/>
                <w:sz w:val="20"/>
                <w:szCs w:val="20"/>
              </w:rPr>
              <w:t>20</w:t>
            </w: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hAnsi="宋体" w:cs="宋体"/>
                <w:color w:val="000000"/>
                <w:kern w:val="0"/>
                <w:sz w:val="20"/>
                <w:szCs w:val="20"/>
              </w:rPr>
              <w:t>20</w:t>
            </w:r>
          </w:p>
        </w:tc>
      </w:tr>
      <w:tr>
        <w:tblPrEx>
          <w:tblLayout w:type="fixed"/>
          <w:tblCellMar>
            <w:top w:w="0" w:type="dxa"/>
            <w:left w:w="108" w:type="dxa"/>
            <w:bottom w:w="0" w:type="dxa"/>
            <w:right w:w="108" w:type="dxa"/>
          </w:tblCellMar>
        </w:tblPrEx>
        <w:trPr>
          <w:gridAfter w:val="1"/>
          <w:wAfter w:w="236" w:type="dxa"/>
          <w:trHeight w:val="402" w:hRule="atLeast"/>
        </w:trPr>
        <w:tc>
          <w:tcPr>
            <w:tcW w:w="550" w:type="dxa"/>
            <w:tcBorders>
              <w:top w:val="nil"/>
              <w:left w:val="single" w:color="auto" w:sz="4" w:space="0"/>
              <w:bottom w:val="single" w:color="auto" w:sz="4" w:space="0"/>
              <w:right w:val="single" w:color="auto" w:sz="4" w:space="0"/>
            </w:tcBorders>
            <w:vAlign w:val="center"/>
          </w:tcPr>
          <w:p>
            <w:pPr>
              <w:jc w:val="center"/>
            </w:pPr>
            <w:r>
              <w:rPr>
                <w:rFonts w:ascii="仿宋_GB2312" w:hAnsi="宋体" w:eastAsia="仿宋_GB2312" w:cs="宋体"/>
                <w:color w:val="000000"/>
                <w:kern w:val="0"/>
                <w:sz w:val="20"/>
                <w:szCs w:val="20"/>
              </w:rPr>
              <w:t>302</w:t>
            </w:r>
          </w:p>
        </w:tc>
        <w:tc>
          <w:tcPr>
            <w:tcW w:w="57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cs="宋体"/>
                <w:color w:val="000000"/>
                <w:kern w:val="0"/>
                <w:sz w:val="20"/>
                <w:szCs w:val="20"/>
              </w:rPr>
              <w:t>08</w:t>
            </w:r>
          </w:p>
        </w:tc>
        <w:tc>
          <w:tcPr>
            <w:tcW w:w="3029" w:type="dxa"/>
            <w:tcBorders>
              <w:top w:val="nil"/>
              <w:left w:val="nil"/>
              <w:bottom w:val="single" w:color="auto" w:sz="4" w:space="0"/>
              <w:right w:val="single" w:color="auto" w:sz="4" w:space="0"/>
            </w:tcBorders>
            <w:vAlign w:val="center"/>
          </w:tcPr>
          <w:p>
            <w:pPr>
              <w:rPr>
                <w:rFonts w:ascii="Arial" w:hAnsi="Arial" w:cs="Arial"/>
                <w:sz w:val="20"/>
                <w:szCs w:val="20"/>
              </w:rPr>
            </w:pPr>
            <w:r>
              <w:rPr>
                <w:rFonts w:hint="eastAsia" w:ascii="Arial" w:hAnsi="Arial" w:cs="Arial"/>
                <w:sz w:val="20"/>
                <w:szCs w:val="20"/>
              </w:rPr>
              <w:t>取暖费</w:t>
            </w:r>
          </w:p>
        </w:tc>
        <w:tc>
          <w:tcPr>
            <w:tcW w:w="1543"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hAnsi="宋体" w:cs="宋体"/>
                <w:color w:val="000000"/>
                <w:kern w:val="0"/>
                <w:sz w:val="20"/>
                <w:szCs w:val="20"/>
              </w:rPr>
              <w:t>139.38</w:t>
            </w: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hAnsi="宋体" w:cs="宋体"/>
                <w:color w:val="000000"/>
                <w:kern w:val="0"/>
                <w:sz w:val="20"/>
                <w:szCs w:val="20"/>
              </w:rPr>
              <w:t>139.38</w:t>
            </w:r>
          </w:p>
        </w:tc>
      </w:tr>
      <w:tr>
        <w:tblPrEx>
          <w:tblLayout w:type="fixed"/>
          <w:tblCellMar>
            <w:top w:w="0" w:type="dxa"/>
            <w:left w:w="108" w:type="dxa"/>
            <w:bottom w:w="0" w:type="dxa"/>
            <w:right w:w="108" w:type="dxa"/>
          </w:tblCellMar>
        </w:tblPrEx>
        <w:trPr>
          <w:gridAfter w:val="1"/>
          <w:wAfter w:w="236" w:type="dxa"/>
          <w:trHeight w:val="402" w:hRule="atLeast"/>
        </w:trPr>
        <w:tc>
          <w:tcPr>
            <w:tcW w:w="550" w:type="dxa"/>
            <w:tcBorders>
              <w:top w:val="nil"/>
              <w:left w:val="single" w:color="auto" w:sz="4" w:space="0"/>
              <w:bottom w:val="single" w:color="auto" w:sz="4" w:space="0"/>
              <w:right w:val="single" w:color="auto" w:sz="4" w:space="0"/>
            </w:tcBorders>
            <w:vAlign w:val="center"/>
          </w:tcPr>
          <w:p>
            <w:pPr>
              <w:jc w:val="center"/>
            </w:pPr>
            <w:r>
              <w:rPr>
                <w:rFonts w:ascii="仿宋_GB2312" w:hAnsi="宋体" w:eastAsia="仿宋_GB2312" w:cs="宋体"/>
                <w:color w:val="000000"/>
                <w:kern w:val="0"/>
                <w:sz w:val="20"/>
                <w:szCs w:val="20"/>
              </w:rPr>
              <w:t>302</w:t>
            </w:r>
          </w:p>
        </w:tc>
        <w:tc>
          <w:tcPr>
            <w:tcW w:w="57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cs="宋体"/>
                <w:color w:val="000000"/>
                <w:kern w:val="0"/>
                <w:sz w:val="20"/>
                <w:szCs w:val="20"/>
              </w:rPr>
              <w:t>09</w:t>
            </w:r>
          </w:p>
        </w:tc>
        <w:tc>
          <w:tcPr>
            <w:tcW w:w="3029" w:type="dxa"/>
            <w:tcBorders>
              <w:top w:val="nil"/>
              <w:left w:val="nil"/>
              <w:bottom w:val="single" w:color="auto" w:sz="4" w:space="0"/>
              <w:right w:val="single" w:color="auto" w:sz="4" w:space="0"/>
            </w:tcBorders>
            <w:vAlign w:val="center"/>
          </w:tcPr>
          <w:p>
            <w:pPr>
              <w:rPr>
                <w:rFonts w:ascii="Arial" w:hAnsi="Arial" w:cs="Arial"/>
                <w:sz w:val="20"/>
                <w:szCs w:val="20"/>
              </w:rPr>
            </w:pPr>
            <w:r>
              <w:rPr>
                <w:rFonts w:hint="eastAsia" w:ascii="Arial" w:hAnsi="Arial" w:cs="Arial"/>
                <w:sz w:val="20"/>
                <w:szCs w:val="20"/>
              </w:rPr>
              <w:t>物业管理费</w:t>
            </w:r>
          </w:p>
        </w:tc>
        <w:tc>
          <w:tcPr>
            <w:tcW w:w="1543"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cs="宋体"/>
                <w:color w:val="000000"/>
                <w:kern w:val="0"/>
                <w:sz w:val="20"/>
                <w:szCs w:val="20"/>
              </w:rPr>
              <w:t>90</w:t>
            </w: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cs="宋体"/>
                <w:color w:val="000000"/>
                <w:kern w:val="0"/>
                <w:sz w:val="20"/>
                <w:szCs w:val="20"/>
              </w:rPr>
              <w:t>90</w:t>
            </w:r>
          </w:p>
        </w:tc>
      </w:tr>
      <w:tr>
        <w:tblPrEx>
          <w:tblLayout w:type="fixed"/>
          <w:tblCellMar>
            <w:top w:w="0" w:type="dxa"/>
            <w:left w:w="108" w:type="dxa"/>
            <w:bottom w:w="0" w:type="dxa"/>
            <w:right w:w="108" w:type="dxa"/>
          </w:tblCellMar>
        </w:tblPrEx>
        <w:trPr>
          <w:gridAfter w:val="1"/>
          <w:wAfter w:w="236" w:type="dxa"/>
          <w:trHeight w:val="402" w:hRule="atLeast"/>
        </w:trPr>
        <w:tc>
          <w:tcPr>
            <w:tcW w:w="550" w:type="dxa"/>
            <w:tcBorders>
              <w:top w:val="nil"/>
              <w:left w:val="single" w:color="auto" w:sz="4" w:space="0"/>
              <w:bottom w:val="single" w:color="auto" w:sz="4" w:space="0"/>
              <w:right w:val="single" w:color="auto" w:sz="4" w:space="0"/>
            </w:tcBorders>
            <w:vAlign w:val="center"/>
          </w:tcPr>
          <w:p>
            <w:pPr>
              <w:jc w:val="center"/>
            </w:pPr>
            <w:r>
              <w:rPr>
                <w:rFonts w:ascii="仿宋_GB2312" w:hAnsi="宋体" w:eastAsia="仿宋_GB2312" w:cs="宋体"/>
                <w:color w:val="000000"/>
                <w:kern w:val="0"/>
                <w:sz w:val="20"/>
                <w:szCs w:val="20"/>
              </w:rPr>
              <w:t>302</w:t>
            </w:r>
          </w:p>
        </w:tc>
        <w:tc>
          <w:tcPr>
            <w:tcW w:w="57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cs="宋体"/>
                <w:color w:val="000000"/>
                <w:kern w:val="0"/>
                <w:sz w:val="20"/>
                <w:szCs w:val="20"/>
              </w:rPr>
              <w:t>11</w:t>
            </w:r>
          </w:p>
        </w:tc>
        <w:tc>
          <w:tcPr>
            <w:tcW w:w="3029" w:type="dxa"/>
            <w:tcBorders>
              <w:top w:val="nil"/>
              <w:left w:val="nil"/>
              <w:bottom w:val="single" w:color="auto" w:sz="4" w:space="0"/>
              <w:right w:val="single" w:color="auto" w:sz="4" w:space="0"/>
            </w:tcBorders>
            <w:vAlign w:val="center"/>
          </w:tcPr>
          <w:p>
            <w:pPr>
              <w:rPr>
                <w:rFonts w:ascii="Arial" w:hAnsi="Arial" w:cs="Arial"/>
                <w:sz w:val="20"/>
                <w:szCs w:val="20"/>
              </w:rPr>
            </w:pPr>
            <w:r>
              <w:rPr>
                <w:rFonts w:hint="eastAsia" w:ascii="Arial" w:hAnsi="Arial" w:cs="Arial"/>
                <w:sz w:val="20"/>
                <w:szCs w:val="20"/>
              </w:rPr>
              <w:t>差旅费</w:t>
            </w:r>
          </w:p>
        </w:tc>
        <w:tc>
          <w:tcPr>
            <w:tcW w:w="1543"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cs="宋体"/>
                <w:color w:val="000000"/>
                <w:kern w:val="0"/>
                <w:sz w:val="20"/>
                <w:szCs w:val="20"/>
              </w:rPr>
              <w:t>37</w:t>
            </w: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cs="宋体"/>
                <w:color w:val="000000"/>
                <w:kern w:val="0"/>
                <w:sz w:val="20"/>
                <w:szCs w:val="20"/>
              </w:rPr>
              <w:t>37</w:t>
            </w:r>
          </w:p>
        </w:tc>
      </w:tr>
      <w:tr>
        <w:tblPrEx>
          <w:tblLayout w:type="fixed"/>
          <w:tblCellMar>
            <w:top w:w="0" w:type="dxa"/>
            <w:left w:w="108" w:type="dxa"/>
            <w:bottom w:w="0" w:type="dxa"/>
            <w:right w:w="108" w:type="dxa"/>
          </w:tblCellMar>
        </w:tblPrEx>
        <w:trPr>
          <w:gridAfter w:val="1"/>
          <w:wAfter w:w="236" w:type="dxa"/>
          <w:trHeight w:val="402" w:hRule="atLeast"/>
        </w:trPr>
        <w:tc>
          <w:tcPr>
            <w:tcW w:w="550" w:type="dxa"/>
            <w:tcBorders>
              <w:top w:val="nil"/>
              <w:left w:val="single" w:color="auto" w:sz="4" w:space="0"/>
              <w:bottom w:val="single" w:color="auto" w:sz="4" w:space="0"/>
              <w:right w:val="single" w:color="auto" w:sz="4" w:space="0"/>
            </w:tcBorders>
            <w:vAlign w:val="center"/>
          </w:tcPr>
          <w:p>
            <w:pPr>
              <w:jc w:val="center"/>
            </w:pPr>
            <w:r>
              <w:rPr>
                <w:rFonts w:ascii="仿宋_GB2312" w:hAnsi="宋体" w:eastAsia="仿宋_GB2312" w:cs="宋体"/>
                <w:color w:val="000000"/>
                <w:kern w:val="0"/>
                <w:sz w:val="20"/>
                <w:szCs w:val="20"/>
              </w:rPr>
              <w:t>302</w:t>
            </w:r>
          </w:p>
        </w:tc>
        <w:tc>
          <w:tcPr>
            <w:tcW w:w="57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cs="宋体"/>
                <w:color w:val="000000"/>
                <w:kern w:val="0"/>
                <w:sz w:val="20"/>
                <w:szCs w:val="20"/>
              </w:rPr>
              <w:t>13</w:t>
            </w:r>
          </w:p>
        </w:tc>
        <w:tc>
          <w:tcPr>
            <w:tcW w:w="3029" w:type="dxa"/>
            <w:tcBorders>
              <w:top w:val="nil"/>
              <w:left w:val="nil"/>
              <w:bottom w:val="single" w:color="auto" w:sz="4" w:space="0"/>
              <w:right w:val="single" w:color="auto" w:sz="4" w:space="0"/>
            </w:tcBorders>
            <w:vAlign w:val="center"/>
          </w:tcPr>
          <w:p>
            <w:pPr>
              <w:rPr>
                <w:rFonts w:ascii="Arial" w:hAnsi="Arial" w:cs="Arial"/>
                <w:sz w:val="20"/>
                <w:szCs w:val="20"/>
              </w:rPr>
            </w:pPr>
            <w:r>
              <w:rPr>
                <w:rFonts w:hint="eastAsia" w:ascii="Arial" w:hAnsi="Arial" w:cs="Arial"/>
                <w:sz w:val="20"/>
                <w:szCs w:val="20"/>
              </w:rPr>
              <w:t>维修（护）费</w:t>
            </w:r>
          </w:p>
        </w:tc>
        <w:tc>
          <w:tcPr>
            <w:tcW w:w="1543"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cs="宋体"/>
                <w:color w:val="000000"/>
                <w:kern w:val="0"/>
                <w:sz w:val="20"/>
                <w:szCs w:val="20"/>
              </w:rPr>
              <w:t>112</w:t>
            </w: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cs="宋体"/>
                <w:color w:val="000000"/>
                <w:kern w:val="0"/>
                <w:sz w:val="20"/>
                <w:szCs w:val="20"/>
              </w:rPr>
              <w:t>112</w:t>
            </w:r>
          </w:p>
        </w:tc>
      </w:tr>
      <w:tr>
        <w:tblPrEx>
          <w:tblLayout w:type="fixed"/>
          <w:tblCellMar>
            <w:top w:w="0" w:type="dxa"/>
            <w:left w:w="108" w:type="dxa"/>
            <w:bottom w:w="0" w:type="dxa"/>
            <w:right w:w="108" w:type="dxa"/>
          </w:tblCellMar>
        </w:tblPrEx>
        <w:trPr>
          <w:gridAfter w:val="1"/>
          <w:wAfter w:w="236" w:type="dxa"/>
          <w:trHeight w:val="402" w:hRule="atLeast"/>
        </w:trPr>
        <w:tc>
          <w:tcPr>
            <w:tcW w:w="550" w:type="dxa"/>
            <w:tcBorders>
              <w:top w:val="nil"/>
              <w:left w:val="single" w:color="auto" w:sz="4" w:space="0"/>
              <w:bottom w:val="single" w:color="auto" w:sz="4" w:space="0"/>
              <w:right w:val="single" w:color="auto" w:sz="4" w:space="0"/>
            </w:tcBorders>
            <w:vAlign w:val="center"/>
          </w:tcPr>
          <w:p>
            <w:pPr>
              <w:jc w:val="center"/>
            </w:pPr>
            <w:r>
              <w:rPr>
                <w:rFonts w:ascii="仿宋_GB2312" w:hAnsi="宋体" w:eastAsia="仿宋_GB2312" w:cs="宋体"/>
                <w:color w:val="000000"/>
                <w:kern w:val="0"/>
                <w:sz w:val="20"/>
                <w:szCs w:val="20"/>
              </w:rPr>
              <w:t>302</w:t>
            </w:r>
          </w:p>
        </w:tc>
        <w:tc>
          <w:tcPr>
            <w:tcW w:w="57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cs="宋体"/>
                <w:color w:val="000000"/>
                <w:kern w:val="0"/>
                <w:sz w:val="20"/>
                <w:szCs w:val="20"/>
              </w:rPr>
              <w:t>16</w:t>
            </w:r>
          </w:p>
        </w:tc>
        <w:tc>
          <w:tcPr>
            <w:tcW w:w="3029" w:type="dxa"/>
            <w:tcBorders>
              <w:top w:val="nil"/>
              <w:left w:val="nil"/>
              <w:bottom w:val="single" w:color="auto" w:sz="4" w:space="0"/>
              <w:right w:val="single" w:color="auto" w:sz="4" w:space="0"/>
            </w:tcBorders>
            <w:vAlign w:val="center"/>
          </w:tcPr>
          <w:p>
            <w:pPr>
              <w:rPr>
                <w:rFonts w:ascii="Arial" w:hAnsi="Arial" w:cs="Arial"/>
                <w:sz w:val="20"/>
                <w:szCs w:val="20"/>
              </w:rPr>
            </w:pPr>
            <w:r>
              <w:rPr>
                <w:rFonts w:hint="eastAsia" w:ascii="Arial" w:hAnsi="Arial" w:cs="Arial"/>
                <w:sz w:val="20"/>
                <w:szCs w:val="20"/>
              </w:rPr>
              <w:t>培训费</w:t>
            </w:r>
          </w:p>
        </w:tc>
        <w:tc>
          <w:tcPr>
            <w:tcW w:w="1543"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cs="宋体"/>
                <w:color w:val="000000"/>
                <w:kern w:val="0"/>
                <w:sz w:val="20"/>
                <w:szCs w:val="20"/>
              </w:rPr>
              <w:t>28.84</w:t>
            </w: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cs="宋体"/>
                <w:color w:val="000000"/>
                <w:kern w:val="0"/>
                <w:sz w:val="20"/>
                <w:szCs w:val="20"/>
              </w:rPr>
              <w:t>28.84</w:t>
            </w:r>
          </w:p>
        </w:tc>
      </w:tr>
      <w:tr>
        <w:tblPrEx>
          <w:tblLayout w:type="fixed"/>
          <w:tblCellMar>
            <w:top w:w="0" w:type="dxa"/>
            <w:left w:w="108" w:type="dxa"/>
            <w:bottom w:w="0" w:type="dxa"/>
            <w:right w:w="108" w:type="dxa"/>
          </w:tblCellMar>
        </w:tblPrEx>
        <w:trPr>
          <w:gridAfter w:val="1"/>
          <w:wAfter w:w="236" w:type="dxa"/>
          <w:trHeight w:val="402" w:hRule="atLeast"/>
        </w:trPr>
        <w:tc>
          <w:tcPr>
            <w:tcW w:w="550" w:type="dxa"/>
            <w:tcBorders>
              <w:top w:val="nil"/>
              <w:left w:val="single" w:color="auto" w:sz="4" w:space="0"/>
              <w:bottom w:val="single" w:color="auto" w:sz="4" w:space="0"/>
              <w:right w:val="single" w:color="auto" w:sz="4" w:space="0"/>
            </w:tcBorders>
            <w:vAlign w:val="center"/>
          </w:tcPr>
          <w:p>
            <w:pPr>
              <w:jc w:val="center"/>
            </w:pPr>
            <w:r>
              <w:rPr>
                <w:rFonts w:ascii="仿宋_GB2312" w:hAnsi="宋体" w:eastAsia="仿宋_GB2312" w:cs="宋体"/>
                <w:color w:val="000000"/>
                <w:kern w:val="0"/>
                <w:sz w:val="20"/>
                <w:szCs w:val="20"/>
              </w:rPr>
              <w:t>302</w:t>
            </w:r>
          </w:p>
        </w:tc>
        <w:tc>
          <w:tcPr>
            <w:tcW w:w="57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cs="宋体"/>
                <w:color w:val="000000"/>
                <w:kern w:val="0"/>
                <w:sz w:val="20"/>
                <w:szCs w:val="20"/>
              </w:rPr>
              <w:t>18</w:t>
            </w:r>
          </w:p>
        </w:tc>
        <w:tc>
          <w:tcPr>
            <w:tcW w:w="3029" w:type="dxa"/>
            <w:tcBorders>
              <w:top w:val="nil"/>
              <w:left w:val="nil"/>
              <w:bottom w:val="single" w:color="auto" w:sz="4" w:space="0"/>
              <w:right w:val="single" w:color="auto" w:sz="4" w:space="0"/>
            </w:tcBorders>
            <w:vAlign w:val="center"/>
          </w:tcPr>
          <w:p>
            <w:pPr>
              <w:rPr>
                <w:rFonts w:ascii="Arial" w:hAnsi="Arial" w:cs="Arial"/>
                <w:sz w:val="20"/>
                <w:szCs w:val="20"/>
              </w:rPr>
            </w:pPr>
            <w:r>
              <w:rPr>
                <w:rFonts w:hint="eastAsia" w:ascii="Arial" w:hAnsi="Arial" w:cs="Arial"/>
                <w:sz w:val="20"/>
                <w:szCs w:val="20"/>
              </w:rPr>
              <w:t>专用材料费</w:t>
            </w:r>
          </w:p>
        </w:tc>
        <w:tc>
          <w:tcPr>
            <w:tcW w:w="1543"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cs="宋体"/>
                <w:color w:val="000000"/>
                <w:kern w:val="0"/>
                <w:sz w:val="20"/>
                <w:szCs w:val="20"/>
              </w:rPr>
              <w:t>15</w:t>
            </w: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cs="宋体"/>
                <w:color w:val="000000"/>
                <w:kern w:val="0"/>
                <w:sz w:val="20"/>
                <w:szCs w:val="20"/>
              </w:rPr>
              <w:t>15</w:t>
            </w:r>
          </w:p>
        </w:tc>
      </w:tr>
      <w:tr>
        <w:tblPrEx>
          <w:tblLayout w:type="fixed"/>
          <w:tblCellMar>
            <w:top w:w="0" w:type="dxa"/>
            <w:left w:w="108" w:type="dxa"/>
            <w:bottom w:w="0" w:type="dxa"/>
            <w:right w:w="108" w:type="dxa"/>
          </w:tblCellMar>
        </w:tblPrEx>
        <w:trPr>
          <w:gridAfter w:val="1"/>
          <w:wAfter w:w="236" w:type="dxa"/>
          <w:trHeight w:val="402" w:hRule="atLeast"/>
        </w:trPr>
        <w:tc>
          <w:tcPr>
            <w:tcW w:w="550" w:type="dxa"/>
            <w:tcBorders>
              <w:top w:val="nil"/>
              <w:left w:val="single" w:color="auto" w:sz="4" w:space="0"/>
              <w:bottom w:val="single" w:color="auto" w:sz="4" w:space="0"/>
              <w:right w:val="single" w:color="auto" w:sz="4" w:space="0"/>
            </w:tcBorders>
            <w:vAlign w:val="center"/>
          </w:tcPr>
          <w:p>
            <w:pPr>
              <w:jc w:val="center"/>
            </w:pPr>
            <w:r>
              <w:rPr>
                <w:rFonts w:ascii="仿宋_GB2312" w:hAnsi="宋体" w:eastAsia="仿宋_GB2312" w:cs="宋体"/>
                <w:color w:val="000000"/>
                <w:kern w:val="0"/>
                <w:sz w:val="20"/>
                <w:szCs w:val="20"/>
              </w:rPr>
              <w:t>302</w:t>
            </w:r>
          </w:p>
        </w:tc>
        <w:tc>
          <w:tcPr>
            <w:tcW w:w="57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cs="宋体"/>
                <w:color w:val="000000"/>
                <w:kern w:val="0"/>
                <w:sz w:val="20"/>
                <w:szCs w:val="20"/>
              </w:rPr>
              <w:t>26</w:t>
            </w:r>
          </w:p>
        </w:tc>
        <w:tc>
          <w:tcPr>
            <w:tcW w:w="3029" w:type="dxa"/>
            <w:tcBorders>
              <w:top w:val="nil"/>
              <w:left w:val="nil"/>
              <w:bottom w:val="single" w:color="auto" w:sz="4" w:space="0"/>
              <w:right w:val="single" w:color="auto" w:sz="4" w:space="0"/>
            </w:tcBorders>
            <w:vAlign w:val="center"/>
          </w:tcPr>
          <w:p>
            <w:pPr>
              <w:rPr>
                <w:rFonts w:ascii="Arial" w:hAnsi="Arial" w:cs="Arial"/>
                <w:sz w:val="20"/>
                <w:szCs w:val="20"/>
              </w:rPr>
            </w:pPr>
            <w:r>
              <w:rPr>
                <w:rFonts w:hint="eastAsia" w:ascii="Arial" w:hAnsi="Arial" w:cs="Arial"/>
                <w:sz w:val="20"/>
                <w:szCs w:val="20"/>
              </w:rPr>
              <w:t>劳务费</w:t>
            </w:r>
          </w:p>
        </w:tc>
        <w:tc>
          <w:tcPr>
            <w:tcW w:w="1543"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cs="宋体"/>
                <w:color w:val="000000"/>
                <w:kern w:val="0"/>
                <w:sz w:val="20"/>
                <w:szCs w:val="20"/>
              </w:rPr>
              <w:t>6</w:t>
            </w: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cs="宋体"/>
                <w:color w:val="000000"/>
                <w:kern w:val="0"/>
                <w:sz w:val="20"/>
                <w:szCs w:val="20"/>
              </w:rPr>
              <w:t>6</w:t>
            </w:r>
          </w:p>
        </w:tc>
      </w:tr>
      <w:tr>
        <w:tblPrEx>
          <w:tblLayout w:type="fixed"/>
          <w:tblCellMar>
            <w:top w:w="0" w:type="dxa"/>
            <w:left w:w="108" w:type="dxa"/>
            <w:bottom w:w="0" w:type="dxa"/>
            <w:right w:w="108" w:type="dxa"/>
          </w:tblCellMar>
        </w:tblPrEx>
        <w:trPr>
          <w:gridAfter w:val="1"/>
          <w:wAfter w:w="236" w:type="dxa"/>
          <w:trHeight w:val="402" w:hRule="atLeast"/>
        </w:trPr>
        <w:tc>
          <w:tcPr>
            <w:tcW w:w="550" w:type="dxa"/>
            <w:tcBorders>
              <w:top w:val="nil"/>
              <w:left w:val="single" w:color="auto" w:sz="4" w:space="0"/>
              <w:bottom w:val="single" w:color="auto" w:sz="4" w:space="0"/>
              <w:right w:val="single" w:color="auto" w:sz="4" w:space="0"/>
            </w:tcBorders>
            <w:vAlign w:val="center"/>
          </w:tcPr>
          <w:p>
            <w:pPr>
              <w:jc w:val="center"/>
            </w:pPr>
            <w:r>
              <w:rPr>
                <w:rFonts w:ascii="仿宋_GB2312" w:hAnsi="宋体" w:eastAsia="仿宋_GB2312" w:cs="宋体"/>
                <w:color w:val="000000"/>
                <w:kern w:val="0"/>
                <w:sz w:val="20"/>
                <w:szCs w:val="20"/>
              </w:rPr>
              <w:t>302</w:t>
            </w:r>
          </w:p>
        </w:tc>
        <w:tc>
          <w:tcPr>
            <w:tcW w:w="57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cs="宋体"/>
                <w:color w:val="000000"/>
                <w:kern w:val="0"/>
                <w:sz w:val="20"/>
                <w:szCs w:val="20"/>
              </w:rPr>
              <w:t>28</w:t>
            </w:r>
          </w:p>
        </w:tc>
        <w:tc>
          <w:tcPr>
            <w:tcW w:w="3029" w:type="dxa"/>
            <w:tcBorders>
              <w:top w:val="nil"/>
              <w:left w:val="nil"/>
              <w:bottom w:val="single" w:color="auto" w:sz="4" w:space="0"/>
              <w:right w:val="single" w:color="auto" w:sz="4" w:space="0"/>
            </w:tcBorders>
            <w:vAlign w:val="center"/>
          </w:tcPr>
          <w:p>
            <w:pPr>
              <w:rPr>
                <w:rFonts w:ascii="Arial" w:hAnsi="Arial" w:cs="Arial"/>
                <w:sz w:val="20"/>
                <w:szCs w:val="20"/>
              </w:rPr>
            </w:pPr>
            <w:r>
              <w:rPr>
                <w:rFonts w:hint="eastAsia" w:ascii="Arial" w:hAnsi="Arial" w:cs="Arial"/>
                <w:sz w:val="20"/>
                <w:szCs w:val="20"/>
              </w:rPr>
              <w:t>工会经费</w:t>
            </w:r>
          </w:p>
        </w:tc>
        <w:tc>
          <w:tcPr>
            <w:tcW w:w="1543"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cs="宋体"/>
                <w:color w:val="000000"/>
                <w:kern w:val="0"/>
                <w:sz w:val="20"/>
                <w:szCs w:val="20"/>
              </w:rPr>
              <w:t>35.12</w:t>
            </w: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cs="宋体"/>
                <w:color w:val="000000"/>
                <w:kern w:val="0"/>
                <w:sz w:val="20"/>
                <w:szCs w:val="20"/>
              </w:rPr>
              <w:t>35.12</w:t>
            </w:r>
          </w:p>
        </w:tc>
      </w:tr>
      <w:tr>
        <w:tblPrEx>
          <w:tblLayout w:type="fixed"/>
          <w:tblCellMar>
            <w:top w:w="0" w:type="dxa"/>
            <w:left w:w="108" w:type="dxa"/>
            <w:bottom w:w="0" w:type="dxa"/>
            <w:right w:w="108" w:type="dxa"/>
          </w:tblCellMar>
        </w:tblPrEx>
        <w:trPr>
          <w:gridAfter w:val="1"/>
          <w:wAfter w:w="236" w:type="dxa"/>
          <w:trHeight w:val="402" w:hRule="atLeast"/>
        </w:trPr>
        <w:tc>
          <w:tcPr>
            <w:tcW w:w="550" w:type="dxa"/>
            <w:tcBorders>
              <w:top w:val="nil"/>
              <w:left w:val="single" w:color="auto" w:sz="4" w:space="0"/>
              <w:bottom w:val="single" w:color="auto" w:sz="4" w:space="0"/>
              <w:right w:val="single" w:color="auto" w:sz="4" w:space="0"/>
            </w:tcBorders>
            <w:vAlign w:val="center"/>
          </w:tcPr>
          <w:p>
            <w:pPr>
              <w:jc w:val="center"/>
            </w:pPr>
            <w:r>
              <w:rPr>
                <w:rFonts w:ascii="仿宋_GB2312" w:hAnsi="宋体" w:eastAsia="仿宋_GB2312" w:cs="宋体"/>
                <w:color w:val="000000"/>
                <w:kern w:val="0"/>
                <w:sz w:val="20"/>
                <w:szCs w:val="20"/>
              </w:rPr>
              <w:t>302</w:t>
            </w:r>
          </w:p>
        </w:tc>
        <w:tc>
          <w:tcPr>
            <w:tcW w:w="57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cs="宋体"/>
                <w:color w:val="000000"/>
                <w:kern w:val="0"/>
                <w:sz w:val="20"/>
                <w:szCs w:val="20"/>
              </w:rPr>
              <w:t>29</w:t>
            </w:r>
          </w:p>
        </w:tc>
        <w:tc>
          <w:tcPr>
            <w:tcW w:w="3029" w:type="dxa"/>
            <w:tcBorders>
              <w:top w:val="nil"/>
              <w:left w:val="nil"/>
              <w:bottom w:val="single" w:color="auto" w:sz="4" w:space="0"/>
              <w:right w:val="single" w:color="auto" w:sz="4" w:space="0"/>
            </w:tcBorders>
            <w:vAlign w:val="center"/>
          </w:tcPr>
          <w:p>
            <w:pPr>
              <w:rPr>
                <w:rFonts w:ascii="Arial" w:hAnsi="Arial" w:cs="Arial"/>
                <w:sz w:val="20"/>
                <w:szCs w:val="20"/>
              </w:rPr>
            </w:pPr>
            <w:r>
              <w:rPr>
                <w:rFonts w:hint="eastAsia" w:ascii="Arial" w:hAnsi="Arial" w:cs="Arial"/>
                <w:sz w:val="20"/>
                <w:szCs w:val="20"/>
              </w:rPr>
              <w:t>福利费</w:t>
            </w:r>
          </w:p>
        </w:tc>
        <w:tc>
          <w:tcPr>
            <w:tcW w:w="1543"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cs="宋体"/>
                <w:color w:val="000000"/>
                <w:kern w:val="0"/>
                <w:sz w:val="20"/>
                <w:szCs w:val="20"/>
              </w:rPr>
              <w:t>80.79</w:t>
            </w: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cs="宋体"/>
                <w:color w:val="000000"/>
                <w:kern w:val="0"/>
                <w:sz w:val="20"/>
                <w:szCs w:val="20"/>
              </w:rPr>
              <w:t>80.79</w:t>
            </w:r>
          </w:p>
        </w:tc>
      </w:tr>
      <w:tr>
        <w:tblPrEx>
          <w:tblLayout w:type="fixed"/>
          <w:tblCellMar>
            <w:top w:w="0" w:type="dxa"/>
            <w:left w:w="108" w:type="dxa"/>
            <w:bottom w:w="0" w:type="dxa"/>
            <w:right w:w="108" w:type="dxa"/>
          </w:tblCellMar>
        </w:tblPrEx>
        <w:trPr>
          <w:gridAfter w:val="1"/>
          <w:wAfter w:w="236" w:type="dxa"/>
          <w:trHeight w:val="402" w:hRule="atLeast"/>
        </w:trPr>
        <w:tc>
          <w:tcPr>
            <w:tcW w:w="550" w:type="dxa"/>
            <w:tcBorders>
              <w:top w:val="nil"/>
              <w:left w:val="single" w:color="auto" w:sz="4" w:space="0"/>
              <w:bottom w:val="single" w:color="auto" w:sz="4" w:space="0"/>
              <w:right w:val="single" w:color="auto" w:sz="4" w:space="0"/>
            </w:tcBorders>
            <w:vAlign w:val="center"/>
          </w:tcPr>
          <w:p>
            <w:pPr>
              <w:jc w:val="center"/>
            </w:pPr>
            <w:r>
              <w:rPr>
                <w:rFonts w:ascii="仿宋_GB2312" w:hAnsi="宋体" w:eastAsia="仿宋_GB2312" w:cs="宋体"/>
                <w:color w:val="000000"/>
                <w:kern w:val="0"/>
                <w:sz w:val="20"/>
                <w:szCs w:val="20"/>
              </w:rPr>
              <w:t>302</w:t>
            </w:r>
          </w:p>
        </w:tc>
        <w:tc>
          <w:tcPr>
            <w:tcW w:w="57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hAnsi="宋体" w:cs="宋体"/>
                <w:color w:val="000000"/>
                <w:kern w:val="0"/>
                <w:sz w:val="20"/>
                <w:szCs w:val="20"/>
              </w:rPr>
              <w:t>31</w:t>
            </w:r>
          </w:p>
        </w:tc>
        <w:tc>
          <w:tcPr>
            <w:tcW w:w="3029" w:type="dxa"/>
            <w:tcBorders>
              <w:top w:val="nil"/>
              <w:left w:val="nil"/>
              <w:bottom w:val="single" w:color="auto" w:sz="4" w:space="0"/>
              <w:right w:val="single" w:color="auto" w:sz="4" w:space="0"/>
            </w:tcBorders>
            <w:vAlign w:val="center"/>
          </w:tcPr>
          <w:p>
            <w:pPr>
              <w:rPr>
                <w:rFonts w:ascii="Arial" w:hAnsi="Arial" w:cs="Arial"/>
                <w:sz w:val="20"/>
                <w:szCs w:val="20"/>
              </w:rPr>
            </w:pPr>
            <w:r>
              <w:rPr>
                <w:rFonts w:hint="eastAsia" w:ascii="Arial" w:hAnsi="Arial" w:cs="Arial"/>
                <w:sz w:val="20"/>
                <w:szCs w:val="20"/>
              </w:rPr>
              <w:t>公务用车运行维护费</w:t>
            </w:r>
          </w:p>
        </w:tc>
        <w:tc>
          <w:tcPr>
            <w:tcW w:w="1543"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cs="宋体"/>
                <w:color w:val="000000"/>
                <w:kern w:val="0"/>
                <w:sz w:val="20"/>
                <w:szCs w:val="20"/>
              </w:rPr>
              <w:t>2.37</w:t>
            </w: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cs="宋体"/>
                <w:color w:val="000000"/>
                <w:kern w:val="0"/>
                <w:sz w:val="20"/>
                <w:szCs w:val="20"/>
              </w:rPr>
              <w:t>2.37</w:t>
            </w:r>
          </w:p>
        </w:tc>
      </w:tr>
      <w:tr>
        <w:tblPrEx>
          <w:tblLayout w:type="fixed"/>
          <w:tblCellMar>
            <w:top w:w="0" w:type="dxa"/>
            <w:left w:w="108" w:type="dxa"/>
            <w:bottom w:w="0" w:type="dxa"/>
            <w:right w:w="108" w:type="dxa"/>
          </w:tblCellMar>
        </w:tblPrEx>
        <w:trPr>
          <w:gridAfter w:val="1"/>
          <w:wAfter w:w="236" w:type="dxa"/>
          <w:trHeight w:val="402" w:hRule="atLeast"/>
        </w:trPr>
        <w:tc>
          <w:tcPr>
            <w:tcW w:w="550" w:type="dxa"/>
            <w:tcBorders>
              <w:top w:val="nil"/>
              <w:left w:val="single" w:color="auto" w:sz="4" w:space="0"/>
              <w:bottom w:val="single" w:color="auto" w:sz="4" w:space="0"/>
              <w:right w:val="single" w:color="auto" w:sz="4" w:space="0"/>
            </w:tcBorders>
            <w:vAlign w:val="center"/>
          </w:tcPr>
          <w:p>
            <w:pPr>
              <w:jc w:val="center"/>
            </w:pPr>
            <w:r>
              <w:rPr>
                <w:rFonts w:ascii="仿宋_GB2312" w:hAnsi="宋体" w:eastAsia="仿宋_GB2312" w:cs="宋体"/>
                <w:color w:val="000000"/>
                <w:kern w:val="0"/>
                <w:sz w:val="20"/>
                <w:szCs w:val="20"/>
              </w:rPr>
              <w:t>302</w:t>
            </w:r>
          </w:p>
        </w:tc>
        <w:tc>
          <w:tcPr>
            <w:tcW w:w="57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cs="宋体"/>
                <w:color w:val="000000"/>
                <w:kern w:val="0"/>
                <w:sz w:val="20"/>
                <w:szCs w:val="20"/>
              </w:rPr>
              <w:t>99</w:t>
            </w:r>
          </w:p>
        </w:tc>
        <w:tc>
          <w:tcPr>
            <w:tcW w:w="3029" w:type="dxa"/>
            <w:tcBorders>
              <w:top w:val="nil"/>
              <w:left w:val="nil"/>
              <w:bottom w:val="single" w:color="auto" w:sz="4" w:space="0"/>
              <w:right w:val="single" w:color="auto" w:sz="4" w:space="0"/>
            </w:tcBorders>
            <w:vAlign w:val="center"/>
          </w:tcPr>
          <w:p>
            <w:pPr>
              <w:rPr>
                <w:rFonts w:ascii="Arial" w:hAnsi="Arial" w:cs="Arial"/>
                <w:sz w:val="20"/>
                <w:szCs w:val="20"/>
              </w:rPr>
            </w:pPr>
            <w:r>
              <w:rPr>
                <w:rFonts w:hint="eastAsia" w:ascii="Arial" w:hAnsi="Arial" w:cs="Arial"/>
                <w:sz w:val="20"/>
                <w:szCs w:val="20"/>
              </w:rPr>
              <w:t>其他商品服务费</w:t>
            </w:r>
          </w:p>
        </w:tc>
        <w:tc>
          <w:tcPr>
            <w:tcW w:w="1543"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cs="宋体"/>
                <w:color w:val="000000"/>
                <w:kern w:val="0"/>
                <w:sz w:val="20"/>
                <w:szCs w:val="20"/>
              </w:rPr>
              <w:t>56.93</w:t>
            </w: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cs="宋体"/>
                <w:color w:val="000000"/>
                <w:kern w:val="0"/>
                <w:sz w:val="20"/>
                <w:szCs w:val="20"/>
              </w:rPr>
              <w:t>56.93</w:t>
            </w:r>
          </w:p>
        </w:tc>
      </w:tr>
      <w:tr>
        <w:tblPrEx>
          <w:tblLayout w:type="fixed"/>
          <w:tblCellMar>
            <w:top w:w="0" w:type="dxa"/>
            <w:left w:w="108" w:type="dxa"/>
            <w:bottom w:w="0" w:type="dxa"/>
            <w:right w:w="108" w:type="dxa"/>
          </w:tblCellMar>
        </w:tblPrEx>
        <w:trPr>
          <w:gridAfter w:val="1"/>
          <w:wAfter w:w="236" w:type="dxa"/>
          <w:trHeight w:val="402" w:hRule="atLeast"/>
        </w:trPr>
        <w:tc>
          <w:tcPr>
            <w:tcW w:w="550" w:type="dxa"/>
            <w:tcBorders>
              <w:top w:val="nil"/>
              <w:left w:val="single" w:color="auto" w:sz="4" w:space="0"/>
              <w:bottom w:val="single" w:color="auto" w:sz="4" w:space="0"/>
              <w:right w:val="single" w:color="auto" w:sz="4" w:space="0"/>
            </w:tcBorders>
            <w:vAlign w:val="center"/>
          </w:tcPr>
          <w:p>
            <w:pPr>
              <w:jc w:val="center"/>
            </w:pPr>
            <w:r>
              <w:rPr>
                <w:rFonts w:ascii="仿宋_GB2312" w:hAnsi="宋体" w:eastAsia="仿宋_GB2312" w:cs="宋体"/>
                <w:color w:val="000000"/>
                <w:kern w:val="0"/>
                <w:sz w:val="20"/>
                <w:szCs w:val="20"/>
              </w:rPr>
              <w:t>303</w:t>
            </w:r>
          </w:p>
        </w:tc>
        <w:tc>
          <w:tcPr>
            <w:tcW w:w="57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cs="宋体"/>
                <w:color w:val="000000"/>
                <w:kern w:val="0"/>
                <w:sz w:val="20"/>
                <w:szCs w:val="20"/>
              </w:rPr>
              <w:t>01</w:t>
            </w:r>
          </w:p>
        </w:tc>
        <w:tc>
          <w:tcPr>
            <w:tcW w:w="3029" w:type="dxa"/>
            <w:tcBorders>
              <w:top w:val="nil"/>
              <w:left w:val="nil"/>
              <w:bottom w:val="single" w:color="auto" w:sz="4" w:space="0"/>
              <w:right w:val="single" w:color="auto" w:sz="4" w:space="0"/>
            </w:tcBorders>
            <w:vAlign w:val="center"/>
          </w:tcPr>
          <w:p>
            <w:pPr>
              <w:rPr>
                <w:rFonts w:ascii="Arial" w:hAnsi="Arial" w:cs="Arial"/>
                <w:sz w:val="20"/>
                <w:szCs w:val="20"/>
              </w:rPr>
            </w:pPr>
            <w:r>
              <w:rPr>
                <w:rFonts w:hint="eastAsia" w:ascii="Arial" w:hAnsi="Arial" w:cs="Arial"/>
                <w:sz w:val="20"/>
                <w:szCs w:val="20"/>
              </w:rPr>
              <w:t>离休费</w:t>
            </w:r>
          </w:p>
        </w:tc>
        <w:tc>
          <w:tcPr>
            <w:tcW w:w="1543"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hAnsi="宋体" w:cs="宋体"/>
                <w:color w:val="000000"/>
                <w:kern w:val="0"/>
                <w:sz w:val="20"/>
                <w:szCs w:val="20"/>
              </w:rPr>
              <w:t>3.35</w:t>
            </w: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cs="宋体"/>
                <w:color w:val="000000"/>
                <w:kern w:val="0"/>
                <w:sz w:val="20"/>
                <w:szCs w:val="20"/>
              </w:rPr>
              <w:t>3.35</w:t>
            </w: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p>
        </w:tc>
      </w:tr>
      <w:tr>
        <w:tblPrEx>
          <w:tblLayout w:type="fixed"/>
          <w:tblCellMar>
            <w:top w:w="0" w:type="dxa"/>
            <w:left w:w="108" w:type="dxa"/>
            <w:bottom w:w="0" w:type="dxa"/>
            <w:right w:w="108" w:type="dxa"/>
          </w:tblCellMar>
        </w:tblPrEx>
        <w:trPr>
          <w:gridAfter w:val="1"/>
          <w:wAfter w:w="236" w:type="dxa"/>
          <w:trHeight w:val="402" w:hRule="atLeast"/>
        </w:trPr>
        <w:tc>
          <w:tcPr>
            <w:tcW w:w="550" w:type="dxa"/>
            <w:tcBorders>
              <w:top w:val="nil"/>
              <w:left w:val="single" w:color="auto" w:sz="4" w:space="0"/>
              <w:bottom w:val="single" w:color="auto" w:sz="4" w:space="0"/>
              <w:right w:val="single" w:color="auto" w:sz="4" w:space="0"/>
            </w:tcBorders>
            <w:vAlign w:val="center"/>
          </w:tcPr>
          <w:p>
            <w:pPr>
              <w:jc w:val="center"/>
            </w:pPr>
            <w:r>
              <w:rPr>
                <w:rFonts w:ascii="仿宋_GB2312" w:hAnsi="宋体" w:eastAsia="仿宋_GB2312" w:cs="宋体"/>
                <w:color w:val="000000"/>
                <w:kern w:val="0"/>
                <w:sz w:val="20"/>
                <w:szCs w:val="20"/>
              </w:rPr>
              <w:t>303</w:t>
            </w:r>
          </w:p>
        </w:tc>
        <w:tc>
          <w:tcPr>
            <w:tcW w:w="57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cs="宋体"/>
                <w:color w:val="000000"/>
                <w:kern w:val="0"/>
                <w:sz w:val="20"/>
                <w:szCs w:val="20"/>
              </w:rPr>
              <w:t>09</w:t>
            </w:r>
          </w:p>
        </w:tc>
        <w:tc>
          <w:tcPr>
            <w:tcW w:w="3029" w:type="dxa"/>
            <w:tcBorders>
              <w:top w:val="nil"/>
              <w:left w:val="nil"/>
              <w:bottom w:val="single" w:color="auto" w:sz="4" w:space="0"/>
              <w:right w:val="single" w:color="auto" w:sz="4" w:space="0"/>
            </w:tcBorders>
            <w:vAlign w:val="center"/>
          </w:tcPr>
          <w:p>
            <w:pPr>
              <w:rPr>
                <w:rFonts w:ascii="Arial" w:hAnsi="Arial" w:cs="Arial"/>
                <w:sz w:val="20"/>
                <w:szCs w:val="20"/>
              </w:rPr>
            </w:pPr>
            <w:r>
              <w:rPr>
                <w:rFonts w:hint="eastAsia" w:ascii="Arial" w:hAnsi="Arial" w:cs="Arial"/>
                <w:sz w:val="20"/>
                <w:szCs w:val="20"/>
              </w:rPr>
              <w:t>奖励金</w:t>
            </w:r>
          </w:p>
        </w:tc>
        <w:tc>
          <w:tcPr>
            <w:tcW w:w="1543"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hAnsi="宋体" w:cs="宋体"/>
                <w:color w:val="000000"/>
                <w:kern w:val="0"/>
                <w:sz w:val="20"/>
                <w:szCs w:val="20"/>
              </w:rPr>
              <w:t>12.83</w:t>
            </w: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cs="宋体"/>
                <w:color w:val="000000"/>
                <w:kern w:val="0"/>
                <w:sz w:val="20"/>
                <w:szCs w:val="20"/>
              </w:rPr>
              <w:t>12.83</w:t>
            </w: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p>
        </w:tc>
      </w:tr>
      <w:tr>
        <w:tblPrEx>
          <w:tblLayout w:type="fixed"/>
          <w:tblCellMar>
            <w:top w:w="0" w:type="dxa"/>
            <w:left w:w="108" w:type="dxa"/>
            <w:bottom w:w="0" w:type="dxa"/>
            <w:right w:w="108" w:type="dxa"/>
          </w:tblCellMar>
        </w:tblPrEx>
        <w:trPr>
          <w:gridAfter w:val="1"/>
          <w:wAfter w:w="236" w:type="dxa"/>
          <w:trHeight w:val="402" w:hRule="atLeast"/>
        </w:trPr>
        <w:tc>
          <w:tcPr>
            <w:tcW w:w="550" w:type="dxa"/>
            <w:tcBorders>
              <w:top w:val="nil"/>
              <w:left w:val="single" w:color="auto" w:sz="4" w:space="0"/>
              <w:bottom w:val="single" w:color="auto" w:sz="4" w:space="0"/>
              <w:right w:val="single" w:color="auto" w:sz="4" w:space="0"/>
            </w:tcBorders>
            <w:vAlign w:val="center"/>
          </w:tcPr>
          <w:p>
            <w:pPr>
              <w:jc w:val="center"/>
            </w:pPr>
            <w:r>
              <w:rPr>
                <w:rFonts w:ascii="仿宋_GB2312" w:hAnsi="宋体" w:eastAsia="仿宋_GB2312" w:cs="宋体"/>
                <w:color w:val="000000"/>
                <w:kern w:val="0"/>
                <w:sz w:val="20"/>
                <w:szCs w:val="20"/>
              </w:rPr>
              <w:t>303</w:t>
            </w:r>
          </w:p>
        </w:tc>
        <w:tc>
          <w:tcPr>
            <w:tcW w:w="576"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ascii="宋体" w:cs="宋体"/>
                <w:color w:val="000000"/>
                <w:kern w:val="0"/>
                <w:sz w:val="20"/>
                <w:szCs w:val="20"/>
              </w:rPr>
              <w:t>14</w:t>
            </w:r>
          </w:p>
        </w:tc>
        <w:tc>
          <w:tcPr>
            <w:tcW w:w="3029" w:type="dxa"/>
            <w:tcBorders>
              <w:top w:val="nil"/>
              <w:left w:val="nil"/>
              <w:bottom w:val="single" w:color="auto" w:sz="4" w:space="0"/>
              <w:right w:val="single" w:color="auto" w:sz="4" w:space="0"/>
            </w:tcBorders>
            <w:vAlign w:val="center"/>
          </w:tcPr>
          <w:p>
            <w:pPr>
              <w:rPr>
                <w:rFonts w:ascii="Arial" w:hAnsi="Arial" w:cs="Arial"/>
                <w:sz w:val="20"/>
                <w:szCs w:val="20"/>
              </w:rPr>
            </w:pPr>
            <w:r>
              <w:rPr>
                <w:rFonts w:hint="eastAsia" w:ascii="Arial" w:hAnsi="Arial" w:cs="Arial"/>
                <w:sz w:val="20"/>
                <w:szCs w:val="20"/>
              </w:rPr>
              <w:t>职工住宅取暖费</w:t>
            </w:r>
          </w:p>
        </w:tc>
        <w:tc>
          <w:tcPr>
            <w:tcW w:w="1543"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hAnsi="宋体" w:cs="宋体"/>
                <w:color w:val="000000"/>
                <w:kern w:val="0"/>
                <w:sz w:val="20"/>
                <w:szCs w:val="20"/>
              </w:rPr>
              <w:t>47.90</w:t>
            </w: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cs="宋体"/>
                <w:color w:val="000000"/>
                <w:kern w:val="0"/>
                <w:sz w:val="20"/>
                <w:szCs w:val="20"/>
              </w:rPr>
              <w:t>47.90</w:t>
            </w: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p>
        </w:tc>
      </w:tr>
      <w:tr>
        <w:tblPrEx>
          <w:tblLayout w:type="fixed"/>
          <w:tblCellMar>
            <w:top w:w="0" w:type="dxa"/>
            <w:left w:w="108" w:type="dxa"/>
            <w:bottom w:w="0" w:type="dxa"/>
            <w:right w:w="108" w:type="dxa"/>
          </w:tblCellMar>
        </w:tblPrEx>
        <w:trPr>
          <w:gridAfter w:val="1"/>
          <w:wAfter w:w="236" w:type="dxa"/>
          <w:trHeight w:val="402" w:hRule="atLeast"/>
        </w:trPr>
        <w:tc>
          <w:tcPr>
            <w:tcW w:w="550"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576"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3029"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b/>
                <w:bCs/>
                <w:color w:val="000000"/>
                <w:kern w:val="0"/>
                <w:sz w:val="20"/>
                <w:szCs w:val="20"/>
              </w:rPr>
              <w:t>合计</w:t>
            </w:r>
          </w:p>
        </w:tc>
        <w:tc>
          <w:tcPr>
            <w:tcW w:w="1543"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cs="宋体"/>
                <w:color w:val="000000"/>
                <w:kern w:val="0"/>
                <w:sz w:val="20"/>
                <w:szCs w:val="20"/>
              </w:rPr>
              <w:t>5633.13</w:t>
            </w: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cs="宋体"/>
                <w:color w:val="000000"/>
                <w:kern w:val="0"/>
                <w:sz w:val="20"/>
                <w:szCs w:val="20"/>
              </w:rPr>
              <w:t>4891.82</w:t>
            </w:r>
          </w:p>
        </w:tc>
        <w:tc>
          <w:tcPr>
            <w:tcW w:w="1695"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0"/>
                <w:szCs w:val="20"/>
              </w:rPr>
            </w:pPr>
            <w:r>
              <w:rPr>
                <w:rFonts w:ascii="宋体" w:hAnsi="宋体" w:cs="宋体"/>
                <w:color w:val="000000"/>
                <w:kern w:val="0"/>
                <w:sz w:val="20"/>
                <w:szCs w:val="20"/>
              </w:rPr>
              <w:t>7</w:t>
            </w:r>
            <w:r>
              <w:rPr>
                <w:rFonts w:ascii="宋体" w:cs="宋体"/>
                <w:color w:val="000000"/>
                <w:kern w:val="0"/>
                <w:sz w:val="20"/>
                <w:szCs w:val="20"/>
              </w:rPr>
              <w:t>41.31</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469" w:type="dxa"/>
        <w:tblInd w:w="93" w:type="dxa"/>
        <w:tblLayout w:type="fixed"/>
        <w:tblCellMar>
          <w:top w:w="0" w:type="dxa"/>
          <w:left w:w="108" w:type="dxa"/>
          <w:bottom w:w="0" w:type="dxa"/>
          <w:right w:w="108" w:type="dxa"/>
        </w:tblCellMar>
      </w:tblPr>
      <w:tblGrid>
        <w:gridCol w:w="8"/>
        <w:gridCol w:w="389"/>
        <w:gridCol w:w="397"/>
        <w:gridCol w:w="397"/>
        <w:gridCol w:w="851"/>
        <w:gridCol w:w="1456"/>
        <w:gridCol w:w="750"/>
        <w:gridCol w:w="569"/>
        <w:gridCol w:w="536"/>
        <w:gridCol w:w="652"/>
        <w:gridCol w:w="652"/>
        <w:gridCol w:w="578"/>
        <w:gridCol w:w="419"/>
        <w:gridCol w:w="578"/>
        <w:gridCol w:w="420"/>
        <w:gridCol w:w="420"/>
        <w:gridCol w:w="389"/>
        <w:gridCol w:w="8"/>
      </w:tblGrid>
      <w:tr>
        <w:tblPrEx>
          <w:tblLayout w:type="fixed"/>
          <w:tblCellMar>
            <w:top w:w="0" w:type="dxa"/>
            <w:left w:w="108" w:type="dxa"/>
            <w:bottom w:w="0" w:type="dxa"/>
            <w:right w:w="108" w:type="dxa"/>
          </w:tblCellMar>
        </w:tblPrEx>
        <w:trPr>
          <w:gridBefore w:val="1"/>
          <w:gridAfter w:val="1"/>
          <w:wBefore w:w="8" w:type="dxa"/>
          <w:wAfter w:w="8" w:type="dxa"/>
          <w:trHeight w:val="1152" w:hRule="atLeast"/>
        </w:trPr>
        <w:tc>
          <w:tcPr>
            <w:tcW w:w="9453" w:type="dxa"/>
            <w:gridSpan w:val="16"/>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p>
            <w:pPr>
              <w:rPr>
                <w:rFonts w:ascii="仿宋_GB2312" w:hAnsi="宋体" w:eastAsia="仿宋_GB2312" w:cs="宋体"/>
                <w:b/>
                <w:bCs/>
                <w:color w:val="000000"/>
                <w:kern w:val="0"/>
                <w:sz w:val="32"/>
                <w:szCs w:val="32"/>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昌吉州第二中学</w:t>
            </w:r>
            <w:r>
              <w:rPr>
                <w:rFonts w:ascii="仿宋_GB2312" w:hAnsi="宋体" w:eastAsia="仿宋_GB2312"/>
                <w:kern w:val="0"/>
                <w:sz w:val="24"/>
              </w:rPr>
              <w:t xml:space="preserve">                                         </w:t>
            </w: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目</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编</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码</w:t>
            </w:r>
          </w:p>
        </w:tc>
        <w:tc>
          <w:tcPr>
            <w:tcW w:w="851"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397" w:type="dxa"/>
            <w:gridSpan w:val="2"/>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vAlign w:val="center"/>
          </w:tcPr>
          <w:p>
            <w:pPr>
              <w:widowControl/>
              <w:jc w:val="left"/>
              <w:outlineLvl w:val="1"/>
              <w:rPr>
                <w:rFonts w:ascii="仿宋_GB2312" w:hAnsi="宋体" w:eastAsia="仿宋_GB2312"/>
                <w:b/>
                <w:kern w:val="0"/>
                <w:sz w:val="18"/>
                <w:szCs w:val="18"/>
              </w:rPr>
            </w:pPr>
          </w:p>
        </w:tc>
        <w:tc>
          <w:tcPr>
            <w:tcW w:w="1456" w:type="dxa"/>
            <w:vMerge w:val="continue"/>
          </w:tcPr>
          <w:p>
            <w:pPr>
              <w:widowControl/>
              <w:jc w:val="left"/>
              <w:outlineLvl w:val="1"/>
              <w:rPr>
                <w:rFonts w:ascii="仿宋_GB2312" w:hAnsi="宋体" w:eastAsia="仿宋_GB2312"/>
                <w:b/>
                <w:kern w:val="0"/>
                <w:sz w:val="18"/>
                <w:szCs w:val="18"/>
              </w:rPr>
            </w:pPr>
          </w:p>
        </w:tc>
        <w:tc>
          <w:tcPr>
            <w:tcW w:w="750" w:type="dxa"/>
            <w:vMerge w:val="continue"/>
          </w:tcPr>
          <w:p>
            <w:pPr>
              <w:widowControl/>
              <w:jc w:val="left"/>
              <w:outlineLvl w:val="1"/>
              <w:rPr>
                <w:rFonts w:ascii="仿宋_GB2312" w:hAnsi="宋体" w:eastAsia="仿宋_GB2312"/>
                <w:b/>
                <w:kern w:val="0"/>
                <w:sz w:val="18"/>
                <w:szCs w:val="18"/>
              </w:rPr>
            </w:pPr>
          </w:p>
        </w:tc>
        <w:tc>
          <w:tcPr>
            <w:tcW w:w="569" w:type="dxa"/>
            <w:vMerge w:val="continue"/>
          </w:tcPr>
          <w:p>
            <w:pPr>
              <w:widowControl/>
              <w:jc w:val="left"/>
              <w:outlineLvl w:val="1"/>
              <w:rPr>
                <w:rFonts w:ascii="仿宋_GB2312" w:hAnsi="宋体" w:eastAsia="仿宋_GB2312"/>
                <w:b/>
                <w:kern w:val="0"/>
                <w:sz w:val="18"/>
                <w:szCs w:val="18"/>
              </w:rPr>
            </w:pPr>
          </w:p>
        </w:tc>
        <w:tc>
          <w:tcPr>
            <w:tcW w:w="536" w:type="dxa"/>
            <w:vMerge w:val="continue"/>
          </w:tcPr>
          <w:p>
            <w:pPr>
              <w:widowControl/>
              <w:jc w:val="left"/>
              <w:outlineLvl w:val="1"/>
              <w:rPr>
                <w:rFonts w:ascii="仿宋_GB2312" w:hAnsi="宋体" w:eastAsia="仿宋_GB2312"/>
                <w:b/>
                <w:kern w:val="0"/>
                <w:sz w:val="18"/>
                <w:szCs w:val="18"/>
              </w:rPr>
            </w:pPr>
          </w:p>
        </w:tc>
        <w:tc>
          <w:tcPr>
            <w:tcW w:w="652" w:type="dxa"/>
            <w:vMerge w:val="continue"/>
          </w:tcPr>
          <w:p>
            <w:pPr>
              <w:widowControl/>
              <w:jc w:val="left"/>
              <w:outlineLvl w:val="1"/>
              <w:rPr>
                <w:rFonts w:ascii="仿宋_GB2312" w:hAnsi="宋体" w:eastAsia="仿宋_GB2312"/>
                <w:b/>
                <w:kern w:val="0"/>
                <w:sz w:val="18"/>
                <w:szCs w:val="18"/>
              </w:rPr>
            </w:pPr>
          </w:p>
        </w:tc>
        <w:tc>
          <w:tcPr>
            <w:tcW w:w="652" w:type="dxa"/>
            <w:vMerge w:val="continue"/>
          </w:tcPr>
          <w:p>
            <w:pPr>
              <w:widowControl/>
              <w:jc w:val="left"/>
              <w:outlineLvl w:val="1"/>
              <w:rPr>
                <w:rFonts w:ascii="仿宋_GB2312" w:hAnsi="宋体" w:eastAsia="仿宋_GB2312"/>
                <w:b/>
                <w:kern w:val="0"/>
                <w:sz w:val="18"/>
                <w:szCs w:val="18"/>
              </w:rPr>
            </w:pPr>
          </w:p>
        </w:tc>
        <w:tc>
          <w:tcPr>
            <w:tcW w:w="578" w:type="dxa"/>
            <w:vMerge w:val="continue"/>
          </w:tcPr>
          <w:p>
            <w:pPr>
              <w:widowControl/>
              <w:jc w:val="left"/>
              <w:outlineLvl w:val="1"/>
              <w:rPr>
                <w:rFonts w:ascii="仿宋_GB2312" w:hAnsi="宋体" w:eastAsia="仿宋_GB2312"/>
                <w:b/>
                <w:kern w:val="0"/>
                <w:sz w:val="18"/>
                <w:szCs w:val="18"/>
              </w:rPr>
            </w:pPr>
          </w:p>
        </w:tc>
        <w:tc>
          <w:tcPr>
            <w:tcW w:w="419" w:type="dxa"/>
            <w:vMerge w:val="continue"/>
          </w:tcPr>
          <w:p>
            <w:pPr>
              <w:widowControl/>
              <w:jc w:val="left"/>
              <w:outlineLvl w:val="1"/>
              <w:rPr>
                <w:rFonts w:ascii="仿宋_GB2312" w:hAnsi="宋体" w:eastAsia="仿宋_GB2312"/>
                <w:b/>
                <w:kern w:val="0"/>
                <w:sz w:val="18"/>
                <w:szCs w:val="18"/>
              </w:rPr>
            </w:pPr>
          </w:p>
        </w:tc>
        <w:tc>
          <w:tcPr>
            <w:tcW w:w="578" w:type="dxa"/>
            <w:vMerge w:val="continue"/>
          </w:tcPr>
          <w:p>
            <w:pPr>
              <w:widowControl/>
              <w:jc w:val="left"/>
              <w:outlineLvl w:val="1"/>
              <w:rPr>
                <w:rFonts w:ascii="仿宋_GB2312" w:hAnsi="宋体" w:eastAsia="仿宋_GB2312"/>
                <w:b/>
                <w:kern w:val="0"/>
                <w:sz w:val="18"/>
                <w:szCs w:val="18"/>
              </w:rPr>
            </w:pPr>
          </w:p>
        </w:tc>
        <w:tc>
          <w:tcPr>
            <w:tcW w:w="420" w:type="dxa"/>
            <w:vMerge w:val="continue"/>
          </w:tcPr>
          <w:p>
            <w:pPr>
              <w:widowControl/>
              <w:jc w:val="left"/>
              <w:outlineLvl w:val="1"/>
              <w:rPr>
                <w:rFonts w:ascii="仿宋_GB2312" w:hAnsi="宋体" w:eastAsia="仿宋_GB2312"/>
                <w:b/>
                <w:kern w:val="0"/>
                <w:sz w:val="18"/>
                <w:szCs w:val="18"/>
              </w:rPr>
            </w:pPr>
          </w:p>
        </w:tc>
        <w:tc>
          <w:tcPr>
            <w:tcW w:w="420" w:type="dxa"/>
            <w:vMerge w:val="continue"/>
          </w:tcPr>
          <w:p>
            <w:pPr>
              <w:widowControl/>
              <w:jc w:val="left"/>
              <w:outlineLvl w:val="1"/>
              <w:rPr>
                <w:rFonts w:ascii="仿宋_GB2312" w:hAnsi="宋体" w:eastAsia="仿宋_GB2312"/>
                <w:b/>
                <w:kern w:val="0"/>
                <w:sz w:val="18"/>
                <w:szCs w:val="18"/>
              </w:rPr>
            </w:pPr>
          </w:p>
        </w:tc>
        <w:tc>
          <w:tcPr>
            <w:tcW w:w="397" w:type="dxa"/>
            <w:gridSpan w:val="2"/>
            <w:vMerge w:val="continue"/>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851" w:type="dxa"/>
          </w:tcPr>
          <w:p>
            <w:pPr>
              <w:widowControl/>
              <w:jc w:val="left"/>
              <w:outlineLvl w:val="1"/>
              <w:rPr>
                <w:rFonts w:ascii="仿宋_GB2312" w:hAnsi="宋体" w:eastAsia="仿宋_GB2312"/>
                <w:kern w:val="0"/>
                <w:sz w:val="32"/>
                <w:szCs w:val="32"/>
              </w:rPr>
            </w:pPr>
          </w:p>
        </w:tc>
        <w:tc>
          <w:tcPr>
            <w:tcW w:w="1456" w:type="dxa"/>
          </w:tcPr>
          <w:p>
            <w:pPr>
              <w:widowControl/>
              <w:jc w:val="left"/>
              <w:outlineLvl w:val="1"/>
              <w:rPr>
                <w:rFonts w:ascii="仿宋_GB2312" w:hAnsi="宋体" w:eastAsia="仿宋_GB2312"/>
                <w:kern w:val="0"/>
                <w:sz w:val="32"/>
                <w:szCs w:val="32"/>
              </w:rPr>
            </w:pPr>
          </w:p>
        </w:tc>
        <w:tc>
          <w:tcPr>
            <w:tcW w:w="750" w:type="dxa"/>
          </w:tcPr>
          <w:p>
            <w:pPr>
              <w:widowControl/>
              <w:jc w:val="left"/>
              <w:outlineLvl w:val="1"/>
              <w:rPr>
                <w:rFonts w:ascii="仿宋_GB2312" w:hAnsi="宋体" w:eastAsia="仿宋_GB2312"/>
                <w:kern w:val="0"/>
                <w:sz w:val="32"/>
                <w:szCs w:val="32"/>
              </w:rPr>
            </w:pPr>
          </w:p>
        </w:tc>
        <w:tc>
          <w:tcPr>
            <w:tcW w:w="569" w:type="dxa"/>
          </w:tcPr>
          <w:p>
            <w:pPr>
              <w:widowControl/>
              <w:jc w:val="left"/>
              <w:outlineLvl w:val="1"/>
              <w:rPr>
                <w:rFonts w:ascii="仿宋_GB2312" w:hAnsi="宋体" w:eastAsia="仿宋_GB2312"/>
                <w:kern w:val="0"/>
                <w:sz w:val="32"/>
                <w:szCs w:val="32"/>
              </w:rPr>
            </w:pPr>
          </w:p>
        </w:tc>
        <w:tc>
          <w:tcPr>
            <w:tcW w:w="536"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397"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851" w:type="dxa"/>
          </w:tcPr>
          <w:p>
            <w:pPr>
              <w:widowControl/>
              <w:jc w:val="left"/>
              <w:outlineLvl w:val="1"/>
              <w:rPr>
                <w:rFonts w:ascii="仿宋_GB2312" w:hAnsi="宋体" w:eastAsia="仿宋_GB2312"/>
                <w:kern w:val="0"/>
                <w:sz w:val="32"/>
                <w:szCs w:val="32"/>
              </w:rPr>
            </w:pPr>
          </w:p>
        </w:tc>
        <w:tc>
          <w:tcPr>
            <w:tcW w:w="1456" w:type="dxa"/>
          </w:tcPr>
          <w:p>
            <w:pPr>
              <w:widowControl/>
              <w:jc w:val="left"/>
              <w:outlineLvl w:val="1"/>
              <w:rPr>
                <w:rFonts w:ascii="仿宋_GB2312" w:hAnsi="宋体" w:eastAsia="仿宋_GB2312"/>
                <w:kern w:val="0"/>
                <w:sz w:val="32"/>
                <w:szCs w:val="32"/>
              </w:rPr>
            </w:pPr>
          </w:p>
        </w:tc>
        <w:tc>
          <w:tcPr>
            <w:tcW w:w="750" w:type="dxa"/>
          </w:tcPr>
          <w:p>
            <w:pPr>
              <w:widowControl/>
              <w:jc w:val="left"/>
              <w:outlineLvl w:val="1"/>
              <w:rPr>
                <w:rFonts w:ascii="仿宋_GB2312" w:hAnsi="宋体" w:eastAsia="仿宋_GB2312"/>
                <w:kern w:val="0"/>
                <w:sz w:val="32"/>
                <w:szCs w:val="32"/>
              </w:rPr>
            </w:pPr>
          </w:p>
        </w:tc>
        <w:tc>
          <w:tcPr>
            <w:tcW w:w="569" w:type="dxa"/>
          </w:tcPr>
          <w:p>
            <w:pPr>
              <w:widowControl/>
              <w:jc w:val="left"/>
              <w:outlineLvl w:val="1"/>
              <w:rPr>
                <w:rFonts w:ascii="仿宋_GB2312" w:hAnsi="宋体" w:eastAsia="仿宋_GB2312"/>
                <w:kern w:val="0"/>
                <w:sz w:val="32"/>
                <w:szCs w:val="32"/>
              </w:rPr>
            </w:pPr>
          </w:p>
        </w:tc>
        <w:tc>
          <w:tcPr>
            <w:tcW w:w="536"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397"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50" w:type="dxa"/>
            <w:vAlign w:val="center"/>
          </w:tcPr>
          <w:p>
            <w:pPr>
              <w:widowControl/>
              <w:jc w:val="center"/>
              <w:outlineLvl w:val="1"/>
              <w:rPr>
                <w:rFonts w:ascii="仿宋_GB2312" w:hAnsi="宋体" w:eastAsia="仿宋_GB2312"/>
                <w:kern w:val="0"/>
                <w:szCs w:val="21"/>
              </w:rPr>
            </w:pP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spacing w:line="580" w:lineRule="exact"/>
        <w:ind w:firstLine="640"/>
        <w:jc w:val="left"/>
        <w:rPr>
          <w:rFonts w:ascii="仿宋_GB2312" w:hAnsi="宋体" w:eastAsia="仿宋_GB2312"/>
          <w:b/>
          <w:kern w:val="0"/>
          <w:sz w:val="32"/>
          <w:szCs w:val="32"/>
        </w:rPr>
      </w:pPr>
      <w:r>
        <w:rPr>
          <w:rFonts w:hint="eastAsia" w:ascii="仿宋_GB2312" w:hAnsi="宋体" w:eastAsia="仿宋_GB2312"/>
          <w:b/>
          <w:kern w:val="0"/>
          <w:sz w:val="28"/>
          <w:szCs w:val="32"/>
        </w:rPr>
        <w:t>备注：昌吉州第二中学2019年没有使用项目拨款安排的支出，项目支出情况表为空表。</w:t>
      </w:r>
    </w:p>
    <w:p>
      <w:pPr>
        <w:widowControl/>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ascii="仿宋_GB2312" w:hAnsi="宋体" w:eastAsia="仿宋_GB2312"/>
          <w:kern w:val="0"/>
          <w:sz w:val="24"/>
        </w:rPr>
        <w:t xml:space="preserve">  </w:t>
      </w:r>
      <w:r>
        <w:rPr>
          <w:rFonts w:hint="eastAsia" w:ascii="仿宋_GB2312" w:hAnsi="宋体" w:eastAsia="仿宋_GB2312"/>
          <w:kern w:val="0"/>
          <w:sz w:val="24"/>
        </w:rPr>
        <w:t>昌吉州第二中学</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2.37</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r>
              <w:rPr>
                <w:rFonts w:ascii="宋体" w:cs="宋体"/>
                <w:color w:val="000000"/>
                <w:kern w:val="0"/>
                <w:sz w:val="24"/>
              </w:rPr>
              <w:t>0</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2.37</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r>
              <w:rPr>
                <w:rFonts w:ascii="宋体" w:cs="宋体"/>
                <w:color w:val="000000"/>
                <w:kern w:val="0"/>
                <w:sz w:val="24"/>
              </w:rPr>
              <w:t>0</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2.37</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r>
              <w:rPr>
                <w:rFonts w:ascii="宋体" w:cs="宋体"/>
                <w:color w:val="000000"/>
                <w:kern w:val="0"/>
                <w:sz w:val="24"/>
              </w:rPr>
              <w:t>0</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编制单位：昌吉州第二中学</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r>
              <w:rPr>
                <w:rFonts w:ascii="仿宋_GB2312" w:hAnsi="宋体" w:eastAsia="仿宋_GB2312" w:cs="宋体"/>
                <w:b/>
                <w:bCs/>
                <w:color w:val="000000"/>
                <w:kern w:val="0"/>
                <w:sz w:val="24"/>
              </w:rPr>
              <w:t xml:space="preserve">  </w:t>
            </w:r>
            <w:r>
              <w:rPr>
                <w:rFonts w:hint="eastAsia" w:ascii="仿宋_GB2312" w:hAnsi="宋体" w:eastAsia="仿宋_GB2312" w:cs="宋体"/>
                <w:b/>
                <w:bCs/>
                <w:color w:val="000000"/>
                <w:kern w:val="0"/>
                <w:sz w:val="24"/>
              </w:rPr>
              <w:t>目</w:t>
            </w:r>
          </w:p>
        </w:tc>
        <w:tc>
          <w:tcPr>
            <w:tcW w:w="4819"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p>
        </w:tc>
        <w:tc>
          <w:tcPr>
            <w:tcW w:w="457"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left"/>
              <w:rPr>
                <w:rFonts w:ascii="宋体" w:hAnsi="宋体" w:cs="宋体"/>
                <w:color w:val="000000"/>
                <w:kern w:val="0"/>
                <w:sz w:val="24"/>
              </w:rPr>
            </w:pPr>
          </w:p>
        </w:tc>
        <w:tc>
          <w:tcPr>
            <w:tcW w:w="457" w:type="dxa"/>
            <w:tcBorders>
              <w:top w:val="nil"/>
              <w:left w:val="nil"/>
              <w:bottom w:val="single" w:color="auto" w:sz="4" w:space="0"/>
              <w:right w:val="single" w:color="auto" w:sz="4" w:space="0"/>
            </w:tcBorders>
            <w:noWrap/>
            <w:vAlign w:val="center"/>
          </w:tcPr>
          <w:p>
            <w:pPr>
              <w:widowControl/>
              <w:jc w:val="left"/>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noWrap/>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spacing w:line="580" w:lineRule="exact"/>
        <w:ind w:firstLine="640"/>
        <w:jc w:val="left"/>
        <w:rPr>
          <w:rFonts w:ascii="仿宋_GB2312" w:hAnsi="宋体" w:eastAsia="仿宋_GB2312"/>
          <w:b/>
          <w:kern w:val="0"/>
          <w:sz w:val="28"/>
          <w:szCs w:val="32"/>
        </w:rPr>
      </w:pPr>
      <w:r>
        <w:rPr>
          <w:rFonts w:hint="eastAsia" w:ascii="仿宋_GB2312" w:hAnsi="宋体" w:eastAsia="仿宋_GB2312"/>
          <w:b/>
          <w:kern w:val="0"/>
          <w:sz w:val="28"/>
          <w:szCs w:val="32"/>
        </w:rPr>
        <w:t>备注：昌吉州第二中学2019年没有使用政府性基金预算拨款安排的支出，政府性基金预算支出情况表为空表。</w:t>
      </w:r>
    </w:p>
    <w:p>
      <w:pPr>
        <w:widowControl/>
        <w:spacing w:line="580" w:lineRule="exact"/>
        <w:ind w:firstLine="640"/>
        <w:jc w:val="left"/>
        <w:rPr>
          <w:rFonts w:ascii="仿宋_GB2312" w:hAnsi="宋体" w:eastAsia="仿宋_GB2312"/>
          <w:b/>
          <w:kern w:val="0"/>
          <w:sz w:val="28"/>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第三部分</w:t>
      </w:r>
      <w:r>
        <w:rPr>
          <w:rFonts w:ascii="黑体" w:hAnsi="黑体" w:eastAsia="黑体"/>
          <w:kern w:val="0"/>
          <w:sz w:val="32"/>
          <w:szCs w:val="32"/>
        </w:rPr>
        <w:t xml:space="preserve"> 2019</w:t>
      </w:r>
      <w:r>
        <w:rPr>
          <w:rFonts w:hint="eastAsia" w:ascii="黑体" w:hAnsi="黑体" w:eastAsia="黑体"/>
          <w:kern w:val="0"/>
          <w:sz w:val="32"/>
          <w:szCs w:val="32"/>
        </w:rPr>
        <w:t>年部门预算情况说明</w:t>
      </w:r>
    </w:p>
    <w:p>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关于昌吉州第二中学</w:t>
      </w:r>
      <w:r>
        <w:rPr>
          <w:rFonts w:ascii="黑体" w:hAnsi="宋体" w:eastAsia="黑体" w:cs="宋体"/>
          <w:kern w:val="0"/>
          <w:sz w:val="32"/>
          <w:szCs w:val="32"/>
        </w:rPr>
        <w:t>2019</w:t>
      </w:r>
      <w:r>
        <w:rPr>
          <w:rFonts w:hint="eastAsia" w:ascii="黑体" w:hAnsi="宋体" w:eastAsia="黑体" w:cs="宋体"/>
          <w:kern w:val="0"/>
          <w:sz w:val="32"/>
          <w:szCs w:val="32"/>
        </w:rPr>
        <w:t>年部门收支预算情况的总体说明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按照全口径预算的原则，昌吉州第二中学</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年所有收入和支出均纳入部门预算管理。收支总预算</w:t>
      </w:r>
      <w:r>
        <w:rPr>
          <w:rFonts w:ascii="仿宋_GB2312" w:hAnsi="宋体" w:eastAsia="仿宋_GB2312" w:cs="宋体"/>
          <w:kern w:val="0"/>
          <w:sz w:val="32"/>
          <w:szCs w:val="32"/>
        </w:rPr>
        <w:t>5633.13</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ascii="仿宋_GB2312" w:hAnsi="宋体" w:eastAsia="仿宋_GB2312" w:cs="宋体"/>
          <w:kern w:val="0"/>
          <w:sz w:val="32"/>
          <w:szCs w:val="32"/>
        </w:rPr>
        <w:t>5633.13</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支出预算包括：教育支出</w:t>
      </w:r>
      <w:r>
        <w:rPr>
          <w:rFonts w:ascii="仿宋_GB2312" w:hAnsi="宋体" w:eastAsia="仿宋_GB2312" w:cs="宋体"/>
          <w:kern w:val="0"/>
          <w:sz w:val="32"/>
          <w:szCs w:val="32"/>
        </w:rPr>
        <w:t>5633.13</w:t>
      </w:r>
      <w:r>
        <w:rPr>
          <w:rFonts w:hint="eastAsia" w:ascii="仿宋_GB2312" w:hAnsi="宋体" w:eastAsia="仿宋_GB2312" w:cs="宋体"/>
          <w:kern w:val="0"/>
          <w:sz w:val="32"/>
          <w:szCs w:val="32"/>
        </w:rPr>
        <w:t>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二、关于昌吉州第二中学</w:t>
      </w:r>
      <w:r>
        <w:rPr>
          <w:rFonts w:ascii="黑体" w:hAnsi="宋体" w:eastAsia="黑体" w:cs="宋体"/>
          <w:kern w:val="0"/>
          <w:sz w:val="32"/>
          <w:szCs w:val="32"/>
        </w:rPr>
        <w:t>2019</w:t>
      </w:r>
      <w:r>
        <w:rPr>
          <w:rFonts w:hint="eastAsia" w:ascii="黑体" w:hAnsi="宋体" w:eastAsia="黑体" w:cs="宋体"/>
          <w:kern w:val="0"/>
          <w:sz w:val="32"/>
          <w:szCs w:val="32"/>
        </w:rPr>
        <w:t>年收入预算情况说明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昌吉州第二中学收入预算</w:t>
      </w:r>
      <w:r>
        <w:rPr>
          <w:rFonts w:ascii="仿宋_GB2312" w:hAnsi="宋体" w:eastAsia="仿宋_GB2312" w:cs="宋体"/>
          <w:kern w:val="0"/>
          <w:sz w:val="32"/>
          <w:szCs w:val="32"/>
        </w:rPr>
        <w:t>5633.13</w:t>
      </w:r>
      <w:r>
        <w:rPr>
          <w:rFonts w:hint="eastAsia" w:ascii="仿宋_GB2312" w:hAnsi="宋体" w:eastAsia="仿宋_GB2312" w:cs="宋体"/>
          <w:kern w:val="0"/>
          <w:sz w:val="32"/>
          <w:szCs w:val="32"/>
        </w:rPr>
        <w:t>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ascii="仿宋_GB2312" w:hAnsi="宋体" w:eastAsia="仿宋_GB2312" w:cs="宋体"/>
          <w:kern w:val="0"/>
          <w:sz w:val="32"/>
          <w:szCs w:val="32"/>
        </w:rPr>
        <w:t>5633.13</w:t>
      </w:r>
      <w:r>
        <w:rPr>
          <w:rFonts w:hint="eastAsia" w:ascii="仿宋_GB2312" w:hAnsi="宋体" w:eastAsia="仿宋_GB2312" w:cs="宋体"/>
          <w:kern w:val="0"/>
          <w:sz w:val="32"/>
          <w:szCs w:val="32"/>
        </w:rPr>
        <w:t>万元，占总预算</w:t>
      </w:r>
      <w:r>
        <w:rPr>
          <w:rFonts w:ascii="仿宋_GB2312" w:hAnsi="宋体" w:eastAsia="仿宋_GB2312" w:cs="宋体"/>
          <w:kern w:val="0"/>
          <w:sz w:val="32"/>
          <w:szCs w:val="32"/>
        </w:rPr>
        <w:t>100 %</w:t>
      </w:r>
      <w:r>
        <w:rPr>
          <w:rFonts w:hint="eastAsia" w:ascii="仿宋_GB2312" w:hAnsi="宋体" w:eastAsia="仿宋_GB2312" w:cs="宋体"/>
          <w:kern w:val="0"/>
          <w:sz w:val="32"/>
          <w:szCs w:val="32"/>
        </w:rPr>
        <w:t>，全部为基本支出预算，比上年增加</w:t>
      </w:r>
      <w:r>
        <w:rPr>
          <w:rFonts w:ascii="仿宋_GB2312" w:hAnsi="宋体" w:eastAsia="仿宋_GB2312" w:cs="宋体"/>
          <w:kern w:val="0"/>
          <w:sz w:val="32"/>
          <w:szCs w:val="32"/>
        </w:rPr>
        <w:t>121.81</w:t>
      </w:r>
      <w:r>
        <w:rPr>
          <w:rFonts w:hint="eastAsia" w:ascii="仿宋_GB2312" w:hAnsi="宋体" w:eastAsia="仿宋_GB2312" w:cs="宋体"/>
          <w:kern w:val="0"/>
          <w:sz w:val="32"/>
          <w:szCs w:val="32"/>
        </w:rPr>
        <w:t>万元，主要原因：</w:t>
      </w:r>
    </w:p>
    <w:p>
      <w:pPr>
        <w:widowControl/>
        <w:spacing w:line="560" w:lineRule="exact"/>
        <w:ind w:firstLine="640" w:firstLineChars="200"/>
        <w:jc w:val="left"/>
        <w:rPr>
          <w:rFonts w:ascii="仿宋_GB2312" w:hAnsi="宋体" w:eastAsia="仿宋_GB2312" w:cs="宋体"/>
          <w:kern w:val="0"/>
          <w:sz w:val="32"/>
          <w:szCs w:val="32"/>
        </w:rPr>
      </w:pPr>
      <w:r>
        <w:rPr>
          <w:rFonts w:ascii="仿宋_GB2312" w:hAnsi="宋体" w:eastAsia="仿宋_GB2312" w:cs="宋体"/>
          <w:kern w:val="0"/>
          <w:sz w:val="32"/>
          <w:szCs w:val="32"/>
        </w:rPr>
        <w:t>1</w:t>
      </w:r>
      <w:r>
        <w:rPr>
          <w:rFonts w:hint="eastAsia" w:ascii="仿宋_GB2312" w:hAnsi="宋体" w:eastAsia="仿宋_GB2312" w:cs="宋体"/>
          <w:kern w:val="0"/>
          <w:sz w:val="32"/>
          <w:szCs w:val="32"/>
        </w:rPr>
        <w:t>、人员经费：预算比上年减少</w:t>
      </w:r>
      <w:r>
        <w:rPr>
          <w:rFonts w:ascii="仿宋_GB2312" w:hAnsi="宋体" w:eastAsia="仿宋_GB2312" w:cs="宋体"/>
          <w:kern w:val="0"/>
          <w:sz w:val="32"/>
          <w:szCs w:val="32"/>
        </w:rPr>
        <w:t>50.87</w:t>
      </w:r>
      <w:r>
        <w:rPr>
          <w:rFonts w:hint="eastAsia" w:ascii="仿宋_GB2312" w:hAnsi="宋体" w:eastAsia="仿宋_GB2312" w:cs="宋体"/>
          <w:kern w:val="0"/>
          <w:sz w:val="32"/>
          <w:szCs w:val="32"/>
        </w:rPr>
        <w:t>万元，原因是</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年在职</w:t>
      </w:r>
      <w:r>
        <w:rPr>
          <w:rFonts w:ascii="仿宋_GB2312" w:hAnsi="宋体" w:eastAsia="仿宋_GB2312" w:cs="宋体"/>
          <w:kern w:val="0"/>
          <w:sz w:val="32"/>
          <w:szCs w:val="32"/>
        </w:rPr>
        <w:t>342</w:t>
      </w:r>
      <w:r>
        <w:rPr>
          <w:rFonts w:hint="eastAsia" w:ascii="仿宋_GB2312" w:hAnsi="宋体" w:eastAsia="仿宋_GB2312" w:cs="宋体"/>
          <w:kern w:val="0"/>
          <w:sz w:val="32"/>
          <w:szCs w:val="32"/>
        </w:rPr>
        <w:t>人，</w:t>
      </w:r>
      <w:r>
        <w:rPr>
          <w:rFonts w:hint="eastAsia" w:ascii="仿宋_GB2312" w:hAnsi="宋体" w:eastAsia="仿宋_GB2312"/>
          <w:sz w:val="32"/>
          <w:szCs w:val="32"/>
        </w:rPr>
        <w:t>较上年预算人数减少</w:t>
      </w:r>
      <w:r>
        <w:rPr>
          <w:rFonts w:ascii="仿宋_GB2312" w:hAnsi="宋体" w:eastAsia="仿宋_GB2312"/>
          <w:sz w:val="32"/>
          <w:szCs w:val="32"/>
        </w:rPr>
        <w:t>3</w:t>
      </w:r>
      <w:r>
        <w:rPr>
          <w:rFonts w:hint="eastAsia" w:ascii="仿宋_GB2312" w:hAnsi="宋体" w:eastAsia="仿宋_GB2312"/>
          <w:sz w:val="32"/>
          <w:szCs w:val="32"/>
        </w:rPr>
        <w:t>人；</w:t>
      </w:r>
      <w:r>
        <w:rPr>
          <w:rFonts w:hint="eastAsia" w:ascii="仿宋_GB2312" w:hAnsi="宋体" w:eastAsia="仿宋_GB2312" w:cs="宋体"/>
          <w:kern w:val="0"/>
          <w:sz w:val="32"/>
          <w:szCs w:val="32"/>
        </w:rPr>
        <w:t>退休</w:t>
      </w:r>
      <w:r>
        <w:rPr>
          <w:rFonts w:ascii="仿宋_GB2312" w:hAnsi="宋体" w:eastAsia="仿宋_GB2312" w:cs="宋体"/>
          <w:kern w:val="0"/>
          <w:sz w:val="32"/>
          <w:szCs w:val="32"/>
        </w:rPr>
        <w:t>136</w:t>
      </w:r>
      <w:r>
        <w:rPr>
          <w:rFonts w:hint="eastAsia" w:ascii="仿宋_GB2312" w:hAnsi="宋体" w:eastAsia="仿宋_GB2312" w:cs="宋体"/>
          <w:kern w:val="0"/>
          <w:sz w:val="32"/>
          <w:szCs w:val="32"/>
        </w:rPr>
        <w:t>人，较上年预算人数增加</w:t>
      </w:r>
      <w:r>
        <w:rPr>
          <w:rFonts w:ascii="仿宋_GB2312" w:hAnsi="宋体" w:eastAsia="仿宋_GB2312" w:cs="宋体"/>
          <w:kern w:val="0"/>
          <w:sz w:val="32"/>
          <w:szCs w:val="32"/>
        </w:rPr>
        <w:t>9</w:t>
      </w:r>
      <w:r>
        <w:rPr>
          <w:rFonts w:hint="eastAsia" w:ascii="仿宋_GB2312" w:hAnsi="宋体" w:eastAsia="仿宋_GB2312" w:cs="宋体"/>
          <w:kern w:val="0"/>
          <w:sz w:val="32"/>
          <w:szCs w:val="32"/>
        </w:rPr>
        <w:t>人；离休</w:t>
      </w:r>
      <w:r>
        <w:rPr>
          <w:rFonts w:ascii="仿宋_GB2312" w:hAnsi="宋体" w:eastAsia="仿宋_GB2312" w:cs="宋体"/>
          <w:kern w:val="0"/>
          <w:sz w:val="32"/>
          <w:szCs w:val="32"/>
        </w:rPr>
        <w:t>1</w:t>
      </w:r>
      <w:r>
        <w:rPr>
          <w:rFonts w:hint="eastAsia" w:ascii="仿宋_GB2312" w:hAnsi="宋体" w:eastAsia="仿宋_GB2312" w:cs="宋体"/>
          <w:kern w:val="0"/>
          <w:sz w:val="32"/>
          <w:szCs w:val="32"/>
        </w:rPr>
        <w:t>人，较上年预算人数减少</w:t>
      </w:r>
      <w:r>
        <w:rPr>
          <w:rFonts w:ascii="仿宋_GB2312" w:hAnsi="宋体" w:eastAsia="仿宋_GB2312" w:cs="宋体"/>
          <w:kern w:val="0"/>
          <w:sz w:val="32"/>
          <w:szCs w:val="32"/>
        </w:rPr>
        <w:t>2</w:t>
      </w:r>
      <w:r>
        <w:rPr>
          <w:rFonts w:hint="eastAsia" w:ascii="仿宋_GB2312" w:hAnsi="宋体" w:eastAsia="仿宋_GB2312" w:cs="宋体"/>
          <w:kern w:val="0"/>
          <w:sz w:val="32"/>
          <w:szCs w:val="32"/>
        </w:rPr>
        <w:t>人。</w:t>
      </w:r>
    </w:p>
    <w:p>
      <w:pPr>
        <w:widowControl/>
        <w:spacing w:line="580" w:lineRule="exact"/>
        <w:ind w:firstLine="640" w:firstLineChars="200"/>
        <w:jc w:val="left"/>
        <w:rPr>
          <w:rFonts w:ascii="仿宋_GB2312" w:hAnsi="宋体" w:eastAsia="仿宋_GB2312" w:cs="宋体"/>
          <w:kern w:val="0"/>
          <w:sz w:val="32"/>
          <w:szCs w:val="32"/>
        </w:rPr>
      </w:pPr>
      <w:r>
        <w:rPr>
          <w:rFonts w:ascii="仿宋_GB2312" w:hAnsi="宋体" w:eastAsia="仿宋_GB2312" w:cs="宋体"/>
          <w:kern w:val="0"/>
          <w:sz w:val="32"/>
          <w:szCs w:val="32"/>
        </w:rPr>
        <w:t>2</w:t>
      </w:r>
      <w:r>
        <w:rPr>
          <w:rFonts w:hint="eastAsia" w:ascii="仿宋_GB2312" w:hAnsi="宋体" w:eastAsia="仿宋_GB2312" w:cs="宋体"/>
          <w:kern w:val="0"/>
          <w:sz w:val="32"/>
          <w:szCs w:val="32"/>
        </w:rPr>
        <w:t>、公用经费：预算比上年增加</w:t>
      </w:r>
      <w:r>
        <w:rPr>
          <w:rFonts w:ascii="仿宋_GB2312" w:hAnsi="宋体" w:eastAsia="仿宋_GB2312" w:cs="宋体"/>
          <w:kern w:val="0"/>
          <w:sz w:val="32"/>
          <w:szCs w:val="32"/>
        </w:rPr>
        <w:t>172.68</w:t>
      </w:r>
      <w:r>
        <w:rPr>
          <w:rFonts w:hint="eastAsia" w:ascii="仿宋_GB2312" w:hAnsi="宋体" w:eastAsia="仿宋_GB2312" w:cs="宋体"/>
          <w:kern w:val="0"/>
          <w:sz w:val="32"/>
          <w:szCs w:val="32"/>
        </w:rPr>
        <w:t>万元，原因是高中学生免学费，生均公用经费标准由原来</w:t>
      </w:r>
      <w:r>
        <w:rPr>
          <w:rFonts w:ascii="仿宋_GB2312" w:hAnsi="宋体" w:eastAsia="仿宋_GB2312" w:cs="宋体"/>
          <w:kern w:val="0"/>
          <w:sz w:val="32"/>
          <w:szCs w:val="32"/>
        </w:rPr>
        <w:t>460</w:t>
      </w:r>
      <w:r>
        <w:rPr>
          <w:rFonts w:hint="eastAsia" w:ascii="仿宋_GB2312" w:hAnsi="宋体" w:eastAsia="仿宋_GB2312" w:cs="宋体"/>
          <w:kern w:val="0"/>
          <w:sz w:val="32"/>
          <w:szCs w:val="32"/>
        </w:rPr>
        <w:t>元提高为</w:t>
      </w:r>
      <w:r>
        <w:rPr>
          <w:rFonts w:ascii="仿宋_GB2312" w:hAnsi="宋体" w:eastAsia="仿宋_GB2312" w:cs="宋体"/>
          <w:kern w:val="0"/>
          <w:sz w:val="32"/>
          <w:szCs w:val="32"/>
        </w:rPr>
        <w:t>1600</w:t>
      </w:r>
      <w:r>
        <w:rPr>
          <w:rFonts w:hint="eastAsia" w:ascii="仿宋_GB2312" w:hAnsi="宋体" w:eastAsia="仿宋_GB2312" w:cs="宋体"/>
          <w:kern w:val="0"/>
          <w:sz w:val="32"/>
          <w:szCs w:val="32"/>
        </w:rPr>
        <w:t>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政府性基金未安排预算。</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三、关于昌吉州第二中学</w:t>
      </w:r>
      <w:r>
        <w:rPr>
          <w:rFonts w:ascii="黑体" w:hAnsi="宋体" w:eastAsia="黑体" w:cs="宋体"/>
          <w:kern w:val="0"/>
          <w:sz w:val="32"/>
          <w:szCs w:val="32"/>
        </w:rPr>
        <w:t>2019</w:t>
      </w:r>
      <w:r>
        <w:rPr>
          <w:rFonts w:hint="eastAsia" w:ascii="黑体" w:hAnsi="宋体" w:eastAsia="黑体" w:cs="宋体"/>
          <w:kern w:val="0"/>
          <w:sz w:val="32"/>
          <w:szCs w:val="32"/>
        </w:rPr>
        <w:t>年支出预算情况说明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昌吉州第二中学</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年支出预算</w:t>
      </w:r>
      <w:r>
        <w:rPr>
          <w:rFonts w:ascii="仿宋_GB2312" w:hAnsi="宋体" w:eastAsia="仿宋_GB2312" w:cs="宋体"/>
          <w:kern w:val="0"/>
          <w:sz w:val="32"/>
          <w:szCs w:val="32"/>
        </w:rPr>
        <w:t>5633.13</w:t>
      </w:r>
      <w:r>
        <w:rPr>
          <w:rFonts w:hint="eastAsia" w:ascii="仿宋_GB2312" w:hAnsi="宋体" w:eastAsia="仿宋_GB2312" w:cs="宋体"/>
          <w:kern w:val="0"/>
          <w:sz w:val="32"/>
          <w:szCs w:val="32"/>
        </w:rPr>
        <w:t>万元，其中：</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基本支出</w:t>
      </w:r>
      <w:r>
        <w:rPr>
          <w:rFonts w:ascii="仿宋_GB2312" w:hAnsi="宋体" w:eastAsia="仿宋_GB2312" w:cs="宋体"/>
          <w:kern w:val="0"/>
          <w:sz w:val="32"/>
          <w:szCs w:val="32"/>
        </w:rPr>
        <w:t>5633.13</w:t>
      </w:r>
      <w:r>
        <w:rPr>
          <w:rFonts w:hint="eastAsia" w:ascii="仿宋_GB2312" w:hAnsi="宋体" w:eastAsia="仿宋_GB2312" w:cs="宋体"/>
          <w:kern w:val="0"/>
          <w:sz w:val="32"/>
          <w:szCs w:val="32"/>
        </w:rPr>
        <w:t>万元，占总预算</w:t>
      </w:r>
      <w:r>
        <w:rPr>
          <w:rFonts w:ascii="仿宋_GB2312" w:hAnsi="宋体" w:eastAsia="仿宋_GB2312" w:cs="宋体"/>
          <w:kern w:val="0"/>
          <w:sz w:val="32"/>
          <w:szCs w:val="32"/>
        </w:rPr>
        <w:t>100 %</w:t>
      </w:r>
      <w:r>
        <w:rPr>
          <w:rFonts w:hint="eastAsia" w:ascii="仿宋_GB2312" w:hAnsi="宋体" w:eastAsia="仿宋_GB2312" w:cs="宋体"/>
          <w:kern w:val="0"/>
          <w:sz w:val="32"/>
          <w:szCs w:val="32"/>
        </w:rPr>
        <w:t>，比上年增加</w:t>
      </w:r>
      <w:r>
        <w:rPr>
          <w:rFonts w:ascii="仿宋_GB2312" w:hAnsi="宋体" w:eastAsia="仿宋_GB2312" w:cs="宋体"/>
          <w:kern w:val="0"/>
          <w:sz w:val="32"/>
          <w:szCs w:val="32"/>
        </w:rPr>
        <w:t>121.81</w:t>
      </w:r>
      <w:r>
        <w:rPr>
          <w:rFonts w:hint="eastAsia" w:ascii="仿宋_GB2312" w:hAnsi="宋体" w:eastAsia="仿宋_GB2312" w:cs="宋体"/>
          <w:kern w:val="0"/>
          <w:sz w:val="32"/>
          <w:szCs w:val="32"/>
        </w:rPr>
        <w:t>万元，主要原因是人员经费：预算比上年减少</w:t>
      </w:r>
      <w:r>
        <w:rPr>
          <w:rFonts w:ascii="仿宋_GB2312" w:hAnsi="宋体" w:eastAsia="仿宋_GB2312" w:cs="宋体"/>
          <w:kern w:val="0"/>
          <w:sz w:val="32"/>
          <w:szCs w:val="32"/>
        </w:rPr>
        <w:t>50.87</w:t>
      </w:r>
      <w:r>
        <w:rPr>
          <w:rFonts w:hint="eastAsia" w:ascii="仿宋_GB2312" w:hAnsi="宋体" w:eastAsia="仿宋_GB2312" w:cs="宋体"/>
          <w:kern w:val="0"/>
          <w:sz w:val="32"/>
          <w:szCs w:val="32"/>
        </w:rPr>
        <w:t>万元，原因是</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年在职</w:t>
      </w:r>
      <w:r>
        <w:rPr>
          <w:rFonts w:ascii="仿宋_GB2312" w:hAnsi="宋体" w:eastAsia="仿宋_GB2312" w:cs="宋体"/>
          <w:kern w:val="0"/>
          <w:sz w:val="32"/>
          <w:szCs w:val="32"/>
        </w:rPr>
        <w:t>342</w:t>
      </w:r>
      <w:r>
        <w:rPr>
          <w:rFonts w:hint="eastAsia" w:ascii="仿宋_GB2312" w:hAnsi="宋体" w:eastAsia="仿宋_GB2312" w:cs="宋体"/>
          <w:kern w:val="0"/>
          <w:sz w:val="32"/>
          <w:szCs w:val="32"/>
        </w:rPr>
        <w:t>人，</w:t>
      </w:r>
      <w:r>
        <w:rPr>
          <w:rFonts w:hint="eastAsia" w:ascii="仿宋_GB2312" w:hAnsi="宋体" w:eastAsia="仿宋_GB2312"/>
          <w:sz w:val="32"/>
          <w:szCs w:val="32"/>
        </w:rPr>
        <w:t>较上年预算人数减少</w:t>
      </w:r>
      <w:r>
        <w:rPr>
          <w:rFonts w:ascii="仿宋_GB2312" w:hAnsi="宋体" w:eastAsia="仿宋_GB2312"/>
          <w:sz w:val="32"/>
          <w:szCs w:val="32"/>
        </w:rPr>
        <w:t>3</w:t>
      </w:r>
      <w:r>
        <w:rPr>
          <w:rFonts w:hint="eastAsia" w:ascii="仿宋_GB2312" w:hAnsi="宋体" w:eastAsia="仿宋_GB2312"/>
          <w:sz w:val="32"/>
          <w:szCs w:val="32"/>
        </w:rPr>
        <w:t>人；</w:t>
      </w:r>
      <w:r>
        <w:rPr>
          <w:rFonts w:hint="eastAsia" w:ascii="仿宋_GB2312" w:hAnsi="宋体" w:eastAsia="仿宋_GB2312" w:cs="宋体"/>
          <w:kern w:val="0"/>
          <w:sz w:val="32"/>
          <w:szCs w:val="32"/>
        </w:rPr>
        <w:t>退休</w:t>
      </w:r>
      <w:r>
        <w:rPr>
          <w:rFonts w:ascii="仿宋_GB2312" w:hAnsi="宋体" w:eastAsia="仿宋_GB2312" w:cs="宋体"/>
          <w:kern w:val="0"/>
          <w:sz w:val="32"/>
          <w:szCs w:val="32"/>
        </w:rPr>
        <w:t>136</w:t>
      </w:r>
      <w:r>
        <w:rPr>
          <w:rFonts w:hint="eastAsia" w:ascii="仿宋_GB2312" w:hAnsi="宋体" w:eastAsia="仿宋_GB2312" w:cs="宋体"/>
          <w:kern w:val="0"/>
          <w:sz w:val="32"/>
          <w:szCs w:val="32"/>
        </w:rPr>
        <w:t>人，较上年预算人数增加</w:t>
      </w:r>
      <w:r>
        <w:rPr>
          <w:rFonts w:ascii="仿宋_GB2312" w:hAnsi="宋体" w:eastAsia="仿宋_GB2312" w:cs="宋体"/>
          <w:kern w:val="0"/>
          <w:sz w:val="32"/>
          <w:szCs w:val="32"/>
        </w:rPr>
        <w:t>9</w:t>
      </w:r>
      <w:r>
        <w:rPr>
          <w:rFonts w:hint="eastAsia" w:ascii="仿宋_GB2312" w:hAnsi="宋体" w:eastAsia="仿宋_GB2312" w:cs="宋体"/>
          <w:kern w:val="0"/>
          <w:sz w:val="32"/>
          <w:szCs w:val="32"/>
        </w:rPr>
        <w:t>人；离休</w:t>
      </w:r>
      <w:r>
        <w:rPr>
          <w:rFonts w:ascii="仿宋_GB2312" w:hAnsi="宋体" w:eastAsia="仿宋_GB2312" w:cs="宋体"/>
          <w:kern w:val="0"/>
          <w:sz w:val="32"/>
          <w:szCs w:val="32"/>
        </w:rPr>
        <w:t>1</w:t>
      </w:r>
      <w:r>
        <w:rPr>
          <w:rFonts w:hint="eastAsia" w:ascii="仿宋_GB2312" w:hAnsi="宋体" w:eastAsia="仿宋_GB2312" w:cs="宋体"/>
          <w:kern w:val="0"/>
          <w:sz w:val="32"/>
          <w:szCs w:val="32"/>
        </w:rPr>
        <w:t>人，较上年预算人数减少</w:t>
      </w:r>
      <w:r>
        <w:rPr>
          <w:rFonts w:ascii="仿宋_GB2312" w:hAnsi="宋体" w:eastAsia="仿宋_GB2312" w:cs="宋体"/>
          <w:kern w:val="0"/>
          <w:sz w:val="32"/>
          <w:szCs w:val="32"/>
        </w:rPr>
        <w:t>2</w:t>
      </w:r>
      <w:r>
        <w:rPr>
          <w:rFonts w:hint="eastAsia" w:ascii="仿宋_GB2312" w:hAnsi="宋体" w:eastAsia="仿宋_GB2312" w:cs="宋体"/>
          <w:kern w:val="0"/>
          <w:sz w:val="32"/>
          <w:szCs w:val="32"/>
        </w:rPr>
        <w:t>人。公用经费：预算比上年增加</w:t>
      </w:r>
      <w:r>
        <w:rPr>
          <w:rFonts w:ascii="仿宋_GB2312" w:hAnsi="宋体" w:eastAsia="仿宋_GB2312" w:cs="宋体"/>
          <w:kern w:val="0"/>
          <w:sz w:val="32"/>
          <w:szCs w:val="32"/>
        </w:rPr>
        <w:t>172.68</w:t>
      </w:r>
      <w:r>
        <w:rPr>
          <w:rFonts w:hint="eastAsia" w:ascii="仿宋_GB2312" w:hAnsi="宋体" w:eastAsia="仿宋_GB2312" w:cs="宋体"/>
          <w:kern w:val="0"/>
          <w:sz w:val="32"/>
          <w:szCs w:val="32"/>
        </w:rPr>
        <w:t>万元，原因是高中学生免学费，生均公用经费标准由原来</w:t>
      </w:r>
      <w:r>
        <w:rPr>
          <w:rFonts w:ascii="仿宋_GB2312" w:hAnsi="宋体" w:eastAsia="仿宋_GB2312" w:cs="宋体"/>
          <w:kern w:val="0"/>
          <w:sz w:val="32"/>
          <w:szCs w:val="32"/>
        </w:rPr>
        <w:t>460</w:t>
      </w:r>
      <w:r>
        <w:rPr>
          <w:rFonts w:hint="eastAsia" w:ascii="仿宋_GB2312" w:hAnsi="宋体" w:eastAsia="仿宋_GB2312" w:cs="宋体"/>
          <w:kern w:val="0"/>
          <w:sz w:val="32"/>
          <w:szCs w:val="32"/>
        </w:rPr>
        <w:t>元提高为</w:t>
      </w:r>
      <w:r>
        <w:rPr>
          <w:rFonts w:ascii="仿宋_GB2312" w:hAnsi="宋体" w:eastAsia="仿宋_GB2312" w:cs="宋体"/>
          <w:kern w:val="0"/>
          <w:sz w:val="32"/>
          <w:szCs w:val="32"/>
        </w:rPr>
        <w:t>1600</w:t>
      </w:r>
      <w:r>
        <w:rPr>
          <w:rFonts w:hint="eastAsia" w:ascii="仿宋_GB2312" w:hAnsi="宋体" w:eastAsia="仿宋_GB2312" w:cs="宋体"/>
          <w:kern w:val="0"/>
          <w:sz w:val="32"/>
          <w:szCs w:val="32"/>
        </w:rPr>
        <w:t>元。</w:t>
      </w:r>
    </w:p>
    <w:p>
      <w:pPr>
        <w:widowControl/>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0 %</w:t>
      </w:r>
      <w:r>
        <w:rPr>
          <w:rFonts w:hint="eastAsia" w:ascii="仿宋_GB2312" w:hAnsi="宋体" w:eastAsia="仿宋_GB2312" w:cs="宋体"/>
          <w:kern w:val="0"/>
          <w:sz w:val="32"/>
          <w:szCs w:val="32"/>
        </w:rPr>
        <w:t>，比上年增加（减少）</w:t>
      </w:r>
      <w:r>
        <w:rPr>
          <w:rFonts w:ascii="仿宋_GB2312" w:hAnsi="宋体" w:eastAsia="仿宋_GB2312" w:cs="宋体"/>
          <w:kern w:val="0"/>
          <w:sz w:val="32"/>
          <w:szCs w:val="32"/>
        </w:rPr>
        <w:t xml:space="preserve">0 </w:t>
      </w:r>
      <w:r>
        <w:rPr>
          <w:rFonts w:hint="eastAsia" w:ascii="仿宋_GB2312" w:hAnsi="宋体" w:eastAsia="仿宋_GB2312" w:cs="宋体"/>
          <w:kern w:val="0"/>
          <w:sz w:val="32"/>
          <w:szCs w:val="32"/>
        </w:rPr>
        <w:t>万元，主要原因未安排项目预算。</w:t>
      </w:r>
    </w:p>
    <w:p>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宋体" w:eastAsia="黑体" w:cs="宋体"/>
          <w:kern w:val="0"/>
          <w:sz w:val="32"/>
          <w:szCs w:val="32"/>
        </w:rPr>
        <w:t>昌吉州第二中学</w:t>
      </w:r>
      <w:r>
        <w:rPr>
          <w:rFonts w:ascii="黑体" w:hAnsi="宋体" w:eastAsia="黑体" w:cs="宋体"/>
          <w:kern w:val="0"/>
          <w:sz w:val="32"/>
          <w:szCs w:val="32"/>
        </w:rPr>
        <w:t>2019</w:t>
      </w:r>
      <w:r>
        <w:rPr>
          <w:rFonts w:hint="eastAsia" w:ascii="黑体" w:hAnsi="黑体" w:eastAsia="黑体" w:cs="宋体"/>
          <w:bCs/>
          <w:kern w:val="0"/>
          <w:sz w:val="32"/>
          <w:szCs w:val="32"/>
        </w:rPr>
        <w:t>年财政拨款收支预算情况的总体说明</w:t>
      </w:r>
    </w:p>
    <w:p>
      <w:pPr>
        <w:spacing w:line="580" w:lineRule="exact"/>
        <w:ind w:firstLine="640"/>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年财政拨款收支总预算</w:t>
      </w:r>
      <w:r>
        <w:rPr>
          <w:rFonts w:ascii="仿宋_GB2312" w:hAnsi="宋体" w:eastAsia="仿宋_GB2312" w:cs="宋体"/>
          <w:kern w:val="0"/>
          <w:sz w:val="32"/>
          <w:szCs w:val="32"/>
        </w:rPr>
        <w:t>5633.13</w:t>
      </w:r>
      <w:r>
        <w:rPr>
          <w:rFonts w:hint="eastAsia" w:ascii="仿宋_GB2312" w:hAnsi="宋体" w:eastAsia="仿宋_GB2312" w:cs="宋体"/>
          <w:kern w:val="0"/>
          <w:sz w:val="32"/>
          <w:szCs w:val="32"/>
        </w:rPr>
        <w:t>万元。</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收入全部为一般公共预算拨款，无政府性基金预算拨款。</w:t>
      </w:r>
    </w:p>
    <w:p>
      <w:pPr>
        <w:widowControl/>
        <w:spacing w:line="580" w:lineRule="exact"/>
        <w:ind w:firstLine="642"/>
        <w:jc w:val="left"/>
        <w:rPr>
          <w:rFonts w:ascii="仿宋_GB2312" w:hAnsi="宋体" w:eastAsia="仿宋_GB2312" w:cs="宋体"/>
          <w:b/>
          <w:kern w:val="0"/>
          <w:sz w:val="32"/>
          <w:szCs w:val="32"/>
        </w:rPr>
      </w:pPr>
      <w:r>
        <w:rPr>
          <w:rFonts w:hint="eastAsia" w:ascii="仿宋_GB2312" w:hAnsi="宋体" w:eastAsia="仿宋_GB2312" w:cs="宋体"/>
          <w:color w:val="000000"/>
          <w:kern w:val="0"/>
          <w:sz w:val="32"/>
          <w:szCs w:val="32"/>
        </w:rPr>
        <w:t>支出预算包括：教育支出</w:t>
      </w:r>
      <w:r>
        <w:rPr>
          <w:rFonts w:ascii="仿宋_GB2312" w:hAnsi="宋体" w:eastAsia="仿宋_GB2312" w:cs="宋体"/>
          <w:kern w:val="0"/>
          <w:sz w:val="32"/>
          <w:szCs w:val="32"/>
        </w:rPr>
        <w:t>5633.13</w:t>
      </w:r>
      <w:r>
        <w:rPr>
          <w:rFonts w:hint="eastAsia" w:ascii="仿宋_GB2312" w:hAnsi="宋体" w:eastAsia="仿宋_GB2312" w:cs="宋体"/>
          <w:color w:val="000000"/>
          <w:kern w:val="0"/>
          <w:sz w:val="32"/>
          <w:szCs w:val="32"/>
        </w:rPr>
        <w:t>万元。</w:t>
      </w:r>
      <w:r>
        <w:rPr>
          <w:rFonts w:hint="eastAsia" w:ascii="仿宋_GB2312" w:hAnsi="宋体" w:eastAsia="仿宋_GB2312" w:cs="宋体"/>
          <w:kern w:val="0"/>
          <w:sz w:val="32"/>
          <w:szCs w:val="32"/>
        </w:rPr>
        <w:t>主要用于单位基本运行费用，保障教职工的薪酬奖金等人员支出及保障教育教学的正常开展的公用支出。</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五、关于昌吉州第二中学部门</w:t>
      </w:r>
      <w:r>
        <w:rPr>
          <w:rFonts w:ascii="黑体" w:hAnsi="宋体" w:eastAsia="黑体" w:cs="宋体"/>
          <w:kern w:val="0"/>
          <w:sz w:val="32"/>
          <w:szCs w:val="32"/>
        </w:rPr>
        <w:t>2019</w:t>
      </w:r>
      <w:r>
        <w:rPr>
          <w:rFonts w:hint="eastAsia" w:ascii="黑体" w:hAnsi="宋体" w:eastAsia="黑体" w:cs="宋体"/>
          <w:kern w:val="0"/>
          <w:sz w:val="32"/>
          <w:szCs w:val="32"/>
        </w:rPr>
        <w:t>年一般公共预算当年拨款情况说明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昌吉州第二中学</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年一般公共预算拨款基本支出</w:t>
      </w:r>
      <w:r>
        <w:rPr>
          <w:rFonts w:ascii="仿宋_GB2312" w:hAnsi="宋体" w:eastAsia="仿宋_GB2312" w:cs="宋体"/>
          <w:kern w:val="0"/>
          <w:sz w:val="32"/>
          <w:szCs w:val="32"/>
        </w:rPr>
        <w:t>5633.13</w:t>
      </w:r>
      <w:r>
        <w:rPr>
          <w:rFonts w:hint="eastAsia" w:ascii="仿宋_GB2312" w:hAnsi="宋体" w:eastAsia="仿宋_GB2312" w:cs="宋体"/>
          <w:kern w:val="0"/>
          <w:sz w:val="32"/>
          <w:szCs w:val="32"/>
        </w:rPr>
        <w:t>万元，比上年执行数增加</w:t>
      </w:r>
      <w:r>
        <w:rPr>
          <w:rFonts w:ascii="仿宋_GB2312" w:hAnsi="宋体" w:eastAsia="仿宋_GB2312" w:cs="宋体"/>
          <w:kern w:val="0"/>
          <w:sz w:val="32"/>
          <w:szCs w:val="32"/>
        </w:rPr>
        <w:t>121.81</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2.21%</w:t>
      </w:r>
      <w:r>
        <w:rPr>
          <w:rFonts w:hint="eastAsia" w:ascii="仿宋_GB2312" w:hAnsi="宋体" w:eastAsia="仿宋_GB2312" w:cs="宋体"/>
          <w:kern w:val="0"/>
          <w:sz w:val="32"/>
          <w:szCs w:val="32"/>
        </w:rPr>
        <w:t>。主要原因是：人员经费：预算比上年减少</w:t>
      </w:r>
      <w:r>
        <w:rPr>
          <w:rFonts w:ascii="仿宋_GB2312" w:hAnsi="宋体" w:eastAsia="仿宋_GB2312" w:cs="宋体"/>
          <w:kern w:val="0"/>
          <w:sz w:val="32"/>
          <w:szCs w:val="32"/>
        </w:rPr>
        <w:t>50.87</w:t>
      </w:r>
      <w:r>
        <w:rPr>
          <w:rFonts w:hint="eastAsia" w:ascii="仿宋_GB2312" w:hAnsi="宋体" w:eastAsia="仿宋_GB2312" w:cs="宋体"/>
          <w:kern w:val="0"/>
          <w:sz w:val="32"/>
          <w:szCs w:val="32"/>
        </w:rPr>
        <w:t>万元，原因是</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年在职</w:t>
      </w:r>
      <w:r>
        <w:rPr>
          <w:rFonts w:ascii="仿宋_GB2312" w:hAnsi="宋体" w:eastAsia="仿宋_GB2312" w:cs="宋体"/>
          <w:kern w:val="0"/>
          <w:sz w:val="32"/>
          <w:szCs w:val="32"/>
        </w:rPr>
        <w:t>342</w:t>
      </w:r>
      <w:r>
        <w:rPr>
          <w:rFonts w:hint="eastAsia" w:ascii="仿宋_GB2312" w:hAnsi="宋体" w:eastAsia="仿宋_GB2312" w:cs="宋体"/>
          <w:kern w:val="0"/>
          <w:sz w:val="32"/>
          <w:szCs w:val="32"/>
        </w:rPr>
        <w:t>人，</w:t>
      </w:r>
      <w:r>
        <w:rPr>
          <w:rFonts w:hint="eastAsia" w:ascii="仿宋_GB2312" w:hAnsi="宋体" w:eastAsia="仿宋_GB2312"/>
          <w:sz w:val="32"/>
          <w:szCs w:val="32"/>
        </w:rPr>
        <w:t>较上年预算人数减少</w:t>
      </w:r>
      <w:r>
        <w:rPr>
          <w:rFonts w:ascii="仿宋_GB2312" w:hAnsi="宋体" w:eastAsia="仿宋_GB2312"/>
          <w:sz w:val="32"/>
          <w:szCs w:val="32"/>
        </w:rPr>
        <w:t>3</w:t>
      </w:r>
      <w:r>
        <w:rPr>
          <w:rFonts w:hint="eastAsia" w:ascii="仿宋_GB2312" w:hAnsi="宋体" w:eastAsia="仿宋_GB2312"/>
          <w:sz w:val="32"/>
          <w:szCs w:val="32"/>
        </w:rPr>
        <w:t>人；</w:t>
      </w:r>
      <w:r>
        <w:rPr>
          <w:rFonts w:hint="eastAsia" w:ascii="仿宋_GB2312" w:hAnsi="宋体" w:eastAsia="仿宋_GB2312" w:cs="宋体"/>
          <w:kern w:val="0"/>
          <w:sz w:val="32"/>
          <w:szCs w:val="32"/>
        </w:rPr>
        <w:t>退休</w:t>
      </w:r>
      <w:r>
        <w:rPr>
          <w:rFonts w:ascii="仿宋_GB2312" w:hAnsi="宋体" w:eastAsia="仿宋_GB2312" w:cs="宋体"/>
          <w:kern w:val="0"/>
          <w:sz w:val="32"/>
          <w:szCs w:val="32"/>
        </w:rPr>
        <w:t>136</w:t>
      </w:r>
      <w:r>
        <w:rPr>
          <w:rFonts w:hint="eastAsia" w:ascii="仿宋_GB2312" w:hAnsi="宋体" w:eastAsia="仿宋_GB2312" w:cs="宋体"/>
          <w:kern w:val="0"/>
          <w:sz w:val="32"/>
          <w:szCs w:val="32"/>
        </w:rPr>
        <w:t>人，较上年预算人数增加</w:t>
      </w:r>
      <w:r>
        <w:rPr>
          <w:rFonts w:ascii="仿宋_GB2312" w:hAnsi="宋体" w:eastAsia="仿宋_GB2312" w:cs="宋体"/>
          <w:kern w:val="0"/>
          <w:sz w:val="32"/>
          <w:szCs w:val="32"/>
        </w:rPr>
        <w:t>9</w:t>
      </w:r>
      <w:r>
        <w:rPr>
          <w:rFonts w:hint="eastAsia" w:ascii="仿宋_GB2312" w:hAnsi="宋体" w:eastAsia="仿宋_GB2312" w:cs="宋体"/>
          <w:kern w:val="0"/>
          <w:sz w:val="32"/>
          <w:szCs w:val="32"/>
        </w:rPr>
        <w:t>人；离休</w:t>
      </w:r>
      <w:r>
        <w:rPr>
          <w:rFonts w:ascii="仿宋_GB2312" w:hAnsi="宋体" w:eastAsia="仿宋_GB2312" w:cs="宋体"/>
          <w:kern w:val="0"/>
          <w:sz w:val="32"/>
          <w:szCs w:val="32"/>
        </w:rPr>
        <w:t>1</w:t>
      </w:r>
      <w:r>
        <w:rPr>
          <w:rFonts w:hint="eastAsia" w:ascii="仿宋_GB2312" w:hAnsi="宋体" w:eastAsia="仿宋_GB2312" w:cs="宋体"/>
          <w:kern w:val="0"/>
          <w:sz w:val="32"/>
          <w:szCs w:val="32"/>
        </w:rPr>
        <w:t>人，较上年预算人数减少</w:t>
      </w:r>
      <w:r>
        <w:rPr>
          <w:rFonts w:ascii="仿宋_GB2312" w:hAnsi="宋体" w:eastAsia="仿宋_GB2312" w:cs="宋体"/>
          <w:kern w:val="0"/>
          <w:sz w:val="32"/>
          <w:szCs w:val="32"/>
        </w:rPr>
        <w:t>2</w:t>
      </w:r>
      <w:r>
        <w:rPr>
          <w:rFonts w:hint="eastAsia" w:ascii="仿宋_GB2312" w:hAnsi="宋体" w:eastAsia="仿宋_GB2312" w:cs="宋体"/>
          <w:kern w:val="0"/>
          <w:sz w:val="32"/>
          <w:szCs w:val="32"/>
        </w:rPr>
        <w:t>人。公用经费：预算比上年增加</w:t>
      </w:r>
      <w:r>
        <w:rPr>
          <w:rFonts w:ascii="仿宋_GB2312" w:hAnsi="宋体" w:eastAsia="仿宋_GB2312" w:cs="宋体"/>
          <w:kern w:val="0"/>
          <w:sz w:val="32"/>
          <w:szCs w:val="32"/>
        </w:rPr>
        <w:t>172.68</w:t>
      </w:r>
      <w:r>
        <w:rPr>
          <w:rFonts w:hint="eastAsia" w:ascii="仿宋_GB2312" w:hAnsi="宋体" w:eastAsia="仿宋_GB2312" w:cs="宋体"/>
          <w:kern w:val="0"/>
          <w:sz w:val="32"/>
          <w:szCs w:val="32"/>
        </w:rPr>
        <w:t>万元，原因是高中学生免学费，生均公用经费标准由原来</w:t>
      </w:r>
      <w:r>
        <w:rPr>
          <w:rFonts w:ascii="仿宋_GB2312" w:hAnsi="宋体" w:eastAsia="仿宋_GB2312" w:cs="宋体"/>
          <w:kern w:val="0"/>
          <w:sz w:val="32"/>
          <w:szCs w:val="32"/>
        </w:rPr>
        <w:t>460</w:t>
      </w:r>
      <w:r>
        <w:rPr>
          <w:rFonts w:hint="eastAsia" w:ascii="仿宋_GB2312" w:hAnsi="宋体" w:eastAsia="仿宋_GB2312" w:cs="宋体"/>
          <w:kern w:val="0"/>
          <w:sz w:val="32"/>
          <w:szCs w:val="32"/>
        </w:rPr>
        <w:t>元提高为</w:t>
      </w:r>
      <w:r>
        <w:rPr>
          <w:rFonts w:ascii="仿宋_GB2312" w:hAnsi="宋体" w:eastAsia="仿宋_GB2312" w:cs="宋体"/>
          <w:kern w:val="0"/>
          <w:sz w:val="32"/>
          <w:szCs w:val="32"/>
        </w:rPr>
        <w:t>1600</w:t>
      </w:r>
      <w:r>
        <w:rPr>
          <w:rFonts w:hint="eastAsia" w:ascii="仿宋_GB2312" w:hAnsi="宋体" w:eastAsia="仿宋_GB2312" w:cs="宋体"/>
          <w:kern w:val="0"/>
          <w:sz w:val="32"/>
          <w:szCs w:val="32"/>
        </w:rPr>
        <w:t>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80" w:lineRule="exact"/>
        <w:ind w:firstLine="640"/>
        <w:rPr>
          <w:rFonts w:ascii="仿宋_GB2312" w:hAnsi="宋体" w:eastAsia="仿宋_GB2312" w:cs="宋体"/>
          <w:kern w:val="0"/>
          <w:sz w:val="32"/>
          <w:szCs w:val="32"/>
        </w:rPr>
      </w:pPr>
      <w:r>
        <w:rPr>
          <w:rFonts w:hint="eastAsia" w:ascii="仿宋_GB2312" w:eastAsia="仿宋_GB2312"/>
          <w:sz w:val="32"/>
          <w:szCs w:val="32"/>
        </w:rPr>
        <w:t>教育支出（205）</w:t>
      </w:r>
      <w:r>
        <w:rPr>
          <w:rFonts w:ascii="仿宋_GB2312" w:eastAsia="仿宋_GB2312"/>
          <w:sz w:val="32"/>
          <w:szCs w:val="32"/>
        </w:rPr>
        <w:t>5633.13</w:t>
      </w:r>
      <w:r>
        <w:rPr>
          <w:rFonts w:hint="eastAsia" w:ascii="仿宋_GB2312" w:hAnsi="宋体" w:eastAsia="仿宋_GB2312" w:cs="宋体"/>
          <w:kern w:val="0"/>
          <w:sz w:val="32"/>
          <w:szCs w:val="32"/>
        </w:rPr>
        <w:t>万元，占一般公共预算</w:t>
      </w:r>
      <w:r>
        <w:rPr>
          <w:rFonts w:ascii="仿宋_GB2312" w:hAnsi="宋体" w:eastAsia="仿宋_GB2312" w:cs="宋体"/>
          <w:kern w:val="0"/>
          <w:sz w:val="32"/>
          <w:szCs w:val="32"/>
        </w:rPr>
        <w:t>100%</w:t>
      </w:r>
      <w:r>
        <w:rPr>
          <w:rFonts w:hint="eastAsia" w:ascii="仿宋_GB2312" w:hAnsi="宋体" w:eastAsia="仿宋_GB2312" w:cs="宋体"/>
          <w:kern w:val="0"/>
          <w:sz w:val="32"/>
          <w:szCs w:val="32"/>
        </w:rPr>
        <w:t>。</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1.教育支出（205）普通教育（02）初中教育（03）：2019</w:t>
      </w:r>
      <w:r>
        <w:rPr>
          <w:rFonts w:ascii="仿宋_GB2312" w:hAnsi="宋体" w:eastAsia="仿宋_GB2312" w:cs="宋体"/>
          <w:kern w:val="0"/>
          <w:sz w:val="32"/>
          <w:szCs w:val="32"/>
        </w:rPr>
        <w:t>年预算数为2213.71</w:t>
      </w:r>
      <w:r>
        <w:rPr>
          <w:rFonts w:hint="eastAsia" w:ascii="仿宋_GB2312" w:hAnsi="宋体" w:eastAsia="仿宋_GB2312" w:cs="宋体"/>
          <w:kern w:val="0"/>
          <w:sz w:val="32"/>
          <w:szCs w:val="32"/>
        </w:rPr>
        <w:t xml:space="preserve">万元；比上年执行数减少854.08万元，下降27.84%，主要原因是：按照教师实际任课年级调整了初中、高中教师人数，初中教师人数减少，高中教师人数增加。导致人员经费变动较大，初中人员经费减少。     </w:t>
      </w:r>
    </w:p>
    <w:p>
      <w:pPr>
        <w:widowControl/>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2.教育支出（205）普通教育（02）高中教育（04）：2019</w:t>
      </w:r>
      <w:r>
        <w:rPr>
          <w:rFonts w:ascii="仿宋_GB2312" w:hAnsi="宋体" w:eastAsia="仿宋_GB2312" w:cs="宋体"/>
          <w:kern w:val="0"/>
          <w:sz w:val="32"/>
          <w:szCs w:val="32"/>
        </w:rPr>
        <w:t>年预算数为3419.42</w:t>
      </w:r>
      <w:r>
        <w:rPr>
          <w:rFonts w:hint="eastAsia" w:ascii="仿宋_GB2312" w:hAnsi="宋体" w:eastAsia="仿宋_GB2312" w:cs="宋体"/>
          <w:kern w:val="0"/>
          <w:sz w:val="32"/>
          <w:szCs w:val="32"/>
        </w:rPr>
        <w:t>万元，比上年执行数增加975.89万元，增长39.94</w:t>
      </w:r>
      <w:r>
        <w:rPr>
          <w:rFonts w:ascii="仿宋_GB2312" w:hAnsi="宋体" w:eastAsia="仿宋_GB2312" w:cs="宋体"/>
          <w:kern w:val="0"/>
          <w:sz w:val="32"/>
          <w:szCs w:val="32"/>
        </w:rPr>
        <w:t>%</w:t>
      </w:r>
      <w:r>
        <w:rPr>
          <w:rFonts w:hint="eastAsia" w:ascii="仿宋_GB2312" w:hAnsi="宋体" w:eastAsia="仿宋_GB2312" w:cs="宋体"/>
          <w:kern w:val="0"/>
          <w:sz w:val="32"/>
          <w:szCs w:val="32"/>
        </w:rPr>
        <w:t>，主要原因是：按照教师实际任课年级调整了初中、高中教师人数，初中教师人数减少，高中教师人数增加。导致人员经费变动较大，高中人员经费增加。并且因高中学生免学费，生均公用经费标准由原来</w:t>
      </w:r>
      <w:r>
        <w:rPr>
          <w:rFonts w:ascii="仿宋_GB2312" w:hAnsi="宋体" w:eastAsia="仿宋_GB2312" w:cs="宋体"/>
          <w:kern w:val="0"/>
          <w:sz w:val="32"/>
          <w:szCs w:val="32"/>
        </w:rPr>
        <w:t>460</w:t>
      </w:r>
      <w:r>
        <w:rPr>
          <w:rFonts w:hint="eastAsia" w:ascii="仿宋_GB2312" w:hAnsi="宋体" w:eastAsia="仿宋_GB2312" w:cs="宋体"/>
          <w:kern w:val="0"/>
          <w:sz w:val="32"/>
          <w:szCs w:val="32"/>
        </w:rPr>
        <w:t>元提高为</w:t>
      </w:r>
      <w:r>
        <w:rPr>
          <w:rFonts w:ascii="仿宋_GB2312" w:hAnsi="宋体" w:eastAsia="仿宋_GB2312" w:cs="宋体"/>
          <w:kern w:val="0"/>
          <w:sz w:val="32"/>
          <w:szCs w:val="32"/>
        </w:rPr>
        <w:t>1600</w:t>
      </w:r>
      <w:r>
        <w:rPr>
          <w:rFonts w:hint="eastAsia" w:ascii="仿宋_GB2312" w:hAnsi="宋体" w:eastAsia="仿宋_GB2312" w:cs="宋体"/>
          <w:kern w:val="0"/>
          <w:sz w:val="32"/>
          <w:szCs w:val="32"/>
        </w:rPr>
        <w:t>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六、关于昌吉州第二中学</w:t>
      </w:r>
      <w:r>
        <w:rPr>
          <w:rFonts w:ascii="黑体" w:hAnsi="宋体" w:eastAsia="黑体" w:cs="宋体"/>
          <w:kern w:val="0"/>
          <w:sz w:val="32"/>
          <w:szCs w:val="32"/>
        </w:rPr>
        <w:t>2019</w:t>
      </w:r>
      <w:r>
        <w:rPr>
          <w:rFonts w:hint="eastAsia" w:ascii="黑体" w:hAnsi="宋体" w:eastAsia="黑体" w:cs="宋体"/>
          <w:kern w:val="0"/>
          <w:sz w:val="32"/>
          <w:szCs w:val="32"/>
        </w:rPr>
        <w:t>年一般公共预算基本支出情况说明</w:t>
      </w:r>
    </w:p>
    <w:p>
      <w:pPr>
        <w:widowControl/>
        <w:spacing w:line="580" w:lineRule="exact"/>
        <w:ind w:firstLine="320" w:firstLineChars="1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昌吉州第二中学</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年一般公共预算基本支出</w:t>
      </w:r>
      <w:r>
        <w:rPr>
          <w:rFonts w:ascii="仿宋_GB2312" w:hAnsi="宋体" w:eastAsia="仿宋_GB2312" w:cs="宋体"/>
          <w:kern w:val="0"/>
          <w:sz w:val="32"/>
          <w:szCs w:val="32"/>
        </w:rPr>
        <w:t>5633.13</w:t>
      </w:r>
      <w:r>
        <w:rPr>
          <w:rFonts w:hint="eastAsia" w:ascii="仿宋_GB2312" w:hAnsi="宋体" w:eastAsia="仿宋_GB2312" w:cs="宋体"/>
          <w:kern w:val="0"/>
          <w:sz w:val="32"/>
          <w:szCs w:val="32"/>
        </w:rPr>
        <w:t>万元，</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ascii="仿宋_GB2312" w:hAnsi="宋体" w:eastAsia="仿宋_GB2312" w:cs="宋体"/>
          <w:kern w:val="0"/>
          <w:sz w:val="32"/>
          <w:szCs w:val="32"/>
        </w:rPr>
        <w:t>4891.82</w:t>
      </w:r>
      <w:r>
        <w:rPr>
          <w:rFonts w:hint="eastAsia" w:ascii="仿宋_GB2312" w:hAnsi="宋体" w:eastAsia="仿宋_GB2312" w:cs="宋体"/>
          <w:kern w:val="0"/>
          <w:sz w:val="32"/>
          <w:szCs w:val="32"/>
        </w:rPr>
        <w:t>万元，主要包括：基本工资、奖金、伙食补助费、绩效工资、机关事业单位基本养老保险缴费、职工基本医疗保险缴费、公务员医疗补助缴费、其他社会保障缴费、住房公积金、离休费、奖励金、职工住宅取暖费。</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ascii="仿宋_GB2312" w:hAnsi="宋体" w:eastAsia="仿宋_GB2312" w:cs="宋体"/>
          <w:kern w:val="0"/>
          <w:sz w:val="32"/>
          <w:szCs w:val="32"/>
        </w:rPr>
        <w:t>741.31</w:t>
      </w:r>
      <w:r>
        <w:rPr>
          <w:rFonts w:hint="eastAsia" w:ascii="仿宋_GB2312" w:hAnsi="宋体" w:eastAsia="仿宋_GB2312" w:cs="宋体"/>
          <w:kern w:val="0"/>
          <w:sz w:val="32"/>
          <w:szCs w:val="32"/>
        </w:rPr>
        <w:t>万元，主要包括：办公费、水费、电费、邮电费、取暖费、物业管理费、差旅费、维修（护）费、培训费、专用材料费、劳务费、工会经费、福利费、公务用车运行维护费、其他商品和服务支出。</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七、关于昌吉州第二中学2019年项目支出情况说明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昌吉州第二中学</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年没有使用项目拨款安排的支出，项目支出情况表为空表。</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八、关于昌吉州第二中学部门2019年一般公共预算“三公”经费预算情况说明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昌吉州第二中学</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年“三公”经费财政拨款预算数为</w:t>
      </w:r>
      <w:r>
        <w:rPr>
          <w:rFonts w:ascii="仿宋_GB2312" w:hAnsi="宋体" w:eastAsia="仿宋_GB2312" w:cs="宋体"/>
          <w:kern w:val="0"/>
          <w:sz w:val="32"/>
          <w:szCs w:val="32"/>
        </w:rPr>
        <w:t>2.37</w:t>
      </w:r>
      <w:r>
        <w:rPr>
          <w:rFonts w:hint="eastAsia" w:ascii="仿宋_GB2312" w:hAnsi="宋体" w:eastAsia="仿宋_GB2312" w:cs="宋体"/>
          <w:kern w:val="0"/>
          <w:sz w:val="32"/>
          <w:szCs w:val="32"/>
        </w:rPr>
        <w:t>万元，其中：因公出国（境）费</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万元，公务用车购置</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万元，公务用车运行费</w:t>
      </w:r>
      <w:r>
        <w:rPr>
          <w:rFonts w:ascii="仿宋_GB2312" w:hAnsi="宋体" w:eastAsia="仿宋_GB2312" w:cs="宋体"/>
          <w:kern w:val="0"/>
          <w:sz w:val="32"/>
          <w:szCs w:val="32"/>
        </w:rPr>
        <w:t>2.37</w:t>
      </w:r>
      <w:r>
        <w:rPr>
          <w:rFonts w:hint="eastAsia" w:ascii="仿宋_GB2312" w:hAnsi="宋体" w:eastAsia="仿宋_GB2312" w:cs="宋体"/>
          <w:kern w:val="0"/>
          <w:sz w:val="32"/>
          <w:szCs w:val="32"/>
        </w:rPr>
        <w:t>万元，公务接待费</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p>
    <w:p>
      <w:pPr>
        <w:widowControl/>
        <w:spacing w:line="580" w:lineRule="exact"/>
        <w:ind w:firstLine="640" w:firstLineChars="20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年“三公”经费财政拨款预算比上年减少</w:t>
      </w:r>
      <w:r>
        <w:rPr>
          <w:rFonts w:ascii="仿宋_GB2312" w:hAnsi="宋体" w:eastAsia="仿宋_GB2312" w:cs="宋体"/>
          <w:kern w:val="0"/>
          <w:sz w:val="32"/>
          <w:szCs w:val="32"/>
        </w:rPr>
        <w:t>0.02</w:t>
      </w:r>
      <w:r>
        <w:rPr>
          <w:rFonts w:hint="eastAsia" w:ascii="仿宋_GB2312" w:hAnsi="宋体" w:eastAsia="仿宋_GB2312" w:cs="宋体"/>
          <w:kern w:val="0"/>
          <w:sz w:val="32"/>
          <w:szCs w:val="32"/>
        </w:rPr>
        <w:t>万元，其中：因公出国（境）费增加（减少）</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万元，主要原因是未安排预算；公务用车购置费为</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万元，未安排预算；公务用车运行费减少</w:t>
      </w:r>
      <w:r>
        <w:rPr>
          <w:rFonts w:ascii="仿宋_GB2312" w:hAnsi="宋体" w:eastAsia="仿宋_GB2312" w:cs="宋体"/>
          <w:kern w:val="0"/>
          <w:sz w:val="32"/>
          <w:szCs w:val="32"/>
        </w:rPr>
        <w:t>0.02</w:t>
      </w:r>
      <w:r>
        <w:rPr>
          <w:rFonts w:hint="eastAsia" w:ascii="仿宋_GB2312" w:hAnsi="宋体" w:eastAsia="仿宋_GB2312" w:cs="宋体"/>
          <w:kern w:val="0"/>
          <w:sz w:val="32"/>
          <w:szCs w:val="32"/>
        </w:rPr>
        <w:t>万元，主要原因是压缩一般性公用经费支出而减少；公务接待费</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万元，主要原因是未安排预算。</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九、关于昌吉州第二中学</w:t>
      </w:r>
      <w:r>
        <w:rPr>
          <w:rFonts w:ascii="仿宋_GB2312" w:hAnsi="宋体" w:eastAsia="仿宋_GB2312" w:cs="宋体"/>
          <w:kern w:val="0"/>
          <w:sz w:val="32"/>
          <w:szCs w:val="32"/>
        </w:rPr>
        <w:t>2019</w:t>
      </w:r>
      <w:r>
        <w:rPr>
          <w:rFonts w:hint="eastAsia" w:ascii="黑体" w:hAnsi="宋体" w:eastAsia="黑体" w:cs="宋体"/>
          <w:kern w:val="0"/>
          <w:sz w:val="32"/>
          <w:szCs w:val="32"/>
        </w:rPr>
        <w:t>年政府性基金预算拨款情况说明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昌吉州第二中学</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年没有使用政府性基金预算拨款安排的支出，政府性基金预算支出情况表为空表。</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80" w:lineRule="exact"/>
        <w:ind w:firstLine="640" w:firstLineChars="20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年，昌吉州第二中学的机关运行经费财政拨款预算</w:t>
      </w:r>
      <w:r>
        <w:rPr>
          <w:rFonts w:ascii="仿宋_GB2312" w:hAnsi="宋体" w:eastAsia="仿宋_GB2312" w:cs="宋体"/>
          <w:kern w:val="0"/>
          <w:sz w:val="32"/>
          <w:szCs w:val="32"/>
        </w:rPr>
        <w:t xml:space="preserve">741.31 </w:t>
      </w:r>
      <w:r>
        <w:rPr>
          <w:rFonts w:hint="eastAsia" w:ascii="仿宋_GB2312" w:hAnsi="宋体" w:eastAsia="仿宋_GB2312" w:cs="宋体"/>
          <w:kern w:val="0"/>
          <w:sz w:val="32"/>
          <w:szCs w:val="32"/>
        </w:rPr>
        <w:t>万元，比上年预算增加</w:t>
      </w:r>
      <w:r>
        <w:rPr>
          <w:rFonts w:ascii="仿宋_GB2312" w:hAnsi="宋体" w:eastAsia="仿宋_GB2312" w:cs="宋体"/>
          <w:kern w:val="0"/>
          <w:sz w:val="32"/>
          <w:szCs w:val="32"/>
        </w:rPr>
        <w:t>172.68</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30.37%</w:t>
      </w:r>
      <w:r>
        <w:rPr>
          <w:rFonts w:hint="eastAsia" w:ascii="仿宋_GB2312" w:hAnsi="宋体" w:eastAsia="仿宋_GB2312" w:cs="宋体"/>
          <w:kern w:val="0"/>
          <w:sz w:val="32"/>
          <w:szCs w:val="32"/>
        </w:rPr>
        <w:t>。主要原因是高中学生免学费，生均公用经费标准提高。</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年，昌吉州第二中学部门及下属单位政府采购预算</w:t>
      </w:r>
      <w:r>
        <w:rPr>
          <w:rFonts w:ascii="仿宋_GB2312" w:hAnsi="宋体" w:eastAsia="仿宋_GB2312" w:cs="宋体"/>
          <w:kern w:val="0"/>
          <w:sz w:val="32"/>
          <w:szCs w:val="32"/>
        </w:rPr>
        <w:t>1042</w:t>
      </w:r>
      <w:r>
        <w:rPr>
          <w:rFonts w:hint="eastAsia" w:ascii="仿宋_GB2312" w:hAnsi="宋体" w:eastAsia="仿宋_GB2312" w:cs="宋体"/>
          <w:kern w:val="0"/>
          <w:sz w:val="32"/>
          <w:szCs w:val="32"/>
        </w:rPr>
        <w:t>万元，其中：政府采购货物预算</w:t>
      </w:r>
      <w:r>
        <w:rPr>
          <w:rFonts w:ascii="仿宋_GB2312" w:hAnsi="宋体" w:eastAsia="仿宋_GB2312" w:cs="宋体"/>
          <w:kern w:val="0"/>
          <w:sz w:val="32"/>
          <w:szCs w:val="32"/>
        </w:rPr>
        <w:t>298.72</w:t>
      </w:r>
      <w:r>
        <w:rPr>
          <w:rFonts w:hint="eastAsia" w:ascii="仿宋_GB2312" w:hAnsi="宋体" w:eastAsia="仿宋_GB2312" w:cs="宋体"/>
          <w:kern w:val="0"/>
          <w:sz w:val="32"/>
          <w:szCs w:val="32"/>
        </w:rPr>
        <w:t>万元，政府采购工程预算</w:t>
      </w:r>
      <w:r>
        <w:rPr>
          <w:rFonts w:ascii="仿宋_GB2312" w:hAnsi="宋体" w:eastAsia="仿宋_GB2312" w:cs="宋体"/>
          <w:kern w:val="0"/>
          <w:sz w:val="32"/>
          <w:szCs w:val="32"/>
        </w:rPr>
        <w:t>583.28</w:t>
      </w:r>
      <w:r>
        <w:rPr>
          <w:rFonts w:hint="eastAsia" w:ascii="仿宋_GB2312" w:hAnsi="宋体" w:eastAsia="仿宋_GB2312" w:cs="宋体"/>
          <w:kern w:val="0"/>
          <w:sz w:val="32"/>
          <w:szCs w:val="32"/>
        </w:rPr>
        <w:t>万元，政府采购服务预算</w:t>
      </w:r>
      <w:r>
        <w:rPr>
          <w:rFonts w:ascii="仿宋_GB2312" w:hAnsi="宋体" w:eastAsia="仿宋_GB2312" w:cs="宋体"/>
          <w:kern w:val="0"/>
          <w:sz w:val="32"/>
          <w:szCs w:val="32"/>
        </w:rPr>
        <w:t>160</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ascii="仿宋_GB2312" w:hAnsi="仿宋_GB2312" w:eastAsia="仿宋_GB2312"/>
          <w:sz w:val="32"/>
        </w:rPr>
        <w:t>2019</w:t>
      </w:r>
      <w:r>
        <w:rPr>
          <w:rFonts w:hint="eastAsia" w:ascii="仿宋_GB2312" w:hAnsi="仿宋_GB2312" w:eastAsia="仿宋_GB2312"/>
          <w:sz w:val="32"/>
        </w:rPr>
        <w:t>年度本部门面向中小企业预留政府采购项目预算金额</w:t>
      </w:r>
      <w:r>
        <w:rPr>
          <w:rFonts w:ascii="仿宋_GB2312" w:hAnsi="仿宋_GB2312" w:eastAsia="仿宋_GB2312"/>
          <w:sz w:val="32"/>
        </w:rPr>
        <w:t>0</w:t>
      </w:r>
      <w:r>
        <w:rPr>
          <w:rFonts w:hint="eastAsia" w:ascii="仿宋_GB2312" w:hAnsi="仿宋_GB2312" w:eastAsia="仿宋_GB2312"/>
          <w:sz w:val="32"/>
        </w:rPr>
        <w:t>万元，其中：面向小微企业预留政府采购项目预算金额</w:t>
      </w:r>
      <w:r>
        <w:rPr>
          <w:rFonts w:ascii="仿宋_GB2312" w:hAnsi="仿宋_GB2312" w:eastAsia="仿宋_GB2312"/>
          <w:sz w:val="32"/>
        </w:rPr>
        <w:t>0</w:t>
      </w:r>
      <w:r>
        <w:rPr>
          <w:rFonts w:hint="eastAsia" w:ascii="仿宋_GB2312" w:hAnsi="仿宋_GB2312" w:eastAsia="仿宋_GB2312"/>
          <w:sz w:val="32"/>
        </w:rPr>
        <w:t>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ascii="仿宋_GB2312" w:hAnsi="宋体" w:eastAsia="仿宋_GB2312" w:cs="宋体"/>
          <w:kern w:val="0"/>
          <w:sz w:val="32"/>
          <w:szCs w:val="32"/>
        </w:rPr>
        <w:t>2018</w:t>
      </w:r>
      <w:r>
        <w:rPr>
          <w:rFonts w:hint="eastAsia" w:ascii="仿宋_GB2312" w:hAnsi="宋体" w:eastAsia="仿宋_GB2312" w:cs="宋体"/>
          <w:kern w:val="0"/>
          <w:sz w:val="32"/>
          <w:szCs w:val="32"/>
        </w:rPr>
        <w:t>年底，昌吉州第二中学部门占用使用国有资产总体情况为：</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1.</w:t>
      </w:r>
      <w:r>
        <w:rPr>
          <w:rFonts w:hint="eastAsia" w:ascii="仿宋_GB2312" w:hAnsi="宋体" w:eastAsia="仿宋_GB2312" w:cs="宋体"/>
          <w:kern w:val="0"/>
          <w:sz w:val="32"/>
          <w:szCs w:val="32"/>
        </w:rPr>
        <w:t>房屋</w:t>
      </w:r>
      <w:r>
        <w:rPr>
          <w:rFonts w:ascii="仿宋_GB2312" w:hAnsi="宋体" w:eastAsia="仿宋_GB2312" w:cs="宋体"/>
          <w:kern w:val="0"/>
          <w:sz w:val="32"/>
          <w:szCs w:val="32"/>
        </w:rPr>
        <w:t>44665.25</w:t>
      </w:r>
      <w:r>
        <w:rPr>
          <w:rFonts w:hint="eastAsia" w:ascii="仿宋_GB2312" w:hAnsi="宋体" w:eastAsia="仿宋_GB2312" w:cs="宋体"/>
          <w:kern w:val="0"/>
          <w:sz w:val="32"/>
          <w:szCs w:val="32"/>
        </w:rPr>
        <w:t>平方米，价值</w:t>
      </w:r>
      <w:r>
        <w:rPr>
          <w:rFonts w:ascii="仿宋_GB2312" w:hAnsi="宋体" w:eastAsia="仿宋_GB2312" w:cs="宋体"/>
          <w:kern w:val="0"/>
          <w:sz w:val="32"/>
          <w:szCs w:val="32"/>
        </w:rPr>
        <w:t>7504.63</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w:t>
      </w:r>
      <w:r>
        <w:rPr>
          <w:rFonts w:hint="eastAsia" w:ascii="仿宋_GB2312" w:hAnsi="宋体" w:eastAsia="仿宋_GB2312" w:cs="宋体"/>
          <w:kern w:val="0"/>
          <w:sz w:val="32"/>
          <w:szCs w:val="32"/>
        </w:rPr>
        <w:t>车辆</w:t>
      </w:r>
      <w:r>
        <w:rPr>
          <w:rFonts w:ascii="仿宋_GB2312" w:hAnsi="宋体" w:eastAsia="仿宋_GB2312" w:cs="宋体"/>
          <w:kern w:val="0"/>
          <w:sz w:val="32"/>
          <w:szCs w:val="32"/>
        </w:rPr>
        <w:t>2</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45.98</w:t>
      </w:r>
      <w:r>
        <w:rPr>
          <w:rFonts w:hint="eastAsia" w:ascii="仿宋_GB2312" w:hAnsi="宋体" w:eastAsia="仿宋_GB2312" w:cs="宋体"/>
          <w:kern w:val="0"/>
          <w:sz w:val="32"/>
          <w:szCs w:val="32"/>
        </w:rPr>
        <w:t>万元；其中：一般公务用车</w:t>
      </w:r>
      <w:r>
        <w:rPr>
          <w:rFonts w:ascii="仿宋_GB2312" w:hAnsi="宋体" w:eastAsia="仿宋_GB2312" w:cs="宋体"/>
          <w:kern w:val="0"/>
          <w:sz w:val="32"/>
          <w:szCs w:val="32"/>
        </w:rPr>
        <w:t xml:space="preserve">1  </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24.73</w:t>
      </w:r>
      <w:r>
        <w:rPr>
          <w:rFonts w:hint="eastAsia" w:ascii="仿宋_GB2312" w:hAnsi="宋体" w:eastAsia="仿宋_GB2312" w:cs="宋体"/>
          <w:kern w:val="0"/>
          <w:sz w:val="32"/>
          <w:szCs w:val="32"/>
        </w:rPr>
        <w:t>万元；执法执勤用车</w:t>
      </w:r>
      <w:r>
        <w:rPr>
          <w:rFonts w:ascii="仿宋_GB2312" w:hAnsi="宋体" w:eastAsia="仿宋_GB2312" w:cs="宋体"/>
          <w:kern w:val="0"/>
          <w:sz w:val="32"/>
          <w:szCs w:val="32"/>
        </w:rPr>
        <w:t>0</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万元；其他车辆</w:t>
      </w:r>
      <w:r>
        <w:rPr>
          <w:rFonts w:ascii="仿宋_GB2312" w:hAnsi="宋体" w:eastAsia="仿宋_GB2312" w:cs="宋体"/>
          <w:kern w:val="0"/>
          <w:sz w:val="32"/>
          <w:szCs w:val="32"/>
        </w:rPr>
        <w:t>1</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21.25</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3.</w:t>
      </w:r>
      <w:r>
        <w:rPr>
          <w:rFonts w:hint="eastAsia" w:ascii="仿宋_GB2312" w:hAnsi="宋体" w:eastAsia="仿宋_GB2312" w:cs="宋体"/>
          <w:kern w:val="0"/>
          <w:sz w:val="32"/>
          <w:szCs w:val="32"/>
        </w:rPr>
        <w:t>办公家具价值</w:t>
      </w:r>
      <w:r>
        <w:rPr>
          <w:rFonts w:ascii="仿宋_GB2312" w:hAnsi="宋体" w:eastAsia="仿宋_GB2312" w:cs="宋体"/>
          <w:kern w:val="0"/>
          <w:sz w:val="32"/>
          <w:szCs w:val="32"/>
        </w:rPr>
        <w:t xml:space="preserve"> 61.78</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4.</w:t>
      </w:r>
      <w:r>
        <w:rPr>
          <w:rFonts w:hint="eastAsia" w:ascii="仿宋_GB2312" w:hAnsi="宋体" w:eastAsia="仿宋_GB2312" w:cs="宋体"/>
          <w:kern w:val="0"/>
          <w:sz w:val="32"/>
          <w:szCs w:val="32"/>
        </w:rPr>
        <w:t>其他资产价值</w:t>
      </w:r>
      <w:r>
        <w:rPr>
          <w:rFonts w:ascii="仿宋_GB2312" w:hAnsi="宋体" w:eastAsia="仿宋_GB2312" w:cs="宋体"/>
          <w:kern w:val="0"/>
          <w:sz w:val="32"/>
          <w:szCs w:val="32"/>
        </w:rPr>
        <w:t>2074.68</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1</w:t>
      </w:r>
      <w:r>
        <w:rPr>
          <w:rFonts w:hint="eastAsia" w:ascii="仿宋_GB2312" w:hAnsi="宋体" w:eastAsia="仿宋_GB2312" w:cs="宋体"/>
          <w:kern w:val="0"/>
          <w:sz w:val="32"/>
          <w:szCs w:val="32"/>
        </w:rPr>
        <w:t>台（套），单位价值</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年部门预算未安排购置车辆经费，安排购置</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台（套），单位价值</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年度，昌吉州第二中学实行绩效管理的项目</w:t>
      </w:r>
      <w:r>
        <w:rPr>
          <w:rFonts w:ascii="仿宋_GB2312" w:hAnsi="宋体" w:eastAsia="仿宋_GB2312" w:cs="宋体"/>
          <w:kern w:val="0"/>
          <w:sz w:val="32"/>
          <w:szCs w:val="32"/>
        </w:rPr>
        <w:t>0</w:t>
      </w:r>
      <w:r>
        <w:rPr>
          <w:rFonts w:hint="eastAsia" w:ascii="仿宋_GB2312" w:hAnsi="宋体" w:eastAsia="仿宋_GB2312" w:cs="宋体"/>
          <w:kern w:val="0"/>
          <w:sz w:val="32"/>
          <w:szCs w:val="32"/>
        </w:rPr>
        <w:t>个，涉及预算金额</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万元，未安排预算，此表为空白表。</w:t>
      </w: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noWrap/>
            <w:vAlign w:val="bottom"/>
          </w:tcPr>
          <w:p>
            <w:pPr>
              <w:widowControl/>
              <w:jc w:val="center"/>
              <w:outlineLvl w:val="1"/>
              <w:rPr>
                <w:rFonts w:ascii="宋体" w:cs="宋体"/>
                <w:b/>
                <w:bCs/>
                <w:kern w:val="0"/>
                <w:sz w:val="32"/>
                <w:szCs w:val="32"/>
              </w:rPr>
            </w:pPr>
            <w:r>
              <w:rPr>
                <w:rFonts w:hint="eastAsia" w:ascii="仿宋_GB2312" w:hAnsi="宋体" w:eastAsia="仿宋_GB2312"/>
                <w:b/>
                <w:kern w:val="0"/>
                <w:sz w:val="32"/>
                <w:szCs w:val="32"/>
              </w:rPr>
              <w:t>项</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支</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出</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绩</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效</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目</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标</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noWrap/>
            <w:vAlign w:val="bottom"/>
          </w:tcPr>
          <w:p>
            <w:pPr>
              <w:widowControl/>
              <w:jc w:val="left"/>
              <w:rPr>
                <w:rFonts w:ascii="宋体" w:cs="宋体"/>
                <w:color w:val="000000"/>
                <w:kern w:val="0"/>
                <w:sz w:val="22"/>
              </w:rPr>
            </w:pPr>
          </w:p>
        </w:tc>
        <w:tc>
          <w:tcPr>
            <w:tcW w:w="1857" w:type="dxa"/>
            <w:tcBorders>
              <w:top w:val="nil"/>
              <w:left w:val="nil"/>
              <w:bottom w:val="nil"/>
              <w:right w:val="nil"/>
            </w:tcBorders>
            <w:noWrap/>
            <w:vAlign w:val="bottom"/>
          </w:tcPr>
          <w:p>
            <w:pPr>
              <w:widowControl/>
              <w:jc w:val="left"/>
              <w:rPr>
                <w:rFonts w:ascii="宋体" w:cs="宋体"/>
                <w:color w:val="000000"/>
                <w:kern w:val="0"/>
                <w:sz w:val="22"/>
              </w:rPr>
            </w:pPr>
          </w:p>
        </w:tc>
        <w:tc>
          <w:tcPr>
            <w:tcW w:w="1664" w:type="dxa"/>
            <w:tcBorders>
              <w:top w:val="nil"/>
              <w:left w:val="nil"/>
              <w:bottom w:val="nil"/>
              <w:right w:val="nil"/>
            </w:tcBorders>
            <w:noWrap/>
            <w:vAlign w:val="bottom"/>
          </w:tcPr>
          <w:p>
            <w:pPr>
              <w:widowControl/>
              <w:jc w:val="left"/>
              <w:rPr>
                <w:rFonts w:ascii="宋体" w:cs="宋体"/>
                <w:color w:val="000000"/>
                <w:kern w:val="0"/>
                <w:sz w:val="22"/>
              </w:rPr>
            </w:pPr>
          </w:p>
        </w:tc>
        <w:tc>
          <w:tcPr>
            <w:tcW w:w="1664" w:type="dxa"/>
            <w:gridSpan w:val="2"/>
            <w:tcBorders>
              <w:top w:val="nil"/>
              <w:left w:val="nil"/>
              <w:bottom w:val="nil"/>
              <w:right w:val="nil"/>
            </w:tcBorders>
            <w:noWrap/>
            <w:vAlign w:val="bottom"/>
          </w:tcPr>
          <w:p>
            <w:pPr>
              <w:widowControl/>
              <w:jc w:val="left"/>
              <w:rPr>
                <w:rFonts w:ascii="宋体" w:cs="宋体"/>
                <w:color w:val="000000"/>
                <w:kern w:val="0"/>
                <w:sz w:val="22"/>
              </w:rPr>
            </w:pPr>
          </w:p>
        </w:tc>
        <w:tc>
          <w:tcPr>
            <w:tcW w:w="323" w:type="dxa"/>
            <w:tcBorders>
              <w:top w:val="nil"/>
              <w:left w:val="nil"/>
              <w:bottom w:val="nil"/>
              <w:right w:val="nil"/>
            </w:tcBorders>
            <w:noWrap/>
            <w:vAlign w:val="bottom"/>
          </w:tcPr>
          <w:p>
            <w:pPr>
              <w:widowControl/>
              <w:jc w:val="left"/>
              <w:rPr>
                <w:rFonts w:ascii="宋体" w:cs="宋体"/>
                <w:color w:val="000000"/>
                <w:kern w:val="0"/>
                <w:sz w:val="22"/>
              </w:rPr>
            </w:pPr>
          </w:p>
        </w:tc>
        <w:tc>
          <w:tcPr>
            <w:tcW w:w="323" w:type="dxa"/>
            <w:tcBorders>
              <w:top w:val="nil"/>
              <w:left w:val="nil"/>
              <w:bottom w:val="nil"/>
              <w:right w:val="nil"/>
            </w:tcBorders>
            <w:noWrap/>
            <w:vAlign w:val="bottom"/>
          </w:tcPr>
          <w:p>
            <w:pPr>
              <w:widowControl/>
              <w:jc w:val="left"/>
              <w:rPr>
                <w:rFonts w:ascii="宋体" w:cs="宋体"/>
                <w:color w:val="000000"/>
                <w:kern w:val="0"/>
                <w:sz w:val="22"/>
              </w:rPr>
            </w:pPr>
          </w:p>
        </w:tc>
        <w:tc>
          <w:tcPr>
            <w:tcW w:w="1925" w:type="dxa"/>
            <w:tcBorders>
              <w:top w:val="nil"/>
              <w:left w:val="nil"/>
              <w:bottom w:val="nil"/>
              <w:right w:val="nil"/>
            </w:tcBorders>
            <w:noWrap/>
            <w:vAlign w:val="bottom"/>
          </w:tcPr>
          <w:p>
            <w:pPr>
              <w:widowControl/>
              <w:jc w:val="left"/>
              <w:rPr>
                <w:rFonts w:ascii="宋体" w:cs="宋体"/>
                <w:color w:val="000000"/>
                <w:kern w:val="0"/>
                <w:sz w:val="22"/>
              </w:rPr>
            </w:pPr>
          </w:p>
        </w:tc>
        <w:tc>
          <w:tcPr>
            <w:tcW w:w="249" w:type="dxa"/>
            <w:tcBorders>
              <w:top w:val="nil"/>
              <w:left w:val="nil"/>
              <w:bottom w:val="nil"/>
              <w:right w:val="nil"/>
            </w:tcBorders>
            <w:noWrap/>
            <w:vAlign w:val="bottom"/>
          </w:tcPr>
          <w:p>
            <w:pPr>
              <w:widowControl/>
              <w:jc w:val="left"/>
              <w:rPr>
                <w:rFonts w:ascii="宋体" w:cs="宋体"/>
                <w:color w:val="000000"/>
                <w:kern w:val="0"/>
                <w:sz w:val="22"/>
              </w:rPr>
            </w:pPr>
          </w:p>
        </w:tc>
        <w:tc>
          <w:tcPr>
            <w:tcW w:w="3275" w:type="dxa"/>
            <w:gridSpan w:val="2"/>
            <w:tcBorders>
              <w:top w:val="nil"/>
              <w:left w:val="nil"/>
              <w:bottom w:val="nil"/>
              <w:right w:val="nil"/>
            </w:tcBorders>
            <w:noWrap/>
            <w:vAlign w:val="bottom"/>
          </w:tcPr>
          <w:p>
            <w:pPr>
              <w:widowControl/>
              <w:jc w:val="left"/>
              <w:rPr>
                <w:rFonts w:ascii="宋体" w:cs="宋体"/>
                <w:color w:val="000000"/>
                <w:kern w:val="0"/>
                <w:sz w:val="22"/>
              </w:rPr>
            </w:pPr>
          </w:p>
        </w:tc>
        <w:tc>
          <w:tcPr>
            <w:tcW w:w="249" w:type="dxa"/>
            <w:tcBorders>
              <w:top w:val="nil"/>
              <w:left w:val="nil"/>
              <w:bottom w:val="nil"/>
              <w:right w:val="nil"/>
            </w:tcBorders>
            <w:noWrap/>
            <w:vAlign w:val="bottom"/>
          </w:tcPr>
          <w:p>
            <w:pPr>
              <w:widowControl/>
              <w:jc w:val="left"/>
              <w:rPr>
                <w:rFonts w:ascii="宋体" w:cs="宋体"/>
                <w:color w:val="000000"/>
                <w:kern w:val="0"/>
                <w:sz w:val="22"/>
              </w:rPr>
            </w:pPr>
          </w:p>
        </w:tc>
        <w:tc>
          <w:tcPr>
            <w:tcW w:w="249" w:type="dxa"/>
            <w:tcBorders>
              <w:top w:val="nil"/>
              <w:left w:val="nil"/>
              <w:bottom w:val="nil"/>
              <w:right w:val="nil"/>
            </w:tcBorders>
            <w:noWrap/>
            <w:vAlign w:val="bottom"/>
          </w:tcPr>
          <w:p>
            <w:pPr>
              <w:widowControl/>
              <w:jc w:val="left"/>
              <w:rPr>
                <w:rFonts w:asci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XX</w:t>
            </w:r>
            <w:r>
              <w:rPr>
                <w:rFonts w:hint="eastAsia" w:ascii="宋体" w:hAnsi="宋体" w:cs="宋体"/>
                <w:kern w:val="0"/>
                <w:sz w:val="18"/>
                <w:szCs w:val="18"/>
              </w:rPr>
              <w:t>单位</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XXXXX</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pPr>
              <w:widowControl/>
              <w:jc w:val="lef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cols w:space="425" w:num="1"/>
          <w:docGrid w:type="lines" w:linePitch="312" w:charSpace="0"/>
        </w:sectPr>
      </w:pPr>
    </w:p>
    <w:p>
      <w:pPr>
        <w:widowControl/>
        <w:numPr>
          <w:ilvl w:val="0"/>
          <w:numId w:val="1"/>
        </w:numPr>
        <w:spacing w:line="560" w:lineRule="exact"/>
        <w:ind w:firstLine="630" w:firstLineChars="196"/>
        <w:jc w:val="left"/>
        <w:rPr>
          <w:rFonts w:hint="eastAsia" w:ascii="楷体_GB2312" w:hAnsi="宋体" w:eastAsia="楷体_GB2312" w:cs="宋体"/>
          <w:b/>
          <w:kern w:val="0"/>
          <w:sz w:val="32"/>
          <w:szCs w:val="32"/>
        </w:rPr>
      </w:pPr>
      <w:r>
        <w:rPr>
          <w:rFonts w:hint="eastAsia" w:ascii="楷体_GB2312" w:hAnsi="宋体" w:eastAsia="楷体_GB2312" w:cs="宋体"/>
          <w:b/>
          <w:kern w:val="0"/>
          <w:sz w:val="32"/>
          <w:szCs w:val="32"/>
        </w:rPr>
        <w:t>其他需说明的事项：</w:t>
      </w:r>
    </w:p>
    <w:p>
      <w:pPr>
        <w:spacing w:line="550" w:lineRule="exact"/>
        <w:ind w:firstLine="640" w:firstLineChars="200"/>
        <w:rPr>
          <w:rFonts w:hint="eastAsia" w:ascii="仿宋_GB2312" w:eastAsia="仿宋_GB2312"/>
          <w:sz w:val="32"/>
          <w:szCs w:val="32"/>
        </w:rPr>
      </w:pPr>
      <w:bookmarkStart w:id="0" w:name="_GoBack"/>
      <w:bookmarkEnd w:id="0"/>
      <w:r>
        <w:rPr>
          <w:rFonts w:hint="eastAsia" w:ascii="仿宋_GB2312" w:eastAsia="仿宋_GB2312"/>
          <w:sz w:val="32"/>
          <w:szCs w:val="32"/>
          <w:lang w:eastAsia="zh-CN"/>
        </w:rPr>
        <w:t>无</w:t>
      </w:r>
      <w:r>
        <w:rPr>
          <w:rFonts w:hint="eastAsia" w:ascii="仿宋_GB2312" w:eastAsia="仿宋_GB2312"/>
          <w:sz w:val="32"/>
          <w:szCs w:val="32"/>
        </w:rPr>
        <w:t>其他需说明的事项</w:t>
      </w:r>
    </w:p>
    <w:p>
      <w:pPr>
        <w:widowControl/>
        <w:spacing w:before="156" w:beforeLines="50"/>
        <w:jc w:val="center"/>
        <w:outlineLvl w:val="1"/>
        <w:rPr>
          <w:rFonts w:ascii="黑体" w:hAnsi="黑体" w:eastAsia="黑体"/>
          <w:kern w:val="0"/>
          <w:sz w:val="32"/>
          <w:szCs w:val="32"/>
        </w:rPr>
      </w:pP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w:t>
      </w:r>
      <w:r>
        <w:rPr>
          <w:rFonts w:ascii="黑体" w:hAnsi="黑体" w:eastAsia="黑体"/>
          <w:kern w:val="0"/>
          <w:sz w:val="32"/>
          <w:szCs w:val="32"/>
        </w:rPr>
        <w:t xml:space="preserve">  </w:t>
      </w:r>
      <w:r>
        <w:rPr>
          <w:rFonts w:hint="eastAsia" w:ascii="黑体" w:hAnsi="黑体" w:eastAsia="黑体"/>
          <w:kern w:val="0"/>
          <w:sz w:val="32"/>
          <w:szCs w:val="32"/>
        </w:rPr>
        <w:t>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部门支出预算的组成部分，是自治区本级部门为完成其特定的行政任务或事业发展目标，在基本支出预算之外编制的年度项目支出计划。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区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60" w:lineRule="exact"/>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w:t>
      </w:r>
    </w:p>
    <w:p>
      <w:pPr>
        <w:widowControl/>
        <w:spacing w:line="560" w:lineRule="exact"/>
        <w:ind w:left="4320" w:hanging="4320" w:hangingChars="1350"/>
        <w:jc w:val="left"/>
        <w:rPr>
          <w:rFonts w:ascii="仿宋_GB2312" w:hAnsi="宋体" w:eastAsia="仿宋_GB2312" w:cs="宋体"/>
          <w:kern w:val="0"/>
          <w:sz w:val="32"/>
          <w:szCs w:val="32"/>
        </w:rPr>
      </w:pP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 xml:space="preserve">    </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昌吉州第二中学</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 xml:space="preserve">         </w:t>
      </w:r>
    </w:p>
    <w:p>
      <w:pPr>
        <w:widowControl/>
        <w:spacing w:line="560" w:lineRule="exact"/>
        <w:ind w:left="4320" w:hanging="4320" w:hangingChars="13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2019年1月31日</w:t>
      </w:r>
    </w:p>
    <w:p>
      <w:pPr>
        <w:widowControl/>
        <w:spacing w:line="560" w:lineRule="exact"/>
        <w:ind w:left="4320" w:hanging="4320" w:hangingChars="1350"/>
        <w:jc w:val="left"/>
        <w:rPr>
          <w:rFonts w:ascii="仿宋_GB2312" w:hAnsi="宋体" w:eastAsia="仿宋_GB2312" w:cs="宋体"/>
          <w:kern w:val="0"/>
          <w:sz w:val="32"/>
          <w:szCs w:val="32"/>
        </w:rPr>
      </w:pP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Helvetica">
    <w:altName w:val="Arial"/>
    <w:panose1 w:val="020B0504020202020204"/>
    <w:charset w:val="00"/>
    <w:family w:val="swiss"/>
    <w:pitch w:val="default"/>
    <w:sig w:usb0="00000000" w:usb1="00000000" w:usb2="00000000" w:usb3="00000000" w:csb0="00000001" w:csb1="00000000"/>
  </w:font>
  <w:font w:name="方正小标宋_GBK">
    <w:altName w:val="微软雅黑"/>
    <w:panose1 w:val="00000000000000000000"/>
    <w:charset w:val="86"/>
    <w:family w:val="script"/>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16</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58CDC09"/>
    <w:multiLevelType w:val="singleLevel"/>
    <w:tmpl w:val="D58CDC09"/>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144"/>
    <w:rsid w:val="000114FF"/>
    <w:rsid w:val="00033ECA"/>
    <w:rsid w:val="00036FF2"/>
    <w:rsid w:val="00045D1B"/>
    <w:rsid w:val="000703A6"/>
    <w:rsid w:val="00085146"/>
    <w:rsid w:val="000D42C3"/>
    <w:rsid w:val="00121E5E"/>
    <w:rsid w:val="001336B0"/>
    <w:rsid w:val="00163411"/>
    <w:rsid w:val="001833B0"/>
    <w:rsid w:val="00192F55"/>
    <w:rsid w:val="0019651E"/>
    <w:rsid w:val="001E2267"/>
    <w:rsid w:val="001F0F11"/>
    <w:rsid w:val="0023522E"/>
    <w:rsid w:val="002476F7"/>
    <w:rsid w:val="00293570"/>
    <w:rsid w:val="002B4676"/>
    <w:rsid w:val="002B5144"/>
    <w:rsid w:val="002C1114"/>
    <w:rsid w:val="002C1996"/>
    <w:rsid w:val="002C2E1A"/>
    <w:rsid w:val="002F0049"/>
    <w:rsid w:val="00305D05"/>
    <w:rsid w:val="00320FF6"/>
    <w:rsid w:val="00325B17"/>
    <w:rsid w:val="00357D41"/>
    <w:rsid w:val="00360F66"/>
    <w:rsid w:val="00362DC2"/>
    <w:rsid w:val="00372D63"/>
    <w:rsid w:val="003A2E83"/>
    <w:rsid w:val="003A690B"/>
    <w:rsid w:val="003A6D9C"/>
    <w:rsid w:val="003B1004"/>
    <w:rsid w:val="003B35A7"/>
    <w:rsid w:val="003B39FB"/>
    <w:rsid w:val="003B4A39"/>
    <w:rsid w:val="003E61F1"/>
    <w:rsid w:val="004003C7"/>
    <w:rsid w:val="00407C14"/>
    <w:rsid w:val="00455B33"/>
    <w:rsid w:val="004801F8"/>
    <w:rsid w:val="004C1E3D"/>
    <w:rsid w:val="005A4AA3"/>
    <w:rsid w:val="005B0C3B"/>
    <w:rsid w:val="00626420"/>
    <w:rsid w:val="00643145"/>
    <w:rsid w:val="00654254"/>
    <w:rsid w:val="00687031"/>
    <w:rsid w:val="00695DBF"/>
    <w:rsid w:val="006B2608"/>
    <w:rsid w:val="006D3D6B"/>
    <w:rsid w:val="00726DB9"/>
    <w:rsid w:val="00737244"/>
    <w:rsid w:val="00757310"/>
    <w:rsid w:val="007854BB"/>
    <w:rsid w:val="007A1564"/>
    <w:rsid w:val="007A4153"/>
    <w:rsid w:val="007A5396"/>
    <w:rsid w:val="007A5A31"/>
    <w:rsid w:val="00803BCF"/>
    <w:rsid w:val="008228D8"/>
    <w:rsid w:val="00841512"/>
    <w:rsid w:val="00842776"/>
    <w:rsid w:val="0089117F"/>
    <w:rsid w:val="008B391E"/>
    <w:rsid w:val="008D7629"/>
    <w:rsid w:val="00970841"/>
    <w:rsid w:val="0098357B"/>
    <w:rsid w:val="009A3CDF"/>
    <w:rsid w:val="009A4CB8"/>
    <w:rsid w:val="009B0D2C"/>
    <w:rsid w:val="009C0E64"/>
    <w:rsid w:val="009C1F6F"/>
    <w:rsid w:val="009D6D51"/>
    <w:rsid w:val="009E26C9"/>
    <w:rsid w:val="009F5B81"/>
    <w:rsid w:val="00A71B37"/>
    <w:rsid w:val="00AE6673"/>
    <w:rsid w:val="00AE6AD0"/>
    <w:rsid w:val="00B0477B"/>
    <w:rsid w:val="00B05B6F"/>
    <w:rsid w:val="00B13C7A"/>
    <w:rsid w:val="00B21360"/>
    <w:rsid w:val="00B650B3"/>
    <w:rsid w:val="00B7009F"/>
    <w:rsid w:val="00B70343"/>
    <w:rsid w:val="00B97778"/>
    <w:rsid w:val="00BA05C5"/>
    <w:rsid w:val="00BA6C94"/>
    <w:rsid w:val="00BD3AA8"/>
    <w:rsid w:val="00BF7D2B"/>
    <w:rsid w:val="00C023E2"/>
    <w:rsid w:val="00C36527"/>
    <w:rsid w:val="00C60618"/>
    <w:rsid w:val="00CB67B7"/>
    <w:rsid w:val="00D003D4"/>
    <w:rsid w:val="00D07749"/>
    <w:rsid w:val="00D45554"/>
    <w:rsid w:val="00D73372"/>
    <w:rsid w:val="00D95B2F"/>
    <w:rsid w:val="00DA6C62"/>
    <w:rsid w:val="00DD3530"/>
    <w:rsid w:val="00DF670B"/>
    <w:rsid w:val="00E64413"/>
    <w:rsid w:val="00E8500C"/>
    <w:rsid w:val="00ED0FF5"/>
    <w:rsid w:val="00EE458B"/>
    <w:rsid w:val="00F0190E"/>
    <w:rsid w:val="00F22035"/>
    <w:rsid w:val="00F4127B"/>
    <w:rsid w:val="00F457EC"/>
    <w:rsid w:val="00F77680"/>
    <w:rsid w:val="00F901D0"/>
    <w:rsid w:val="00F909F0"/>
    <w:rsid w:val="00FA70BA"/>
    <w:rsid w:val="00FB4BE8"/>
    <w:rsid w:val="00FC32FD"/>
    <w:rsid w:val="00FC6ABD"/>
    <w:rsid w:val="00FC793C"/>
    <w:rsid w:val="00FF3A7F"/>
    <w:rsid w:val="012825D6"/>
    <w:rsid w:val="052953B4"/>
    <w:rsid w:val="08B72B73"/>
    <w:rsid w:val="1B1B7CB0"/>
    <w:rsid w:val="331C4E4D"/>
    <w:rsid w:val="37143318"/>
    <w:rsid w:val="37D74E62"/>
    <w:rsid w:val="3B3F5E8F"/>
    <w:rsid w:val="49C47D92"/>
    <w:rsid w:val="4DED25FD"/>
    <w:rsid w:val="4F5A406E"/>
    <w:rsid w:val="5C156964"/>
    <w:rsid w:val="5E7409E4"/>
    <w:rsid w:val="73EB5FC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99" w:semiHidden="0"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4"/>
    <w:semiHidden/>
    <w:qFormat/>
    <w:uiPriority w:val="99"/>
    <w:rPr>
      <w:sz w:val="18"/>
      <w:szCs w:val="18"/>
    </w:rPr>
  </w:style>
  <w:style w:type="paragraph" w:styleId="3">
    <w:name w:val="footer"/>
    <w:basedOn w:val="1"/>
    <w:link w:val="12"/>
    <w:qFormat/>
    <w:uiPriority w:val="99"/>
    <w:pPr>
      <w:tabs>
        <w:tab w:val="center" w:pos="4153"/>
        <w:tab w:val="right" w:pos="8306"/>
      </w:tabs>
      <w:snapToGrid w:val="0"/>
      <w:jc w:val="left"/>
    </w:pPr>
    <w:rPr>
      <w:rFonts w:eastAsia="黑体"/>
      <w:kern w:val="0"/>
      <w:sz w:val="18"/>
      <w:szCs w:val="18"/>
    </w:rPr>
  </w:style>
  <w:style w:type="paragraph" w:styleId="4">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6"/>
    <w:qFormat/>
    <w:uiPriority w:val="99"/>
    <w:pPr>
      <w:pBdr>
        <w:top w:val="single" w:color="auto" w:sz="12" w:space="1"/>
        <w:bottom w:val="single" w:color="auto" w:sz="12" w:space="1"/>
      </w:pBdr>
      <w:spacing w:line="600" w:lineRule="exact"/>
      <w:ind w:left="1280" w:hanging="1280" w:hangingChars="400"/>
    </w:pPr>
    <w:rPr>
      <w:rFonts w:eastAsia="仿宋_GB2312"/>
      <w:sz w:val="32"/>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0">
    <w:name w:val="Strong"/>
    <w:qFormat/>
    <w:uiPriority w:val="99"/>
    <w:rPr>
      <w:rFonts w:cs="Times New Roman"/>
      <w:b/>
    </w:rPr>
  </w:style>
  <w:style w:type="character" w:styleId="11">
    <w:name w:val="page number"/>
    <w:qFormat/>
    <w:uiPriority w:val="99"/>
    <w:rPr>
      <w:rFonts w:cs="Times New Roman"/>
    </w:rPr>
  </w:style>
  <w:style w:type="character" w:customStyle="1" w:styleId="12">
    <w:name w:val="页脚 Char"/>
    <w:link w:val="3"/>
    <w:qFormat/>
    <w:locked/>
    <w:uiPriority w:val="99"/>
    <w:rPr>
      <w:rFonts w:ascii="Times New Roman" w:hAnsi="Times New Roman" w:eastAsia="黑体" w:cs="Times New Roman"/>
      <w:snapToGrid w:val="0"/>
      <w:kern w:val="0"/>
      <w:sz w:val="18"/>
      <w:szCs w:val="18"/>
    </w:rPr>
  </w:style>
  <w:style w:type="paragraph" w:customStyle="1" w:styleId="13">
    <w:name w:val="f1"/>
    <w:basedOn w:val="1"/>
    <w:qFormat/>
    <w:uiPriority w:val="99"/>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4">
    <w:name w:val="批注框文本 Char"/>
    <w:link w:val="2"/>
    <w:semiHidden/>
    <w:qFormat/>
    <w:locked/>
    <w:uiPriority w:val="99"/>
    <w:rPr>
      <w:rFonts w:ascii="Times New Roman" w:hAnsi="Times New Roman" w:eastAsia="宋体" w:cs="Times New Roman"/>
      <w:sz w:val="18"/>
      <w:szCs w:val="18"/>
    </w:rPr>
  </w:style>
  <w:style w:type="character" w:customStyle="1" w:styleId="15">
    <w:name w:val="页眉 Char"/>
    <w:link w:val="4"/>
    <w:qFormat/>
    <w:locked/>
    <w:uiPriority w:val="99"/>
    <w:rPr>
      <w:rFonts w:ascii="Times New Roman" w:hAnsi="Times New Roman" w:eastAsia="宋体" w:cs="Times New Roman"/>
      <w:sz w:val="18"/>
      <w:szCs w:val="18"/>
    </w:rPr>
  </w:style>
  <w:style w:type="character" w:customStyle="1" w:styleId="16">
    <w:name w:val="正文文本缩进 3 Char"/>
    <w:link w:val="5"/>
    <w:qFormat/>
    <w:locked/>
    <w:uiPriority w:val="99"/>
    <w:rPr>
      <w:rFonts w:ascii="Times New Roman" w:hAnsi="Times New Roman" w:eastAsia="仿宋_GB2312" w:cs="Times New Roman"/>
      <w:sz w:val="24"/>
      <w:szCs w:val="24"/>
    </w:rPr>
  </w:style>
  <w:style w:type="paragraph" w:styleId="17">
    <w:name w:val="List Paragraph"/>
    <w:basedOn w:val="1"/>
    <w:qFormat/>
    <w:uiPriority w:val="99"/>
    <w:pPr>
      <w:ind w:firstLine="420" w:firstLineChars="200"/>
    </w:pPr>
    <w:rPr>
      <w:rFonts w:ascii="Calibri" w:hAnsi="Calibri"/>
      <w:szCs w:val="22"/>
    </w:rPr>
  </w:style>
  <w:style w:type="paragraph" w:customStyle="1" w:styleId="18">
    <w:name w:val="普通(网站)1"/>
    <w:basedOn w:val="1"/>
    <w:qFormat/>
    <w:uiPriority w:val="99"/>
    <w:rPr>
      <w:rFonts w:ascii="Calibri" w:hAnsi="Calibri" w:cs="黑体"/>
      <w:sz w:val="24"/>
    </w:rPr>
  </w:style>
  <w:style w:type="paragraph" w:customStyle="1" w:styleId="19">
    <w:name w:val="普通(网站)2"/>
    <w:basedOn w:val="1"/>
    <w:qFormat/>
    <w:uiPriority w:val="99"/>
    <w:rPr>
      <w:rFonts w:ascii="Calibri" w:hAnsi="Calibri" w:cs="黑体"/>
      <w:sz w:val="24"/>
    </w:rPr>
  </w:style>
  <w:style w:type="paragraph" w:customStyle="1" w:styleId="20">
    <w:name w:val="普通(网站)3"/>
    <w:basedOn w:val="1"/>
    <w:qFormat/>
    <w:uiPriority w:val="99"/>
    <w:rPr>
      <w:rFonts w:ascii="Calibri" w:hAnsi="Calibri" w:cs="黑体"/>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5560</Words>
  <Characters>4750</Characters>
  <Lines>39</Lines>
  <Paragraphs>20</Paragraphs>
  <TotalTime>1</TotalTime>
  <ScaleCrop>false</ScaleCrop>
  <LinksUpToDate>false</LinksUpToDate>
  <CharactersWithSpaces>10290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2019-04-15T12:47:00Z</dcterms:created>
  <dc:creator>王怡</dc:creator>
  <cp:lastModifiedBy>admin</cp:lastModifiedBy>
  <dcterms:modified xsi:type="dcterms:W3CDTF">2021-05-27T11:28:59Z</dcterms:modified>
  <dc:title>附件：</dc:title>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92AB123CF4DB4AA3A36BED5C0DBA32A6</vt:lpwstr>
  </property>
</Properties>
</file>