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昌吉州文化馆2019年部门预算公开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6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昌吉州文化馆概况</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2019年部门预算公开</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2019年部门预算情况说明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一、关于昌吉州文化馆2019年收支预算情况的总体说明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二、关于昌吉州文化馆2019年收入预算情况说明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三、关于昌吉州文化馆2019年支出预算情况说明</w:t>
      </w:r>
    </w:p>
    <w:p>
      <w:pPr>
        <w:widowControl/>
        <w:spacing w:line="5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四、关于昌吉州文化馆2019年财政拨款收支预算情况的总体说明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五、关于昌吉州文化馆2019年一般公共预算当年拨款情况说明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六、关于昌吉州文化馆2019年一般公共预算基本支出情况说明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七、关于昌吉州文化馆2019年项目支出情况说明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八、关于昌吉州文化馆2019年一般公共预算“三公”经费预算情况说明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九、关于昌吉州文化馆2019年政府性基金预算拨款情况说明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昌吉州文化馆单位概况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昌吉回族自治昌吉州文化馆是州文广局下属的全额拨款的公益一类事业单位。单位宗旨是开展群众文化艺术活动,促进文化艺术繁荣。职能：群众文化艺术活动的研究，指导、组织、辅导群众文化活动，传播科学文化知识“群众文化艺术场所的提供与管理，文化艺术的推广与普及。相关产业经营。</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昌吉州文化馆无下属预算单位，下设办公室，业务部，调研室，非遗中心四个部门。</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单位编制数18，实有人数36人，其中：在职</w:t>
      </w:r>
      <w:r>
        <w:rPr>
          <w:rFonts w:hint="eastAsia" w:ascii="仿宋_GB2312" w:hAnsi="宋体" w:eastAsia="仿宋_GB2312" w:cs="宋体"/>
          <w:kern w:val="0"/>
          <w:sz w:val="32"/>
          <w:szCs w:val="32"/>
          <w:lang w:val="en-US" w:eastAsia="zh-CN"/>
        </w:rPr>
        <w:t>36</w:t>
      </w:r>
      <w:r>
        <w:rPr>
          <w:rFonts w:hint="eastAsia" w:ascii="仿宋_GB2312" w:hAnsi="宋体" w:eastAsia="仿宋_GB2312" w:cs="宋体"/>
          <w:kern w:val="0"/>
          <w:sz w:val="32"/>
          <w:szCs w:val="32"/>
        </w:rPr>
        <w:t>人，较上年预算人数减少3人；退休22人，较上年预算人数增加2人；离休0人，较上年预算人数增加或减少0人。</w:t>
      </w: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outlineLvl w:val="1"/>
        <w:rPr>
          <w:rFonts w:ascii="黑体" w:hAnsi="黑体" w:eastAsia="黑体"/>
          <w:kern w:val="0"/>
          <w:sz w:val="32"/>
          <w:szCs w:val="32"/>
        </w:rPr>
      </w:pPr>
    </w:p>
    <w:p>
      <w:pPr>
        <w:widowControl/>
        <w:spacing w:before="120" w:beforeLines="50"/>
        <w:ind w:firstLine="1600" w:firstLineChars="500"/>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编制部门：昌吉州文化馆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198.97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198.97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198.97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198.97</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198.97</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198.97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198.97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编制部门：昌吉州文化馆                                           单位：万元</w:t>
      </w:r>
    </w:p>
    <w:tbl>
      <w:tblPr>
        <w:tblStyle w:val="7"/>
        <w:tblW w:w="9654" w:type="dxa"/>
        <w:tblInd w:w="93" w:type="dxa"/>
        <w:tblLayout w:type="fixed"/>
        <w:tblCellMar>
          <w:top w:w="0" w:type="dxa"/>
          <w:left w:w="108" w:type="dxa"/>
          <w:bottom w:w="0" w:type="dxa"/>
          <w:right w:w="108" w:type="dxa"/>
        </w:tblCellMar>
      </w:tblPr>
      <w:tblGrid>
        <w:gridCol w:w="441"/>
        <w:gridCol w:w="393"/>
        <w:gridCol w:w="417"/>
        <w:gridCol w:w="1883"/>
        <w:gridCol w:w="850"/>
        <w:gridCol w:w="912"/>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8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5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1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8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宋体"/>
                <w:color w:val="000000"/>
                <w:sz w:val="20"/>
                <w:szCs w:val="20"/>
              </w:rPr>
            </w:pPr>
            <w:r>
              <w:rPr>
                <w:rFonts w:ascii="仿宋" w:hAnsi="仿宋" w:eastAsia="仿宋" w:cs="Dialog"/>
                <w:color w:val="000000"/>
                <w:kern w:val="0"/>
                <w:sz w:val="20"/>
                <w:szCs w:val="20"/>
                <w:lang w:bidi="ar"/>
              </w:rPr>
              <w:t>2</w:t>
            </w:r>
            <w:r>
              <w:rPr>
                <w:rFonts w:hint="eastAsia" w:ascii="仿宋" w:hAnsi="仿宋" w:eastAsia="仿宋" w:cs="Dialog"/>
                <w:color w:val="000000"/>
                <w:kern w:val="0"/>
                <w:sz w:val="20"/>
                <w:szCs w:val="20"/>
                <w:lang w:bidi="ar"/>
              </w:rPr>
              <w:t>07</w:t>
            </w:r>
          </w:p>
        </w:tc>
        <w:tc>
          <w:tcPr>
            <w:tcW w:w="39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宋体"/>
                <w:color w:val="000000"/>
                <w:sz w:val="20"/>
                <w:szCs w:val="20"/>
              </w:rPr>
            </w:pPr>
            <w:r>
              <w:rPr>
                <w:rFonts w:ascii="仿宋" w:hAnsi="仿宋" w:eastAsia="仿宋" w:cs="Dialog"/>
                <w:color w:val="000000"/>
                <w:kern w:val="0"/>
                <w:sz w:val="20"/>
                <w:szCs w:val="20"/>
                <w:lang w:bidi="ar"/>
              </w:rPr>
              <w:t>01</w:t>
            </w:r>
          </w:p>
        </w:tc>
        <w:tc>
          <w:tcPr>
            <w:tcW w:w="41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宋体"/>
                <w:color w:val="000000"/>
                <w:sz w:val="20"/>
                <w:szCs w:val="20"/>
              </w:rPr>
            </w:pPr>
            <w:r>
              <w:rPr>
                <w:rFonts w:ascii="仿宋" w:hAnsi="仿宋" w:eastAsia="仿宋" w:cs="Dialog"/>
                <w:color w:val="000000"/>
                <w:kern w:val="0"/>
                <w:sz w:val="20"/>
                <w:szCs w:val="20"/>
                <w:lang w:bidi="ar"/>
              </w:rPr>
              <w:t>09</w:t>
            </w:r>
          </w:p>
        </w:tc>
        <w:tc>
          <w:tcPr>
            <w:tcW w:w="1883"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宋体"/>
                <w:color w:val="000000"/>
                <w:sz w:val="20"/>
                <w:szCs w:val="20"/>
              </w:rPr>
            </w:pPr>
            <w:r>
              <w:rPr>
                <w:rFonts w:ascii="仿宋" w:hAnsi="仿宋" w:eastAsia="仿宋" w:cs="Dialog"/>
                <w:color w:val="000000"/>
                <w:kern w:val="0"/>
                <w:sz w:val="20"/>
                <w:szCs w:val="20"/>
                <w:lang w:bidi="ar"/>
              </w:rPr>
              <w:t>群众文化</w:t>
            </w:r>
          </w:p>
        </w:tc>
        <w:tc>
          <w:tcPr>
            <w:tcW w:w="85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宋体"/>
                <w:color w:val="000000"/>
                <w:sz w:val="20"/>
                <w:szCs w:val="20"/>
              </w:rPr>
            </w:pPr>
            <w:r>
              <w:rPr>
                <w:rFonts w:ascii="仿宋" w:hAnsi="仿宋" w:eastAsia="仿宋" w:cs="Dialog"/>
                <w:color w:val="000000"/>
                <w:kern w:val="0"/>
                <w:sz w:val="20"/>
                <w:szCs w:val="20"/>
                <w:lang w:bidi="ar"/>
              </w:rPr>
              <w:t>198.97</w:t>
            </w:r>
          </w:p>
        </w:tc>
        <w:tc>
          <w:tcPr>
            <w:tcW w:w="91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宋体"/>
                <w:color w:val="000000"/>
                <w:sz w:val="20"/>
                <w:szCs w:val="20"/>
              </w:rPr>
            </w:pPr>
            <w:r>
              <w:rPr>
                <w:rFonts w:ascii="仿宋" w:hAnsi="仿宋" w:eastAsia="仿宋" w:cs="Dialog"/>
                <w:color w:val="000000"/>
                <w:kern w:val="0"/>
                <w:sz w:val="20"/>
                <w:szCs w:val="20"/>
                <w:lang w:bidi="ar"/>
              </w:rPr>
              <w:t>198.97</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 w:hAnsi="仿宋" w:eastAsia="仿宋" w:cs="宋体"/>
                <w:color w:val="000000"/>
                <w:sz w:val="20"/>
                <w:szCs w:val="20"/>
              </w:rPr>
            </w:pPr>
            <w:r>
              <w:rPr>
                <w:rFonts w:hint="eastAsia" w:ascii="仿宋" w:hAnsi="仿宋" w:eastAsia="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8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198.97　</w:t>
            </w:r>
          </w:p>
        </w:tc>
        <w:tc>
          <w:tcPr>
            <w:tcW w:w="91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198.97</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编制部门：昌吉州文化馆                                       单位：万元</w:t>
      </w:r>
    </w:p>
    <w:tbl>
      <w:tblPr>
        <w:tblStyle w:val="7"/>
        <w:tblW w:w="9229" w:type="dxa"/>
        <w:tblInd w:w="93" w:type="dxa"/>
        <w:tblLayout w:type="fixed"/>
        <w:tblCellMar>
          <w:top w:w="0" w:type="dxa"/>
          <w:left w:w="108" w:type="dxa"/>
          <w:bottom w:w="0" w:type="dxa"/>
          <w:right w:w="108" w:type="dxa"/>
        </w:tblCellMar>
      </w:tblPr>
      <w:tblGrid>
        <w:gridCol w:w="565"/>
        <w:gridCol w:w="443"/>
        <w:gridCol w:w="425"/>
        <w:gridCol w:w="1843"/>
        <w:gridCol w:w="2384"/>
        <w:gridCol w:w="1856"/>
        <w:gridCol w:w="1713"/>
      </w:tblGrid>
      <w:tr>
        <w:tblPrEx>
          <w:tblLayout w:type="fixed"/>
          <w:tblCellMar>
            <w:top w:w="0" w:type="dxa"/>
            <w:left w:w="108" w:type="dxa"/>
            <w:bottom w:w="0" w:type="dxa"/>
            <w:right w:w="108" w:type="dxa"/>
          </w:tblCellMar>
        </w:tblPrEx>
        <w:trPr>
          <w:trHeight w:val="345" w:hRule="atLeast"/>
        </w:trPr>
        <w:tc>
          <w:tcPr>
            <w:tcW w:w="327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953"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184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23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184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238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仿宋" w:hAnsi="仿宋" w:eastAsia="仿宋" w:cs="宋体"/>
                <w:b/>
                <w:bCs/>
                <w:color w:val="000000"/>
                <w:kern w:val="0"/>
                <w:sz w:val="20"/>
                <w:szCs w:val="20"/>
              </w:rPr>
            </w:pPr>
            <w:r>
              <w:rPr>
                <w:rFonts w:ascii="仿宋" w:hAnsi="仿宋" w:eastAsia="仿宋" w:cs="Dialog"/>
                <w:color w:val="000000"/>
                <w:kern w:val="0"/>
                <w:sz w:val="20"/>
                <w:szCs w:val="20"/>
                <w:lang w:bidi="ar"/>
              </w:rPr>
              <w:t>207</w:t>
            </w:r>
          </w:p>
        </w:tc>
        <w:tc>
          <w:tcPr>
            <w:tcW w:w="443"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宋体"/>
                <w:b/>
                <w:bCs/>
                <w:color w:val="000000"/>
                <w:kern w:val="0"/>
                <w:sz w:val="20"/>
                <w:szCs w:val="20"/>
              </w:rPr>
            </w:pPr>
            <w:r>
              <w:rPr>
                <w:rFonts w:ascii="仿宋" w:hAnsi="仿宋" w:eastAsia="仿宋" w:cs="Dialog"/>
                <w:color w:val="000000"/>
                <w:kern w:val="0"/>
                <w:sz w:val="20"/>
                <w:szCs w:val="20"/>
                <w:lang w:bidi="ar"/>
              </w:rPr>
              <w:t>01</w:t>
            </w:r>
          </w:p>
        </w:tc>
        <w:tc>
          <w:tcPr>
            <w:tcW w:w="425"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宋体"/>
                <w:b/>
                <w:bCs/>
                <w:color w:val="000000"/>
                <w:kern w:val="0"/>
                <w:sz w:val="20"/>
                <w:szCs w:val="20"/>
              </w:rPr>
            </w:pPr>
            <w:r>
              <w:rPr>
                <w:rFonts w:ascii="仿宋" w:hAnsi="仿宋" w:eastAsia="仿宋" w:cs="Dialog"/>
                <w:color w:val="000000"/>
                <w:kern w:val="0"/>
                <w:sz w:val="20"/>
                <w:szCs w:val="20"/>
                <w:lang w:bidi="ar"/>
              </w:rPr>
              <w:t>09</w:t>
            </w:r>
          </w:p>
        </w:tc>
        <w:tc>
          <w:tcPr>
            <w:tcW w:w="1843"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宋体"/>
                <w:b/>
                <w:bCs/>
                <w:color w:val="000000"/>
                <w:kern w:val="0"/>
                <w:sz w:val="20"/>
                <w:szCs w:val="20"/>
              </w:rPr>
            </w:pPr>
            <w:r>
              <w:rPr>
                <w:rFonts w:ascii="仿宋" w:hAnsi="仿宋" w:eastAsia="仿宋" w:cs="Dialog"/>
                <w:color w:val="000000"/>
                <w:kern w:val="0"/>
                <w:sz w:val="20"/>
                <w:szCs w:val="20"/>
                <w:lang w:bidi="ar"/>
              </w:rPr>
              <w:t>群众文化</w:t>
            </w:r>
          </w:p>
        </w:tc>
        <w:tc>
          <w:tcPr>
            <w:tcW w:w="2384"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宋体"/>
                <w:b/>
                <w:bCs/>
                <w:color w:val="000000"/>
                <w:kern w:val="0"/>
                <w:sz w:val="20"/>
                <w:szCs w:val="20"/>
              </w:rPr>
            </w:pPr>
            <w:r>
              <w:rPr>
                <w:rFonts w:ascii="仿宋" w:hAnsi="仿宋" w:eastAsia="仿宋" w:cs="Dialog"/>
                <w:color w:val="000000"/>
                <w:kern w:val="0"/>
                <w:sz w:val="20"/>
                <w:szCs w:val="20"/>
                <w:lang w:bidi="ar"/>
              </w:rPr>
              <w:t>198.97</w:t>
            </w:r>
          </w:p>
        </w:tc>
        <w:tc>
          <w:tcPr>
            <w:tcW w:w="1856"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宋体"/>
                <w:b/>
                <w:bCs/>
                <w:color w:val="000000"/>
                <w:kern w:val="0"/>
                <w:sz w:val="20"/>
                <w:szCs w:val="20"/>
              </w:rPr>
            </w:pPr>
            <w:r>
              <w:rPr>
                <w:rFonts w:ascii="仿宋" w:hAnsi="仿宋" w:eastAsia="仿宋" w:cs="Dialog"/>
                <w:color w:val="000000"/>
                <w:kern w:val="0"/>
                <w:sz w:val="20"/>
                <w:szCs w:val="20"/>
                <w:lang w:bidi="ar"/>
              </w:rPr>
              <w:t>198.97</w:t>
            </w:r>
          </w:p>
        </w:tc>
        <w:tc>
          <w:tcPr>
            <w:tcW w:w="1713"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 w:hAnsi="仿宋" w:eastAsia="仿宋" w:cs="宋体"/>
                <w:b/>
                <w:bCs/>
                <w:color w:val="000000"/>
                <w:kern w:val="0"/>
                <w:sz w:val="20"/>
                <w:szCs w:val="20"/>
              </w:rPr>
            </w:pPr>
            <w:r>
              <w:rPr>
                <w:rFonts w:ascii="仿宋" w:hAnsi="仿宋" w:eastAsia="仿宋" w:cs="Dialog"/>
                <w:color w:val="000000"/>
                <w:kern w:val="0"/>
                <w:sz w:val="20"/>
                <w:szCs w:val="20"/>
                <w:lang w:bidi="ar"/>
              </w:rPr>
              <w:t>0</w:t>
            </w: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16"/>
                <w:szCs w:val="16"/>
              </w:rPr>
            </w:pP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16"/>
                <w:szCs w:val="16"/>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4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843"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合计</w:t>
            </w:r>
          </w:p>
        </w:tc>
        <w:tc>
          <w:tcPr>
            <w:tcW w:w="238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r>
              <w:rPr>
                <w:rFonts w:ascii="Dialog" w:hAnsi="Dialog" w:eastAsia="Dialog" w:cs="Dialog"/>
                <w:color w:val="000000"/>
                <w:kern w:val="0"/>
                <w:sz w:val="18"/>
                <w:szCs w:val="18"/>
                <w:lang w:bidi="ar"/>
              </w:rPr>
              <w:t>198.97</w:t>
            </w:r>
          </w:p>
        </w:tc>
        <w:tc>
          <w:tcPr>
            <w:tcW w:w="185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r>
              <w:rPr>
                <w:rFonts w:ascii="Dialog" w:hAnsi="Dialog" w:eastAsia="Dialog" w:cs="Dialog"/>
                <w:color w:val="000000"/>
                <w:kern w:val="0"/>
                <w:sz w:val="18"/>
                <w:szCs w:val="18"/>
                <w:lang w:bidi="ar"/>
              </w:rPr>
              <w:t>198.97</w:t>
            </w:r>
          </w:p>
        </w:tc>
        <w:tc>
          <w:tcPr>
            <w:tcW w:w="171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outlineLvl w:val="1"/>
        <w:rPr>
          <w:rFonts w:ascii="仿宋_GB2312" w:hAnsi="宋体" w:eastAsia="仿宋_GB2312"/>
          <w:b/>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 xml:space="preserve">昌吉州文化馆            </w:t>
      </w:r>
      <w:r>
        <w:rPr>
          <w:rFonts w:hint="eastAsia" w:ascii="仿宋_GB2312" w:hAnsi="宋体" w:eastAsia="仿宋_GB2312"/>
          <w:kern w:val="0"/>
          <w:sz w:val="28"/>
          <w:szCs w:val="28"/>
        </w:rPr>
        <w:t xml:space="preserve">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198.97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198.97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198.97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198.97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198.97</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198.97　</w:t>
            </w:r>
          </w:p>
        </w:tc>
        <w:tc>
          <w:tcPr>
            <w:tcW w:w="141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198.97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198.97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198.97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198.97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昌吉州文化馆</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207</w:t>
            </w:r>
          </w:p>
        </w:tc>
        <w:tc>
          <w:tcPr>
            <w:tcW w:w="49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01</w:t>
            </w:r>
          </w:p>
        </w:tc>
        <w:tc>
          <w:tcPr>
            <w:tcW w:w="41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09</w:t>
            </w:r>
          </w:p>
        </w:tc>
        <w:tc>
          <w:tcPr>
            <w:tcW w:w="251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群众文化</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198.97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198.97</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ascii="Dialog" w:hAnsi="Dialog" w:eastAsia="Dialog" w:cs="Dialog"/>
                <w:color w:val="000000"/>
                <w:kern w:val="0"/>
                <w:sz w:val="18"/>
                <w:szCs w:val="18"/>
                <w:lang w:bidi="ar"/>
              </w:rPr>
              <w:t>198.97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ascii="Dialog" w:hAnsi="Dialog" w:eastAsia="Dialog" w:cs="Dialog"/>
                <w:color w:val="000000"/>
                <w:kern w:val="0"/>
                <w:sz w:val="18"/>
                <w:szCs w:val="18"/>
                <w:lang w:bidi="ar"/>
              </w:rPr>
              <w:t>198.97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昌吉州文化馆</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55.83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55.83</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03</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3.79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3.79</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06</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15.12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15.12</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32.96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32.96</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08</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18.51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18.51</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10</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20.79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20.79</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16.17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16.17</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12</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0.72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0.72</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11.11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11.11</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物业管理费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18</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专用材料费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28</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1.12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1.12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29</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公务车运行维护费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1.98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1.98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99</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4.11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4.11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1.41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1.41</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14</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职工住宅取暖费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3.3</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198.97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179.71</w:t>
            </w:r>
          </w:p>
        </w:tc>
        <w:tc>
          <w:tcPr>
            <w:tcW w:w="170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19.26</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昌吉州文化馆</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397"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ascii="仿宋_GB2312" w:hAnsi="宋体" w:eastAsia="仿宋_GB2312"/>
                <w:kern w:val="0"/>
                <w:szCs w:val="21"/>
              </w:rPr>
            </w:pP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spacing w:line="580" w:lineRule="exact"/>
        <w:ind w:firstLine="640"/>
        <w:jc w:val="left"/>
        <w:rPr>
          <w:rFonts w:ascii="仿宋_GB2312" w:hAnsi="宋体" w:eastAsia="仿宋_GB2312"/>
          <w:b/>
          <w:kern w:val="0"/>
          <w:sz w:val="32"/>
          <w:szCs w:val="32"/>
        </w:rPr>
      </w:pPr>
      <w:r>
        <w:rPr>
          <w:rFonts w:hint="eastAsia" w:ascii="仿宋_GB2312" w:hAnsi="宋体" w:eastAsia="仿宋_GB2312"/>
          <w:b/>
          <w:kern w:val="0"/>
          <w:sz w:val="28"/>
          <w:szCs w:val="32"/>
        </w:rPr>
        <w:t>备注：本单位</w:t>
      </w:r>
      <w:r>
        <w:rPr>
          <w:rFonts w:ascii="仿宋_GB2312" w:hAnsi="宋体" w:eastAsia="仿宋_GB2312" w:cs="仿宋_GB2312"/>
          <w:b/>
          <w:bCs/>
          <w:kern w:val="0"/>
          <w:sz w:val="28"/>
          <w:szCs w:val="28"/>
        </w:rPr>
        <w:t>2019</w:t>
      </w:r>
      <w:r>
        <w:rPr>
          <w:rFonts w:hint="eastAsia" w:ascii="仿宋_GB2312" w:hAnsi="宋体" w:eastAsia="仿宋_GB2312" w:cs="仿宋_GB2312"/>
          <w:b/>
          <w:bCs/>
          <w:kern w:val="0"/>
          <w:sz w:val="28"/>
          <w:szCs w:val="28"/>
        </w:rPr>
        <w:t>年预算未安排项目支出，</w:t>
      </w:r>
      <w:r>
        <w:rPr>
          <w:rFonts w:hint="eastAsia" w:ascii="仿宋_GB2312" w:hAnsi="宋体" w:eastAsia="仿宋_GB2312"/>
          <w:b/>
          <w:kern w:val="0"/>
          <w:sz w:val="28"/>
          <w:szCs w:val="32"/>
        </w:rPr>
        <w:t>项目支出情况表为空表。</w:t>
      </w: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spacing w:line="580" w:lineRule="exact"/>
        <w:jc w:val="left"/>
        <w:rPr>
          <w:rFonts w:ascii="仿宋_GB2312" w:hAnsi="宋体" w:eastAsia="仿宋_GB2312"/>
          <w:b/>
          <w:kern w:val="0"/>
          <w:sz w:val="32"/>
          <w:szCs w:val="32"/>
        </w:rPr>
      </w:pPr>
      <w:r>
        <w:rPr>
          <w:rFonts w:hint="eastAsia" w:ascii="仿宋_GB2312" w:hAnsi="宋体" w:eastAsia="仿宋_GB2312"/>
          <w:kern w:val="0"/>
          <w:sz w:val="24"/>
        </w:rPr>
        <w:t>编制单位：昌吉州文化馆</w:t>
      </w:r>
      <w:r>
        <w:rPr>
          <w:rFonts w:hint="eastAsia" w:ascii="仿宋_GB2312" w:hAnsi="宋体" w:eastAsia="仿宋_GB2312"/>
          <w:b/>
          <w:kern w:val="0"/>
          <w:sz w:val="32"/>
          <w:szCs w:val="32"/>
        </w:rPr>
        <w:t xml:space="preserve">                               </w:t>
      </w:r>
      <w:r>
        <w:rPr>
          <w:rFonts w:hint="eastAsia" w:ascii="仿宋_GB2312" w:hAnsi="宋体" w:eastAsia="仿宋_GB2312"/>
          <w:kern w:val="0"/>
          <w:sz w:val="24"/>
        </w:rPr>
        <w:t>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1.98</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1.98</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1.98</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编制单位：昌吉州文化馆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备注：本单位</w:t>
      </w:r>
      <w:r>
        <w:rPr>
          <w:rFonts w:ascii="仿宋_GB2312" w:hAnsi="宋体" w:eastAsia="仿宋_GB2312" w:cs="仿宋_GB2312"/>
          <w:b/>
          <w:bCs/>
          <w:kern w:val="0"/>
          <w:sz w:val="28"/>
          <w:szCs w:val="28"/>
        </w:rPr>
        <w:t>2019</w:t>
      </w:r>
      <w:r>
        <w:rPr>
          <w:rFonts w:hint="eastAsia" w:ascii="仿宋_GB2312" w:hAnsi="宋体" w:eastAsia="仿宋_GB2312" w:cs="仿宋_GB2312"/>
          <w:b/>
          <w:bCs/>
          <w:kern w:val="0"/>
          <w:sz w:val="28"/>
          <w:szCs w:val="28"/>
        </w:rPr>
        <w:t>年未安排政府性基金预算，</w:t>
      </w:r>
      <w:r>
        <w:rPr>
          <w:rFonts w:hint="eastAsia" w:ascii="仿宋_GB2312" w:hAnsi="宋体" w:eastAsia="仿宋_GB2312"/>
          <w:b/>
          <w:kern w:val="0"/>
          <w:sz w:val="28"/>
          <w:szCs w:val="32"/>
        </w:rPr>
        <w:t>政府性基金预算支出情况表为空表</w:t>
      </w:r>
      <w:r>
        <w:rPr>
          <w:rFonts w:hint="eastAsia" w:ascii="仿宋_GB2312" w:hAnsi="宋体" w:eastAsia="仿宋_GB2312" w:cs="仿宋_GB2312"/>
          <w:b/>
          <w:bCs/>
          <w:kern w:val="0"/>
          <w:sz w:val="28"/>
          <w:szCs w:val="28"/>
        </w:rPr>
        <w:t>。</w:t>
      </w:r>
    </w:p>
    <w:p>
      <w:pPr>
        <w:widowControl/>
        <w:spacing w:before="156" w:beforeLines="50"/>
        <w:ind w:firstLine="1600" w:firstLineChars="500"/>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关于昌吉州文化馆2019年收支预算情况的总体说明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按照全口径预算的原则，昌吉州文化馆2019年所有收入和支出均纳入部门预算管理。收支总预算198.97万元。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198.97万元</w:t>
      </w:r>
      <w:r>
        <w:rPr>
          <w:rFonts w:hint="eastAsia" w:ascii="仿宋_GB2312" w:hAnsi="宋体" w:eastAsia="仿宋_GB2312" w:cs="宋体"/>
          <w:kern w:val="0"/>
          <w:sz w:val="32"/>
          <w:szCs w:val="32"/>
        </w:rPr>
        <w:t>。</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支出预算包括：文化旅游体育与传媒支出</w:t>
      </w:r>
      <w:r>
        <w:rPr>
          <w:rFonts w:ascii="仿宋_GB2312" w:hAnsi="宋体" w:eastAsia="仿宋_GB2312" w:cs="宋体"/>
          <w:kern w:val="0"/>
          <w:sz w:val="32"/>
          <w:szCs w:val="32"/>
        </w:rPr>
        <w:t>198.97万元</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二、关于昌吉州文化馆2019年收入预算情况说明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昌吉州文化馆收入预算198.97万元，其中：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一般公共预算198.97万元，占100%，比上年减少75.85万元，主要原因是减少了3人，其中：辞职1人，退休2人；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三、关于昌吉州文化馆2019年支出预算情况说明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昌吉州文化馆2019年支出预算198.97万元，其中：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基本支出198.97万元，占100%，比上年减少75.85万元，主要原因是减少了3人，其中：辞职1人，退休2人，造成当年经费预算减少。</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项目支出0万元，占0%。比上年增加（减少）</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万元，主要原因未安排项目预算。</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四、关于昌吉州文化馆2019年财政拨款收支预算情况的总体说明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2019年财政拨款收支总预算198.97万元。</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支出预算包括：</w:t>
      </w:r>
      <w:r>
        <w:rPr>
          <w:rFonts w:hint="eastAsia" w:ascii="仿宋_GB2312" w:hAnsi="宋体" w:eastAsia="仿宋_GB2312" w:cs="宋体"/>
          <w:kern w:val="0"/>
          <w:sz w:val="32"/>
          <w:szCs w:val="32"/>
        </w:rPr>
        <w:t>文化旅游体育与传媒支出198.97万元。主要用于单位基本运行费用。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五、关于昌吉州文化馆2019年一般公共预算当年拨款情况说明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昌吉州文化馆2019年一般公共预算拨款基本支出198.97万元，比上年减少75.85万元，下降27.6%。主要原因是减少了3人，其中：辞职1人，退休2人，造成当年经费预算减少。</w:t>
      </w:r>
    </w:p>
    <w:p>
      <w:pPr>
        <w:widowControl/>
        <w:spacing w:line="580" w:lineRule="exact"/>
        <w:ind w:firstLine="64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文化体育与传媒支出</w:t>
      </w:r>
      <w:r>
        <w:rPr>
          <w:rFonts w:hint="eastAsia" w:ascii="仿宋_GB2312" w:eastAsia="仿宋_GB2312"/>
          <w:sz w:val="32"/>
          <w:szCs w:val="32"/>
        </w:rPr>
        <w:t>（207）198.97</w:t>
      </w:r>
      <w:r>
        <w:rPr>
          <w:rFonts w:hint="eastAsia" w:ascii="仿宋_GB2312" w:hAnsi="宋体" w:eastAsia="仿宋_GB2312" w:cs="宋体"/>
          <w:kern w:val="0"/>
          <w:sz w:val="32"/>
          <w:szCs w:val="32"/>
        </w:rPr>
        <w:t>万元，占一般预算支出的100%。</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文化体育与传媒支出（</w:t>
      </w:r>
      <w:r>
        <w:rPr>
          <w:rFonts w:hint="eastAsia" w:ascii="仿宋_GB2312" w:eastAsia="仿宋_GB2312"/>
          <w:sz w:val="32"/>
          <w:szCs w:val="32"/>
        </w:rPr>
        <w:t>207</w:t>
      </w:r>
      <w:r>
        <w:rPr>
          <w:rFonts w:hint="eastAsia" w:ascii="仿宋_GB2312" w:hAnsi="宋体" w:eastAsia="仿宋_GB2312" w:cs="宋体"/>
          <w:kern w:val="0"/>
          <w:sz w:val="32"/>
          <w:szCs w:val="32"/>
        </w:rPr>
        <w:t>）</w:t>
      </w:r>
      <w:r>
        <w:rPr>
          <w:rFonts w:hint="eastAsia" w:ascii="仿宋_GB2312" w:eastAsia="仿宋_GB2312"/>
          <w:sz w:val="32"/>
          <w:szCs w:val="32"/>
        </w:rPr>
        <w:t>文化和旅游（01）</w:t>
      </w:r>
      <w:r>
        <w:rPr>
          <w:rFonts w:hint="eastAsia" w:ascii="仿宋_GB2312" w:hAnsi="宋体" w:eastAsia="仿宋_GB2312" w:cs="宋体"/>
          <w:kern w:val="0"/>
          <w:sz w:val="32"/>
          <w:szCs w:val="32"/>
        </w:rPr>
        <w:t>群众文化（09）：2019年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198.97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比上年执行数减少75.85万元，下降27.6%，主要原因是减少了3人，其中：辞职1人，退休2人，造成当年经费预算减少。</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六、关于昌吉州文化馆2019年一般公共预算基本支出情况说明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昌吉州文化馆2019年一般公共预算基本支出198.97万元，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179.71万元，主要包括：基本工资、津贴补贴、奖金、伙食补助费、机关事业单位基本养老保险缴费、职业年金缴费、职工基本医疗保险缴费、公务员医疗补助缴费、其他社会保障缴费、住房公积金、其他工资福利支出、离休费、奖励金、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公用经费19.26万元，主要包括：办公费、邮电费、物业管理费、差旅费、专用材料费、工会经费、福利费、公务用车运行维护费、其他商品和服务支出等。</w:t>
      </w:r>
    </w:p>
    <w:p>
      <w:pPr>
        <w:widowControl/>
        <w:numPr>
          <w:ilvl w:val="0"/>
          <w:numId w:val="1"/>
        </w:numPr>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关于昌吉州文化馆2019年项目支出情况说明</w:t>
      </w:r>
    </w:p>
    <w:p>
      <w:pPr>
        <w:widowControl/>
        <w:spacing w:line="580" w:lineRule="exact"/>
        <w:jc w:val="left"/>
        <w:rPr>
          <w:rFonts w:ascii="仿宋_GB2312" w:hAnsi="仿宋_GB2312" w:eastAsia="仿宋_GB2312" w:cs="仿宋_GB2312"/>
          <w:kern w:val="0"/>
          <w:sz w:val="32"/>
          <w:szCs w:val="32"/>
        </w:rPr>
      </w:pPr>
      <w:r>
        <w:rPr>
          <w:rFonts w:hint="eastAsia" w:ascii="黑体" w:hAnsi="宋体" w:eastAsia="黑体" w:cs="宋体"/>
          <w:kern w:val="0"/>
          <w:sz w:val="32"/>
          <w:szCs w:val="32"/>
        </w:rPr>
        <w:t xml:space="preserve">   </w:t>
      </w:r>
      <w:r>
        <w:rPr>
          <w:rFonts w:hint="eastAsia" w:ascii="仿宋_GB2312" w:hAnsi="仿宋_GB2312" w:eastAsia="仿宋_GB2312" w:cs="仿宋_GB2312"/>
          <w:kern w:val="0"/>
          <w:sz w:val="32"/>
          <w:szCs w:val="32"/>
        </w:rPr>
        <w:t xml:space="preserve"> 2019年财政没有安排项目资金，</w:t>
      </w:r>
      <w:r>
        <w:rPr>
          <w:rFonts w:hint="eastAsia" w:ascii="仿宋_GB2312" w:hAnsi="宋体" w:eastAsia="仿宋_GB2312" w:cs="宋体"/>
          <w:kern w:val="0"/>
          <w:sz w:val="32"/>
          <w:szCs w:val="32"/>
        </w:rPr>
        <w:t>项目支出情况表为空表</w:t>
      </w:r>
      <w:r>
        <w:rPr>
          <w:rFonts w:hint="eastAsia" w:ascii="仿宋_GB2312" w:hAnsi="仿宋_GB2312" w:eastAsia="仿宋_GB2312" w:cs="仿宋_GB2312"/>
          <w:kern w:val="0"/>
          <w:sz w:val="32"/>
          <w:szCs w:val="32"/>
        </w:rPr>
        <w:t>。</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八、关于昌吉州文化馆2019年一般公共预算“三公”经费预算情况说明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昌吉州文化馆2019年“三公”经费财政拨款预算数为1.98万元，其中：因公出国（境）费0万元，公务用车购置0万元，公务用车运行费1.98万元，公务接待费0万元。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0.02万元，其中：因公出国（境）费增加（减少）0万元；公务用车购置费为0，未安排预算；公务用车运行费减少0.02万元，主要原因是单位严格执行中央八项规定，压减公务用车费用开支；公务接待费增加（减少）0万元。</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九、关于昌吉州文化馆2019年政府性基金预算拨款情况说明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昌吉州文化馆2019年没有使用政府性基金预算拨款安排的支出，政府性基金预算支出情况表为空表。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2019年，昌吉州文化馆</w:t>
      </w:r>
      <w:r>
        <w:rPr>
          <w:rFonts w:hint="eastAsia" w:ascii="仿宋_GB2312" w:hAnsi="宋体" w:eastAsia="仿宋_GB2312" w:cs="宋体"/>
          <w:kern w:val="0"/>
          <w:sz w:val="32"/>
          <w:szCs w:val="32"/>
          <w:lang w:eastAsia="zh-CN"/>
        </w:rPr>
        <w:t>无下属单位，</w:t>
      </w:r>
      <w:bookmarkStart w:id="0" w:name="_GoBack"/>
      <w:bookmarkEnd w:id="0"/>
      <w:r>
        <w:rPr>
          <w:rFonts w:hint="eastAsia" w:ascii="仿宋_GB2312" w:hAnsi="宋体" w:eastAsia="仿宋_GB2312" w:cs="宋体"/>
          <w:kern w:val="0"/>
          <w:sz w:val="32"/>
          <w:szCs w:val="32"/>
        </w:rPr>
        <w:t>昌吉州文化馆的机关运行经费财政拨款预算19.26万元，比上年预算减少5.61万元，下降22.56%。主要原因是减少了3人，其中：辞职1人，退休2人，造成当年经费预算减少。</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2019年，昌吉州文化馆政府采购预算134.52万元，其中：政府采购货物预算134.52万元，政府采购工程预算0万元，政府采购服务预算0万元。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截至2018年底，昌吉州文化馆占用使用国有资产总体情况为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2.车辆1辆，价值23.88万元；其中：一般公务用车1辆，价值23.88万元；执法执勤用车0辆，价值0万元；其他车辆0辆，价值0万元。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3.办公家具价值24.53万元。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4.其他资产价值97.45万元。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2019年度，本年度实行绩效管理的项目0个，涉及预算金额0万元，未安排预算，此表为空白表。</w:t>
      </w:r>
    </w:p>
    <w:p>
      <w:pPr>
        <w:widowControl/>
        <w:spacing w:line="580" w:lineRule="exact"/>
        <w:ind w:firstLine="640"/>
        <w:jc w:val="left"/>
        <w:rPr>
          <w:rFonts w:hint="eastAsia" w:ascii="仿宋_GB2312" w:hAnsi="宋体" w:eastAsia="仿宋_GB2312" w:cs="宋体"/>
          <w:kern w:val="0"/>
          <w:sz w:val="32"/>
          <w:szCs w:val="32"/>
        </w:rPr>
      </w:pPr>
    </w:p>
    <w:p>
      <w:pPr>
        <w:widowControl/>
        <w:spacing w:line="580" w:lineRule="exact"/>
        <w:ind w:firstLine="640"/>
        <w:jc w:val="left"/>
        <w:rPr>
          <w:rFonts w:hint="eastAsia" w:ascii="仿宋_GB2312" w:hAnsi="宋体" w:eastAsia="仿宋_GB2312" w:cs="宋体"/>
          <w:kern w:val="0"/>
          <w:sz w:val="32"/>
          <w:szCs w:val="32"/>
        </w:rPr>
      </w:pPr>
    </w:p>
    <w:p>
      <w:pPr>
        <w:widowControl/>
        <w:spacing w:line="580" w:lineRule="exact"/>
        <w:ind w:firstLine="640"/>
        <w:jc w:val="left"/>
        <w:rPr>
          <w:rFonts w:hint="eastAsia" w:ascii="仿宋_GB2312" w:hAnsi="宋体" w:eastAsia="仿宋_GB2312" w:cs="宋体"/>
          <w:kern w:val="0"/>
          <w:sz w:val="32"/>
          <w:szCs w:val="32"/>
        </w:rPr>
      </w:pPr>
    </w:p>
    <w:p>
      <w:pPr>
        <w:widowControl/>
        <w:spacing w:line="580" w:lineRule="exact"/>
        <w:ind w:firstLine="640"/>
        <w:jc w:val="left"/>
        <w:rPr>
          <w:rFonts w:hint="eastAsia" w:ascii="仿宋_GB2312" w:hAnsi="宋体" w:eastAsia="仿宋_GB2312" w:cs="宋体"/>
          <w:kern w:val="0"/>
          <w:sz w:val="32"/>
          <w:szCs w:val="32"/>
        </w:rPr>
      </w:pPr>
    </w:p>
    <w:p>
      <w:pPr>
        <w:widowControl/>
        <w:spacing w:line="580" w:lineRule="exact"/>
        <w:ind w:firstLine="640"/>
        <w:jc w:val="left"/>
        <w:rPr>
          <w:rFonts w:hint="eastAsia" w:ascii="仿宋_GB2312" w:hAnsi="宋体" w:eastAsia="仿宋_GB2312" w:cs="宋体"/>
          <w:kern w:val="0"/>
          <w:sz w:val="32"/>
          <w:szCs w:val="32"/>
        </w:rPr>
      </w:pPr>
    </w:p>
    <w:p>
      <w:pPr>
        <w:widowControl/>
        <w:spacing w:line="580" w:lineRule="exact"/>
        <w:ind w:firstLine="640"/>
        <w:jc w:val="left"/>
        <w:rPr>
          <w:rFonts w:hint="eastAsia" w:ascii="仿宋_GB2312" w:hAnsi="宋体" w:eastAsia="仿宋_GB2312" w:cs="宋体"/>
          <w:kern w:val="0"/>
          <w:sz w:val="32"/>
          <w:szCs w:val="32"/>
        </w:rPr>
      </w:pPr>
    </w:p>
    <w:p>
      <w:pPr>
        <w:widowControl/>
        <w:spacing w:line="580" w:lineRule="exact"/>
        <w:ind w:firstLine="640"/>
        <w:jc w:val="left"/>
        <w:rPr>
          <w:rFonts w:hint="eastAsia" w:ascii="仿宋_GB2312" w:hAnsi="宋体" w:eastAsia="仿宋_GB2312" w:cs="宋体"/>
          <w:kern w:val="0"/>
          <w:sz w:val="32"/>
          <w:szCs w:val="32"/>
        </w:rPr>
      </w:pPr>
    </w:p>
    <w:p>
      <w:pPr>
        <w:widowControl/>
        <w:spacing w:line="580" w:lineRule="exact"/>
        <w:ind w:firstLine="640"/>
        <w:jc w:val="left"/>
        <w:rPr>
          <w:rFonts w:hint="eastAsia" w:ascii="仿宋_GB2312" w:hAnsi="宋体" w:eastAsia="仿宋_GB2312" w:cs="宋体"/>
          <w:kern w:val="0"/>
          <w:sz w:val="32"/>
          <w:szCs w:val="32"/>
        </w:rPr>
      </w:pPr>
    </w:p>
    <w:p>
      <w:pPr>
        <w:widowControl/>
        <w:spacing w:line="580" w:lineRule="exact"/>
        <w:ind w:firstLine="640"/>
        <w:jc w:val="left"/>
        <w:rPr>
          <w:rFonts w:hint="eastAsia" w:ascii="仿宋_GB2312" w:hAnsi="宋体" w:eastAsia="仿宋_GB2312" w:cs="宋体"/>
          <w:kern w:val="0"/>
          <w:sz w:val="32"/>
          <w:szCs w:val="32"/>
        </w:rPr>
      </w:pPr>
    </w:p>
    <w:p>
      <w:pPr>
        <w:widowControl/>
        <w:spacing w:line="580" w:lineRule="exact"/>
        <w:ind w:firstLine="640"/>
        <w:jc w:val="left"/>
        <w:rPr>
          <w:rFonts w:hint="eastAsia" w:ascii="仿宋_GB2312" w:hAnsi="宋体" w:eastAsia="仿宋_GB2312" w:cs="宋体"/>
          <w:kern w:val="0"/>
          <w:sz w:val="32"/>
          <w:szCs w:val="32"/>
        </w:rPr>
      </w:pPr>
    </w:p>
    <w:p>
      <w:pPr>
        <w:widowControl/>
        <w:spacing w:line="580" w:lineRule="exact"/>
        <w:jc w:val="lef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pPr w:leftFromText="180" w:rightFromText="180" w:vertAnchor="text" w:horzAnchor="margin" w:tblpY="-428"/>
        <w:tblW w:w="13347" w:type="dxa"/>
        <w:tblInd w:w="0" w:type="dxa"/>
        <w:tblLayout w:type="fixed"/>
        <w:tblCellMar>
          <w:top w:w="0" w:type="dxa"/>
          <w:left w:w="108" w:type="dxa"/>
          <w:bottom w:w="0" w:type="dxa"/>
          <w:right w:w="108" w:type="dxa"/>
        </w:tblCellMar>
      </w:tblPr>
      <w:tblGrid>
        <w:gridCol w:w="2096"/>
        <w:gridCol w:w="1774"/>
        <w:gridCol w:w="1589"/>
        <w:gridCol w:w="478"/>
        <w:gridCol w:w="1111"/>
        <w:gridCol w:w="308"/>
        <w:gridCol w:w="310"/>
        <w:gridCol w:w="1839"/>
        <w:gridCol w:w="238"/>
        <w:gridCol w:w="1081"/>
        <w:gridCol w:w="2047"/>
        <w:gridCol w:w="238"/>
        <w:gridCol w:w="238"/>
      </w:tblGrid>
      <w:tr>
        <w:tblPrEx>
          <w:tblLayout w:type="fixed"/>
          <w:tblCellMar>
            <w:top w:w="0" w:type="dxa"/>
            <w:left w:w="108" w:type="dxa"/>
            <w:bottom w:w="0" w:type="dxa"/>
            <w:right w:w="108" w:type="dxa"/>
          </w:tblCellMar>
        </w:tblPrEx>
        <w:trPr>
          <w:trHeight w:val="354" w:hRule="atLeast"/>
        </w:trPr>
        <w:tc>
          <w:tcPr>
            <w:tcW w:w="13347" w:type="dxa"/>
            <w:gridSpan w:val="13"/>
            <w:tcBorders>
              <w:top w:val="nil"/>
              <w:left w:val="nil"/>
              <w:bottom w:val="nil"/>
              <w:right w:val="nil"/>
            </w:tcBorders>
            <w:noWrap/>
            <w:vAlign w:val="bottom"/>
          </w:tcPr>
          <w:p>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tblPrEx>
          <w:tblLayout w:type="fixed"/>
          <w:tblCellMar>
            <w:top w:w="0" w:type="dxa"/>
            <w:left w:w="108" w:type="dxa"/>
            <w:bottom w:w="0" w:type="dxa"/>
            <w:right w:w="108" w:type="dxa"/>
          </w:tblCellMar>
        </w:tblPrEx>
        <w:trPr>
          <w:trHeight w:val="236" w:hRule="atLeast"/>
        </w:trPr>
        <w:tc>
          <w:tcPr>
            <w:tcW w:w="2096" w:type="dxa"/>
            <w:tcBorders>
              <w:top w:val="nil"/>
              <w:left w:val="nil"/>
              <w:bottom w:val="nil"/>
              <w:right w:val="nil"/>
            </w:tcBorders>
            <w:noWrap/>
            <w:vAlign w:val="bottom"/>
          </w:tcPr>
          <w:p>
            <w:pPr>
              <w:widowControl/>
              <w:jc w:val="left"/>
              <w:rPr>
                <w:rFonts w:ascii="宋体" w:cs="宋体"/>
                <w:color w:val="000000"/>
                <w:kern w:val="0"/>
                <w:sz w:val="22"/>
              </w:rPr>
            </w:pPr>
          </w:p>
        </w:tc>
        <w:tc>
          <w:tcPr>
            <w:tcW w:w="1774" w:type="dxa"/>
            <w:tcBorders>
              <w:top w:val="nil"/>
              <w:left w:val="nil"/>
              <w:bottom w:val="nil"/>
              <w:right w:val="nil"/>
            </w:tcBorders>
            <w:noWrap/>
            <w:vAlign w:val="bottom"/>
          </w:tcPr>
          <w:p>
            <w:pPr>
              <w:widowControl/>
              <w:jc w:val="left"/>
              <w:rPr>
                <w:rFonts w:ascii="宋体" w:cs="宋体"/>
                <w:color w:val="000000"/>
                <w:kern w:val="0"/>
                <w:sz w:val="22"/>
              </w:rPr>
            </w:pPr>
          </w:p>
        </w:tc>
        <w:tc>
          <w:tcPr>
            <w:tcW w:w="1589" w:type="dxa"/>
            <w:tcBorders>
              <w:top w:val="nil"/>
              <w:left w:val="nil"/>
              <w:bottom w:val="nil"/>
              <w:right w:val="nil"/>
            </w:tcBorders>
            <w:noWrap/>
            <w:vAlign w:val="bottom"/>
          </w:tcPr>
          <w:p>
            <w:pPr>
              <w:widowControl/>
              <w:jc w:val="left"/>
              <w:rPr>
                <w:rFonts w:ascii="宋体" w:cs="宋体"/>
                <w:color w:val="000000"/>
                <w:kern w:val="0"/>
                <w:sz w:val="22"/>
              </w:rPr>
            </w:pPr>
          </w:p>
        </w:tc>
        <w:tc>
          <w:tcPr>
            <w:tcW w:w="1589" w:type="dxa"/>
            <w:gridSpan w:val="2"/>
            <w:tcBorders>
              <w:top w:val="nil"/>
              <w:left w:val="nil"/>
              <w:bottom w:val="nil"/>
              <w:right w:val="nil"/>
            </w:tcBorders>
            <w:noWrap/>
            <w:vAlign w:val="bottom"/>
          </w:tcPr>
          <w:p>
            <w:pPr>
              <w:widowControl/>
              <w:jc w:val="left"/>
              <w:rPr>
                <w:rFonts w:ascii="宋体" w:cs="宋体"/>
                <w:color w:val="000000"/>
                <w:kern w:val="0"/>
                <w:sz w:val="22"/>
              </w:rPr>
            </w:pPr>
          </w:p>
        </w:tc>
        <w:tc>
          <w:tcPr>
            <w:tcW w:w="308" w:type="dxa"/>
            <w:tcBorders>
              <w:top w:val="nil"/>
              <w:left w:val="nil"/>
              <w:bottom w:val="nil"/>
              <w:right w:val="nil"/>
            </w:tcBorders>
            <w:noWrap/>
            <w:vAlign w:val="bottom"/>
          </w:tcPr>
          <w:p>
            <w:pPr>
              <w:widowControl/>
              <w:jc w:val="left"/>
              <w:rPr>
                <w:rFonts w:ascii="宋体" w:cs="宋体"/>
                <w:color w:val="000000"/>
                <w:kern w:val="0"/>
                <w:sz w:val="22"/>
              </w:rPr>
            </w:pPr>
          </w:p>
        </w:tc>
        <w:tc>
          <w:tcPr>
            <w:tcW w:w="310" w:type="dxa"/>
            <w:tcBorders>
              <w:top w:val="nil"/>
              <w:left w:val="nil"/>
              <w:bottom w:val="nil"/>
              <w:right w:val="nil"/>
            </w:tcBorders>
            <w:noWrap/>
            <w:vAlign w:val="bottom"/>
          </w:tcPr>
          <w:p>
            <w:pPr>
              <w:widowControl/>
              <w:jc w:val="left"/>
              <w:rPr>
                <w:rFonts w:ascii="宋体" w:cs="宋体"/>
                <w:color w:val="000000"/>
                <w:kern w:val="0"/>
                <w:sz w:val="22"/>
              </w:rPr>
            </w:pPr>
          </w:p>
        </w:tc>
        <w:tc>
          <w:tcPr>
            <w:tcW w:w="1839" w:type="dxa"/>
            <w:tcBorders>
              <w:top w:val="nil"/>
              <w:left w:val="nil"/>
              <w:bottom w:val="nil"/>
              <w:right w:val="nil"/>
            </w:tcBorders>
            <w:noWrap/>
            <w:vAlign w:val="bottom"/>
          </w:tcPr>
          <w:p>
            <w:pPr>
              <w:widowControl/>
              <w:jc w:val="left"/>
              <w:rPr>
                <w:rFonts w:ascii="宋体" w:cs="宋体"/>
                <w:color w:val="000000"/>
                <w:kern w:val="0"/>
                <w:sz w:val="22"/>
              </w:rPr>
            </w:pPr>
          </w:p>
        </w:tc>
        <w:tc>
          <w:tcPr>
            <w:tcW w:w="238" w:type="dxa"/>
            <w:tcBorders>
              <w:top w:val="nil"/>
              <w:left w:val="nil"/>
              <w:bottom w:val="nil"/>
              <w:right w:val="nil"/>
            </w:tcBorders>
            <w:noWrap/>
            <w:vAlign w:val="bottom"/>
          </w:tcPr>
          <w:p>
            <w:pPr>
              <w:widowControl/>
              <w:jc w:val="left"/>
              <w:rPr>
                <w:rFonts w:ascii="宋体" w:cs="宋体"/>
                <w:color w:val="000000"/>
                <w:kern w:val="0"/>
                <w:sz w:val="22"/>
              </w:rPr>
            </w:pPr>
          </w:p>
        </w:tc>
        <w:tc>
          <w:tcPr>
            <w:tcW w:w="3128" w:type="dxa"/>
            <w:gridSpan w:val="2"/>
            <w:tcBorders>
              <w:top w:val="nil"/>
              <w:left w:val="nil"/>
              <w:bottom w:val="nil"/>
              <w:right w:val="nil"/>
            </w:tcBorders>
            <w:noWrap/>
            <w:vAlign w:val="bottom"/>
          </w:tcPr>
          <w:p>
            <w:pPr>
              <w:widowControl/>
              <w:jc w:val="left"/>
              <w:rPr>
                <w:rFonts w:ascii="宋体" w:cs="宋体"/>
                <w:color w:val="000000"/>
                <w:kern w:val="0"/>
                <w:sz w:val="22"/>
              </w:rPr>
            </w:pPr>
          </w:p>
        </w:tc>
        <w:tc>
          <w:tcPr>
            <w:tcW w:w="238" w:type="dxa"/>
            <w:tcBorders>
              <w:top w:val="nil"/>
              <w:left w:val="nil"/>
              <w:bottom w:val="nil"/>
              <w:right w:val="nil"/>
            </w:tcBorders>
            <w:noWrap/>
            <w:vAlign w:val="bottom"/>
          </w:tcPr>
          <w:p>
            <w:pPr>
              <w:widowControl/>
              <w:jc w:val="left"/>
              <w:rPr>
                <w:rFonts w:ascii="宋体" w:cs="宋体"/>
                <w:color w:val="000000"/>
                <w:kern w:val="0"/>
                <w:sz w:val="22"/>
              </w:rPr>
            </w:pPr>
          </w:p>
        </w:tc>
        <w:tc>
          <w:tcPr>
            <w:tcW w:w="238" w:type="dxa"/>
            <w:tcBorders>
              <w:top w:val="nil"/>
              <w:left w:val="nil"/>
              <w:bottom w:val="nil"/>
              <w:right w:val="nil"/>
            </w:tcBorders>
            <w:noWrap/>
            <w:vAlign w:val="bottom"/>
          </w:tcPr>
          <w:p>
            <w:pPr>
              <w:widowControl/>
              <w:jc w:val="left"/>
              <w:rPr>
                <w:rFonts w:ascii="宋体" w:cs="宋体"/>
                <w:color w:val="000000"/>
                <w:kern w:val="0"/>
                <w:sz w:val="22"/>
              </w:rPr>
            </w:pPr>
          </w:p>
        </w:tc>
      </w:tr>
      <w:tr>
        <w:tblPrEx>
          <w:tblLayout w:type="fixed"/>
          <w:tblCellMar>
            <w:top w:w="0" w:type="dxa"/>
            <w:left w:w="108" w:type="dxa"/>
            <w:bottom w:w="0" w:type="dxa"/>
            <w:right w:w="108" w:type="dxa"/>
          </w:tblCellMar>
        </w:tblPrEx>
        <w:trPr>
          <w:trHeight w:val="236" w:hRule="atLeast"/>
        </w:trPr>
        <w:tc>
          <w:tcPr>
            <w:tcW w:w="20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570"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XX</w:t>
            </w:r>
            <w:r>
              <w:rPr>
                <w:rFonts w:hint="eastAsia" w:ascii="宋体" w:hAnsi="宋体" w:cs="宋体"/>
                <w:kern w:val="0"/>
                <w:sz w:val="18"/>
                <w:szCs w:val="18"/>
              </w:rPr>
              <w:t>单位</w:t>
            </w:r>
          </w:p>
        </w:tc>
        <w:tc>
          <w:tcPr>
            <w:tcW w:w="1839"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3842"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XXXXX</w:t>
            </w:r>
          </w:p>
        </w:tc>
      </w:tr>
      <w:tr>
        <w:tblPrEx>
          <w:tblLayout w:type="fixed"/>
          <w:tblCellMar>
            <w:top w:w="0" w:type="dxa"/>
            <w:left w:w="108" w:type="dxa"/>
            <w:bottom w:w="0" w:type="dxa"/>
            <w:right w:w="108" w:type="dxa"/>
          </w:tblCellMar>
        </w:tblPrEx>
        <w:trPr>
          <w:trHeight w:val="393" w:hRule="atLeast"/>
        </w:trPr>
        <w:tc>
          <w:tcPr>
            <w:tcW w:w="2096"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774"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2067"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1729"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839"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1319"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2523"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50" w:hRule="atLeast"/>
        </w:trPr>
        <w:tc>
          <w:tcPr>
            <w:tcW w:w="2096"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251" w:type="dxa"/>
            <w:gridSpan w:val="12"/>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36" w:hRule="atLeast"/>
        </w:trPr>
        <w:tc>
          <w:tcPr>
            <w:tcW w:w="2096"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774"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5873"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36" w:hRule="atLeast"/>
        </w:trPr>
        <w:tc>
          <w:tcPr>
            <w:tcW w:w="2096"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5873"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36"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5873"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36"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36"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36"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36"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36"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36"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47" w:hRule="atLeast"/>
        </w:trPr>
        <w:tc>
          <w:tcPr>
            <w:tcW w:w="2096"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47"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47"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47"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47"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47"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47"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47"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36" w:hRule="atLeast"/>
        </w:trPr>
        <w:tc>
          <w:tcPr>
            <w:tcW w:w="2096"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77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36" w:hRule="atLeast"/>
        </w:trPr>
        <w:tc>
          <w:tcPr>
            <w:tcW w:w="20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77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5873"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604"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bl>
    <w:p>
      <w:pPr>
        <w:widowControl/>
        <w:spacing w:line="580" w:lineRule="exact"/>
        <w:jc w:val="left"/>
        <w:rPr>
          <w:rFonts w:ascii="仿宋_GB2312" w:hAnsi="宋体" w:eastAsia="仿宋_GB2312" w:cs="宋体"/>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80" w:lineRule="exact"/>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before="156" w:beforeLines="50"/>
        <w:jc w:val="center"/>
        <w:outlineLvl w:val="1"/>
        <w:rPr>
          <w:rFonts w:ascii="黑体" w:hAnsi="黑体" w:eastAsia="黑体"/>
          <w:kern w:val="0"/>
          <w:sz w:val="32"/>
          <w:szCs w:val="32"/>
        </w:rPr>
      </w:pP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昌吉州文化馆</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Dialog">
    <w:altName w:val="Times New Roman"/>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21</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FD0FC1"/>
    <w:multiLevelType w:val="singleLevel"/>
    <w:tmpl w:val="81FD0FC1"/>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006AF5"/>
    <w:rsid w:val="0011507D"/>
    <w:rsid w:val="00140710"/>
    <w:rsid w:val="001833B0"/>
    <w:rsid w:val="002B5144"/>
    <w:rsid w:val="00325B17"/>
    <w:rsid w:val="004F3887"/>
    <w:rsid w:val="00591DC2"/>
    <w:rsid w:val="00757310"/>
    <w:rsid w:val="00841512"/>
    <w:rsid w:val="0089028A"/>
    <w:rsid w:val="00AD4621"/>
    <w:rsid w:val="00CB6DA6"/>
    <w:rsid w:val="00D95B2F"/>
    <w:rsid w:val="00E0630A"/>
    <w:rsid w:val="00EE458B"/>
    <w:rsid w:val="00FC6ABD"/>
    <w:rsid w:val="00FC7389"/>
    <w:rsid w:val="02112977"/>
    <w:rsid w:val="03437279"/>
    <w:rsid w:val="056E6CB1"/>
    <w:rsid w:val="08145CAC"/>
    <w:rsid w:val="08314C50"/>
    <w:rsid w:val="0EE51BF3"/>
    <w:rsid w:val="0F640B89"/>
    <w:rsid w:val="10EC4879"/>
    <w:rsid w:val="11480CB6"/>
    <w:rsid w:val="123126AA"/>
    <w:rsid w:val="12FE5E69"/>
    <w:rsid w:val="1515178C"/>
    <w:rsid w:val="181C387A"/>
    <w:rsid w:val="189130F1"/>
    <w:rsid w:val="1B45406E"/>
    <w:rsid w:val="1CE8109B"/>
    <w:rsid w:val="1DF81C95"/>
    <w:rsid w:val="20E00A67"/>
    <w:rsid w:val="21564143"/>
    <w:rsid w:val="23295C18"/>
    <w:rsid w:val="245547D3"/>
    <w:rsid w:val="265B3213"/>
    <w:rsid w:val="2D5A543F"/>
    <w:rsid w:val="301E7C55"/>
    <w:rsid w:val="334347C1"/>
    <w:rsid w:val="336B78FC"/>
    <w:rsid w:val="373C4D0F"/>
    <w:rsid w:val="376D605E"/>
    <w:rsid w:val="37C703A8"/>
    <w:rsid w:val="37E750BA"/>
    <w:rsid w:val="393E7BB1"/>
    <w:rsid w:val="3B34003D"/>
    <w:rsid w:val="3BEE3D7F"/>
    <w:rsid w:val="3FC67249"/>
    <w:rsid w:val="41331A3F"/>
    <w:rsid w:val="418C68ED"/>
    <w:rsid w:val="4254540C"/>
    <w:rsid w:val="42B14EAE"/>
    <w:rsid w:val="439E23A2"/>
    <w:rsid w:val="457D125D"/>
    <w:rsid w:val="46297A82"/>
    <w:rsid w:val="47073935"/>
    <w:rsid w:val="48B82D38"/>
    <w:rsid w:val="49A2136B"/>
    <w:rsid w:val="4A9B4EA2"/>
    <w:rsid w:val="4BCF3A9D"/>
    <w:rsid w:val="4D207E79"/>
    <w:rsid w:val="50737B49"/>
    <w:rsid w:val="52603D69"/>
    <w:rsid w:val="526C5210"/>
    <w:rsid w:val="53155D23"/>
    <w:rsid w:val="590419C1"/>
    <w:rsid w:val="5AC92513"/>
    <w:rsid w:val="5E304526"/>
    <w:rsid w:val="5F1D3DFF"/>
    <w:rsid w:val="5F496A7D"/>
    <w:rsid w:val="5F6064F5"/>
    <w:rsid w:val="609665C4"/>
    <w:rsid w:val="61140A84"/>
    <w:rsid w:val="61ED38FC"/>
    <w:rsid w:val="64BF5C8E"/>
    <w:rsid w:val="66795AE4"/>
    <w:rsid w:val="6811709F"/>
    <w:rsid w:val="68BC5125"/>
    <w:rsid w:val="68BD4495"/>
    <w:rsid w:val="6AA4213F"/>
    <w:rsid w:val="6C8B3EDC"/>
    <w:rsid w:val="6D365345"/>
    <w:rsid w:val="6EAA6924"/>
    <w:rsid w:val="6F243288"/>
    <w:rsid w:val="70B006C3"/>
    <w:rsid w:val="7170389F"/>
    <w:rsid w:val="72895381"/>
    <w:rsid w:val="77EB202D"/>
    <w:rsid w:val="794254C1"/>
    <w:rsid w:val="7B330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21</Pages>
  <Words>1389</Words>
  <Characters>7919</Characters>
  <Lines>65</Lines>
  <Paragraphs>18</Paragraphs>
  <TotalTime>0</TotalTime>
  <ScaleCrop>false</ScaleCrop>
  <LinksUpToDate>false</LinksUpToDate>
  <CharactersWithSpaces>9290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cp:lastModifiedBy>
  <cp:lastPrinted>2019-07-24T13:19:00Z</cp:lastPrinted>
  <dcterms:modified xsi:type="dcterms:W3CDTF">2021-05-28T03:53:33Z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