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黑体" w:hAnsi="黑体" w:eastAsia="黑体"/>
          <w:sz w:val="32"/>
          <w:szCs w:val="32"/>
        </w:rPr>
      </w:pP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b/>
          <w:bCs/>
          <w:kern w:val="0"/>
          <w:sz w:val="44"/>
          <w:szCs w:val="44"/>
        </w:rPr>
      </w:pPr>
      <w:r>
        <w:rPr>
          <w:rFonts w:hint="eastAsia" w:ascii="方正小标宋_GBK" w:hAnsi="宋体" w:eastAsia="方正小标宋_GBK"/>
          <w:b/>
          <w:bCs/>
          <w:kern w:val="0"/>
          <w:sz w:val="44"/>
          <w:szCs w:val="44"/>
        </w:rPr>
        <w:t>昌吉州城乡规划技术审查中心</w:t>
      </w:r>
      <w:r>
        <w:rPr>
          <w:rFonts w:ascii="方正小标宋_GBK" w:hAnsi="宋体" w:eastAsia="方正小标宋_GBK"/>
          <w:b/>
          <w:bCs/>
          <w:kern w:val="0"/>
          <w:sz w:val="44"/>
          <w:szCs w:val="44"/>
        </w:rPr>
        <w:t>2019</w:t>
      </w:r>
      <w:r>
        <w:rPr>
          <w:rFonts w:hint="eastAsia" w:ascii="方正小标宋_GBK" w:hAnsi="宋体" w:eastAsia="方正小标宋_GBK"/>
          <w:b/>
          <w:bCs/>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第一部分昌吉州城乡规划技术审查中心单位概况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第二部分昌吉州城乡规划技术审查中心2019年预算公开表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2019年昌吉州城乡规划技术审查中心预算情况说明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一、关于昌吉州城乡规划技术审查中心2019年收支预算情况的总体说明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二、关于昌吉州城乡规划技术审查中心2019年收入预算情况说明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三、关于昌吉州城乡规划技术审查中心2019年支出预算情况说明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昌吉州城乡规划技术审查中心2019年</w:t>
      </w:r>
      <w:r>
        <w:rPr>
          <w:rFonts w:hint="eastAsia" w:ascii="仿宋_GB2312" w:hAnsi="宋体" w:eastAsia="仿宋_GB2312"/>
          <w:bCs/>
          <w:kern w:val="0"/>
          <w:sz w:val="32"/>
          <w:szCs w:val="32"/>
        </w:rPr>
        <w:t>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五、关于昌吉州城乡规划技术审查中心2019年一般公共预算当年拨款情况说明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六、关于昌吉州城乡规划技术审查中心2019年一般公共预算基本支出情况说明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七、关于昌吉州城乡规划技术审查中心2019年项目支出情况说明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八、关于昌吉州城乡规划技术审查中心2019年一般公共预算“三公”经费预算情况说明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九、关于昌吉州城乡规划技术审查中心2019年政府性基金预算拨款情况说明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hint="eastAsia" w:ascii="仿宋_GB2312" w:hAnsi="宋体" w:eastAsia="仿宋_GB2312"/>
          <w:b/>
          <w:bCs/>
          <w:kern w:val="0"/>
          <w:sz w:val="32"/>
          <w:szCs w:val="32"/>
        </w:rPr>
        <w:t>昌吉州城乡规划技术审查中心单位概况</w:t>
      </w:r>
    </w:p>
    <w:p>
      <w:pPr>
        <w:widowControl/>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一、</w:t>
      </w:r>
      <w:r>
        <w:rPr>
          <w:rFonts w:hint="eastAsia" w:ascii="仿宋_GB2312" w:hAnsi="宋体" w:eastAsia="仿宋_GB2312"/>
          <w:b/>
          <w:bCs/>
          <w:kern w:val="0"/>
          <w:sz w:val="32"/>
          <w:szCs w:val="32"/>
        </w:rPr>
        <w:t>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（1）承担各县市和园区村镇体系规划、总体规划、详细</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规划、村镇规划和专项规划的技术审查。</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（2）参与自治州大中型建设项目的可行性研究和选址论</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证。</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（3）参与自治州大中型建设项目的可行性研究和选址论</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证。</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（4）承担《昌吉州城乡规划委员会章程》中确定的规划</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方案的技术审查。</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（5）研究制定自治州规划编制技术文件和规定。</w:t>
      </w:r>
    </w:p>
    <w:p>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b/>
          <w:bCs/>
          <w:kern w:val="0"/>
          <w:sz w:val="32"/>
          <w:szCs w:val="32"/>
        </w:rPr>
        <w:t>二、机构设置及人员情况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lang w:eastAsia="zh-CN"/>
        </w:rPr>
        <w:t>昌吉</w:t>
      </w:r>
      <w:r>
        <w:rPr>
          <w:rFonts w:hint="eastAsia" w:ascii="仿宋_GB2312" w:hAnsi="宋体" w:eastAsia="仿宋_GB2312"/>
          <w:kern w:val="0"/>
          <w:sz w:val="32"/>
          <w:szCs w:val="32"/>
        </w:rPr>
        <w:t>州城乡规划技术审查中心无下属预算单位及科室。</w:t>
      </w:r>
    </w:p>
    <w:p>
      <w:pPr>
        <w:widowControl/>
        <w:spacing w:line="460" w:lineRule="exact"/>
        <w:outlineLvl w:val="1"/>
        <w:rPr>
          <w:rFonts w:ascii="仿宋_GB2312" w:hAnsi="宋体" w:eastAsia="仿宋_GB2312" w:cs="宋体"/>
          <w:kern w:val="0"/>
          <w:sz w:val="32"/>
          <w:szCs w:val="32"/>
        </w:rPr>
      </w:pPr>
      <w:r>
        <w:rPr>
          <w:rFonts w:hint="eastAsia" w:ascii="仿宋_GB2312" w:hAnsi="宋体" w:eastAsia="仿宋_GB2312"/>
          <w:kern w:val="0"/>
          <w:sz w:val="32"/>
          <w:szCs w:val="32"/>
        </w:rPr>
        <w:t>实有编制数7人，实有人数5人，其中：</w:t>
      </w:r>
      <w:r>
        <w:rPr>
          <w:rFonts w:hint="eastAsia" w:ascii="仿宋_GB2312" w:hAnsi="宋体" w:eastAsia="仿宋_GB2312" w:cs="宋体"/>
          <w:kern w:val="0"/>
          <w:sz w:val="32"/>
          <w:szCs w:val="32"/>
        </w:rPr>
        <w:t xml:space="preserve">其中：在职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人；离休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460" w:lineRule="exact"/>
        <w:outlineLvl w:val="1"/>
        <w:rPr>
          <w:rFonts w:ascii="仿宋_GB2312" w:hAnsi="宋体" w:eastAsia="仿宋_GB2312"/>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编制部门：昌吉州城乡规划技术审查中心单位：万元</w:t>
      </w:r>
    </w:p>
    <w:tbl>
      <w:tblPr>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2280"/>
        <w:gridCol w:w="1988"/>
        <w:gridCol w:w="2693"/>
        <w:gridCol w:w="1701"/>
      </w:tblGrid>
      <w:tr>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支出</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ind w:right="360"/>
              <w:rPr>
                <w:rFonts w:ascii="仿宋_GB2312" w:hAnsi="宋体" w:eastAsia="仿宋_GB2312" w:cs="宋体"/>
                <w:kern w:val="0"/>
                <w:sz w:val="18"/>
                <w:szCs w:val="18"/>
              </w:rPr>
            </w:pPr>
            <w:r>
              <w:rPr>
                <w:rFonts w:hint="eastAsia" w:ascii="仿宋_GB2312" w:hAnsi="宋体" w:eastAsia="仿宋_GB2312" w:cs="宋体"/>
                <w:kern w:val="0"/>
                <w:sz w:val="18"/>
                <w:szCs w:val="18"/>
              </w:rPr>
              <w:t>62.93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300" w:lineRule="exact"/>
              <w:ind w:right="360"/>
              <w:rPr>
                <w:rFonts w:ascii="仿宋_GB2312" w:hAnsi="宋体" w:eastAsia="仿宋_GB2312" w:cs="宋体"/>
                <w:kern w:val="0"/>
                <w:sz w:val="18"/>
                <w:szCs w:val="18"/>
              </w:rPr>
            </w:pPr>
            <w:r>
              <w:rPr>
                <w:rFonts w:hint="eastAsia" w:ascii="仿宋_GB2312" w:hAnsi="宋体" w:eastAsia="仿宋_GB2312" w:cs="宋体"/>
                <w:kern w:val="0"/>
                <w:sz w:val="18"/>
                <w:szCs w:val="18"/>
              </w:rPr>
              <w:t>62.93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ind w:right="360"/>
              <w:rPr>
                <w:rFonts w:ascii="仿宋_GB2312" w:hAnsi="宋体" w:eastAsia="仿宋_GB2312" w:cs="宋体"/>
                <w:kern w:val="0"/>
                <w:sz w:val="18"/>
                <w:szCs w:val="18"/>
              </w:rPr>
            </w:pPr>
            <w:r>
              <w:rPr>
                <w:rFonts w:hint="eastAsia" w:ascii="仿宋_GB2312" w:hAnsi="宋体" w:eastAsia="仿宋_GB2312" w:cs="宋体"/>
                <w:kern w:val="0"/>
                <w:sz w:val="18"/>
                <w:szCs w:val="18"/>
              </w:rPr>
              <w:t>62.93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62.93</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62.93</w:t>
            </w:r>
          </w:p>
        </w:tc>
      </w:tr>
      <w:tr>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收入总计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62.93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支出合计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62.93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填报部门：昌吉州城乡规划技术审查中心单位：万元</w:t>
      </w:r>
    </w:p>
    <w:tbl>
      <w:tblPr>
        <w:tblW w:w="9923"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568"/>
        <w:gridCol w:w="567"/>
        <w:gridCol w:w="567"/>
        <w:gridCol w:w="1963"/>
        <w:gridCol w:w="820"/>
        <w:gridCol w:w="761"/>
        <w:gridCol w:w="599"/>
        <w:gridCol w:w="680"/>
        <w:gridCol w:w="680"/>
        <w:gridCol w:w="680"/>
        <w:gridCol w:w="680"/>
        <w:gridCol w:w="680"/>
        <w:gridCol w:w="678"/>
      </w:tblGrid>
      <w:tr>
        <w:trPr>
          <w:trHeight w:val="510" w:hRule="atLeast"/>
        </w:trPr>
        <w:tc>
          <w:tcPr>
            <w:tcW w:w="170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6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总计</w:t>
            </w:r>
          </w:p>
        </w:tc>
        <w:tc>
          <w:tcPr>
            <w:tcW w:w="76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9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rPr>
          <w:trHeight w:val="212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6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6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9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3"/>
                <w:szCs w:val="13"/>
              </w:rPr>
            </w:pPr>
            <w:r>
              <w:rPr>
                <w:rFonts w:hint="eastAsia" w:ascii="仿宋_GB2312" w:eastAsia="仿宋_GB2312"/>
                <w:color w:val="000000"/>
                <w:sz w:val="13"/>
                <w:szCs w:val="13"/>
              </w:rPr>
              <w:t>212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99　</w:t>
            </w:r>
          </w:p>
        </w:tc>
        <w:tc>
          <w:tcPr>
            <w:tcW w:w="19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其他城乡社区管理事务支出　</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62.93　</w:t>
            </w:r>
          </w:p>
        </w:tc>
        <w:tc>
          <w:tcPr>
            <w:tcW w:w="761"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62.93　</w:t>
            </w:r>
          </w:p>
        </w:tc>
        <w:tc>
          <w:tcPr>
            <w:tcW w:w="599"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6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63"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63"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63"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63"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63"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63"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63"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63"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63"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63"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63"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63"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6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62.93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62.93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编制部门：昌吉州城乡规划技术审查中心单位：万元</w:t>
      </w:r>
    </w:p>
    <w:tbl>
      <w:tblPr>
        <w:tblW w:w="9356"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528"/>
        <w:gridCol w:w="400"/>
        <w:gridCol w:w="400"/>
        <w:gridCol w:w="2604"/>
        <w:gridCol w:w="1855"/>
        <w:gridCol w:w="1856"/>
        <w:gridCol w:w="1713"/>
      </w:tblGrid>
      <w:tr>
        <w:trPr>
          <w:trHeight w:val="345" w:hRule="atLeast"/>
        </w:trPr>
        <w:tc>
          <w:tcPr>
            <w:tcW w:w="3932"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rPr>
          <w:trHeight w:val="480" w:hRule="atLeast"/>
        </w:trPr>
        <w:tc>
          <w:tcPr>
            <w:tcW w:w="132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rPr>
          <w:trHeight w:val="270"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212</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99</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其他城乡社区管理事务支出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62.93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62.93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0　</w:t>
            </w: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85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昌吉州城乡规划技术审查中心</w:t>
      </w:r>
      <w:r>
        <w:rPr>
          <w:rFonts w:hint="eastAsia" w:ascii="仿宋_GB2312" w:hAnsi="宋体" w:eastAsia="仿宋_GB2312"/>
          <w:kern w:val="0"/>
          <w:sz w:val="28"/>
          <w:szCs w:val="28"/>
        </w:rPr>
        <w:t>单位：万元</w:t>
      </w:r>
    </w:p>
    <w:tbl>
      <w:tblPr>
        <w:tblW w:w="92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1620"/>
        <w:gridCol w:w="1230"/>
        <w:gridCol w:w="2250"/>
        <w:gridCol w:w="1294"/>
        <w:gridCol w:w="1418"/>
        <w:gridCol w:w="1417"/>
      </w:tblGrid>
      <w:tr>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62.93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62.93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62.93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62.93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62.93</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62.93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62.93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收入总计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62.93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支出总计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62.93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62.93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W w:w="9356"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710"/>
        <w:gridCol w:w="492"/>
        <w:gridCol w:w="500"/>
        <w:gridCol w:w="2693"/>
        <w:gridCol w:w="394"/>
        <w:gridCol w:w="1024"/>
        <w:gridCol w:w="216"/>
        <w:gridCol w:w="1626"/>
        <w:gridCol w:w="1701"/>
      </w:tblGrid>
      <w:tr>
        <w:trPr>
          <w:trHeight w:val="450" w:hRule="atLeast"/>
        </w:trPr>
        <w:tc>
          <w:tcPr>
            <w:tcW w:w="9356"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rPr>
          <w:trHeight w:val="285" w:hRule="atLeast"/>
        </w:trPr>
        <w:tc>
          <w:tcPr>
            <w:tcW w:w="4395"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编制部门：昌吉州城乡规划技术审查中心</w:t>
            </w:r>
          </w:p>
        </w:tc>
        <w:tc>
          <w:tcPr>
            <w:tcW w:w="394"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vAlign w:val="center"/>
          </w:tcPr>
          <w:p>
            <w:pPr>
              <w:widowControl/>
              <w:ind w:right="96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rPr>
          <w:trHeight w:val="405" w:hRule="atLeast"/>
        </w:trPr>
        <w:tc>
          <w:tcPr>
            <w:tcW w:w="4395"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4961"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rPr>
          <w:trHeight w:val="465" w:hRule="atLeast"/>
        </w:trPr>
        <w:tc>
          <w:tcPr>
            <w:tcW w:w="1702"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69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41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rPr>
          <w:trHeight w:val="30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0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69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41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212</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w:t>
            </w:r>
          </w:p>
        </w:tc>
        <w:tc>
          <w:tcPr>
            <w:tcW w:w="269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其他城乡社区管理事务支出</w:t>
            </w:r>
          </w:p>
        </w:tc>
        <w:tc>
          <w:tcPr>
            <w:tcW w:w="1418"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62.93</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62.93</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0</w:t>
            </w: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rPr>
          <w:trHeight w:val="450" w:hRule="atLeast"/>
        </w:trPr>
        <w:tc>
          <w:tcPr>
            <w:tcW w:w="71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69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62.93</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62.93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w:t>
            </w: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W w:w="9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516"/>
        <w:gridCol w:w="577"/>
        <w:gridCol w:w="2891"/>
        <w:gridCol w:w="995"/>
        <w:gridCol w:w="706"/>
        <w:gridCol w:w="976"/>
        <w:gridCol w:w="725"/>
        <w:gridCol w:w="1701"/>
      </w:tblGrid>
      <w:tr>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rPr>
          <w:trHeight w:val="405" w:hRule="atLeast"/>
        </w:trPr>
        <w:tc>
          <w:tcPr>
            <w:tcW w:w="3984" w:type="dxa"/>
            <w:gridSpan w:val="3"/>
            <w:tcBorders>
              <w:top w:val="nil"/>
              <w:left w:val="nil"/>
              <w:bottom w:val="nil"/>
              <w:right w:val="nil"/>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编制部门：</w:t>
            </w:r>
            <w:r>
              <w:rPr>
                <w:rFonts w:hint="eastAsia" w:ascii="仿宋_GB2312" w:hAnsi="宋体" w:eastAsia="仿宋_GB2312"/>
                <w:kern w:val="0"/>
                <w:szCs w:val="21"/>
              </w:rPr>
              <w:t>昌吉州城乡规划技术审查中心</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single" w:color="auto" w:sz="4" w:space="0"/>
              <w:bottom w:val="single" w:color="000000" w:sz="4" w:space="0"/>
              <w:right w:val="single" w:color="auto" w:sz="4" w:space="0"/>
            </w:tcBorders>
            <w:vAlign w:val="center"/>
          </w:tcPr>
          <w:p>
            <w:pPr>
              <w:widowControl/>
              <w:ind w:firstLine="200" w:firstLineChars="100"/>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19.01</w:t>
            </w:r>
          </w:p>
        </w:tc>
        <w:tc>
          <w:tcPr>
            <w:tcW w:w="1701" w:type="dxa"/>
            <w:gridSpan w:val="2"/>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19.01</w:t>
            </w:r>
          </w:p>
        </w:tc>
        <w:tc>
          <w:tcPr>
            <w:tcW w:w="1701" w:type="dxa"/>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w:t>
            </w:r>
          </w:p>
        </w:tc>
      </w:tr>
      <w:tr>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03</w:t>
            </w:r>
          </w:p>
        </w:tc>
        <w:tc>
          <w:tcPr>
            <w:tcW w:w="2891" w:type="dxa"/>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701" w:type="dxa"/>
            <w:gridSpan w:val="2"/>
            <w:tcBorders>
              <w:top w:val="nil"/>
              <w:left w:val="single" w:color="auto" w:sz="4" w:space="0"/>
              <w:bottom w:val="single" w:color="000000" w:sz="4" w:space="0"/>
              <w:right w:val="single" w:color="auto" w:sz="4" w:space="0"/>
            </w:tcBorders>
            <w:vAlign w:val="center"/>
          </w:tcPr>
          <w:p>
            <w:pPr>
              <w:widowControl/>
              <w:ind w:firstLine="200" w:firstLineChars="100"/>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1.25</w:t>
            </w:r>
          </w:p>
        </w:tc>
        <w:tc>
          <w:tcPr>
            <w:tcW w:w="1701" w:type="dxa"/>
            <w:gridSpan w:val="2"/>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1.25</w:t>
            </w:r>
          </w:p>
        </w:tc>
        <w:tc>
          <w:tcPr>
            <w:tcW w:w="1701" w:type="dxa"/>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w:t>
            </w:r>
          </w:p>
        </w:tc>
      </w:tr>
      <w:tr>
        <w:trPr>
          <w:trHeight w:val="387"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伙食补助费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6.3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6.3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12.95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12.95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6.64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6.64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2.99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2.99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2.32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2.32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0.24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0.24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3.98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3.98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1.31</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印刷费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0.6</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　</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0.99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0.99</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维修(护)费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0.69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0.69</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16</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培训费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0.27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0.27</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公务招待费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0.12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0.12</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26</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劳务费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0.36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0.36</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0.38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0.38</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0.84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0.84</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公务车运行维护费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1.69</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62.93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55.68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7.25</w:t>
            </w: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W w:w="94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Cs w:val="21"/>
              </w:rPr>
              <w:t>编制部门：</w:t>
            </w:r>
            <w:r>
              <w:rPr>
                <w:rFonts w:hint="eastAsia" w:ascii="仿宋_GB2312" w:hAnsi="宋体" w:eastAsia="仿宋_GB2312"/>
                <w:kern w:val="0"/>
                <w:szCs w:val="21"/>
              </w:rPr>
              <w:t>昌吉州城乡规划技术审查中心</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科目编码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宋体" w:hAnsi="宋体"/>
                <w:kern w:val="0"/>
                <w:sz w:val="20"/>
                <w:szCs w:val="20"/>
              </w:rPr>
            </w:pPr>
          </w:p>
        </w:tc>
        <w:tc>
          <w:tcPr>
            <w:tcW w:w="397" w:type="dxa"/>
            <w:vAlign w:val="top"/>
          </w:tcPr>
          <w:p>
            <w:pPr>
              <w:widowControl/>
              <w:jc w:val="left"/>
              <w:outlineLvl w:val="1"/>
              <w:rPr>
                <w:rFonts w:ascii="宋体" w:hAnsi="宋体"/>
                <w:kern w:val="0"/>
                <w:sz w:val="20"/>
                <w:szCs w:val="20"/>
              </w:rPr>
            </w:pPr>
            <w:r>
              <w:rPr>
                <w:rFonts w:hint="eastAsia" w:ascii="宋体" w:hAnsi="宋体"/>
                <w:kern w:val="0"/>
                <w:sz w:val="20"/>
                <w:szCs w:val="20"/>
              </w:rPr>
              <w:t>　</w:t>
            </w:r>
          </w:p>
        </w:tc>
        <w:tc>
          <w:tcPr>
            <w:tcW w:w="397" w:type="dxa"/>
            <w:vAlign w:val="top"/>
          </w:tcPr>
          <w:p>
            <w:pPr>
              <w:widowControl/>
              <w:jc w:val="left"/>
              <w:outlineLvl w:val="1"/>
              <w:rPr>
                <w:rFonts w:ascii="宋体" w:hAnsi="宋体"/>
                <w:kern w:val="0"/>
                <w:sz w:val="20"/>
                <w:szCs w:val="20"/>
              </w:rPr>
            </w:pPr>
            <w:r>
              <w:rPr>
                <w:rFonts w:hint="eastAsia" w:ascii="宋体" w:hAnsi="宋体"/>
                <w:kern w:val="0"/>
                <w:sz w:val="20"/>
                <w:szCs w:val="20"/>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p>
        </w:tc>
        <w:tc>
          <w:tcPr>
            <w:tcW w:w="397" w:type="dxa"/>
            <w:vAlign w:val="top"/>
          </w:tcPr>
          <w:p>
            <w:pPr>
              <w:widowControl/>
              <w:jc w:val="left"/>
              <w:outlineLvl w:val="1"/>
              <w:rPr>
                <w:rFonts w:ascii="仿宋_GB2312" w:hAnsi="宋体" w:eastAsia="仿宋_GB2312"/>
                <w:kern w:val="0"/>
                <w:sz w:val="32"/>
                <w:szCs w:val="32"/>
              </w:rPr>
            </w:pPr>
          </w:p>
        </w:tc>
        <w:tc>
          <w:tcPr>
            <w:tcW w:w="397" w:type="dxa"/>
            <w:vAlign w:val="top"/>
          </w:tcPr>
          <w:p>
            <w:pPr>
              <w:widowControl/>
              <w:jc w:val="left"/>
              <w:outlineLvl w:val="1"/>
              <w:rPr>
                <w:rFonts w:ascii="仿宋_GB2312" w:hAnsi="宋体" w:eastAsia="仿宋_GB2312"/>
                <w:kern w:val="0"/>
                <w:sz w:val="32"/>
                <w:szCs w:val="32"/>
              </w:rPr>
            </w:pPr>
          </w:p>
        </w:tc>
        <w:tc>
          <w:tcPr>
            <w:tcW w:w="851" w:type="dxa"/>
            <w:vAlign w:val="top"/>
          </w:tcPr>
          <w:p>
            <w:pPr>
              <w:widowControl/>
              <w:jc w:val="left"/>
              <w:outlineLvl w:val="1"/>
              <w:rPr>
                <w:rFonts w:ascii="仿宋_GB2312" w:hAnsi="宋体" w:eastAsia="仿宋_GB2312"/>
                <w:kern w:val="0"/>
                <w:sz w:val="32"/>
                <w:szCs w:val="32"/>
              </w:rPr>
            </w:pPr>
          </w:p>
        </w:tc>
        <w:tc>
          <w:tcPr>
            <w:tcW w:w="1456" w:type="dxa"/>
            <w:vAlign w:val="top"/>
          </w:tcPr>
          <w:p>
            <w:pPr>
              <w:widowControl/>
              <w:jc w:val="left"/>
              <w:outlineLvl w:val="1"/>
              <w:rPr>
                <w:rFonts w:ascii="仿宋_GB2312" w:hAnsi="宋体" w:eastAsia="仿宋_GB2312"/>
                <w:kern w:val="0"/>
                <w:sz w:val="32"/>
                <w:szCs w:val="32"/>
              </w:rPr>
            </w:pPr>
          </w:p>
        </w:tc>
        <w:tc>
          <w:tcPr>
            <w:tcW w:w="750" w:type="dxa"/>
            <w:vAlign w:val="top"/>
          </w:tcPr>
          <w:p>
            <w:pPr>
              <w:widowControl/>
              <w:jc w:val="left"/>
              <w:outlineLvl w:val="1"/>
              <w:rPr>
                <w:rFonts w:ascii="仿宋_GB2312" w:hAnsi="宋体" w:eastAsia="仿宋_GB2312"/>
                <w:kern w:val="0"/>
                <w:sz w:val="32"/>
                <w:szCs w:val="32"/>
              </w:rPr>
            </w:pPr>
          </w:p>
        </w:tc>
        <w:tc>
          <w:tcPr>
            <w:tcW w:w="569" w:type="dxa"/>
            <w:gridSpan w:val="2"/>
            <w:vAlign w:val="top"/>
          </w:tcPr>
          <w:p>
            <w:pPr>
              <w:widowControl/>
              <w:jc w:val="left"/>
              <w:outlineLvl w:val="1"/>
              <w:rPr>
                <w:rFonts w:ascii="仿宋_GB2312" w:hAnsi="宋体" w:eastAsia="仿宋_GB2312"/>
                <w:kern w:val="0"/>
                <w:sz w:val="32"/>
                <w:szCs w:val="32"/>
              </w:rPr>
            </w:pPr>
          </w:p>
        </w:tc>
        <w:tc>
          <w:tcPr>
            <w:tcW w:w="536" w:type="dxa"/>
            <w:vAlign w:val="top"/>
          </w:tcPr>
          <w:p>
            <w:pPr>
              <w:widowControl/>
              <w:jc w:val="left"/>
              <w:outlineLvl w:val="1"/>
              <w:rPr>
                <w:rFonts w:ascii="仿宋_GB2312" w:hAnsi="宋体" w:eastAsia="仿宋_GB2312"/>
                <w:kern w:val="0"/>
                <w:sz w:val="32"/>
                <w:szCs w:val="32"/>
              </w:rPr>
            </w:pPr>
          </w:p>
        </w:tc>
        <w:tc>
          <w:tcPr>
            <w:tcW w:w="652" w:type="dxa"/>
            <w:vAlign w:val="top"/>
          </w:tcPr>
          <w:p>
            <w:pPr>
              <w:widowControl/>
              <w:jc w:val="left"/>
              <w:outlineLvl w:val="1"/>
              <w:rPr>
                <w:rFonts w:ascii="仿宋_GB2312" w:hAnsi="宋体" w:eastAsia="仿宋_GB2312"/>
                <w:kern w:val="0"/>
                <w:sz w:val="32"/>
                <w:szCs w:val="32"/>
              </w:rPr>
            </w:pPr>
          </w:p>
        </w:tc>
        <w:tc>
          <w:tcPr>
            <w:tcW w:w="652" w:type="dxa"/>
            <w:vAlign w:val="top"/>
          </w:tcPr>
          <w:p>
            <w:pPr>
              <w:widowControl/>
              <w:jc w:val="left"/>
              <w:outlineLvl w:val="1"/>
              <w:rPr>
                <w:rFonts w:ascii="仿宋_GB2312" w:hAnsi="宋体" w:eastAsia="仿宋_GB2312"/>
                <w:kern w:val="0"/>
                <w:sz w:val="32"/>
                <w:szCs w:val="32"/>
              </w:rPr>
            </w:pPr>
          </w:p>
        </w:tc>
        <w:tc>
          <w:tcPr>
            <w:tcW w:w="578" w:type="dxa"/>
            <w:gridSpan w:val="2"/>
            <w:vAlign w:val="top"/>
          </w:tcPr>
          <w:p>
            <w:pPr>
              <w:widowControl/>
              <w:jc w:val="left"/>
              <w:outlineLvl w:val="1"/>
              <w:rPr>
                <w:rFonts w:ascii="仿宋_GB2312" w:hAnsi="宋体" w:eastAsia="仿宋_GB2312"/>
                <w:kern w:val="0"/>
                <w:sz w:val="32"/>
                <w:szCs w:val="32"/>
              </w:rPr>
            </w:pPr>
          </w:p>
        </w:tc>
        <w:tc>
          <w:tcPr>
            <w:tcW w:w="419" w:type="dxa"/>
            <w:vAlign w:val="top"/>
          </w:tcPr>
          <w:p>
            <w:pPr>
              <w:widowControl/>
              <w:jc w:val="left"/>
              <w:outlineLvl w:val="1"/>
              <w:rPr>
                <w:rFonts w:ascii="仿宋_GB2312" w:hAnsi="宋体" w:eastAsia="仿宋_GB2312"/>
                <w:kern w:val="0"/>
                <w:sz w:val="32"/>
                <w:szCs w:val="32"/>
              </w:rPr>
            </w:pPr>
          </w:p>
        </w:tc>
        <w:tc>
          <w:tcPr>
            <w:tcW w:w="578" w:type="dxa"/>
            <w:vAlign w:val="top"/>
          </w:tcPr>
          <w:p>
            <w:pPr>
              <w:widowControl/>
              <w:jc w:val="left"/>
              <w:outlineLvl w:val="1"/>
              <w:rPr>
                <w:rFonts w:ascii="仿宋_GB2312" w:hAnsi="宋体" w:eastAsia="仿宋_GB2312"/>
                <w:kern w:val="0"/>
                <w:sz w:val="32"/>
                <w:szCs w:val="32"/>
              </w:rPr>
            </w:pPr>
          </w:p>
        </w:tc>
        <w:tc>
          <w:tcPr>
            <w:tcW w:w="420" w:type="dxa"/>
            <w:vAlign w:val="top"/>
          </w:tcPr>
          <w:p>
            <w:pPr>
              <w:widowControl/>
              <w:jc w:val="left"/>
              <w:outlineLvl w:val="1"/>
              <w:rPr>
                <w:rFonts w:ascii="仿宋_GB2312" w:hAnsi="宋体" w:eastAsia="仿宋_GB2312"/>
                <w:kern w:val="0"/>
                <w:sz w:val="32"/>
                <w:szCs w:val="32"/>
              </w:rPr>
            </w:pPr>
          </w:p>
        </w:tc>
        <w:tc>
          <w:tcPr>
            <w:tcW w:w="420" w:type="dxa"/>
            <w:vAlign w:val="top"/>
          </w:tcPr>
          <w:p>
            <w:pPr>
              <w:widowControl/>
              <w:jc w:val="left"/>
              <w:outlineLvl w:val="1"/>
              <w:rPr>
                <w:rFonts w:ascii="仿宋_GB2312" w:hAnsi="宋体" w:eastAsia="仿宋_GB2312"/>
                <w:kern w:val="0"/>
                <w:sz w:val="32"/>
                <w:szCs w:val="32"/>
              </w:rPr>
            </w:pPr>
          </w:p>
        </w:tc>
        <w:tc>
          <w:tcPr>
            <w:tcW w:w="397" w:type="dxa"/>
            <w:gridSpan w:val="2"/>
            <w:vAlign w:val="top"/>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0</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Cs w:val="21"/>
        </w:rPr>
        <w:t>昌吉州城乡规划技术审查中心</w:t>
      </w:r>
      <w:r>
        <w:rPr>
          <w:rFonts w:hint="eastAsia" w:ascii="仿宋_GB2312" w:hAnsi="宋体" w:eastAsia="仿宋_GB2312"/>
          <w:kern w:val="0"/>
          <w:sz w:val="24"/>
        </w:rPr>
        <w:t>单位：万元</w:t>
      </w:r>
    </w:p>
    <w:tbl>
      <w:tblPr>
        <w:tblW w:w="9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1575"/>
        <w:gridCol w:w="1417"/>
        <w:gridCol w:w="1559"/>
        <w:gridCol w:w="1418"/>
        <w:gridCol w:w="1559"/>
        <w:gridCol w:w="1559"/>
      </w:tblGrid>
      <w:tr>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1.81</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1.69</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1.69</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0.12</w:t>
            </w:r>
          </w:p>
        </w:tc>
      </w:tr>
      <w:tr>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Cs w:val="21"/>
        </w:rPr>
        <w:t>昌吉州城乡规划技术审查中心</w:t>
      </w:r>
      <w:r>
        <w:rPr>
          <w:rFonts w:hint="eastAsia" w:ascii="仿宋_GB2312" w:hAnsi="宋体" w:eastAsia="仿宋_GB2312"/>
          <w:kern w:val="0"/>
          <w:sz w:val="24"/>
        </w:rPr>
        <w:t>单位：万元</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585"/>
        <w:gridCol w:w="457"/>
        <w:gridCol w:w="518"/>
        <w:gridCol w:w="2835"/>
        <w:gridCol w:w="1559"/>
        <w:gridCol w:w="1701"/>
        <w:gridCol w:w="1559"/>
      </w:tblGrid>
      <w:tr>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rPr>
          <w:trHeight w:val="360" w:hRule="atLeast"/>
        </w:trPr>
        <w:tc>
          <w:tcPr>
            <w:tcW w:w="156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3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rPr>
          <w:trHeight w:val="209"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5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3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rPr>
          <w:trHeight w:val="499" w:hRule="atLeast"/>
        </w:trPr>
        <w:tc>
          <w:tcPr>
            <w:tcW w:w="585" w:type="dxa"/>
            <w:tcBorders>
              <w:top w:val="nil"/>
              <w:left w:val="single" w:color="auto" w:sz="4" w:space="0"/>
              <w:bottom w:val="single" w:color="auto" w:sz="4" w:space="0"/>
              <w:right w:val="single" w:color="auto" w:sz="4" w:space="0"/>
            </w:tcBorders>
            <w:vAlign w:val="top"/>
          </w:tcPr>
          <w:p>
            <w:pPr>
              <w:widowControl/>
              <w:jc w:val="left"/>
              <w:outlineLvl w:val="1"/>
              <w:rPr>
                <w:rFonts w:ascii="宋体" w:hAnsi="宋体"/>
                <w:kern w:val="0"/>
                <w:sz w:val="20"/>
                <w:szCs w:val="20"/>
              </w:rPr>
            </w:pPr>
          </w:p>
        </w:tc>
        <w:tc>
          <w:tcPr>
            <w:tcW w:w="457" w:type="dxa"/>
            <w:tcBorders>
              <w:top w:val="nil"/>
              <w:left w:val="nil"/>
              <w:bottom w:val="single" w:color="auto" w:sz="4" w:space="0"/>
              <w:right w:val="single" w:color="auto" w:sz="4" w:space="0"/>
            </w:tcBorders>
            <w:vAlign w:val="top"/>
          </w:tcPr>
          <w:p>
            <w:pPr>
              <w:widowControl/>
              <w:jc w:val="left"/>
              <w:outlineLvl w:val="1"/>
              <w:rPr>
                <w:rFonts w:ascii="宋体" w:hAnsi="宋体"/>
                <w:kern w:val="0"/>
                <w:sz w:val="20"/>
                <w:szCs w:val="20"/>
              </w:rPr>
            </w:pPr>
          </w:p>
        </w:tc>
        <w:tc>
          <w:tcPr>
            <w:tcW w:w="518" w:type="dxa"/>
            <w:tcBorders>
              <w:top w:val="nil"/>
              <w:left w:val="nil"/>
              <w:bottom w:val="single" w:color="auto" w:sz="4" w:space="0"/>
              <w:right w:val="single" w:color="auto" w:sz="4" w:space="0"/>
            </w:tcBorders>
            <w:vAlign w:val="top"/>
          </w:tcPr>
          <w:p>
            <w:pPr>
              <w:widowControl/>
              <w:jc w:val="left"/>
              <w:outlineLvl w:val="1"/>
              <w:rPr>
                <w:rFonts w:ascii="宋体" w:hAnsi="宋体"/>
                <w:kern w:val="0"/>
                <w:sz w:val="20"/>
                <w:szCs w:val="20"/>
              </w:rPr>
            </w:pPr>
          </w:p>
        </w:tc>
        <w:tc>
          <w:tcPr>
            <w:tcW w:w="28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lang w:eastAsia="zh-CN"/>
              </w:rPr>
              <w:t>本单位无政府基金预算项目</w:t>
            </w:r>
            <w:r>
              <w:rPr>
                <w:rFonts w:hint="eastAsia" w:ascii="仿宋_GB2312" w:hAnsi="宋体" w:eastAsia="仿宋_GB2312" w:cs="宋体"/>
                <w:b/>
                <w:bCs/>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365" w:hRule="atLeast"/>
        </w:trPr>
        <w:tc>
          <w:tcPr>
            <w:tcW w:w="585" w:type="dxa"/>
            <w:tcBorders>
              <w:top w:val="nil"/>
              <w:left w:val="single" w:color="auto" w:sz="4" w:space="0"/>
              <w:bottom w:val="single" w:color="auto" w:sz="4" w:space="0"/>
              <w:right w:val="single" w:color="auto" w:sz="4" w:space="0"/>
            </w:tcBorders>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7" w:type="dxa"/>
            <w:tcBorders>
              <w:top w:val="nil"/>
              <w:left w:val="nil"/>
              <w:bottom w:val="single" w:color="auto" w:sz="4" w:space="0"/>
              <w:right w:val="single" w:color="auto" w:sz="4" w:space="0"/>
            </w:tcBorders>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8" w:type="dxa"/>
            <w:tcBorders>
              <w:top w:val="nil"/>
              <w:left w:val="nil"/>
              <w:bottom w:val="single" w:color="auto" w:sz="4" w:space="0"/>
              <w:right w:val="single" w:color="auto" w:sz="4" w:space="0"/>
            </w:tcBorders>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373"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382"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5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3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rPr>
          <w:trHeight w:val="346"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5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3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5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3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5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3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5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3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5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3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5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3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rPr>
          <w:trHeight w:val="347"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5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3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5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0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sectPr>
          <w:footerReference r:id="rId4" w:type="default"/>
          <w:footerReference r:id="rId5" w:type="even"/>
          <w:pgSz w:w="11906" w:h="16838"/>
          <w:pgMar w:top="2098" w:right="1418" w:bottom="1928" w:left="1588" w:header="851" w:footer="992" w:gutter="0"/>
          <w:pgNumType w:fmt="numberInDash"/>
          <w:cols w:space="720" w:num="1"/>
          <w:docGrid w:linePitch="312"/>
        </w:sectPr>
      </w:pPr>
      <w:r>
        <w:rPr>
          <w:rFonts w:hint="eastAsia" w:ascii="仿宋_GB2312" w:hAnsi="宋体" w:eastAsia="仿宋_GB2312"/>
          <w:b/>
          <w:kern w:val="0"/>
          <w:sz w:val="28"/>
          <w:szCs w:val="32"/>
          <w:lang w:eastAsia="zh-CN"/>
        </w:rPr>
        <w:t>备注：本单位是事业单位，无政府基金预算项目</w:t>
      </w: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第三部分2019年昌吉州城乡规划技术审查中心</w:t>
      </w: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昌吉州城乡规划技术审查中心</w:t>
      </w:r>
      <w:r>
        <w:rPr>
          <w:rFonts w:hint="eastAsia" w:ascii="黑体" w:hAnsi="宋体" w:eastAsia="黑体" w:cs="宋体"/>
          <w:kern w:val="0"/>
          <w:sz w:val="32"/>
          <w:szCs w:val="32"/>
        </w:rPr>
        <w:t>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按照全口径预算的原则，昌吉州城乡规划技术审查中心</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年所有收入和支出均纳入部门预算管理。收支总预算62.93万元。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widowControl/>
        <w:spacing w:line="58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支出预算包括：节能环保支出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昌吉州城乡规划技术审查中心2019</w:t>
      </w:r>
      <w:r>
        <w:rPr>
          <w:rFonts w:hint="eastAsia" w:ascii="黑体" w:hAnsi="宋体" w:eastAsia="黑体" w:cs="宋体"/>
          <w:kern w:val="0"/>
          <w:sz w:val="32"/>
          <w:szCs w:val="32"/>
        </w:rPr>
        <w:t>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昌吉州城乡规划技术审查中心部门收入预算 62.93万元，其中：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一般公共预算62.93万元，占100 %，比上年增加0.26万元，主要原因是调入人员职称级别较高；</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昌吉州城乡规划技术审查中心2019</w:t>
      </w:r>
      <w:r>
        <w:rPr>
          <w:rFonts w:hint="eastAsia" w:ascii="黑体" w:hAnsi="宋体" w:eastAsia="黑体" w:cs="宋体"/>
          <w:kern w:val="0"/>
          <w:sz w:val="32"/>
          <w:szCs w:val="32"/>
        </w:rPr>
        <w:t>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昌吉州城乡规划技术审查中心2019年支出预算 62.93万元，其中：</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基本支出62.93万元，占100 %，比上年增加0.26万元，主要原因是调入人员职称级别较高。</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 0 万元，占 0%；</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昌吉州城乡规划技术审查中心2019</w:t>
      </w:r>
      <w:r>
        <w:rPr>
          <w:rFonts w:hint="eastAsia" w:ascii="黑体" w:hAnsi="黑体" w:eastAsia="黑体" w:cs="宋体"/>
          <w:bCs/>
          <w:kern w:val="0"/>
          <w:sz w:val="32"/>
          <w:szCs w:val="32"/>
        </w:rPr>
        <w:t>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 62.93 万元。</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highlight w:val="yellow"/>
        </w:rPr>
        <w:t>支出预算包括：一般公共服务支出 62.93 万元，主要用于</w:t>
      </w:r>
      <w:r>
        <w:rPr>
          <w:rFonts w:hint="eastAsia" w:ascii="仿宋_GB2312" w:hAnsi="宋体" w:eastAsia="仿宋_GB2312" w:cs="宋体"/>
          <w:kern w:val="0"/>
          <w:sz w:val="32"/>
          <w:szCs w:val="32"/>
          <w:highlight w:val="yellow"/>
          <w:lang w:val="en-US" w:eastAsia="zh-CN"/>
        </w:rPr>
        <w:t>212</w:t>
      </w:r>
      <w:r>
        <w:rPr>
          <w:rFonts w:hint="eastAsia" w:ascii="仿宋_GB2312" w:hAnsi="宋体" w:eastAsia="仿宋_GB2312" w:cs="宋体"/>
          <w:kern w:val="0"/>
          <w:sz w:val="32"/>
          <w:szCs w:val="32"/>
          <w:highlight w:val="yellow"/>
        </w:rPr>
        <w:t>城乡社区支出。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昌吉州城乡规划技术审查中心2019年</w:t>
      </w:r>
      <w:r>
        <w:rPr>
          <w:rFonts w:hint="eastAsia" w:ascii="黑体" w:hAnsi="宋体" w:eastAsia="黑体" w:cs="宋体"/>
          <w:kern w:val="0"/>
          <w:sz w:val="32"/>
          <w:szCs w:val="32"/>
        </w:rPr>
        <w:t>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昌吉州城乡规划技术审查中心2019年一般公共预算拨款基本支出 62.93 万元，比上年执行数增加0.26 万元，增长 0.41 %。主要原因是：调入人员职称级别较高；</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highlight w:val="yellow"/>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1.一般公共服务（212城乡社区支出）</w:t>
      </w:r>
      <w:r>
        <w:rPr>
          <w:rFonts w:hint="eastAsia" w:ascii="仿宋_GB2312" w:hAnsi="宋体" w:eastAsia="仿宋_GB2312" w:cs="宋体"/>
          <w:kern w:val="0"/>
          <w:sz w:val="32"/>
          <w:szCs w:val="32"/>
        </w:rPr>
        <w:t>62.93 万元，占 100 %。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highlight w:val="yellow"/>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_GB2312" w:eastAsia="仿宋_GB2312"/>
          <w:sz w:val="32"/>
          <w:szCs w:val="32"/>
        </w:rPr>
        <w:t>一般公共服务（212</w:t>
      </w:r>
      <w:r>
        <w:rPr>
          <w:rFonts w:hint="eastAsia" w:ascii="仿宋_GB2312" w:eastAsia="仿宋_GB2312"/>
          <w:sz w:val="32"/>
          <w:szCs w:val="32"/>
          <w:lang w:val="en-US" w:eastAsia="zh-CN"/>
        </w:rPr>
        <w:t>0199</w:t>
      </w:r>
      <w:r>
        <w:rPr>
          <w:rFonts w:hint="eastAsia" w:ascii="仿宋_GB2312" w:hAnsi="宋体" w:eastAsia="仿宋_GB2312" w:cs="宋体"/>
          <w:kern w:val="0"/>
          <w:sz w:val="32"/>
          <w:szCs w:val="32"/>
        </w:rPr>
        <w:t>其他城乡社区管理事务支出）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201</w:t>
      </w:r>
      <w:r>
        <w:rPr>
          <w:rFonts w:hint="eastAsia" w:ascii="仿宋_GB2312" w:hAnsi="宋体" w:eastAsia="仿宋_GB2312" w:cs="宋体"/>
          <w:kern w:val="0"/>
          <w:sz w:val="32"/>
          <w:szCs w:val="32"/>
          <w:lang w:val="en-US" w:eastAsia="zh-CN"/>
        </w:rPr>
        <w:t>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 xml:space="preserve">62.93 </w:t>
      </w:r>
      <w:r>
        <w:rPr>
          <w:rFonts w:ascii="仿宋_GB2312" w:hAnsi="宋体" w:eastAsia="仿宋_GB2312" w:cs="宋体"/>
          <w:kern w:val="0"/>
          <w:sz w:val="32"/>
          <w:szCs w:val="32"/>
        </w:rPr>
        <w:t>万元，</w:t>
      </w:r>
      <w:bookmarkStart w:id="0" w:name="_GoBack"/>
      <w:bookmarkEnd w:id="0"/>
      <w:r>
        <w:rPr>
          <w:rFonts w:hint="eastAsia" w:ascii="仿宋_GB2312" w:hAnsi="宋体" w:eastAsia="仿宋_GB2312" w:cs="宋体"/>
          <w:kern w:val="0"/>
          <w:sz w:val="32"/>
          <w:szCs w:val="32"/>
        </w:rPr>
        <w:t>比上年执行数增加0.26 万元，增长 0.41 %。主要原因是：调入人员职称级别较高；</w:t>
      </w:r>
    </w:p>
    <w:p>
      <w:pPr>
        <w:widowControl/>
        <w:spacing w:line="580" w:lineRule="exact"/>
        <w:ind w:firstLine="640" w:firstLineChars="200"/>
        <w:jc w:val="left"/>
        <w:rPr>
          <w:rFonts w:ascii="黑体" w:hAnsi="宋体" w:eastAsia="黑体" w:cs="宋体"/>
          <w:kern w:val="0"/>
          <w:sz w:val="32"/>
          <w:szCs w:val="32"/>
        </w:rPr>
      </w:pPr>
      <w:r>
        <w:rPr>
          <w:rFonts w:hint="eastAsia" w:ascii="黑体" w:hAnsi="宋体" w:eastAsia="黑体" w:cs="宋体"/>
          <w:kern w:val="0"/>
          <w:sz w:val="32"/>
          <w:szCs w:val="32"/>
          <w:highlight w:val="yellow"/>
        </w:rPr>
        <w:t>六、关于</w:t>
      </w:r>
      <w:r>
        <w:rPr>
          <w:rFonts w:hint="eastAsia" w:ascii="黑体" w:hAnsi="黑体" w:eastAsia="黑体"/>
          <w:kern w:val="0"/>
          <w:sz w:val="32"/>
          <w:szCs w:val="32"/>
          <w:highlight w:val="yellow"/>
        </w:rPr>
        <w:t>昌吉州城乡规划技术审查中心2019年</w:t>
      </w:r>
      <w:r>
        <w:rPr>
          <w:rFonts w:hint="eastAsia" w:ascii="黑体" w:hAnsi="宋体" w:eastAsia="黑体" w:cs="宋体"/>
          <w:kern w:val="0"/>
          <w:sz w:val="32"/>
          <w:szCs w:val="32"/>
          <w:highlight w:val="yellow"/>
        </w:rPr>
        <w:t>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昌吉州城乡规划技术审查中心2019年一般公共预算基本支出  62.93 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 55.68万元，主要包括：基本工资、奖金、伙食补助费、绩效工资、机关事业单位基本养老保险缴费、职业年金缴费、职工基本医疗保险缴费、公务员医疗补助缴费、其他社会保障缴费、住房公积金。</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 7.25万元，主要包括：办公费、印刷费、差旅费、维修（护）费、培训费、公务接待费、劳务费、工会经费、福利费、公务用车运行维护费。</w:t>
      </w:r>
    </w:p>
    <w:p>
      <w:pPr>
        <w:widowControl/>
        <w:spacing w:line="580" w:lineRule="exact"/>
        <w:jc w:val="left"/>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黑体" w:eastAsia="黑体"/>
          <w:kern w:val="0"/>
          <w:sz w:val="32"/>
          <w:szCs w:val="32"/>
        </w:rPr>
        <w:t>昌吉州城乡规划技术审查中心2019年</w:t>
      </w:r>
      <w:r>
        <w:rPr>
          <w:rFonts w:hint="eastAsia" w:ascii="黑体" w:hAnsi="宋体" w:eastAsia="黑体" w:cs="宋体"/>
          <w:kern w:val="0"/>
          <w:sz w:val="32"/>
          <w:szCs w:val="32"/>
        </w:rPr>
        <w:t>项目支出情况说明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昌吉州城乡规划技术审查中心</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年没有安排项目支出预算。</w:t>
      </w:r>
    </w:p>
    <w:p>
      <w:pPr>
        <w:widowControl/>
        <w:spacing w:line="580" w:lineRule="exact"/>
        <w:ind w:firstLine="320" w:firstLineChars="100"/>
        <w:jc w:val="left"/>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黑体" w:eastAsia="黑体"/>
          <w:kern w:val="0"/>
          <w:sz w:val="32"/>
          <w:szCs w:val="32"/>
        </w:rPr>
        <w:t>昌吉州城乡规划技术审查中心2019年</w:t>
      </w:r>
      <w:r>
        <w:rPr>
          <w:rFonts w:hint="eastAsia" w:ascii="黑体" w:hAnsi="宋体" w:eastAsia="黑体" w:cs="宋体"/>
          <w:kern w:val="0"/>
          <w:sz w:val="32"/>
          <w:szCs w:val="32"/>
        </w:rPr>
        <w:t>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昌吉州城乡规划技术审查中心2019年“三公”经费财政拨款预算数为 1.81 万元，其中：因公出国（境）费 0 万元，公务用车购置0 万元，公务用车运行费 1.69 万元，公务接待费 0.12万元。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昌吉州城乡规划技术审查中心2019年“三公”经费财政拨款预算比上年减少0.02万元，其中：因公出国（境）费减少0万元，主要原因是没有安排因公出国（境）费；公务用车购置费为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，没有安排公务用车购置费预算。公务用车运行费减少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02万元，主要原因是单位厉行节约、压缩了公务用车运行费的开支；公务接待费减少0万元。</w:t>
      </w:r>
    </w:p>
    <w:p>
      <w:pPr>
        <w:widowControl/>
        <w:spacing w:line="580" w:lineRule="exact"/>
        <w:ind w:firstLine="320" w:firstLineChars="100"/>
        <w:jc w:val="left"/>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黑体" w:eastAsia="黑体"/>
          <w:kern w:val="0"/>
          <w:sz w:val="32"/>
          <w:szCs w:val="32"/>
        </w:rPr>
        <w:t>昌吉州城乡规划技术审查中心2019年</w:t>
      </w:r>
      <w:r>
        <w:rPr>
          <w:rFonts w:hint="eastAsia" w:ascii="黑体" w:hAnsi="宋体" w:eastAsia="黑体" w:cs="宋体"/>
          <w:kern w:val="0"/>
          <w:sz w:val="32"/>
          <w:szCs w:val="32"/>
        </w:rPr>
        <w:t>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昌吉州城乡规划技术审查中心</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年没有使用政府性基金预算拨款安排的支出，政府性基金预算支出情况表为空表。</w:t>
      </w:r>
    </w:p>
    <w:p>
      <w:pPr>
        <w:widowControl/>
        <w:spacing w:line="580" w:lineRule="exact"/>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年，昌吉州城乡规划技术审查中心本级</w:t>
      </w:r>
      <w:r>
        <w:rPr>
          <w:rFonts w:hint="eastAsia" w:ascii="仿宋_GB2312" w:hAnsi="宋体" w:eastAsia="仿宋_GB2312" w:cs="宋体"/>
          <w:kern w:val="0"/>
          <w:sz w:val="32"/>
          <w:szCs w:val="32"/>
          <w:lang w:eastAsia="zh-CN"/>
        </w:rPr>
        <w:t>及下属</w:t>
      </w:r>
      <w:r>
        <w:rPr>
          <w:rFonts w:hint="eastAsia" w:ascii="仿宋_GB2312" w:hAnsi="宋体" w:eastAsia="仿宋_GB2312" w:cs="宋体"/>
          <w:kern w:val="0"/>
          <w:sz w:val="32"/>
          <w:szCs w:val="32"/>
          <w:lang w:val="en-US" w:eastAsia="zh-CN"/>
        </w:rPr>
        <w:t>0家行政单位、0</w:t>
      </w:r>
      <w:r>
        <w:rPr>
          <w:rFonts w:hint="eastAsia" w:ascii="仿宋_GB2312" w:hAnsi="宋体" w:eastAsia="仿宋_GB2312" w:cs="宋体"/>
          <w:kern w:val="0"/>
          <w:sz w:val="32"/>
          <w:szCs w:val="32"/>
        </w:rPr>
        <w:t>家参公管理事业单位的机关运行经费财政拨款预算7.25万元，比上年预算减少0.62万元，下降8.55</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。主要原因是单位厉行节约、压缩了单位的机关运行经费。</w:t>
      </w:r>
    </w:p>
    <w:p>
      <w:pPr>
        <w:widowControl/>
        <w:spacing w:line="5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autoSpaceDE w:val="0"/>
        <w:autoSpaceDN w:val="0"/>
        <w:adjustRightInd w:val="0"/>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2018 </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昌吉</w:t>
      </w:r>
      <w:r>
        <w:rPr>
          <w:rFonts w:hint="eastAsia" w:ascii="仿宋_GB2312" w:hAnsi="宋体" w:eastAsia="仿宋_GB2312" w:cs="宋体"/>
          <w:kern w:val="0"/>
          <w:sz w:val="32"/>
          <w:szCs w:val="32"/>
        </w:rPr>
        <w:t>州城乡规划技术审查中心及下属单位政府采购预算</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万元。</w:t>
      </w:r>
    </w:p>
    <w:p>
      <w:pPr>
        <w:autoSpaceDE w:val="0"/>
        <w:autoSpaceDN w:val="0"/>
        <w:adjustRightInd w:val="0"/>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2018 </w:t>
      </w:r>
      <w:r>
        <w:rPr>
          <w:rFonts w:hint="eastAsia" w:ascii="仿宋_GB2312" w:hAnsi="宋体" w:eastAsia="仿宋_GB2312" w:cs="宋体"/>
          <w:kern w:val="0"/>
          <w:sz w:val="32"/>
          <w:szCs w:val="32"/>
        </w:rPr>
        <w:t>年度本部门面向中小企业预留政府采购项目预算</w:t>
      </w:r>
    </w:p>
    <w:p>
      <w:pPr>
        <w:autoSpaceDE w:val="0"/>
        <w:autoSpaceDN w:val="0"/>
        <w:adjustRightInd w:val="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金额0万元，其中：面向小微企业预留政府采购项目预算金</w:t>
      </w:r>
    </w:p>
    <w:p>
      <w:pPr>
        <w:autoSpaceDE w:val="0"/>
        <w:autoSpaceDN w:val="0"/>
        <w:adjustRightInd w:val="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额0万元。</w:t>
      </w:r>
    </w:p>
    <w:p>
      <w:pPr>
        <w:autoSpaceDE w:val="0"/>
        <w:autoSpaceDN w:val="0"/>
        <w:adjustRightInd w:val="0"/>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autoSpaceDE w:val="0"/>
        <w:autoSpaceDN w:val="0"/>
        <w:adjustRightInd w:val="0"/>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201</w:t>
      </w:r>
      <w:r>
        <w:rPr>
          <w:rFonts w:hint="eastAsia" w:ascii="仿宋_GB2312" w:hAnsi="宋体" w:eastAsia="仿宋_GB2312" w:cs="宋体"/>
          <w:kern w:val="0"/>
          <w:sz w:val="32"/>
          <w:szCs w:val="32"/>
        </w:rPr>
        <w:t>8年底，</w:t>
      </w:r>
      <w:r>
        <w:rPr>
          <w:rFonts w:hint="eastAsia" w:ascii="仿宋_GB2312" w:hAnsi="宋体" w:eastAsia="仿宋_GB2312" w:cs="宋体"/>
          <w:kern w:val="0"/>
          <w:sz w:val="32"/>
          <w:szCs w:val="32"/>
          <w:lang w:eastAsia="zh-CN"/>
        </w:rPr>
        <w:t>昌吉</w:t>
      </w:r>
      <w:r>
        <w:rPr>
          <w:rFonts w:hint="eastAsia" w:ascii="仿宋_GB2312" w:hAnsi="宋体" w:eastAsia="仿宋_GB2312" w:cs="宋体"/>
          <w:kern w:val="0"/>
          <w:sz w:val="32"/>
          <w:szCs w:val="32"/>
        </w:rPr>
        <w:t>州城乡规划技术审查中心及下属各预算单位占用使用国有资产总体情况为</w:t>
      </w:r>
      <w:r>
        <w:rPr>
          <w:rFonts w:ascii="仿宋_GB2312" w:hAnsi="宋体" w:eastAsia="仿宋_GB2312" w:cs="宋体"/>
          <w:kern w:val="0"/>
          <w:sz w:val="32"/>
          <w:szCs w:val="32"/>
        </w:rPr>
        <w:t xml:space="preserve">22.23 </w:t>
      </w:r>
      <w:r>
        <w:rPr>
          <w:rFonts w:hint="eastAsia" w:ascii="仿宋_GB2312" w:hAnsi="宋体" w:eastAsia="仿宋_GB2312" w:cs="宋体"/>
          <w:kern w:val="0"/>
          <w:sz w:val="32"/>
          <w:szCs w:val="32"/>
        </w:rPr>
        <w:t>万元。</w:t>
      </w:r>
    </w:p>
    <w:p>
      <w:pPr>
        <w:autoSpaceDE w:val="0"/>
        <w:autoSpaceDN w:val="0"/>
        <w:adjustRightInd w:val="0"/>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万元。</w:t>
      </w:r>
    </w:p>
    <w:p>
      <w:pPr>
        <w:autoSpaceDE w:val="0"/>
        <w:autoSpaceDN w:val="0"/>
        <w:adjustRightInd w:val="0"/>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 xml:space="preserve">1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22.23 </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1</w:t>
      </w:r>
    </w:p>
    <w:p>
      <w:pPr>
        <w:autoSpaceDE w:val="0"/>
        <w:autoSpaceDN w:val="0"/>
        <w:adjustRightInd w:val="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22.23 </w:t>
      </w:r>
      <w:r>
        <w:rPr>
          <w:rFonts w:hint="eastAsia" w:ascii="仿宋_GB2312" w:hAnsi="宋体" w:eastAsia="仿宋_GB2312" w:cs="宋体"/>
          <w:kern w:val="0"/>
          <w:sz w:val="32"/>
          <w:szCs w:val="32"/>
        </w:rPr>
        <w:t>万元。</w:t>
      </w:r>
    </w:p>
    <w:p>
      <w:pPr>
        <w:autoSpaceDE w:val="0"/>
        <w:autoSpaceDN w:val="0"/>
        <w:adjustRightInd w:val="0"/>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万元。</w:t>
      </w:r>
    </w:p>
    <w:p>
      <w:pPr>
        <w:autoSpaceDE w:val="0"/>
        <w:autoSpaceDN w:val="0"/>
        <w:adjustRightInd w:val="0"/>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万元。</w:t>
      </w:r>
    </w:p>
    <w:p>
      <w:pPr>
        <w:autoSpaceDE w:val="0"/>
        <w:autoSpaceDN w:val="0"/>
        <w:adjustRightInd w:val="0"/>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 xml:space="preserve">50 </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台（套），单位价值</w:t>
      </w:r>
    </w:p>
    <w:p>
      <w:pPr>
        <w:autoSpaceDE w:val="0"/>
        <w:autoSpaceDN w:val="0"/>
        <w:adjustRightInd w:val="0"/>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100 </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台（套）。</w:t>
      </w:r>
    </w:p>
    <w:p>
      <w:pPr>
        <w:autoSpaceDE w:val="0"/>
        <w:autoSpaceDN w:val="0"/>
        <w:adjustRightInd w:val="0"/>
        <w:jc w:val="left"/>
        <w:rPr>
          <w:rFonts w:ascii="仿宋_GB2312" w:hAnsi="宋体" w:eastAsia="仿宋_GB2312" w:cs="宋体"/>
          <w:kern w:val="0"/>
          <w:sz w:val="32"/>
          <w:szCs w:val="32"/>
          <w:lang w:val="en-US"/>
        </w:rPr>
      </w:pPr>
      <w:r>
        <w:rPr>
          <w:rFonts w:hint="eastAsia" w:ascii="仿宋_GB2312" w:hAnsi="宋体" w:eastAsia="仿宋_GB2312" w:cs="宋体"/>
          <w:kern w:val="0"/>
          <w:sz w:val="32"/>
          <w:szCs w:val="32"/>
          <w:lang w:val="en-US" w:eastAsia="zh-CN"/>
        </w:rPr>
        <w:t xml:space="preserve">    </w:t>
      </w:r>
      <w:r>
        <w:rPr>
          <w:rFonts w:ascii="仿宋_GB2312" w:hAnsi="宋体" w:eastAsia="仿宋_GB2312" w:cs="宋体"/>
          <w:kern w:val="0"/>
          <w:sz w:val="32"/>
          <w:szCs w:val="32"/>
        </w:rPr>
        <w:t xml:space="preserve">2018 </w:t>
      </w:r>
      <w:r>
        <w:rPr>
          <w:rFonts w:hint="eastAsia" w:ascii="仿宋_GB2312" w:hAnsi="宋体" w:eastAsia="仿宋_GB2312" w:cs="宋体"/>
          <w:kern w:val="0"/>
          <w:sz w:val="32"/>
          <w:szCs w:val="32"/>
        </w:rPr>
        <w:t>年部门预算未安排购置车辆经费，安排购置50万元以上大型设备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台（套），单位价值100万元以上大型设备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年度，本年度实行绩效管理的项目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万元。具体情况见下表（按项目分别填报）：</w:t>
      </w:r>
    </w:p>
    <w:p>
      <w:pPr>
        <w:widowControl/>
        <w:spacing w:line="600" w:lineRule="exact"/>
        <w:sectPr>
          <w:pgSz w:w="11906" w:h="16838"/>
          <w:pgMar w:top="1440" w:right="1800" w:bottom="1440" w:left="1800" w:header="851" w:footer="992" w:gutter="0"/>
          <w:cols w:space="720" w:num="1"/>
          <w:docGrid w:type="lines" w:linePitch="312"/>
        </w:sectPr>
      </w:pPr>
    </w:p>
    <w:tbl>
      <w:tblPr>
        <w:tblW w:w="139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2195"/>
        <w:gridCol w:w="1857"/>
        <w:gridCol w:w="1664"/>
        <w:gridCol w:w="500"/>
        <w:gridCol w:w="1164"/>
        <w:gridCol w:w="323"/>
        <w:gridCol w:w="323"/>
        <w:gridCol w:w="1925"/>
        <w:gridCol w:w="249"/>
        <w:gridCol w:w="1132"/>
        <w:gridCol w:w="2143"/>
        <w:gridCol w:w="249"/>
        <w:gridCol w:w="249"/>
      </w:tblGrid>
      <w:tr>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项目支出绩效目标表</w:t>
            </w:r>
          </w:p>
        </w:tc>
      </w:tr>
      <w:tr>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vAlign w:val="top"/>
          </w:tcPr>
          <w:p>
            <w:pPr>
              <w:widowControl/>
              <w:jc w:val="left"/>
              <w:rPr>
                <w:rFonts w:ascii="宋体" w:hAnsi="宋体" w:cs="宋体"/>
                <w:kern w:val="0"/>
                <w:sz w:val="18"/>
                <w:szCs w:val="18"/>
              </w:rPr>
            </w:pPr>
            <w:r>
              <w:rPr>
                <w:rFonts w:hint="eastAsia" w:ascii="宋体" w:hAnsi="宋体" w:cs="宋体"/>
                <w:kern w:val="0"/>
                <w:sz w:val="18"/>
                <w:szCs w:val="18"/>
              </w:rPr>
              <w:t>　</w:t>
            </w:r>
          </w:p>
        </w:tc>
      </w:tr>
      <w:tr>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412" w:firstLineChars="196"/>
        <w:jc w:val="left"/>
        <w:sectPr>
          <w:pgSz w:w="16838" w:h="11906" w:orient="landscape"/>
          <w:pgMar w:top="1800" w:right="1440" w:bottom="1800" w:left="1440" w:header="851" w:footer="992" w:gutter="0"/>
          <w:cols w:space="720" w:num="1"/>
          <w:docGrid w:type="lines" w:linePitch="312"/>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line="560" w:lineRule="exact"/>
        <w:jc w:val="left"/>
        <w:rPr>
          <w:rFonts w:ascii="仿宋_GB2312" w:hAnsi="宋体" w:eastAsia="仿宋_GB2312" w:cs="宋体"/>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第四部分名词解释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昌吉州城乡规划技术审查中心</w:t>
      </w:r>
    </w:p>
    <w:p>
      <w:pPr>
        <w:widowControl/>
        <w:spacing w:line="56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31 </w:t>
      </w:r>
      <w:r>
        <w:rPr>
          <w:rFonts w:ascii="仿宋_GB2312" w:hAnsi="宋体" w:eastAsia="仿宋_GB2312" w:cs="宋体"/>
          <w:kern w:val="0"/>
          <w:sz w:val="32"/>
          <w:szCs w:val="32"/>
        </w:rPr>
        <w:t>日</w:t>
      </w:r>
    </w:p>
    <w:p/>
    <w:p/>
    <w:sectPr>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1" w:usb1="080E0000" w:usb2="00000010" w:usb3="00000000" w:csb0="00040000" w:csb1="00000000"/>
  </w:font>
  <w:font w:name="Helvetica">
    <w:altName w:val="NumberOnly"/>
    <w:panose1 w:val="020B0504020202020204"/>
    <w:charset w:val="00"/>
    <w:family w:val="auto"/>
    <w:pitch w:val="default"/>
    <w:sig w:usb0="00000003" w:usb1="00000000" w:usb2="00000000" w:usb3="00000000" w:csb0="00000001" w:csb1="00000000"/>
  </w:font>
  <w:font w:name="Calibri">
    <w:panose1 w:val="020F0502020204030204"/>
    <w:charset w:val="00"/>
    <w:family w:val="auto"/>
    <w:pitch w:val="default"/>
    <w:sig w:usb0="E00002FF" w:usb1="4000ACFF" w:usb2="00000001" w:usb3="00000000" w:csb0="2000019F" w:csb1="00000000"/>
  </w:font>
  <w:font w:name="方正小标宋_GBK">
    <w:altName w:val="宋体"/>
    <w:panose1 w:val="03000509000000000000"/>
    <w:charset w:val="86"/>
    <w:family w:val="auto"/>
    <w:pitch w:val="default"/>
    <w:sig w:usb0="00000000" w:usb1="00000000" w:usb2="00000010" w:usb3="00000000" w:csb0="00040000" w:csb1="00000000"/>
  </w:font>
  <w:font w:name="楷体_GB2312">
    <w:altName w:val="楷体"/>
    <w:panose1 w:val="02010609030101010101"/>
    <w:charset w:val="86"/>
    <w:family w:val="auto"/>
    <w:pitch w:val="default"/>
    <w:sig w:usb0="00000001" w:usb1="080E0000" w:usb2="00000010" w:usb3="00000000" w:csb0="00040000"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NumberOnly">
    <w:panose1 w:val="020B0500000000000000"/>
    <w:charset w:val="00"/>
    <w:family w:val="auto"/>
    <w:pitch w:val="default"/>
    <w:sig w:usb0="8000002F" w:usb1="10000048" w:usb2="00000000" w:usb3="00000000" w:csb0="00000111" w:csb1="40000000"/>
  </w:font>
  <w:font w:name="方正仿宋_GBK">
    <w:altName w:val="微软雅黑"/>
    <w:panose1 w:val="03000509000000000000"/>
    <w:charset w:val="86"/>
    <w:family w:val="auto"/>
    <w:pitch w:val="default"/>
    <w:sig w:usb0="00000001" w:usb1="080E0000" w:usb2="00000010" w:usb3="00000000" w:csb0="00040000" w:csb1="00000000"/>
  </w:font>
  <w:font w:name="Vijaya">
    <w:panose1 w:val="020B0604020202020204"/>
    <w:charset w:val="00"/>
    <w:family w:val="auto"/>
    <w:pitch w:val="default"/>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- 1 -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- 9 -</w:t>
    </w:r>
    <w:r>
      <w:rPr>
        <w:rFonts w:ascii="宋体" w:hAnsi="宋体" w:eastAsia="宋体"/>
        <w:sz w:val="28"/>
        <w:szCs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tyle>
  <w:style w:type="paragraph" w:styleId="2">
    <w:name w:val="footer"/>
    <w:basedOn w:val="1"/>
    <w:link w:val="3"/>
    <w:pPr>
      <w:tabs>
        <w:tab w:val="center" w:pos="4153"/>
        <w:tab w:val="right" w:pos="8306"/>
      </w:tabs>
      <w:snapToGrid w:val="0"/>
      <w:jc w:val="left"/>
    </w:pPr>
    <w:rPr>
      <w:rFonts w:ascii="Times New Roman" w:hAnsi="Times New Roman" w:eastAsia="黑体" w:cs="Times New Roman"/>
      <w:snapToGrid w:val="0"/>
      <w:kern w:val="0"/>
      <w:sz w:val="18"/>
      <w:szCs w:val="18"/>
    </w:rPr>
  </w:style>
  <w:style w:type="character" w:customStyle="1" w:styleId="3">
    <w:name w:val="页脚 Char"/>
    <w:link w:val="2"/>
    <w:semiHidden/>
    <w:rPr>
      <w:rFonts w:ascii="Times New Roman" w:hAnsi="Times New Roman" w:eastAsia="黑体" w:cs="Times New Roman"/>
      <w:snapToGrid w:val="0"/>
      <w:kern w:val="0"/>
      <w:sz w:val="18"/>
      <w:szCs w:val="18"/>
    </w:rPr>
  </w:style>
  <w:style w:type="paragraph" w:styleId="4">
    <w:name w:val="header"/>
    <w:basedOn w:val="1"/>
    <w:link w:val="5"/>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character" w:customStyle="1" w:styleId="5">
    <w:name w:val="页眉 Char"/>
    <w:link w:val="4"/>
    <w:semiHidden/>
    <w:rPr>
      <w:rFonts w:ascii="Times New Roman" w:hAnsi="Times New Roman" w:eastAsia="宋体" w:cs="Times New Roman"/>
      <w:sz w:val="18"/>
      <w:szCs w:val="18"/>
    </w:rPr>
  </w:style>
  <w:style w:type="character" w:customStyle="1" w:styleId="6">
    <w:name w:val="正文文本缩进 3 Char"/>
    <w:link w:val="7"/>
    <w:semiHidden/>
    <w:rPr>
      <w:rFonts w:ascii="Times New Roman" w:hAnsi="Times New Roman" w:eastAsia="仿宋_GB2312" w:cs="Times New Roman"/>
      <w:sz w:val="32"/>
      <w:szCs w:val="24"/>
    </w:rPr>
  </w:style>
  <w:style w:type="paragraph" w:customStyle="1" w:styleId="7">
    <w:name w:val="正文文本缩进 31"/>
    <w:basedOn w:val="1"/>
    <w:link w:val="6"/>
    <w:pPr>
      <w:pBdr>
        <w:top w:val="single" w:color="auto" w:sz="12" w:space="1"/>
        <w:bottom w:val="single" w:color="auto" w:sz="12" w:space="1"/>
      </w:pBdr>
      <w:spacing w:line="600" w:lineRule="exact"/>
      <w:ind w:left="1280" w:hanging="1280" w:hangingChars="400"/>
    </w:pPr>
    <w:rPr>
      <w:rFonts w:ascii="Times New Roman" w:hAnsi="Times New Roman" w:eastAsia="仿宋_GB2312" w:cs="Times New Roman"/>
      <w:sz w:val="32"/>
      <w:szCs w:val="24"/>
    </w:rPr>
  </w:style>
  <w:style w:type="character" w:styleId="9">
    <w:name w:val="Strong"/>
    <w:rPr>
      <w:rFonts w:cs="Times New Roman"/>
      <w:b/>
      <w:bCs/>
    </w:rPr>
  </w:style>
  <w:style w:type="paragraph" w:customStyle="1" w:styleId="10">
    <w:name w:val="批注框文本 Char Char"/>
    <w:basedOn w:val="1"/>
    <w:link w:val="17"/>
    <w:rPr>
      <w:rFonts w:ascii="Times New Roman" w:hAnsi="Times New Roman" w:eastAsia="宋体" w:cs="Times New Roman"/>
      <w:sz w:val="18"/>
      <w:szCs w:val="18"/>
    </w:rPr>
  </w:style>
  <w:style w:type="paragraph" w:customStyle="1" w:styleId="11">
    <w:name w:val="f1"/>
    <w:basedOn w:val="1"/>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2">
    <w:name w:val="列出段落1"/>
    <w:basedOn w:val="1"/>
    <w:pPr>
      <w:ind w:firstLine="420" w:firstLineChars="200"/>
    </w:pPr>
    <w:rPr>
      <w:rFonts w:ascii="Calibri" w:hAnsi="Calibri"/>
      <w:szCs w:val="22"/>
    </w:rPr>
  </w:style>
  <w:style w:type="paragraph" w:customStyle="1" w:styleId="13">
    <w:name w:val="普通(网站)1"/>
    <w:basedOn w:val="1"/>
    <w:rPr>
      <w:rFonts w:ascii="Calibri" w:hAnsi="Calibri" w:cs="黑体"/>
      <w:sz w:val="24"/>
    </w:rPr>
  </w:style>
  <w:style w:type="paragraph" w:customStyle="1" w:styleId="14">
    <w:name w:val="普通(网站)2"/>
    <w:basedOn w:val="1"/>
    <w:pPr>
      <w:widowControl/>
      <w:spacing w:before="100" w:beforeAutospacing="1" w:after="100" w:afterAutospacing="1"/>
      <w:jc w:val="left"/>
    </w:pPr>
    <w:rPr>
      <w:rFonts w:ascii="宋体" w:hAnsi="宋体" w:cs="宋体"/>
      <w:kern w:val="0"/>
      <w:sz w:val="24"/>
    </w:rPr>
  </w:style>
  <w:style w:type="paragraph" w:customStyle="1" w:styleId="15">
    <w:name w:val="普通(网站)21"/>
    <w:basedOn w:val="1"/>
    <w:rPr>
      <w:rFonts w:ascii="Calibri" w:hAnsi="Calibri" w:cs="黑体"/>
      <w:sz w:val="24"/>
    </w:rPr>
  </w:style>
  <w:style w:type="paragraph" w:customStyle="1" w:styleId="16">
    <w:name w:val="普通(网站)3"/>
    <w:basedOn w:val="1"/>
    <w:rPr>
      <w:rFonts w:ascii="Calibri" w:hAnsi="Calibri" w:cs="黑体"/>
      <w:sz w:val="24"/>
    </w:rPr>
  </w:style>
  <w:style w:type="character" w:customStyle="1" w:styleId="17">
    <w:name w:val="批注框文本 Char Char Char"/>
    <w:link w:val="10"/>
    <w:semiHidden/>
    <w:rPr>
      <w:rFonts w:ascii="Times New Roman" w:hAnsi="Times New Roman" w:eastAsia="宋体" w:cs="Times New Roman"/>
      <w:sz w:val="18"/>
      <w:szCs w:val="18"/>
    </w:rPr>
  </w:style>
  <w:style w:type="character" w:customStyle="1" w:styleId="18">
    <w:name w:val="页码1"/>
    <w:basedOn w:val="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1363</Words>
  <Characters>7772</Characters>
  <Lines>64</Lines>
  <Paragraphs>18</Paragraphs>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2021-05-27T02:59:00Z</dcterms:created>
  <dc:creator>王怡</dc:creator>
  <cp:lastPrinted>2021-05-27T18:17:00Z</cp:lastPrinted>
  <dcterms:modified xsi:type="dcterms:W3CDTF">2021-05-27T11:05:15Z</dcterms:modified>
  <dc:title>王怡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