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cs="黑体"/>
          <w:sz w:val="32"/>
          <w:szCs w:val="32"/>
        </w:rPr>
        <w:t>附件：</w:t>
      </w:r>
    </w:p>
    <w:p/>
    <w:p/>
    <w:p>
      <w:pPr>
        <w:widowControl/>
        <w:spacing w:before="100" w:beforeAutospacing="1" w:after="100" w:afterAutospacing="1"/>
        <w:outlineLvl w:val="1"/>
        <w:rPr>
          <w:rFonts w:ascii="黑体" w:hAnsi="黑体" w:eastAsia="黑体"/>
          <w:kern w:val="0"/>
          <w:sz w:val="32"/>
          <w:szCs w:val="32"/>
        </w:rPr>
      </w:pPr>
    </w:p>
    <w:p>
      <w:pPr>
        <w:widowControl/>
        <w:spacing w:before="100" w:beforeAutospacing="1" w:after="100" w:afterAutospacing="1"/>
        <w:outlineLvl w:val="1"/>
        <w:rPr>
          <w:rFonts w:ascii="黑体" w:hAnsi="黑体" w:eastAsia="黑体"/>
          <w:kern w:val="0"/>
          <w:sz w:val="32"/>
          <w:szCs w:val="32"/>
        </w:rPr>
      </w:pPr>
    </w:p>
    <w:p>
      <w:pPr>
        <w:widowControl/>
        <w:spacing w:before="100" w:beforeAutospacing="1" w:after="100" w:afterAutospacing="1"/>
        <w:outlineLvl w:val="1"/>
        <w:rPr>
          <w:rFonts w:ascii="宋体"/>
          <w:b/>
          <w:bCs/>
          <w:kern w:val="0"/>
          <w:sz w:val="44"/>
          <w:szCs w:val="44"/>
        </w:rPr>
      </w:pPr>
    </w:p>
    <w:p>
      <w:pPr>
        <w:widowControl/>
        <w:spacing w:before="100" w:beforeAutospacing="1" w:after="100" w:afterAutospacing="1"/>
        <w:jc w:val="center"/>
        <w:outlineLvl w:val="1"/>
        <w:rPr>
          <w:rFonts w:ascii="方正小标宋_GBK" w:hAnsi="宋体" w:eastAsia="方正小标宋_GBK"/>
          <w:b/>
          <w:bCs/>
          <w:kern w:val="0"/>
          <w:sz w:val="44"/>
          <w:szCs w:val="44"/>
        </w:rPr>
      </w:pPr>
      <w:r>
        <w:rPr>
          <w:rFonts w:hint="eastAsia" w:ascii="方正小标宋_GBK" w:hAnsi="宋体" w:eastAsia="方正小标宋_GBK" w:cs="方正小标宋_GBK"/>
          <w:b/>
          <w:bCs/>
          <w:kern w:val="0"/>
          <w:sz w:val="44"/>
          <w:szCs w:val="44"/>
        </w:rPr>
        <w:t>昌吉州安全生产监督管理局</w:t>
      </w:r>
      <w:r>
        <w:rPr>
          <w:rFonts w:ascii="方正小标宋_GBK" w:hAnsi="宋体" w:eastAsia="方正小标宋_GBK" w:cs="方正小标宋_GBK"/>
          <w:b/>
          <w:bCs/>
          <w:kern w:val="0"/>
          <w:sz w:val="44"/>
          <w:szCs w:val="44"/>
        </w:rPr>
        <w:t>2019</w:t>
      </w:r>
      <w:r>
        <w:rPr>
          <w:rFonts w:hint="eastAsia" w:ascii="方正小标宋_GBK" w:hAnsi="宋体" w:eastAsia="方正小标宋_GBK" w:cs="方正小标宋_GBK"/>
          <w:b/>
          <w:bCs/>
          <w:kern w:val="0"/>
          <w:sz w:val="44"/>
          <w:szCs w:val="44"/>
        </w:rPr>
        <w:t>年部门预算公开</w:t>
      </w: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before="100" w:beforeAutospacing="1" w:after="100" w:afterAutospacing="1"/>
        <w:jc w:val="center"/>
        <w:outlineLvl w:val="1"/>
        <w:rPr>
          <w:rFonts w:ascii="宋体"/>
          <w:b/>
          <w:bCs/>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cs="黑体"/>
          <w:kern w:val="0"/>
          <w:sz w:val="44"/>
          <w:szCs w:val="44"/>
        </w:rPr>
        <w:t>目录</w:t>
      </w:r>
    </w:p>
    <w:p>
      <w:pPr>
        <w:widowControl/>
        <w:spacing w:line="500" w:lineRule="exact"/>
        <w:jc w:val="center"/>
        <w:outlineLvl w:val="1"/>
        <w:rPr>
          <w:rFonts w:ascii="宋体"/>
          <w:b/>
          <w:bCs/>
          <w:kern w:val="0"/>
          <w:sz w:val="44"/>
          <w:szCs w:val="44"/>
        </w:rPr>
      </w:pP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第一部分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昌吉州安全生产监督管理局部门单位概况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二、机构设置及人员情况</w:t>
      </w: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第二部分</w:t>
      </w:r>
      <w:r>
        <w:rPr>
          <w:rFonts w:ascii="仿宋_GB2312" w:hAnsi="宋体" w:eastAsia="仿宋_GB2312" w:cs="仿宋_GB2312"/>
          <w:b/>
          <w:bCs/>
          <w:kern w:val="0"/>
          <w:sz w:val="32"/>
          <w:szCs w:val="32"/>
        </w:rPr>
        <w:t xml:space="preserve">  </w:t>
      </w:r>
      <w:r>
        <w:rPr>
          <w:rFonts w:ascii="宋体" w:hAnsi="宋体" w:cs="宋体"/>
          <w:b/>
          <w:bCs/>
          <w:kern w:val="0"/>
          <w:sz w:val="32"/>
          <w:szCs w:val="32"/>
        </w:rPr>
        <w:t>2019</w:t>
      </w:r>
      <w:r>
        <w:rPr>
          <w:rFonts w:hint="eastAsia" w:ascii="仿宋_GB2312" w:hAnsi="宋体" w:eastAsia="仿宋_GB2312" w:cs="仿宋_GB2312"/>
          <w:b/>
          <w:bCs/>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九、政府性基金预算支出情况表</w:t>
      </w: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第三部分</w:t>
      </w:r>
      <w:r>
        <w:rPr>
          <w:rFonts w:ascii="仿宋_GB2312" w:hAnsi="宋体" w:eastAsia="仿宋_GB2312" w:cs="仿宋_GB2312"/>
          <w:b/>
          <w:bCs/>
          <w:kern w:val="0"/>
          <w:sz w:val="32"/>
          <w:szCs w:val="32"/>
        </w:rPr>
        <w:t xml:space="preserve">  </w:t>
      </w:r>
      <w:r>
        <w:rPr>
          <w:rFonts w:ascii="宋体" w:hAnsi="宋体" w:cs="宋体"/>
          <w:b/>
          <w:bCs/>
          <w:kern w:val="0"/>
          <w:sz w:val="32"/>
          <w:szCs w:val="32"/>
        </w:rPr>
        <w:t>2019</w:t>
      </w:r>
      <w:r>
        <w:rPr>
          <w:rFonts w:hint="eastAsia" w:ascii="仿宋_GB2312" w:hAnsi="宋体" w:eastAsia="仿宋_GB2312" w:cs="仿宋_GB2312"/>
          <w:b/>
          <w:bCs/>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一、关于昌吉州安全生产监督管理局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二、关于昌吉州安全生产监督管理局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三、关于昌吉州安全生产监督管理局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年支出预算情况说明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四、关于昌吉州安全生产监督管理局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五、关于昌吉州安全生产监督管理局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六、关于昌吉州安全生产监督管理局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七、关于昌吉州安全生产监督管理局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八、关于昌吉州安全生产监督管理局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九、关于昌吉州安全生产监督管理局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十、其他重要事项的情况说明</w:t>
      </w:r>
    </w:p>
    <w:p>
      <w:pPr>
        <w:widowControl/>
        <w:spacing w:line="460" w:lineRule="exac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第四部分</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jc w:val="center"/>
        <w:outlineLvl w:val="1"/>
        <w:rPr>
          <w:rFonts w:ascii="黑体" w:hAnsi="黑体" w:eastAsia="黑体" w:cs="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cs="黑体"/>
          <w:kern w:val="0"/>
          <w:sz w:val="32"/>
          <w:szCs w:val="32"/>
        </w:rPr>
        <w:t>第一部分</w:t>
      </w:r>
      <w:r>
        <w:rPr>
          <w:rFonts w:ascii="黑体" w:hAnsi="黑体" w:eastAsia="黑体" w:cs="黑体"/>
          <w:kern w:val="0"/>
          <w:sz w:val="32"/>
          <w:szCs w:val="32"/>
        </w:rPr>
        <w:t xml:space="preserve">   </w:t>
      </w:r>
      <w:r>
        <w:rPr>
          <w:rFonts w:hint="eastAsia" w:ascii="黑体" w:hAnsi="黑体" w:eastAsia="黑体" w:cs="黑体"/>
          <w:kern w:val="0"/>
          <w:sz w:val="32"/>
          <w:szCs w:val="32"/>
        </w:rPr>
        <w:t>昌吉州安全生产监督管理局部门单位概况</w:t>
      </w:r>
    </w:p>
    <w:p>
      <w:pPr>
        <w:widowControl/>
        <w:spacing w:line="560" w:lineRule="exact"/>
        <w:jc w:val="center"/>
        <w:outlineLvl w:val="1"/>
        <w:rPr>
          <w:rFonts w:ascii="宋体"/>
          <w:b/>
          <w:bCs/>
          <w:kern w:val="0"/>
          <w:sz w:val="32"/>
          <w:szCs w:val="32"/>
        </w:rPr>
      </w:pPr>
    </w:p>
    <w:p>
      <w:pPr>
        <w:widowControl/>
        <w:spacing w:line="56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一、主要职能</w:t>
      </w:r>
    </w:p>
    <w:p>
      <w:pPr>
        <w:spacing w:line="560" w:lineRule="exact"/>
        <w:ind w:firstLine="640" w:firstLineChars="200"/>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一</w:t>
      </w:r>
      <w:r>
        <w:rPr>
          <w:rFonts w:ascii="仿宋_GB2312" w:hAnsi="宋体" w:eastAsia="仿宋_GB2312" w:cs="仿宋_GB2312"/>
          <w:sz w:val="32"/>
          <w:szCs w:val="32"/>
        </w:rPr>
        <w:t>)</w:t>
      </w:r>
      <w:r>
        <w:rPr>
          <w:rFonts w:hint="eastAsia" w:ascii="仿宋_GB2312" w:hAnsi="宋体" w:eastAsia="仿宋_GB2312" w:cs="仿宋_GB2312"/>
          <w:sz w:val="32"/>
          <w:szCs w:val="32"/>
        </w:rPr>
        <w:t>组织起草自治州安全生产方面的规范性文件</w:t>
      </w:r>
      <w:r>
        <w:rPr>
          <w:rFonts w:ascii="仿宋_GB2312" w:hAnsi="宋体" w:eastAsia="仿宋_GB2312" w:cs="仿宋_GB2312"/>
          <w:sz w:val="32"/>
          <w:szCs w:val="32"/>
        </w:rPr>
        <w:t>,</w:t>
      </w:r>
      <w:r>
        <w:rPr>
          <w:rFonts w:hint="eastAsia" w:ascii="仿宋_GB2312" w:hAnsi="宋体" w:eastAsia="仿宋_GB2312" w:cs="仿宋_GB2312"/>
          <w:sz w:val="32"/>
          <w:szCs w:val="32"/>
        </w:rPr>
        <w:t>拟订自治州安全生产工作规划和计划</w:t>
      </w:r>
      <w:r>
        <w:rPr>
          <w:rFonts w:ascii="仿宋_GB2312" w:hAnsi="宋体" w:eastAsia="仿宋_GB2312" w:cs="仿宋_GB2312"/>
          <w:sz w:val="32"/>
          <w:szCs w:val="32"/>
        </w:rPr>
        <w:t>,</w:t>
      </w:r>
      <w:r>
        <w:rPr>
          <w:rFonts w:hint="eastAsia" w:ascii="仿宋_GB2312" w:hAnsi="宋体" w:eastAsia="仿宋_GB2312" w:cs="仿宋_GB2312"/>
          <w:sz w:val="32"/>
          <w:szCs w:val="32"/>
        </w:rPr>
        <w:t>研究提出安全生产重大方针政策和重要措施的建议。</w:t>
      </w:r>
    </w:p>
    <w:p>
      <w:pPr>
        <w:spacing w:line="560" w:lineRule="exact"/>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（二）承担自治州安全生产综合监督管理责任。依法行使综合监督管理职责，指导协调、监督检查自治州有关部门和各县</w:t>
      </w:r>
      <w:r>
        <w:rPr>
          <w:rFonts w:ascii="仿宋_GB2312" w:hAnsi="宋体" w:eastAsia="仿宋_GB2312" w:cs="仿宋_GB2312"/>
          <w:sz w:val="32"/>
          <w:szCs w:val="32"/>
        </w:rPr>
        <w:t>(</w:t>
      </w:r>
      <w:r>
        <w:rPr>
          <w:rFonts w:hint="eastAsia" w:ascii="仿宋_GB2312" w:hAnsi="宋体" w:eastAsia="仿宋_GB2312" w:cs="仿宋_GB2312"/>
          <w:sz w:val="32"/>
          <w:szCs w:val="32"/>
        </w:rPr>
        <w:t>市</w:t>
      </w:r>
      <w:r>
        <w:rPr>
          <w:rFonts w:ascii="仿宋_GB2312" w:hAnsi="宋体" w:eastAsia="仿宋_GB2312" w:cs="仿宋_GB2312"/>
          <w:sz w:val="32"/>
          <w:szCs w:val="32"/>
        </w:rPr>
        <w:t>)</w:t>
      </w:r>
      <w:r>
        <w:rPr>
          <w:rFonts w:hint="eastAsia" w:ascii="仿宋_GB2312" w:hAnsi="宋体" w:eastAsia="仿宋_GB2312" w:cs="仿宋_GB2312"/>
          <w:sz w:val="32"/>
          <w:szCs w:val="32"/>
        </w:rPr>
        <w:t>人民政府、昌吉国家农业科技园管委会、准东经济技术开发区管委会的安全生产工作，监督并通报有关安全生产控制指标执行情况，协调解决安全生产中的重大问题。</w:t>
      </w:r>
    </w:p>
    <w:p>
      <w:pPr>
        <w:spacing w:line="560" w:lineRule="exact"/>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（三）承担自治州工矿商贸（煤矿除外）企业安全生产监督管理责任。按照分级属地原则，依法监督检查工矿商贸（煤矿除外）生产经营单位贯彻执行安全生产法律法规情况以及安全生产条件和有关设备设施</w:t>
      </w:r>
      <w:r>
        <w:rPr>
          <w:rFonts w:ascii="仿宋_GB2312" w:hAnsi="宋体" w:eastAsia="仿宋_GB2312" w:cs="仿宋_GB2312"/>
          <w:sz w:val="32"/>
          <w:szCs w:val="32"/>
        </w:rPr>
        <w:t>(</w:t>
      </w:r>
      <w:r>
        <w:rPr>
          <w:rFonts w:hint="eastAsia" w:ascii="仿宋_GB2312" w:hAnsi="宋体" w:eastAsia="仿宋_GB2312" w:cs="仿宋_GB2312"/>
          <w:sz w:val="32"/>
          <w:szCs w:val="32"/>
        </w:rPr>
        <w:t>特种设备除外</w:t>
      </w:r>
      <w:r>
        <w:rPr>
          <w:rFonts w:ascii="仿宋_GB2312" w:hAnsi="宋体" w:eastAsia="仿宋_GB2312" w:cs="仿宋_GB2312"/>
          <w:sz w:val="32"/>
          <w:szCs w:val="32"/>
        </w:rPr>
        <w:t>)</w:t>
      </w:r>
      <w:r>
        <w:rPr>
          <w:rFonts w:hint="eastAsia" w:ascii="仿宋_GB2312" w:hAnsi="宋体" w:eastAsia="仿宋_GB2312" w:cs="仿宋_GB2312"/>
          <w:sz w:val="32"/>
          <w:szCs w:val="32"/>
        </w:rPr>
        <w:t>、材料、劳动防护用品的安全生产管理工作。</w:t>
      </w:r>
    </w:p>
    <w:p>
      <w:pPr>
        <w:spacing w:line="560" w:lineRule="exact"/>
        <w:ind w:firstLine="640" w:firstLineChars="200"/>
        <w:rPr>
          <w:rFonts w:ascii="仿宋_GB2312" w:hAnsi="宋体" w:eastAsia="仿宋_GB2312"/>
          <w:sz w:val="32"/>
          <w:szCs w:val="32"/>
        </w:rPr>
      </w:pPr>
      <w:r>
        <w:rPr>
          <w:rFonts w:ascii="仿宋_GB2312" w:hAnsi="宋体" w:eastAsia="仿宋_GB2312" w:cs="仿宋_GB2312"/>
          <w:sz w:val="32"/>
          <w:szCs w:val="32"/>
        </w:rPr>
        <w:t>(</w:t>
      </w:r>
      <w:r>
        <w:rPr>
          <w:rFonts w:hint="eastAsia" w:ascii="仿宋_GB2312" w:hAnsi="宋体" w:eastAsia="仿宋_GB2312" w:cs="仿宋_GB2312"/>
          <w:sz w:val="32"/>
          <w:szCs w:val="32"/>
        </w:rPr>
        <w:t>四</w:t>
      </w:r>
      <w:r>
        <w:rPr>
          <w:rFonts w:ascii="仿宋_GB2312" w:hAnsi="宋体" w:eastAsia="仿宋_GB2312" w:cs="仿宋_GB2312"/>
          <w:sz w:val="32"/>
          <w:szCs w:val="32"/>
        </w:rPr>
        <w:t>)</w:t>
      </w:r>
      <w:r>
        <w:rPr>
          <w:rFonts w:hint="eastAsia" w:ascii="仿宋_GB2312" w:hAnsi="宋体" w:eastAsia="仿宋_GB2312" w:cs="仿宋_GB2312"/>
          <w:sz w:val="32"/>
          <w:szCs w:val="32"/>
        </w:rPr>
        <w:t>承担自治州非煤矿山、危险化学品生产经营、烟花爆竹生产经营企业安全生产准入管理责任。依法监管非煤矿山、危险化学品和烟花爆竹安全生产工作</w:t>
      </w:r>
      <w:r>
        <w:rPr>
          <w:rFonts w:ascii="仿宋_GB2312" w:hAnsi="宋体" w:eastAsia="仿宋_GB2312" w:cs="仿宋_GB2312"/>
          <w:sz w:val="32"/>
          <w:szCs w:val="32"/>
        </w:rPr>
        <w:t>,</w:t>
      </w:r>
      <w:r>
        <w:rPr>
          <w:rFonts w:hint="eastAsia" w:ascii="仿宋_GB2312" w:hAnsi="宋体" w:eastAsia="仿宋_GB2312" w:cs="仿宋_GB2312"/>
          <w:sz w:val="32"/>
          <w:szCs w:val="32"/>
        </w:rPr>
        <w:t>并负责《危险化学品经营许可证》</w:t>
      </w:r>
      <w:r>
        <w:rPr>
          <w:rFonts w:ascii="仿宋_GB2312" w:hAnsi="宋体" w:eastAsia="仿宋_GB2312" w:cs="仿宋_GB2312"/>
          <w:sz w:val="32"/>
          <w:szCs w:val="32"/>
        </w:rPr>
        <w:t>(</w:t>
      </w:r>
      <w:r>
        <w:rPr>
          <w:rFonts w:hint="eastAsia" w:ascii="仿宋_GB2312" w:hAnsi="宋体" w:eastAsia="仿宋_GB2312" w:cs="仿宋_GB2312"/>
          <w:sz w:val="32"/>
          <w:szCs w:val="32"/>
        </w:rPr>
        <w:t>乙类证</w:t>
      </w:r>
      <w:r>
        <w:rPr>
          <w:rFonts w:ascii="仿宋_GB2312" w:hAnsi="宋体" w:eastAsia="仿宋_GB2312" w:cs="仿宋_GB2312"/>
          <w:sz w:val="32"/>
          <w:szCs w:val="32"/>
        </w:rPr>
        <w:t>)</w:t>
      </w:r>
      <w:r>
        <w:rPr>
          <w:rFonts w:hint="eastAsia" w:ascii="仿宋_GB2312" w:hAnsi="宋体" w:eastAsia="仿宋_GB2312" w:cs="仿宋_GB2312"/>
          <w:sz w:val="32"/>
          <w:szCs w:val="32"/>
        </w:rPr>
        <w:t>、《烟花爆竹经营许可证》的颁发和管理工作</w:t>
      </w:r>
      <w:r>
        <w:rPr>
          <w:rFonts w:ascii="仿宋_GB2312" w:hAnsi="宋体" w:eastAsia="仿宋_GB2312" w:cs="仿宋_GB2312"/>
          <w:sz w:val="32"/>
          <w:szCs w:val="32"/>
        </w:rPr>
        <w:t>;</w:t>
      </w:r>
      <w:r>
        <w:rPr>
          <w:rFonts w:hint="eastAsia" w:ascii="仿宋_GB2312" w:hAnsi="宋体" w:eastAsia="仿宋_GB2312" w:cs="仿宋_GB2312"/>
          <w:sz w:val="32"/>
          <w:szCs w:val="32"/>
        </w:rPr>
        <w:t>负责各类《安全生产许可证》的宏观监管工作。</w:t>
      </w:r>
    </w:p>
    <w:p>
      <w:pPr>
        <w:spacing w:line="560" w:lineRule="exact"/>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五）承担自治州工矿商贸企业作业场所（煤矿作业场所除外）职业卫生监督检查责任。依法监督工矿商贸企业（煤矿除外）贯彻执行国家有关职业病防治法律法规和标准情况；负责依法管理工矿商贸企业（煤矿除外）职业卫生安全许可证的颁发工作；组织查处职业危害事故和违法违规行为；负责工矿商贸企业（煤矿除外）职业卫生检测、评价技术服务机构的资质认定和监督管理工作；组织指导并监督检查有关职业卫生培训工作。</w:t>
      </w:r>
    </w:p>
    <w:p>
      <w:pPr>
        <w:spacing w:line="560" w:lineRule="exact"/>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六）制定并组织实施自治州工矿贸易行业安全生产规章制度，监督检查重大危险源监控和重大隐患排查治理工作，依法查处不具备安全生产条件的工矿商贸生产经营单位；监督检查工矿商贸（煤矿除外）新建、改建、扩建工程项目的安全设施与主体工程同时设计、同时施工、同时投产使用情况。</w:t>
      </w:r>
    </w:p>
    <w:p>
      <w:pPr>
        <w:spacing w:line="560" w:lineRule="exact"/>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七）组织自治州安全生产大检查和专项督查；参与研究有关部门在产业政策、资金投入、科技发展等工作中涉及安全生产的相关工作。依法组织自治州职责范围内安全生产事故调查处理和办理结案工作；组织协调职责范围内安全生产事故应急救援工作；负责自治州安全生产伤亡事故统计和安全生产行政执法统计工作</w:t>
      </w:r>
      <w:r>
        <w:rPr>
          <w:rFonts w:ascii="仿宋_GB2312" w:hAnsi="宋体" w:eastAsia="仿宋_GB2312" w:cs="仿宋_GB2312"/>
          <w:sz w:val="32"/>
          <w:szCs w:val="32"/>
        </w:rPr>
        <w:t>,</w:t>
      </w:r>
      <w:r>
        <w:rPr>
          <w:rFonts w:hint="eastAsia" w:ascii="仿宋_GB2312" w:hAnsi="宋体" w:eastAsia="仿宋_GB2312" w:cs="仿宋_GB2312"/>
          <w:sz w:val="32"/>
          <w:szCs w:val="32"/>
        </w:rPr>
        <w:t>分析预测自治州安全生产形势</w:t>
      </w:r>
      <w:r>
        <w:rPr>
          <w:rFonts w:ascii="仿宋_GB2312" w:hAnsi="宋体" w:eastAsia="仿宋_GB2312" w:cs="仿宋_GB2312"/>
          <w:sz w:val="32"/>
          <w:szCs w:val="32"/>
        </w:rPr>
        <w:t>,</w:t>
      </w:r>
      <w:r>
        <w:rPr>
          <w:rFonts w:hint="eastAsia" w:ascii="仿宋_GB2312" w:hAnsi="宋体" w:eastAsia="仿宋_GB2312" w:cs="仿宋_GB2312"/>
          <w:sz w:val="32"/>
          <w:szCs w:val="32"/>
        </w:rPr>
        <w:t>发布自治州安全生产信息。</w:t>
      </w:r>
    </w:p>
    <w:p>
      <w:pPr>
        <w:spacing w:line="560" w:lineRule="exact"/>
        <w:ind w:firstLine="640" w:firstLineChars="200"/>
        <w:rPr>
          <w:rFonts w:ascii="仿宋_GB2312" w:hAnsi="宋体" w:eastAsia="仿宋_GB2312"/>
          <w:sz w:val="32"/>
          <w:szCs w:val="32"/>
        </w:rPr>
      </w:pPr>
      <w:r>
        <w:rPr>
          <w:rFonts w:ascii="仿宋_GB2312" w:hAnsi="宋体" w:eastAsia="仿宋_GB2312" w:cs="仿宋_GB2312"/>
          <w:sz w:val="32"/>
          <w:szCs w:val="32"/>
        </w:rPr>
        <w:t>(</w:t>
      </w:r>
      <w:r>
        <w:rPr>
          <w:rFonts w:hint="eastAsia" w:ascii="仿宋_GB2312" w:hAnsi="宋体" w:eastAsia="仿宋_GB2312" w:cs="仿宋_GB2312"/>
          <w:sz w:val="32"/>
          <w:szCs w:val="32"/>
        </w:rPr>
        <w:t>八</w:t>
      </w:r>
      <w:r>
        <w:rPr>
          <w:rFonts w:ascii="仿宋_GB2312" w:hAnsi="宋体" w:eastAsia="仿宋_GB2312" w:cs="仿宋_GB2312"/>
          <w:sz w:val="32"/>
          <w:szCs w:val="32"/>
        </w:rPr>
        <w:t>)</w:t>
      </w:r>
      <w:r>
        <w:rPr>
          <w:rFonts w:hint="eastAsia" w:ascii="仿宋_GB2312" w:hAnsi="宋体" w:eastAsia="仿宋_GB2312" w:cs="仿宋_GB2312"/>
          <w:sz w:val="32"/>
          <w:szCs w:val="32"/>
        </w:rPr>
        <w:t>负责自治州安全生产宣传教育工作</w:t>
      </w:r>
      <w:r>
        <w:rPr>
          <w:rFonts w:ascii="仿宋_GB2312" w:hAnsi="宋体" w:eastAsia="仿宋_GB2312" w:cs="仿宋_GB2312"/>
          <w:sz w:val="32"/>
          <w:szCs w:val="32"/>
        </w:rPr>
        <w:t>;</w:t>
      </w:r>
      <w:r>
        <w:rPr>
          <w:rFonts w:hint="eastAsia" w:ascii="仿宋_GB2312" w:hAnsi="宋体" w:eastAsia="仿宋_GB2312" w:cs="仿宋_GB2312"/>
          <w:sz w:val="32"/>
          <w:szCs w:val="32"/>
        </w:rPr>
        <w:t>按照有关法律、法规和规章</w:t>
      </w:r>
      <w:r>
        <w:rPr>
          <w:rFonts w:ascii="仿宋_GB2312" w:hAnsi="宋体" w:eastAsia="仿宋_GB2312" w:cs="仿宋_GB2312"/>
          <w:sz w:val="32"/>
          <w:szCs w:val="32"/>
        </w:rPr>
        <w:t>,</w:t>
      </w:r>
      <w:r>
        <w:rPr>
          <w:rFonts w:hint="eastAsia" w:ascii="仿宋_GB2312" w:hAnsi="宋体" w:eastAsia="仿宋_GB2312" w:cs="仿宋_GB2312"/>
          <w:sz w:val="32"/>
          <w:szCs w:val="32"/>
        </w:rPr>
        <w:t>组织、指导安全生产监督管理人员的安全培训、考核工作</w:t>
      </w:r>
      <w:r>
        <w:rPr>
          <w:rFonts w:ascii="仿宋_GB2312" w:hAnsi="宋体" w:eastAsia="仿宋_GB2312" w:cs="仿宋_GB2312"/>
          <w:sz w:val="32"/>
          <w:szCs w:val="32"/>
        </w:rPr>
        <w:t>,</w:t>
      </w:r>
      <w:r>
        <w:rPr>
          <w:rFonts w:hint="eastAsia" w:ascii="仿宋_GB2312" w:hAnsi="宋体" w:eastAsia="仿宋_GB2312" w:cs="仿宋_GB2312"/>
          <w:sz w:val="32"/>
          <w:szCs w:val="32"/>
        </w:rPr>
        <w:t>组织、指导并监督特种作业人员</w:t>
      </w:r>
      <w:r>
        <w:rPr>
          <w:rFonts w:ascii="仿宋_GB2312" w:hAnsi="宋体" w:eastAsia="仿宋_GB2312" w:cs="仿宋_GB2312"/>
          <w:sz w:val="32"/>
          <w:szCs w:val="32"/>
        </w:rPr>
        <w:t>(</w:t>
      </w:r>
      <w:r>
        <w:rPr>
          <w:rFonts w:hint="eastAsia" w:ascii="仿宋_GB2312" w:hAnsi="宋体" w:eastAsia="仿宋_GB2312" w:cs="仿宋_GB2312"/>
          <w:sz w:val="32"/>
          <w:szCs w:val="32"/>
        </w:rPr>
        <w:t>煤矿特种作业人员、特种设备作业人员除外</w:t>
      </w:r>
      <w:r>
        <w:rPr>
          <w:rFonts w:ascii="仿宋_GB2312" w:hAnsi="宋体" w:eastAsia="仿宋_GB2312" w:cs="仿宋_GB2312"/>
          <w:sz w:val="32"/>
          <w:szCs w:val="32"/>
        </w:rPr>
        <w:t>)</w:t>
      </w:r>
      <w:r>
        <w:rPr>
          <w:rFonts w:hint="eastAsia" w:ascii="仿宋_GB2312" w:hAnsi="宋体" w:eastAsia="仿宋_GB2312" w:cs="仿宋_GB2312"/>
          <w:sz w:val="32"/>
          <w:szCs w:val="32"/>
        </w:rPr>
        <w:t>和工矿商贸（煤矿除外）生产经营单位主要负责人、安全生产管理人员的安全资格考核工作；监督检查工矿商贸（煤矿除外）生产经营单位安全生产和职业安全培训工作。</w:t>
      </w:r>
    </w:p>
    <w:p>
      <w:pPr>
        <w:spacing w:line="560" w:lineRule="exact"/>
        <w:ind w:firstLine="640" w:firstLineChars="200"/>
        <w:rPr>
          <w:rFonts w:ascii="仿宋_GB2312" w:hAnsi="宋体" w:eastAsia="仿宋_GB2312"/>
          <w:sz w:val="32"/>
          <w:szCs w:val="32"/>
        </w:rPr>
      </w:pPr>
      <w:r>
        <w:rPr>
          <w:rFonts w:ascii="仿宋_GB2312" w:hAnsi="宋体" w:eastAsia="仿宋_GB2312" w:cs="仿宋_GB2312"/>
          <w:sz w:val="32"/>
          <w:szCs w:val="32"/>
        </w:rPr>
        <w:t>(</w:t>
      </w:r>
      <w:r>
        <w:rPr>
          <w:rFonts w:hint="eastAsia" w:ascii="仿宋_GB2312" w:hAnsi="宋体" w:eastAsia="仿宋_GB2312" w:cs="仿宋_GB2312"/>
          <w:sz w:val="32"/>
          <w:szCs w:val="32"/>
        </w:rPr>
        <w:t>九</w:t>
      </w:r>
      <w:r>
        <w:rPr>
          <w:rFonts w:ascii="仿宋_GB2312" w:hAnsi="宋体" w:eastAsia="仿宋_GB2312" w:cs="仿宋_GB2312"/>
          <w:sz w:val="32"/>
          <w:szCs w:val="32"/>
        </w:rPr>
        <w:t>)</w:t>
      </w:r>
      <w:r>
        <w:rPr>
          <w:rFonts w:hint="eastAsia" w:ascii="仿宋_GB2312" w:hAnsi="宋体" w:eastAsia="仿宋_GB2312" w:cs="仿宋_GB2312"/>
          <w:sz w:val="32"/>
          <w:szCs w:val="32"/>
        </w:rPr>
        <w:t>指导、协调自治州安全生产检测检验工作</w:t>
      </w:r>
      <w:r>
        <w:rPr>
          <w:rFonts w:ascii="仿宋_GB2312" w:hAnsi="宋体" w:eastAsia="仿宋_GB2312" w:cs="仿宋_GB2312"/>
          <w:sz w:val="32"/>
          <w:szCs w:val="32"/>
        </w:rPr>
        <w:t>;</w:t>
      </w:r>
      <w:r>
        <w:rPr>
          <w:rFonts w:hint="eastAsia" w:ascii="仿宋_GB2312" w:hAnsi="宋体" w:eastAsia="仿宋_GB2312" w:cs="仿宋_GB2312"/>
          <w:sz w:val="32"/>
          <w:szCs w:val="32"/>
        </w:rPr>
        <w:t>依法对自治州工矿商贸（煤矿除外）生产经营单位安全生产条件、劳动防护用品和有关设备、设施</w:t>
      </w:r>
      <w:r>
        <w:rPr>
          <w:rFonts w:ascii="仿宋_GB2312" w:hAnsi="宋体" w:eastAsia="仿宋_GB2312" w:cs="仿宋_GB2312"/>
          <w:sz w:val="32"/>
          <w:szCs w:val="32"/>
        </w:rPr>
        <w:t>(</w:t>
      </w:r>
      <w:r>
        <w:rPr>
          <w:rFonts w:hint="eastAsia" w:ascii="仿宋_GB2312" w:hAnsi="宋体" w:eastAsia="仿宋_GB2312" w:cs="仿宋_GB2312"/>
          <w:sz w:val="32"/>
          <w:szCs w:val="32"/>
        </w:rPr>
        <w:t>特种设备除外</w:t>
      </w:r>
      <w:r>
        <w:rPr>
          <w:rFonts w:ascii="仿宋_GB2312" w:hAnsi="宋体" w:eastAsia="仿宋_GB2312" w:cs="仿宋_GB2312"/>
          <w:sz w:val="32"/>
          <w:szCs w:val="32"/>
        </w:rPr>
        <w:t>)</w:t>
      </w:r>
      <w:r>
        <w:rPr>
          <w:rFonts w:hint="eastAsia" w:ascii="仿宋_GB2312" w:hAnsi="宋体" w:eastAsia="仿宋_GB2312" w:cs="仿宋_GB2312"/>
          <w:sz w:val="32"/>
          <w:szCs w:val="32"/>
        </w:rPr>
        <w:t>进行检测检验。负责对安全评价、安全培训、安全咨询等社会中介组织的资质进行管理和监督检查</w:t>
      </w:r>
      <w:r>
        <w:rPr>
          <w:rFonts w:ascii="仿宋_GB2312" w:hAnsi="宋体" w:eastAsia="仿宋_GB2312" w:cs="仿宋_GB2312"/>
          <w:sz w:val="32"/>
          <w:szCs w:val="32"/>
        </w:rPr>
        <w:t>;</w:t>
      </w:r>
      <w:r>
        <w:rPr>
          <w:rFonts w:hint="eastAsia" w:ascii="仿宋_GB2312" w:hAnsi="宋体" w:eastAsia="仿宋_GB2312" w:cs="仿宋_GB2312"/>
          <w:sz w:val="32"/>
          <w:szCs w:val="32"/>
        </w:rPr>
        <w:t>负责对注册安全工程师资格进行审查和管理。负责劳动防护用品监督管理工作。</w:t>
      </w:r>
    </w:p>
    <w:p>
      <w:pPr>
        <w:spacing w:line="560" w:lineRule="exact"/>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（十）指导协调和监督自治州安全生产行政执法工作。</w:t>
      </w:r>
    </w:p>
    <w:p>
      <w:pPr>
        <w:spacing w:line="560" w:lineRule="exact"/>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（十一）承担自治州安全生产委员会的具体工作。承办自治州安全生产委员会召开的会议和重要活动，督促检查自治州安全生产委员会会议决定事项的贯彻落实情况。</w:t>
      </w:r>
    </w:p>
    <w:p>
      <w:pPr>
        <w:spacing w:line="560" w:lineRule="exact"/>
        <w:rPr>
          <w:rFonts w:ascii="仿宋_GB2312" w:hAnsi="宋体" w:eastAsia="仿宋_GB2312"/>
          <w:sz w:val="32"/>
          <w:szCs w:val="32"/>
        </w:rPr>
      </w:pP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（十二）组织、指导和协调相关部门和单位开展安全生产重大科学技术研究和技术示范工作；负责自治州安全生产信息化建设、应急救援体系建设</w:t>
      </w:r>
      <w:r>
        <w:rPr>
          <w:rFonts w:ascii="仿宋_GB2312" w:hAnsi="宋体" w:eastAsia="仿宋_GB2312" w:cs="仿宋_GB2312"/>
          <w:sz w:val="32"/>
          <w:szCs w:val="32"/>
        </w:rPr>
        <w:t>;</w:t>
      </w:r>
      <w:r>
        <w:rPr>
          <w:rFonts w:hint="eastAsia" w:ascii="仿宋_GB2312" w:hAnsi="宋体" w:eastAsia="仿宋_GB2312" w:cs="仿宋_GB2312"/>
          <w:sz w:val="32"/>
          <w:szCs w:val="32"/>
        </w:rPr>
        <w:t>组织州内外安全生产方面的交流与合作。</w:t>
      </w:r>
    </w:p>
    <w:p>
      <w:pPr>
        <w:spacing w:line="560" w:lineRule="exact"/>
        <w:ind w:firstLine="640" w:firstLineChars="200"/>
        <w:rPr>
          <w:rFonts w:ascii="仿宋_GB2312" w:hAnsi="宋体" w:eastAsia="仿宋_GB2312"/>
          <w:kern w:val="0"/>
          <w:sz w:val="32"/>
          <w:szCs w:val="32"/>
        </w:rPr>
      </w:pPr>
      <w:r>
        <w:rPr>
          <w:rFonts w:ascii="仿宋_GB2312" w:hAnsi="宋体" w:eastAsia="仿宋_GB2312" w:cs="仿宋_GB2312"/>
          <w:sz w:val="32"/>
          <w:szCs w:val="32"/>
        </w:rPr>
        <w:t>(</w:t>
      </w:r>
      <w:r>
        <w:rPr>
          <w:rFonts w:hint="eastAsia" w:ascii="仿宋_GB2312" w:hAnsi="宋体" w:eastAsia="仿宋_GB2312" w:cs="仿宋_GB2312"/>
          <w:sz w:val="32"/>
          <w:szCs w:val="32"/>
        </w:rPr>
        <w:t>十三</w:t>
      </w:r>
      <w:r>
        <w:rPr>
          <w:rFonts w:ascii="仿宋_GB2312" w:hAnsi="宋体" w:eastAsia="仿宋_GB2312" w:cs="仿宋_GB2312"/>
          <w:sz w:val="32"/>
          <w:szCs w:val="32"/>
        </w:rPr>
        <w:t>)</w:t>
      </w:r>
      <w:r>
        <w:rPr>
          <w:rFonts w:hint="eastAsia" w:ascii="仿宋_GB2312" w:hAnsi="宋体" w:eastAsia="仿宋_GB2312" w:cs="仿宋_GB2312"/>
          <w:sz w:val="32"/>
          <w:szCs w:val="32"/>
        </w:rPr>
        <w:t>承办自治州人民政府和自治州安全生产委员会交办的其他事项。</w:t>
      </w:r>
    </w:p>
    <w:p>
      <w:pPr>
        <w:widowControl/>
        <w:spacing w:line="560" w:lineRule="exact"/>
        <w:jc w:val="left"/>
        <w:rPr>
          <w:rFonts w:ascii="黑体" w:hAnsi="黑体" w:eastAsia="黑体"/>
          <w:kern w:val="0"/>
          <w:sz w:val="32"/>
          <w:szCs w:val="32"/>
        </w:rPr>
      </w:pPr>
      <w:r>
        <w:rPr>
          <w:rFonts w:hint="eastAsia" w:ascii="仿宋_GB2312" w:hAnsi="宋体" w:eastAsia="仿宋_GB2312" w:cs="仿宋_GB2312"/>
          <w:kern w:val="0"/>
          <w:sz w:val="32"/>
          <w:szCs w:val="32"/>
        </w:rPr>
        <w:t>　</w:t>
      </w:r>
      <w:r>
        <w:rPr>
          <w:rFonts w:ascii="仿宋_GB2312" w:hAnsi="宋体" w:eastAsia="仿宋_GB2312" w:cs="仿宋_GB2312"/>
          <w:kern w:val="0"/>
          <w:sz w:val="32"/>
          <w:szCs w:val="32"/>
        </w:rPr>
        <w:t xml:space="preserve">  </w:t>
      </w:r>
      <w:r>
        <w:rPr>
          <w:rFonts w:hint="eastAsia" w:ascii="黑体" w:hAnsi="黑体" w:eastAsia="黑体" w:cs="黑体"/>
          <w:kern w:val="0"/>
          <w:sz w:val="32"/>
          <w:szCs w:val="32"/>
        </w:rPr>
        <w:t>二、机构设置及人员情况</w:t>
      </w:r>
    </w:p>
    <w:p>
      <w:pPr>
        <w:widowControl/>
        <w:spacing w:line="560" w:lineRule="exact"/>
        <w:ind w:firstLine="643" w:firstLineChars="200"/>
        <w:jc w:val="left"/>
        <w:rPr>
          <w:rFonts w:ascii="仿宋_GB2312" w:hAnsi="黑体" w:eastAsia="仿宋_GB2312"/>
          <w:b/>
          <w:bCs/>
          <w:kern w:val="0"/>
          <w:sz w:val="32"/>
          <w:szCs w:val="32"/>
        </w:rPr>
      </w:pPr>
      <w:r>
        <w:rPr>
          <w:rFonts w:hint="eastAsia" w:ascii="仿宋_GB2312" w:hAnsi="黑体" w:eastAsia="仿宋_GB2312" w:cs="仿宋_GB2312"/>
          <w:b/>
          <w:bCs/>
          <w:kern w:val="0"/>
          <w:sz w:val="32"/>
          <w:szCs w:val="32"/>
        </w:rPr>
        <w:t>情况一：有下属预算单位按以下内容说明：</w:t>
      </w:r>
    </w:p>
    <w:p>
      <w:pPr>
        <w:widowControl/>
        <w:spacing w:line="560" w:lineRule="exact"/>
        <w:ind w:firstLine="640" w:firstLineChars="200"/>
        <w:jc w:val="left"/>
        <w:rPr>
          <w:rFonts w:ascii="仿宋_GB2312" w:hAnsi="宋体" w:eastAsia="仿宋_GB2312"/>
          <w:kern w:val="0"/>
          <w:sz w:val="32"/>
          <w:szCs w:val="32"/>
        </w:rPr>
      </w:pPr>
      <w:r>
        <w:rPr>
          <w:rFonts w:hint="eastAsia" w:ascii="仿宋_GB2312" w:hAnsi="宋体" w:eastAsia="仿宋_GB2312" w:cs="仿宋_GB2312"/>
          <w:kern w:val="0"/>
          <w:sz w:val="32"/>
          <w:szCs w:val="32"/>
        </w:rPr>
        <w:t>从预算单位构成看，昌吉州安全生产监督管理局的部门预算包括：昌吉州安全生产监督管理局本级预算及下属</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家预算单位在内的汇总预算。</w:t>
      </w:r>
    </w:p>
    <w:p>
      <w:pPr>
        <w:spacing w:line="560" w:lineRule="exact"/>
        <w:ind w:firstLine="640" w:firstLineChars="200"/>
        <w:rPr>
          <w:rFonts w:ascii="仿宋_GB2312" w:hAnsi="宋体" w:eastAsia="仿宋_GB2312"/>
          <w:color w:val="000000"/>
          <w:kern w:val="0"/>
          <w:sz w:val="32"/>
          <w:szCs w:val="32"/>
        </w:rPr>
      </w:pPr>
      <w:r>
        <w:rPr>
          <w:rFonts w:hint="eastAsia" w:ascii="仿宋_GB2312" w:hAnsi="宋体" w:eastAsia="仿宋_GB2312" w:cs="仿宋_GB2312"/>
          <w:kern w:val="0"/>
          <w:sz w:val="32"/>
          <w:szCs w:val="32"/>
        </w:rPr>
        <w:t>昌吉州安全生产监督管理局本级</w:t>
      </w:r>
      <w:r>
        <w:rPr>
          <w:rFonts w:hint="eastAsia" w:ascii="仿宋_GB2312" w:hAnsi="黑体" w:eastAsia="仿宋_GB2312" w:cs="仿宋_GB2312"/>
          <w:kern w:val="0"/>
          <w:sz w:val="32"/>
          <w:szCs w:val="32"/>
        </w:rPr>
        <w:t>下设</w:t>
      </w:r>
      <w:r>
        <w:rPr>
          <w:rFonts w:ascii="仿宋_GB2312" w:hAnsi="黑体" w:eastAsia="仿宋_GB2312" w:cs="仿宋_GB2312"/>
          <w:kern w:val="0"/>
          <w:sz w:val="32"/>
          <w:szCs w:val="32"/>
        </w:rPr>
        <w:t>6</w:t>
      </w:r>
      <w:r>
        <w:rPr>
          <w:rFonts w:hint="eastAsia" w:ascii="仿宋_GB2312" w:hAnsi="黑体" w:eastAsia="仿宋_GB2312" w:cs="仿宋_GB2312"/>
          <w:kern w:val="0"/>
          <w:sz w:val="32"/>
          <w:szCs w:val="32"/>
        </w:rPr>
        <w:t>个处室，分别是：</w:t>
      </w:r>
      <w:r>
        <w:rPr>
          <w:rFonts w:hint="eastAsia" w:ascii="仿宋_GB2312" w:hAnsi="宋体" w:eastAsia="仿宋_GB2312" w:cs="仿宋_GB2312"/>
          <w:color w:val="000000"/>
          <w:kern w:val="0"/>
          <w:sz w:val="32"/>
          <w:szCs w:val="32"/>
        </w:rPr>
        <w:t>办公室、综合科、非煤矿山安全监督管理科、危险化学品</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烟花爆竹</w:t>
      </w:r>
      <w:r>
        <w:rPr>
          <w:rFonts w:ascii="仿宋_GB2312" w:hAnsi="宋体" w:eastAsia="仿宋_GB2312" w:cs="仿宋_GB2312"/>
          <w:color w:val="000000"/>
          <w:kern w:val="0"/>
          <w:sz w:val="32"/>
          <w:szCs w:val="32"/>
        </w:rPr>
        <w:t>)</w:t>
      </w:r>
      <w:r>
        <w:rPr>
          <w:rFonts w:hint="eastAsia" w:ascii="仿宋_GB2312" w:hAnsi="宋体" w:eastAsia="仿宋_GB2312" w:cs="仿宋_GB2312"/>
          <w:color w:val="000000"/>
          <w:kern w:val="0"/>
          <w:sz w:val="32"/>
          <w:szCs w:val="32"/>
        </w:rPr>
        <w:t>安全监督管理科、工商贸企业监督管理科、职业安全健康监督管理科。</w:t>
      </w:r>
    </w:p>
    <w:p>
      <w:pPr>
        <w:widowControl/>
        <w:spacing w:line="560" w:lineRule="exact"/>
        <w:ind w:firstLine="640" w:firstLineChars="200"/>
        <w:jc w:val="left"/>
        <w:rPr>
          <w:rFonts w:ascii="仿宋_GB2312" w:hAnsi="宋体" w:eastAsia="仿宋_GB2312"/>
          <w:kern w:val="0"/>
          <w:sz w:val="32"/>
          <w:szCs w:val="32"/>
        </w:rPr>
      </w:pPr>
      <w:r>
        <w:rPr>
          <w:rFonts w:hint="eastAsia" w:ascii="仿宋_GB2312" w:hAnsi="宋体" w:eastAsia="仿宋_GB2312" w:cs="仿宋_GB2312"/>
          <w:kern w:val="0"/>
          <w:sz w:val="32"/>
          <w:szCs w:val="32"/>
        </w:rPr>
        <w:t>本部门中，行政单位</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家，参公管理事业单位</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家</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事业单位</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家，纳入昌吉州安全生产监督管理局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年部门预算编制范围的二级预算单位包括：</w:t>
      </w:r>
    </w:p>
    <w:p>
      <w:pPr>
        <w:widowControl/>
        <w:numPr>
          <w:ilvl w:val="0"/>
          <w:numId w:val="1"/>
        </w:numPr>
        <w:spacing w:line="560" w:lineRule="exact"/>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昌吉州安全生产执法监察支队（独立核算）</w:t>
      </w:r>
    </w:p>
    <w:p>
      <w:pPr>
        <w:widowControl/>
        <w:numPr>
          <w:ilvl w:val="0"/>
          <w:numId w:val="1"/>
        </w:numPr>
        <w:spacing w:line="560" w:lineRule="exact"/>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昌吉州安全生产应急救援指挥中心（非独立核算）</w:t>
      </w:r>
    </w:p>
    <w:p>
      <w:pPr>
        <w:widowControl/>
        <w:spacing w:line="56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昌吉州安全生产监督管理局（含非独立核算的昌吉州安全生产应急救援指挥中心）编制数</w:t>
      </w:r>
      <w:r>
        <w:rPr>
          <w:rFonts w:ascii="仿宋_GB2312" w:hAnsi="宋体" w:eastAsia="仿宋_GB2312" w:cs="仿宋_GB2312"/>
          <w:kern w:val="0"/>
          <w:sz w:val="32"/>
          <w:szCs w:val="32"/>
        </w:rPr>
        <w:t>20</w:t>
      </w:r>
      <w:r>
        <w:rPr>
          <w:rFonts w:hint="eastAsia" w:ascii="仿宋_GB2312" w:hAnsi="宋体" w:eastAsia="仿宋_GB2312" w:cs="仿宋_GB2312"/>
          <w:kern w:val="0"/>
          <w:sz w:val="32"/>
          <w:szCs w:val="32"/>
        </w:rPr>
        <w:t>，实有人数</w:t>
      </w:r>
      <w:r>
        <w:rPr>
          <w:rFonts w:ascii="仿宋_GB2312" w:hAnsi="宋体" w:eastAsia="仿宋_GB2312" w:cs="仿宋_GB2312"/>
          <w:kern w:val="0"/>
          <w:sz w:val="32"/>
          <w:szCs w:val="32"/>
        </w:rPr>
        <w:t>16</w:t>
      </w:r>
      <w:r>
        <w:rPr>
          <w:rFonts w:hint="eastAsia" w:ascii="仿宋_GB2312" w:hAnsi="宋体" w:eastAsia="仿宋_GB2312" w:cs="仿宋_GB2312"/>
          <w:kern w:val="0"/>
          <w:sz w:val="32"/>
          <w:szCs w:val="32"/>
        </w:rPr>
        <w:t>人，其中：在职</w:t>
      </w:r>
      <w:r>
        <w:rPr>
          <w:rFonts w:ascii="仿宋_GB2312" w:hAnsi="宋体" w:eastAsia="仿宋_GB2312" w:cs="仿宋_GB2312"/>
          <w:kern w:val="0"/>
          <w:sz w:val="32"/>
          <w:szCs w:val="32"/>
        </w:rPr>
        <w:t>16</w:t>
      </w:r>
      <w:r>
        <w:rPr>
          <w:rFonts w:hint="eastAsia" w:ascii="仿宋_GB2312" w:hAnsi="宋体" w:eastAsia="仿宋_GB2312" w:cs="仿宋_GB2312"/>
          <w:kern w:val="0"/>
          <w:sz w:val="32"/>
          <w:szCs w:val="32"/>
        </w:rPr>
        <w:t>人，增加或减少</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退休</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人，增加</w:t>
      </w:r>
      <w:r>
        <w:rPr>
          <w:rFonts w:ascii="仿宋_GB2312" w:hAnsi="宋体" w:eastAsia="仿宋_GB2312" w:cs="仿宋_GB2312"/>
          <w:kern w:val="0"/>
          <w:sz w:val="32"/>
          <w:szCs w:val="32"/>
        </w:rPr>
        <w:t xml:space="preserve">1 </w:t>
      </w:r>
      <w:r>
        <w:rPr>
          <w:rFonts w:hint="eastAsia" w:ascii="仿宋_GB2312" w:hAnsi="宋体" w:eastAsia="仿宋_GB2312" w:cs="仿宋_GB2312"/>
          <w:kern w:val="0"/>
          <w:sz w:val="32"/>
          <w:szCs w:val="32"/>
        </w:rPr>
        <w:t>人；离休</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人，增加或减少</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人。</w:t>
      </w:r>
    </w:p>
    <w:p>
      <w:pPr>
        <w:widowControl/>
        <w:spacing w:line="560" w:lineRule="exact"/>
        <w:jc w:val="left"/>
        <w:rPr>
          <w:rFonts w:ascii="仿宋_GB2312" w:hAnsi="宋体" w:eastAsia="仿宋_GB2312"/>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cs="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cs="黑体"/>
          <w:kern w:val="0"/>
          <w:sz w:val="32"/>
          <w:szCs w:val="32"/>
        </w:rPr>
        <w:t>第二部分</w:t>
      </w:r>
      <w:r>
        <w:rPr>
          <w:rFonts w:ascii="黑体" w:hAnsi="黑体" w:eastAsia="黑体" w:cs="黑体"/>
          <w:kern w:val="0"/>
          <w:sz w:val="32"/>
          <w:szCs w:val="32"/>
        </w:rPr>
        <w:t xml:space="preserve">  </w:t>
      </w:r>
      <w:r>
        <w:rPr>
          <w:rFonts w:hint="eastAsia" w:ascii="黑体" w:hAnsi="黑体" w:eastAsia="黑体" w:cs="黑体"/>
          <w:kern w:val="0"/>
          <w:sz w:val="32"/>
          <w:szCs w:val="32"/>
        </w:rPr>
        <w:t>2019年部门预算公开表</w:t>
      </w:r>
    </w:p>
    <w:p>
      <w:pPr>
        <w:widowControl/>
        <w:spacing w:before="120" w:beforeLines="5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表一：</w:t>
      </w: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部门收支总体情况表</w:t>
      </w:r>
    </w:p>
    <w:p>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编制部门：昌吉回族自治州安全生产监督管理局本级</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W w:w="8662" w:type="dxa"/>
        <w:tblInd w:w="-106"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收</w:t>
            </w:r>
            <w:r>
              <w:rPr>
                <w:rFonts w:ascii="仿宋_GB2312" w:hAnsi="宋体" w:eastAsia="仿宋_GB2312" w:cs="仿宋_GB2312"/>
                <w:b/>
                <w:bCs/>
                <w:kern w:val="0"/>
                <w:sz w:val="24"/>
                <w:szCs w:val="24"/>
              </w:rPr>
              <w:t xml:space="preserve">     </w:t>
            </w:r>
            <w:r>
              <w:rPr>
                <w:rFonts w:hint="eastAsia" w:ascii="仿宋_GB2312" w:hAnsi="宋体" w:eastAsia="仿宋_GB2312" w:cs="仿宋_GB2312"/>
                <w:b/>
                <w:bCs/>
                <w:kern w:val="0"/>
                <w:sz w:val="24"/>
                <w:szCs w:val="24"/>
              </w:rPr>
              <w:t>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支</w:t>
            </w:r>
            <w:r>
              <w:rPr>
                <w:rFonts w:ascii="仿宋_GB2312" w:hAnsi="宋体" w:eastAsia="仿宋_GB2312" w:cs="仿宋_GB2312"/>
                <w:b/>
                <w:bCs/>
                <w:kern w:val="0"/>
                <w:sz w:val="24"/>
                <w:szCs w:val="24"/>
              </w:rPr>
              <w:t xml:space="preserve">     </w:t>
            </w:r>
            <w:r>
              <w:rPr>
                <w:rFonts w:hint="eastAsia" w:ascii="仿宋_GB2312" w:hAnsi="宋体" w:eastAsia="仿宋_GB2312" w:cs="仿宋_GB2312"/>
                <w:b/>
                <w:bCs/>
                <w:kern w:val="0"/>
                <w:sz w:val="24"/>
                <w:szCs w:val="24"/>
              </w:rPr>
              <w:t>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331.24</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331.24</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    </w:t>
            </w:r>
            <w:r>
              <w:rPr>
                <w:rFonts w:hint="eastAsia" w:ascii="仿宋_GB2312" w:hAnsi="宋体" w:eastAsia="仿宋_GB2312" w:cs="仿宋_GB2312"/>
                <w:kern w:val="0"/>
                <w:sz w:val="18"/>
                <w:szCs w:val="18"/>
              </w:rPr>
              <w:t>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210 </w:t>
            </w:r>
            <w:r>
              <w:rPr>
                <w:rFonts w:hint="eastAsia" w:ascii="仿宋_GB2312" w:hAnsi="宋体" w:eastAsia="仿宋_GB2312" w:cs="仿宋_GB2312"/>
                <w:kern w:val="0"/>
                <w:sz w:val="18"/>
                <w:szCs w:val="18"/>
              </w:rPr>
              <w:t>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223 </w:t>
            </w:r>
            <w:r>
              <w:rPr>
                <w:rFonts w:hint="eastAsia" w:ascii="仿宋_GB2312" w:hAnsi="宋体" w:eastAsia="仿宋_GB2312" w:cs="仿宋_GB2312"/>
                <w:kern w:val="0"/>
                <w:sz w:val="18"/>
                <w:szCs w:val="18"/>
              </w:rPr>
              <w:t>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224 </w:t>
            </w:r>
            <w:r>
              <w:rPr>
                <w:rFonts w:hint="eastAsia" w:ascii="仿宋_GB2312" w:hAnsi="宋体" w:eastAsia="仿宋_GB2312" w:cs="仿宋_GB2312"/>
                <w:kern w:val="0"/>
                <w:sz w:val="18"/>
                <w:szCs w:val="18"/>
              </w:rPr>
              <w:t>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331.24</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231 </w:t>
            </w:r>
            <w:r>
              <w:rPr>
                <w:rFonts w:hint="eastAsia" w:ascii="仿宋_GB2312" w:hAnsi="宋体" w:eastAsia="仿宋_GB2312" w:cs="仿宋_GB2312"/>
                <w:kern w:val="0"/>
                <w:sz w:val="18"/>
                <w:szCs w:val="18"/>
              </w:rPr>
              <w:t>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232 </w:t>
            </w:r>
            <w:r>
              <w:rPr>
                <w:rFonts w:hint="eastAsia" w:ascii="仿宋_GB2312" w:hAnsi="宋体" w:eastAsia="仿宋_GB2312" w:cs="仿宋_GB2312"/>
                <w:kern w:val="0"/>
                <w:sz w:val="18"/>
                <w:szCs w:val="18"/>
              </w:rPr>
              <w:t>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ascii="仿宋_GB2312" w:hAnsi="宋体" w:eastAsia="仿宋_GB2312" w:cs="仿宋_GB2312"/>
                <w:kern w:val="0"/>
                <w:sz w:val="18"/>
                <w:szCs w:val="18"/>
              </w:rPr>
              <w:t xml:space="preserve">233 </w:t>
            </w:r>
            <w:r>
              <w:rPr>
                <w:rFonts w:hint="eastAsia" w:ascii="仿宋_GB2312" w:hAnsi="宋体" w:eastAsia="仿宋_GB2312" w:cs="仿宋_GB2312"/>
                <w:kern w:val="0"/>
                <w:sz w:val="18"/>
                <w:szCs w:val="18"/>
              </w:rPr>
              <w:t>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kern w:val="0"/>
                <w:sz w:val="20"/>
                <w:szCs w:val="20"/>
              </w:rPr>
            </w:pPr>
            <w:r>
              <w:rPr>
                <w:rFonts w:hint="eastAsia" w:ascii="仿宋_GB2312" w:hAnsi="宋体" w:eastAsia="仿宋_GB2312" w:cs="仿宋_GB2312"/>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kern w:val="0"/>
                <w:sz w:val="20"/>
                <w:szCs w:val="20"/>
              </w:rPr>
            </w:pPr>
            <w:r>
              <w:rPr>
                <w:rFonts w:ascii="仿宋_GB2312" w:hAnsi="宋体" w:eastAsia="仿宋_GB2312" w:cs="仿宋_GB2312"/>
                <w:kern w:val="0"/>
                <w:sz w:val="20"/>
                <w:szCs w:val="20"/>
              </w:rPr>
              <w:t xml:space="preserve">230 </w:t>
            </w:r>
            <w:r>
              <w:rPr>
                <w:rFonts w:hint="eastAsia" w:ascii="仿宋_GB2312" w:hAnsi="宋体" w:eastAsia="仿宋_GB2312" w:cs="仿宋_GB2312"/>
                <w:kern w:val="0"/>
                <w:sz w:val="20"/>
                <w:szCs w:val="20"/>
              </w:rPr>
              <w:t>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hint="eastAsia" w:ascii="仿宋_GB2312" w:hAnsi="宋体" w:eastAsia="仿宋_GB2312" w:cs="仿宋_GB2312"/>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kern w:val="0"/>
                <w:sz w:val="18"/>
                <w:szCs w:val="18"/>
              </w:rPr>
            </w:pPr>
            <w:r>
              <w:rPr>
                <w:rFonts w:hint="eastAsia" w:ascii="仿宋_GB2312" w:hAnsi="宋体" w:eastAsia="仿宋_GB2312" w:cs="仿宋_GB2312"/>
                <w:kern w:val="0"/>
                <w:sz w:val="20"/>
                <w:szCs w:val="20"/>
              </w:rPr>
              <w:t>收</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入</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331.24</w:t>
            </w:r>
            <w:r>
              <w:rPr>
                <w:rFonts w:hint="eastAsia" w:ascii="仿宋_GB2312" w:hAnsi="宋体" w:eastAsia="仿宋_GB2312" w:cs="仿宋_GB2312"/>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kern w:val="0"/>
                <w:sz w:val="20"/>
                <w:szCs w:val="20"/>
              </w:rPr>
            </w:pPr>
            <w:r>
              <w:rPr>
                <w:rFonts w:hint="eastAsia" w:ascii="仿宋_GB2312" w:hAnsi="宋体" w:eastAsia="仿宋_GB2312" w:cs="仿宋_GB2312"/>
                <w:kern w:val="0"/>
                <w:sz w:val="20"/>
                <w:szCs w:val="20"/>
              </w:rPr>
              <w:t>支</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出</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合</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kern w:val="0"/>
                <w:sz w:val="18"/>
                <w:szCs w:val="18"/>
              </w:rPr>
            </w:pPr>
            <w:r>
              <w:rPr>
                <w:rFonts w:ascii="仿宋_GB2312" w:hAnsi="宋体" w:eastAsia="仿宋_GB2312" w:cs="仿宋_GB2312"/>
                <w:kern w:val="0"/>
                <w:sz w:val="18"/>
                <w:szCs w:val="18"/>
              </w:rPr>
              <w:t>331.24</w:t>
            </w:r>
            <w:r>
              <w:rPr>
                <w:rFonts w:hint="eastAsia" w:ascii="仿宋_GB2312" w:hAnsi="宋体" w:eastAsia="仿宋_GB2312" w:cs="仿宋_GB2312"/>
                <w:kern w:val="0"/>
                <w:sz w:val="18"/>
                <w:szCs w:val="18"/>
              </w:rPr>
              <w:t>　</w:t>
            </w:r>
          </w:p>
        </w:tc>
      </w:tr>
    </w:tbl>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表二：</w:t>
      </w: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部门收入总体情况表</w:t>
      </w:r>
    </w:p>
    <w:p>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填报部门：昌吉回族自治州安全生产监督管理局本级</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W w:w="9654" w:type="dxa"/>
        <w:tblInd w:w="-106" w:type="dxa"/>
        <w:tblLayout w:type="fixed"/>
        <w:tblCellMar>
          <w:top w:w="0" w:type="dxa"/>
          <w:left w:w="108" w:type="dxa"/>
          <w:bottom w:w="0" w:type="dxa"/>
          <w:right w:w="108" w:type="dxa"/>
        </w:tblCellMar>
      </w:tblPr>
      <w:tblGrid>
        <w:gridCol w:w="417"/>
        <w:gridCol w:w="417"/>
        <w:gridCol w:w="417"/>
        <w:gridCol w:w="2145"/>
        <w:gridCol w:w="820"/>
        <w:gridCol w:w="932"/>
        <w:gridCol w:w="428"/>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总</w:t>
            </w:r>
            <w:r>
              <w:rPr>
                <w:rFonts w:ascii="仿宋_GB2312" w:eastAsia="仿宋_GB2312" w:cs="仿宋_GB2312"/>
                <w:b/>
                <w:bCs/>
                <w:color w:val="000000"/>
                <w:sz w:val="20"/>
                <w:szCs w:val="20"/>
              </w:rPr>
              <w:t xml:space="preserve">  </w:t>
            </w:r>
            <w:r>
              <w:rPr>
                <w:rFonts w:hint="eastAsia" w:ascii="仿宋_GB2312" w:eastAsia="仿宋_GB2312" w:cs="仿宋_GB2312"/>
                <w:b/>
                <w:bCs/>
                <w:color w:val="000000"/>
                <w:sz w:val="20"/>
                <w:szCs w:val="20"/>
              </w:rPr>
              <w:t>计</w:t>
            </w:r>
          </w:p>
        </w:tc>
        <w:tc>
          <w:tcPr>
            <w:tcW w:w="93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一般公共预算拨款</w:t>
            </w:r>
          </w:p>
        </w:tc>
        <w:tc>
          <w:tcPr>
            <w:tcW w:w="42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20"/>
                <w:szCs w:val="20"/>
              </w:rPr>
            </w:pPr>
            <w:r>
              <w:rPr>
                <w:rFonts w:hint="eastAsia" w:ascii="仿宋_GB2312" w:eastAsia="仿宋_GB2312" w:cs="仿宋_GB2312"/>
                <w:b/>
                <w:bCs/>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b/>
                <w:bCs/>
                <w:color w:val="000000"/>
                <w:sz w:val="18"/>
                <w:szCs w:val="18"/>
              </w:rPr>
            </w:pPr>
            <w:r>
              <w:rPr>
                <w:rFonts w:hint="eastAsia" w:ascii="仿宋_GB2312" w:eastAsia="仿宋_GB2312" w:cs="仿宋_GB2312"/>
                <w:b/>
                <w:bCs/>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b/>
                <w:bCs/>
                <w:color w:val="000000"/>
                <w:sz w:val="20"/>
                <w:szCs w:val="20"/>
              </w:rPr>
            </w:pPr>
            <w:r>
              <w:rPr>
                <w:rFonts w:hint="eastAsia" w:ascii="仿宋_GB2312" w:eastAsia="仿宋_GB2312" w:cs="仿宋_GB2312"/>
                <w:b/>
                <w:bCs/>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93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42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224</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s="仿宋_GB2312"/>
                <w:color w:val="000000"/>
                <w:sz w:val="20"/>
                <w:szCs w:val="20"/>
              </w:rPr>
              <w:t>　行政运行</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ascii="仿宋_GB2312" w:eastAsia="仿宋_GB2312" w:cs="仿宋_GB2312"/>
                <w:color w:val="000000"/>
                <w:sz w:val="20"/>
                <w:szCs w:val="20"/>
              </w:rPr>
              <w:t>316.24</w:t>
            </w: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ascii="仿宋_GB2312" w:eastAsia="仿宋_GB2312" w:cs="仿宋_GB2312"/>
                <w:color w:val="000000"/>
                <w:sz w:val="20"/>
                <w:szCs w:val="20"/>
              </w:rPr>
              <w:t>316.24</w:t>
            </w: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224</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06</w:t>
            </w: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安全监管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15</w:t>
            </w: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15</w:t>
            </w: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hAnsi="宋体" w:eastAsia="仿宋_GB2312" w:cs="仿宋_GB2312"/>
                <w:kern w:val="0"/>
                <w:sz w:val="18"/>
                <w:szCs w:val="18"/>
              </w:rPr>
              <w:t>331.24</w:t>
            </w:r>
            <w:r>
              <w:rPr>
                <w:rFonts w:hint="eastAsia" w:ascii="仿宋_GB2312" w:eastAsia="仿宋_GB2312" w:cs="仿宋_GB2312"/>
                <w:color w:val="000000"/>
                <w:sz w:val="20"/>
                <w:szCs w:val="20"/>
              </w:rPr>
              <w:t>　</w:t>
            </w:r>
          </w:p>
        </w:tc>
        <w:tc>
          <w:tcPr>
            <w:tcW w:w="93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hAnsi="宋体" w:eastAsia="仿宋_GB2312" w:cs="仿宋_GB2312"/>
                <w:kern w:val="0"/>
                <w:sz w:val="18"/>
                <w:szCs w:val="18"/>
              </w:rPr>
              <w:t>331.24</w:t>
            </w:r>
            <w:r>
              <w:rPr>
                <w:rFonts w:hint="eastAsia" w:ascii="仿宋_GB2312" w:eastAsia="仿宋_GB2312" w:cs="仿宋_GB2312"/>
                <w:color w:val="000000"/>
                <w:sz w:val="20"/>
                <w:szCs w:val="20"/>
              </w:rPr>
              <w:t>　</w:t>
            </w:r>
          </w:p>
        </w:tc>
        <w:tc>
          <w:tcPr>
            <w:tcW w:w="42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hint="eastAsia" w:ascii="仿宋_GB2312" w:eastAsia="仿宋_GB2312" w:cs="仿宋_GB2312"/>
                <w:color w:val="000000"/>
                <w:sz w:val="20"/>
                <w:szCs w:val="20"/>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表三：</w:t>
      </w: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部门支出总体情况表</w:t>
      </w:r>
    </w:p>
    <w:p>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编制部门：昌吉回族自治州安全生产监督管理局本级</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W w:w="9229" w:type="dxa"/>
        <w:tblInd w:w="-106"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224</w:t>
            </w:r>
            <w:r>
              <w:rPr>
                <w:rFonts w:hint="eastAsia" w:ascii="仿宋_GB2312" w:eastAsia="仿宋_GB2312" w:cs="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s="仿宋_GB2312"/>
                <w:color w:val="000000"/>
                <w:sz w:val="20"/>
                <w:szCs w:val="20"/>
              </w:rPr>
              <w:t>　行政运行</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ascii="仿宋_GB2312" w:eastAsia="仿宋_GB2312" w:cs="仿宋_GB2312"/>
                <w:color w:val="000000"/>
                <w:sz w:val="20"/>
                <w:szCs w:val="20"/>
              </w:rPr>
              <w:t>316.24</w:t>
            </w:r>
            <w:r>
              <w:rPr>
                <w:rFonts w:hint="eastAsia" w:ascii="仿宋_GB2312" w:eastAsia="仿宋_GB2312" w:cs="仿宋_GB2312"/>
                <w:color w:val="000000"/>
                <w:sz w:val="20"/>
                <w:szCs w:val="20"/>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r>
              <w:rPr>
                <w:rFonts w:ascii="仿宋_GB2312" w:eastAsia="仿宋_GB2312" w:cs="仿宋_GB2312"/>
                <w:color w:val="000000"/>
                <w:sz w:val="20"/>
                <w:szCs w:val="20"/>
              </w:rPr>
              <w:t>316.24</w:t>
            </w:r>
            <w:r>
              <w:rPr>
                <w:rFonts w:hint="eastAsia" w:ascii="仿宋_GB2312" w:eastAsia="仿宋_GB2312" w:cs="仿宋_GB2312"/>
                <w:color w:val="000000"/>
                <w:sz w:val="20"/>
                <w:szCs w:val="20"/>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ascii="仿宋_GB2312" w:eastAsia="仿宋_GB2312" w:cs="仿宋_GB2312"/>
                <w:color w:val="000000"/>
                <w:sz w:val="20"/>
                <w:szCs w:val="20"/>
              </w:rPr>
              <w:t>0</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224</w:t>
            </w:r>
            <w:r>
              <w:rPr>
                <w:rFonts w:hint="eastAsia" w:ascii="仿宋_GB2312" w:eastAsia="仿宋_GB2312" w:cs="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400"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06</w:t>
            </w:r>
            <w:r>
              <w:rPr>
                <w:rFonts w:hint="eastAsia" w:ascii="仿宋_GB2312" w:eastAsia="仿宋_GB2312" w:cs="仿宋_GB2312"/>
                <w:color w:val="000000"/>
                <w:sz w:val="20"/>
                <w:szCs w:val="20"/>
              </w:rPr>
              <w:t>　</w:t>
            </w:r>
          </w:p>
        </w:tc>
        <w:tc>
          <w:tcPr>
            <w:tcW w:w="2604"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安全监管　</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15</w:t>
            </w:r>
            <w:r>
              <w:rPr>
                <w:rFonts w:hint="eastAsia" w:ascii="仿宋_GB2312" w:eastAsia="仿宋_GB2312" w:cs="仿宋_GB2312"/>
                <w:color w:val="000000"/>
                <w:sz w:val="20"/>
                <w:szCs w:val="20"/>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r>
              <w:rPr>
                <w:rFonts w:ascii="仿宋_GB2312" w:eastAsia="仿宋_GB2312" w:cs="仿宋_GB2312"/>
                <w:color w:val="000000"/>
                <w:sz w:val="20"/>
                <w:szCs w:val="20"/>
              </w:rPr>
              <w:t>0</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ascii="仿宋_GB2312" w:eastAsia="仿宋_GB2312" w:cs="仿宋_GB2312"/>
                <w:color w:val="000000"/>
                <w:sz w:val="20"/>
                <w:szCs w:val="20"/>
              </w:rPr>
              <w:t>15</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仿宋_GB2312" w:hAnsi="宋体" w:eastAsia="仿宋_GB2312" w:cs="仿宋_GB2312"/>
                <w:kern w:val="0"/>
                <w:sz w:val="18"/>
                <w:szCs w:val="18"/>
              </w:rPr>
              <w:t>331.24</w:t>
            </w:r>
          </w:p>
        </w:tc>
        <w:tc>
          <w:tcPr>
            <w:tcW w:w="1856"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仿宋_GB2312" w:eastAsia="仿宋_GB2312" w:cs="仿宋_GB2312"/>
                <w:color w:val="000000"/>
                <w:sz w:val="20"/>
                <w:szCs w:val="20"/>
              </w:rPr>
              <w:t>316.24</w:t>
            </w:r>
            <w:r>
              <w:rPr>
                <w:rFonts w:hint="eastAsia" w:ascii="仿宋_GB2312" w:eastAsia="仿宋_GB2312" w:cs="仿宋_GB2312"/>
                <w:color w:val="000000"/>
                <w:sz w:val="20"/>
                <w:szCs w:val="20"/>
              </w:rPr>
              <w:t>　</w:t>
            </w:r>
          </w:p>
        </w:tc>
        <w:tc>
          <w:tcPr>
            <w:tcW w:w="1713"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仿宋_GB2312" w:eastAsia="仿宋_GB2312" w:cs="仿宋_GB2312"/>
                <w:color w:val="000000"/>
                <w:sz w:val="20"/>
                <w:szCs w:val="20"/>
              </w:rPr>
              <w:t>15</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spacing w:before="120" w:beforeLines="50"/>
        <w:outlineLvl w:val="1"/>
        <w:rPr>
          <w:rFonts w:ascii="仿宋_GB2312" w:hAnsi="宋体" w:eastAsia="仿宋_GB2312" w:cs="仿宋_GB2312"/>
          <w:b/>
          <w:bCs/>
          <w:kern w:val="0"/>
          <w:sz w:val="32"/>
          <w:szCs w:val="32"/>
        </w:rPr>
      </w:pPr>
    </w:p>
    <w:p>
      <w:pPr>
        <w:widowControl/>
        <w:spacing w:before="120" w:beforeLines="50"/>
        <w:outlineLvl w:val="1"/>
        <w:rPr>
          <w:rFonts w:ascii="仿宋_GB2312" w:hAnsi="宋体" w:eastAsia="仿宋_GB2312" w:cs="仿宋_GB2312"/>
          <w:b/>
          <w:bCs/>
          <w:kern w:val="0"/>
          <w:sz w:val="32"/>
          <w:szCs w:val="32"/>
        </w:rPr>
      </w:pPr>
    </w:p>
    <w:p>
      <w:pPr>
        <w:widowControl/>
        <w:spacing w:before="120" w:beforeLines="50"/>
        <w:outlineLvl w:val="1"/>
        <w:rPr>
          <w:rFonts w:ascii="仿宋_GB2312" w:hAnsi="宋体" w:eastAsia="仿宋_GB2312" w:cs="仿宋_GB2312"/>
          <w:b/>
          <w:bCs/>
          <w:kern w:val="0"/>
          <w:sz w:val="32"/>
          <w:szCs w:val="32"/>
        </w:rPr>
      </w:pPr>
    </w:p>
    <w:p>
      <w:pPr>
        <w:widowControl/>
        <w:spacing w:before="120" w:beforeLines="50"/>
        <w:outlineLvl w:val="1"/>
        <w:rPr>
          <w:rFonts w:ascii="仿宋_GB2312" w:hAnsi="宋体" w:eastAsia="仿宋_GB2312" w:cs="仿宋_GB2312"/>
          <w:b/>
          <w:bCs/>
          <w:kern w:val="0"/>
          <w:sz w:val="32"/>
          <w:szCs w:val="32"/>
        </w:rPr>
      </w:pPr>
    </w:p>
    <w:p>
      <w:pPr>
        <w:widowControl/>
        <w:spacing w:before="120" w:beforeLines="50"/>
        <w:outlineLvl w:val="1"/>
        <w:rPr>
          <w:rFonts w:ascii="仿宋_GB2312" w:hAnsi="宋体" w:eastAsia="仿宋_GB2312" w:cs="仿宋_GB2312"/>
          <w:b/>
          <w:bCs/>
          <w:kern w:val="0"/>
          <w:sz w:val="32"/>
          <w:szCs w:val="32"/>
        </w:rPr>
      </w:pPr>
    </w:p>
    <w:p>
      <w:pPr>
        <w:widowControl/>
        <w:spacing w:before="120" w:beforeLines="50"/>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表四：</w:t>
      </w:r>
    </w:p>
    <w:p>
      <w:pPr>
        <w:widowControl/>
        <w:spacing w:before="120" w:beforeLines="50"/>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cs="仿宋_GB2312"/>
          <w:kern w:val="0"/>
          <w:sz w:val="28"/>
          <w:szCs w:val="28"/>
        </w:rPr>
        <w:t>编制部门：昌吉回族自治州安全生产监督管理局本级</w:t>
      </w:r>
      <w:r>
        <w:rPr>
          <w:rFonts w:ascii="仿宋_GB2312" w:hAnsi="宋体" w:eastAsia="仿宋_GB2312" w:cs="仿宋_GB2312"/>
          <w:kern w:val="0"/>
          <w:sz w:val="28"/>
          <w:szCs w:val="28"/>
        </w:rPr>
        <w:t xml:space="preserve">                                          </w:t>
      </w:r>
      <w:r>
        <w:rPr>
          <w:rFonts w:hint="eastAsia" w:ascii="仿宋_GB2312" w:hAnsi="宋体" w:eastAsia="仿宋_GB2312" w:cs="仿宋_GB2312"/>
          <w:kern w:val="0"/>
          <w:sz w:val="28"/>
          <w:szCs w:val="28"/>
        </w:rPr>
        <w:t>单位：万元</w:t>
      </w:r>
    </w:p>
    <w:tbl>
      <w:tblPr>
        <w:tblStyle w:val="5"/>
        <w:tblW w:w="9229" w:type="dxa"/>
        <w:tblInd w:w="-106"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b/>
                <w:bCs/>
                <w:kern w:val="0"/>
                <w:sz w:val="24"/>
                <w:szCs w:val="24"/>
              </w:rPr>
            </w:pPr>
            <w:r>
              <w:rPr>
                <w:rFonts w:hint="eastAsia" w:ascii="仿宋_GB2312" w:hAnsi="宋体" w:eastAsia="仿宋_GB2312" w:cs="仿宋_GB2312"/>
                <w:b/>
                <w:bCs/>
                <w:kern w:val="0"/>
                <w:sz w:val="24"/>
                <w:szCs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项</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功</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能</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分</w:t>
            </w:r>
            <w:r>
              <w:rPr>
                <w:rFonts w:ascii="仿宋_GB2312" w:hAnsi="宋体" w:eastAsia="仿宋_GB2312" w:cs="仿宋_GB2312"/>
                <w:b/>
                <w:bCs/>
                <w:kern w:val="0"/>
                <w:sz w:val="20"/>
                <w:szCs w:val="20"/>
              </w:rPr>
              <w:t xml:space="preserve">  </w:t>
            </w:r>
            <w:r>
              <w:rPr>
                <w:rFonts w:hint="eastAsia" w:ascii="仿宋_GB2312" w:hAnsi="宋体" w:eastAsia="仿宋_GB2312" w:cs="仿宋_GB2312"/>
                <w:b/>
                <w:bCs/>
                <w:kern w:val="0"/>
                <w:sz w:val="20"/>
                <w:szCs w:val="20"/>
              </w:rPr>
              <w:t>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kern w:val="0"/>
                <w:sz w:val="20"/>
                <w:szCs w:val="20"/>
              </w:rPr>
            </w:pPr>
            <w:r>
              <w:rPr>
                <w:rFonts w:hint="eastAsia" w:ascii="仿宋_GB2312" w:hAnsi="宋体" w:eastAsia="仿宋_GB2312" w:cs="仿宋_GB2312"/>
                <w:b/>
                <w:bCs/>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2"/>
                <w:szCs w:val="22"/>
              </w:rPr>
            </w:pPr>
            <w:r>
              <w:rPr>
                <w:rFonts w:ascii="仿宋_GB2312" w:hAnsi="宋体" w:eastAsia="仿宋_GB2312" w:cs="仿宋_GB2312"/>
                <w:color w:val="000000"/>
                <w:kern w:val="0"/>
                <w:sz w:val="22"/>
                <w:szCs w:val="22"/>
              </w:rPr>
              <w:t>331.24</w:t>
            </w: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201 </w:t>
            </w:r>
            <w:r>
              <w:rPr>
                <w:rFonts w:hint="eastAsia" w:ascii="仿宋_GB2312" w:hAnsi="宋体" w:eastAsia="仿宋_GB2312" w:cs="仿宋_GB2312"/>
                <w:kern w:val="0"/>
                <w:sz w:val="18"/>
                <w:szCs w:val="18"/>
              </w:rPr>
              <w:t>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2"/>
                <w:szCs w:val="22"/>
              </w:rPr>
            </w:pPr>
            <w:r>
              <w:rPr>
                <w:rFonts w:ascii="仿宋_GB2312" w:hAnsi="宋体" w:eastAsia="仿宋_GB2312" w:cs="仿宋_GB2312"/>
                <w:color w:val="000000"/>
                <w:kern w:val="0"/>
                <w:sz w:val="22"/>
                <w:szCs w:val="22"/>
              </w:rPr>
              <w:t>331.24</w:t>
            </w: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202 </w:t>
            </w:r>
            <w:r>
              <w:rPr>
                <w:rFonts w:hint="eastAsia" w:ascii="仿宋_GB2312" w:hAnsi="宋体" w:eastAsia="仿宋_GB2312" w:cs="仿宋_GB2312"/>
                <w:kern w:val="0"/>
                <w:sz w:val="18"/>
                <w:szCs w:val="18"/>
              </w:rPr>
              <w:t>外交支出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olor w:val="000000"/>
                <w:kern w:val="0"/>
                <w:sz w:val="18"/>
                <w:szCs w:val="18"/>
              </w:rPr>
            </w:pP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203 </w:t>
            </w:r>
            <w:r>
              <w:rPr>
                <w:rFonts w:hint="eastAsia" w:ascii="仿宋_GB2312" w:hAnsi="宋体" w:eastAsia="仿宋_GB2312" w:cs="仿宋_GB2312"/>
                <w:kern w:val="0"/>
                <w:sz w:val="18"/>
                <w:szCs w:val="18"/>
              </w:rPr>
              <w:t>国防支出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204 </w:t>
            </w:r>
            <w:r>
              <w:rPr>
                <w:rFonts w:hint="eastAsia" w:ascii="仿宋_GB2312" w:hAnsi="宋体" w:eastAsia="仿宋_GB2312" w:cs="仿宋_GB2312"/>
                <w:kern w:val="0"/>
                <w:sz w:val="18"/>
                <w:szCs w:val="18"/>
              </w:rPr>
              <w:t>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205 </w:t>
            </w:r>
            <w:r>
              <w:rPr>
                <w:rFonts w:hint="eastAsia" w:ascii="仿宋_GB2312" w:hAnsi="宋体" w:eastAsia="仿宋_GB2312" w:cs="仿宋_GB2312"/>
                <w:kern w:val="0"/>
                <w:sz w:val="18"/>
                <w:szCs w:val="18"/>
              </w:rPr>
              <w:t>教育支出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206 </w:t>
            </w:r>
            <w:r>
              <w:rPr>
                <w:rFonts w:hint="eastAsia" w:ascii="仿宋_GB2312" w:hAnsi="宋体" w:eastAsia="仿宋_GB2312" w:cs="仿宋_GB2312"/>
                <w:kern w:val="0"/>
                <w:sz w:val="18"/>
                <w:szCs w:val="18"/>
              </w:rPr>
              <w:t>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207 </w:t>
            </w:r>
            <w:r>
              <w:rPr>
                <w:rFonts w:hint="eastAsia" w:ascii="仿宋_GB2312" w:hAnsi="宋体" w:eastAsia="仿宋_GB2312" w:cs="仿宋_GB2312"/>
                <w:kern w:val="0"/>
                <w:sz w:val="18"/>
                <w:szCs w:val="18"/>
              </w:rPr>
              <w:t>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208 </w:t>
            </w:r>
            <w:r>
              <w:rPr>
                <w:rFonts w:hint="eastAsia" w:ascii="仿宋_GB2312" w:hAnsi="宋体" w:eastAsia="仿宋_GB2312" w:cs="仿宋_GB2312"/>
                <w:kern w:val="0"/>
                <w:sz w:val="18"/>
                <w:szCs w:val="18"/>
              </w:rPr>
              <w:t>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209 </w:t>
            </w:r>
            <w:r>
              <w:rPr>
                <w:rFonts w:hint="eastAsia" w:ascii="仿宋_GB2312" w:hAnsi="宋体" w:eastAsia="仿宋_GB2312" w:cs="仿宋_GB2312"/>
                <w:kern w:val="0"/>
                <w:sz w:val="18"/>
                <w:szCs w:val="18"/>
              </w:rPr>
              <w:t>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5"/>
                <w:szCs w:val="15"/>
              </w:rPr>
            </w:pPr>
            <w:r>
              <w:rPr>
                <w:rFonts w:ascii="仿宋_GB2312" w:hAnsi="宋体" w:eastAsia="仿宋_GB2312" w:cs="仿宋_GB2312"/>
                <w:kern w:val="0"/>
                <w:sz w:val="15"/>
                <w:szCs w:val="15"/>
              </w:rPr>
              <w:t xml:space="preserve">210 </w:t>
            </w:r>
            <w:r>
              <w:rPr>
                <w:rFonts w:hint="eastAsia" w:ascii="仿宋_GB2312" w:hAnsi="宋体" w:eastAsia="仿宋_GB2312" w:cs="仿宋_GB2312"/>
                <w:kern w:val="0"/>
                <w:sz w:val="15"/>
                <w:szCs w:val="15"/>
              </w:rPr>
              <w:t>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211 </w:t>
            </w:r>
            <w:r>
              <w:rPr>
                <w:rFonts w:hint="eastAsia" w:ascii="仿宋_GB2312" w:hAnsi="宋体" w:eastAsia="仿宋_GB2312" w:cs="仿宋_GB2312"/>
                <w:kern w:val="0"/>
                <w:sz w:val="18"/>
                <w:szCs w:val="18"/>
              </w:rPr>
              <w:t>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212 </w:t>
            </w:r>
            <w:r>
              <w:rPr>
                <w:rFonts w:hint="eastAsia" w:ascii="仿宋_GB2312" w:hAnsi="宋体" w:eastAsia="仿宋_GB2312" w:cs="仿宋_GB2312"/>
                <w:kern w:val="0"/>
                <w:sz w:val="18"/>
                <w:szCs w:val="18"/>
              </w:rPr>
              <w:t>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213 </w:t>
            </w:r>
            <w:r>
              <w:rPr>
                <w:rFonts w:hint="eastAsia" w:ascii="仿宋_GB2312" w:hAnsi="宋体" w:eastAsia="仿宋_GB2312" w:cs="仿宋_GB2312"/>
                <w:kern w:val="0"/>
                <w:sz w:val="18"/>
                <w:szCs w:val="18"/>
              </w:rPr>
              <w:t>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214 </w:t>
            </w:r>
            <w:r>
              <w:rPr>
                <w:rFonts w:hint="eastAsia" w:ascii="仿宋_GB2312" w:hAnsi="宋体" w:eastAsia="仿宋_GB2312" w:cs="仿宋_GB2312"/>
                <w:kern w:val="0"/>
                <w:sz w:val="18"/>
                <w:szCs w:val="18"/>
              </w:rPr>
              <w:t>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215 </w:t>
            </w:r>
            <w:r>
              <w:rPr>
                <w:rFonts w:hint="eastAsia" w:ascii="仿宋_GB2312" w:hAnsi="宋体" w:eastAsia="仿宋_GB2312" w:cs="仿宋_GB2312"/>
                <w:kern w:val="0"/>
                <w:sz w:val="18"/>
                <w:szCs w:val="18"/>
              </w:rPr>
              <w:t>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216 </w:t>
            </w:r>
            <w:r>
              <w:rPr>
                <w:rFonts w:hint="eastAsia" w:ascii="仿宋_GB2312" w:hAnsi="宋体" w:eastAsia="仿宋_GB2312" w:cs="仿宋_GB2312"/>
                <w:kern w:val="0"/>
                <w:sz w:val="18"/>
                <w:szCs w:val="18"/>
              </w:rPr>
              <w:t>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217 </w:t>
            </w:r>
            <w:r>
              <w:rPr>
                <w:rFonts w:hint="eastAsia" w:ascii="仿宋_GB2312" w:hAnsi="宋体" w:eastAsia="仿宋_GB2312" w:cs="仿宋_GB2312"/>
                <w:kern w:val="0"/>
                <w:sz w:val="18"/>
                <w:szCs w:val="18"/>
              </w:rPr>
              <w:t>金融支出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219 </w:t>
            </w:r>
            <w:r>
              <w:rPr>
                <w:rFonts w:hint="eastAsia" w:ascii="仿宋_GB2312" w:hAnsi="宋体" w:eastAsia="仿宋_GB2312" w:cs="仿宋_GB2312"/>
                <w:kern w:val="0"/>
                <w:sz w:val="18"/>
                <w:szCs w:val="18"/>
              </w:rPr>
              <w:t>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220 </w:t>
            </w:r>
            <w:r>
              <w:rPr>
                <w:rFonts w:hint="eastAsia" w:ascii="仿宋_GB2312" w:hAnsi="宋体" w:eastAsia="仿宋_GB2312" w:cs="仿宋_GB2312"/>
                <w:kern w:val="0"/>
                <w:sz w:val="18"/>
                <w:szCs w:val="18"/>
              </w:rPr>
              <w:t>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221 </w:t>
            </w:r>
            <w:r>
              <w:rPr>
                <w:rFonts w:hint="eastAsia" w:ascii="仿宋_GB2312" w:hAnsi="宋体" w:eastAsia="仿宋_GB2312" w:cs="仿宋_GB2312"/>
                <w:kern w:val="0"/>
                <w:sz w:val="18"/>
                <w:szCs w:val="18"/>
              </w:rPr>
              <w:t>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222 </w:t>
            </w:r>
            <w:r>
              <w:rPr>
                <w:rFonts w:hint="eastAsia" w:ascii="仿宋_GB2312" w:hAnsi="宋体" w:eastAsia="仿宋_GB2312" w:cs="仿宋_GB2312"/>
                <w:kern w:val="0"/>
                <w:sz w:val="18"/>
                <w:szCs w:val="18"/>
              </w:rPr>
              <w:t>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5"/>
                <w:szCs w:val="15"/>
              </w:rPr>
            </w:pPr>
            <w:r>
              <w:rPr>
                <w:rFonts w:ascii="仿宋_GB2312" w:hAnsi="宋体" w:eastAsia="仿宋_GB2312" w:cs="仿宋_GB2312"/>
                <w:kern w:val="0"/>
                <w:sz w:val="15"/>
                <w:szCs w:val="15"/>
              </w:rPr>
              <w:t>2</w:t>
            </w:r>
            <w:r>
              <w:rPr>
                <w:rFonts w:ascii="仿宋_GB2312" w:hAnsi="宋体" w:eastAsia="仿宋_GB2312" w:cs="仿宋_GB2312"/>
                <w:color w:val="000000"/>
                <w:kern w:val="0"/>
                <w:sz w:val="15"/>
                <w:szCs w:val="15"/>
              </w:rPr>
              <w:t xml:space="preserve">23 </w:t>
            </w:r>
            <w:r>
              <w:rPr>
                <w:rFonts w:hint="eastAsia" w:ascii="仿宋_GB2312" w:hAnsi="宋体" w:eastAsia="仿宋_GB2312" w:cs="仿宋_GB2312"/>
                <w:color w:val="000000"/>
                <w:kern w:val="0"/>
                <w:sz w:val="15"/>
                <w:szCs w:val="15"/>
              </w:rPr>
              <w:t>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224 </w:t>
            </w:r>
            <w:r>
              <w:rPr>
                <w:rFonts w:hint="eastAsia" w:ascii="仿宋_GB2312" w:hAnsi="宋体" w:eastAsia="仿宋_GB2312" w:cs="仿宋_GB2312"/>
                <w:kern w:val="0"/>
                <w:sz w:val="18"/>
                <w:szCs w:val="18"/>
              </w:rPr>
              <w:t>灾害防治及应急管理支出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331.24</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331.24</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227 </w:t>
            </w:r>
            <w:r>
              <w:rPr>
                <w:rFonts w:hint="eastAsia" w:ascii="仿宋_GB2312" w:hAnsi="宋体" w:eastAsia="仿宋_GB2312" w:cs="仿宋_GB2312"/>
                <w:kern w:val="0"/>
                <w:sz w:val="18"/>
                <w:szCs w:val="18"/>
              </w:rPr>
              <w:t>预备费</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 xml:space="preserve">229 </w:t>
            </w:r>
            <w:r>
              <w:rPr>
                <w:rFonts w:hint="eastAsia" w:ascii="仿宋_GB2312" w:hAnsi="宋体" w:eastAsia="仿宋_GB2312" w:cs="仿宋_GB2312"/>
                <w:kern w:val="0"/>
                <w:sz w:val="18"/>
                <w:szCs w:val="18"/>
              </w:rPr>
              <w:t>其他支出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w:t>
            </w:r>
            <w:r>
              <w:rPr>
                <w:rFonts w:ascii="仿宋_GB2312" w:hAnsi="宋体" w:eastAsia="仿宋_GB2312" w:cs="仿宋_GB2312"/>
                <w:color w:val="000000"/>
                <w:kern w:val="0"/>
                <w:sz w:val="18"/>
                <w:szCs w:val="18"/>
              </w:rPr>
              <w:t xml:space="preserve">31 </w:t>
            </w:r>
            <w:r>
              <w:rPr>
                <w:rFonts w:hint="eastAsia" w:ascii="仿宋_GB2312" w:hAnsi="宋体" w:eastAsia="仿宋_GB2312" w:cs="仿宋_GB2312"/>
                <w:color w:val="000000"/>
                <w:kern w:val="0"/>
                <w:sz w:val="18"/>
                <w:szCs w:val="18"/>
              </w:rPr>
              <w:t>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w:t>
            </w:r>
            <w:r>
              <w:rPr>
                <w:rFonts w:ascii="仿宋_GB2312" w:hAnsi="宋体" w:eastAsia="仿宋_GB2312" w:cs="仿宋_GB2312"/>
                <w:color w:val="000000"/>
                <w:kern w:val="0"/>
                <w:sz w:val="18"/>
                <w:szCs w:val="18"/>
              </w:rPr>
              <w:t xml:space="preserve">32 </w:t>
            </w:r>
            <w:r>
              <w:rPr>
                <w:rFonts w:hint="eastAsia" w:ascii="仿宋_GB2312" w:hAnsi="宋体" w:eastAsia="仿宋_GB2312" w:cs="仿宋_GB2312"/>
                <w:color w:val="000000"/>
                <w:kern w:val="0"/>
                <w:sz w:val="18"/>
                <w:szCs w:val="18"/>
              </w:rPr>
              <w:t>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olor w:val="000000"/>
                <w:kern w:val="0"/>
                <w:sz w:val="22"/>
                <w:szCs w:val="22"/>
              </w:rPr>
            </w:pPr>
            <w:r>
              <w:rPr>
                <w:rFonts w:hint="eastAsia" w:ascii="仿宋_GB2312" w:hAnsi="宋体" w:eastAsia="仿宋_GB2312" w:cs="仿宋_GB2312"/>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ascii="仿宋_GB2312" w:hAnsi="宋体" w:eastAsia="仿宋_GB2312" w:cs="仿宋_GB2312"/>
                <w:kern w:val="0"/>
                <w:sz w:val="18"/>
                <w:szCs w:val="18"/>
              </w:rPr>
              <w:t>233</w:t>
            </w:r>
            <w:r>
              <w:rPr>
                <w:rFonts w:ascii="仿宋_GB2312" w:hAnsi="宋体" w:eastAsia="仿宋_GB2312" w:cs="仿宋_GB2312"/>
                <w:color w:val="000000"/>
                <w:kern w:val="0"/>
                <w:sz w:val="18"/>
                <w:szCs w:val="18"/>
              </w:rPr>
              <w:t xml:space="preserve"> </w:t>
            </w:r>
            <w:r>
              <w:rPr>
                <w:rFonts w:hint="eastAsia" w:ascii="仿宋_GB2312" w:hAnsi="宋体" w:eastAsia="仿宋_GB2312" w:cs="仿宋_GB2312"/>
                <w:color w:val="000000"/>
                <w:kern w:val="0"/>
                <w:sz w:val="18"/>
                <w:szCs w:val="18"/>
              </w:rPr>
              <w:t>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olor w:val="000000"/>
                <w:kern w:val="0"/>
                <w:sz w:val="22"/>
                <w:szCs w:val="22"/>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r>
              <w:rPr>
                <w:rFonts w:ascii="宋体" w:hAnsi="宋体" w:cs="宋体"/>
                <w:kern w:val="0"/>
                <w:sz w:val="18"/>
                <w:szCs w:val="18"/>
              </w:rPr>
              <w:t>331.24</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18"/>
                <w:szCs w:val="18"/>
              </w:rPr>
            </w:pPr>
            <w:r>
              <w:rPr>
                <w:rFonts w:hint="eastAsia" w:ascii="仿宋_GB2312" w:hAnsi="宋体" w:eastAsia="仿宋_GB2312" w:cs="仿宋_GB2312"/>
                <w:kern w:val="0"/>
                <w:sz w:val="20"/>
                <w:szCs w:val="20"/>
              </w:rPr>
              <w:t>小</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331.24</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331.24</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kern w:val="0"/>
                <w:sz w:val="20"/>
                <w:szCs w:val="20"/>
              </w:rPr>
            </w:pPr>
            <w:r>
              <w:rPr>
                <w:rFonts w:hint="eastAsia" w:ascii="仿宋_GB2312" w:hAnsi="宋体" w:eastAsia="仿宋_GB2312" w:cs="仿宋_GB2312"/>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kern w:val="0"/>
                <w:sz w:val="20"/>
                <w:szCs w:val="20"/>
              </w:rPr>
            </w:pPr>
            <w:r>
              <w:rPr>
                <w:rFonts w:ascii="仿宋_GB2312" w:hAnsi="宋体" w:eastAsia="仿宋_GB2312" w:cs="仿宋_GB2312"/>
                <w:kern w:val="0"/>
                <w:sz w:val="20"/>
                <w:szCs w:val="20"/>
              </w:rPr>
              <w:t xml:space="preserve">230 </w:t>
            </w:r>
            <w:r>
              <w:rPr>
                <w:rFonts w:hint="eastAsia" w:ascii="仿宋_GB2312" w:hAnsi="宋体" w:eastAsia="仿宋_GB2312" w:cs="仿宋_GB2312"/>
                <w:kern w:val="0"/>
                <w:sz w:val="20"/>
                <w:szCs w:val="20"/>
              </w:rPr>
              <w:t>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kern w:val="0"/>
                <w:sz w:val="20"/>
                <w:szCs w:val="20"/>
              </w:rPr>
            </w:pPr>
            <w:r>
              <w:rPr>
                <w:rFonts w:hint="eastAsia" w:ascii="仿宋_GB2312" w:hAnsi="宋体" w:eastAsia="仿宋_GB2312" w:cs="仿宋_GB2312"/>
                <w:kern w:val="0"/>
                <w:sz w:val="20"/>
                <w:szCs w:val="20"/>
              </w:rPr>
              <w:t>收</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入</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30"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331.24</w:t>
            </w:r>
            <w:r>
              <w:rPr>
                <w:rFonts w:hint="eastAsia" w:ascii="宋体" w:hAnsi="宋体" w:cs="宋体"/>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kern w:val="0"/>
                <w:sz w:val="20"/>
                <w:szCs w:val="20"/>
              </w:rPr>
            </w:pPr>
            <w:r>
              <w:rPr>
                <w:rFonts w:hint="eastAsia" w:ascii="仿宋_GB2312" w:hAnsi="宋体" w:eastAsia="仿宋_GB2312" w:cs="仿宋_GB2312"/>
                <w:kern w:val="0"/>
                <w:sz w:val="20"/>
                <w:szCs w:val="20"/>
              </w:rPr>
              <w:t>支</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出</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总</w:t>
            </w:r>
            <w:r>
              <w:rPr>
                <w:rFonts w:ascii="仿宋_GB2312" w:hAnsi="宋体" w:eastAsia="仿宋_GB2312" w:cs="仿宋_GB2312"/>
                <w:kern w:val="0"/>
                <w:sz w:val="20"/>
                <w:szCs w:val="20"/>
              </w:rPr>
              <w:t xml:space="preserve">  </w:t>
            </w:r>
            <w:r>
              <w:rPr>
                <w:rFonts w:hint="eastAsia" w:ascii="仿宋_GB2312" w:hAnsi="宋体" w:eastAsia="仿宋_GB2312" w:cs="仿宋_GB2312"/>
                <w:kern w:val="0"/>
                <w:sz w:val="20"/>
                <w:szCs w:val="20"/>
              </w:rPr>
              <w:t>计</w:t>
            </w:r>
          </w:p>
        </w:tc>
        <w:tc>
          <w:tcPr>
            <w:tcW w:w="1294"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331.24</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ascii="宋体" w:hAnsi="宋体" w:cs="宋体"/>
                <w:kern w:val="0"/>
                <w:sz w:val="18"/>
                <w:szCs w:val="18"/>
              </w:rPr>
              <w:t>331.24</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表五：</w:t>
      </w:r>
    </w:p>
    <w:tbl>
      <w:tblPr>
        <w:tblStyle w:val="5"/>
        <w:tblW w:w="9087" w:type="dxa"/>
        <w:tblInd w:w="-106"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编制部门：昌吉回族自治州安全生产监督管理局本级</w:t>
            </w:r>
          </w:p>
        </w:tc>
        <w:tc>
          <w:tcPr>
            <w:tcW w:w="660" w:type="dxa"/>
            <w:tcBorders>
              <w:top w:val="nil"/>
              <w:left w:val="nil"/>
              <w:bottom w:val="nil"/>
              <w:right w:val="nil"/>
            </w:tcBorders>
            <w:vAlign w:val="center"/>
          </w:tcPr>
          <w:p>
            <w:pPr>
              <w:widowControl/>
              <w:jc w:val="left"/>
              <w:rPr>
                <w:rFonts w:ascii="仿宋_GB2312" w:hAnsi="宋体" w:eastAsia="仿宋_GB2312"/>
                <w:color w:val="000000"/>
                <w:kern w:val="0"/>
                <w:sz w:val="24"/>
                <w:szCs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olor w:val="000000"/>
                <w:kern w:val="0"/>
                <w:sz w:val="24"/>
                <w:szCs w:val="24"/>
              </w:rPr>
            </w:pPr>
          </w:p>
        </w:tc>
        <w:tc>
          <w:tcPr>
            <w:tcW w:w="3327" w:type="dxa"/>
            <w:gridSpan w:val="2"/>
            <w:tcBorders>
              <w:top w:val="nil"/>
              <w:left w:val="nil"/>
              <w:bottom w:val="nil"/>
              <w:right w:val="nil"/>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224</w:t>
            </w:r>
            <w:r>
              <w:rPr>
                <w:rFonts w:hint="eastAsia" w:ascii="仿宋_GB2312" w:eastAsia="仿宋_GB2312" w:cs="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s="仿宋_GB2312"/>
                <w:color w:val="000000"/>
                <w:sz w:val="20"/>
                <w:szCs w:val="20"/>
              </w:rPr>
              <w:t>　行政运行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ascii="仿宋_GB2312" w:eastAsia="仿宋_GB2312" w:cs="仿宋_GB2312"/>
                <w:color w:val="000000"/>
                <w:sz w:val="20"/>
                <w:szCs w:val="20"/>
              </w:rPr>
              <w:t>316.24</w:t>
            </w:r>
            <w:r>
              <w:rPr>
                <w:rFonts w:hint="eastAsia" w:ascii="仿宋_GB2312" w:eastAsia="仿宋_GB2312" w:cs="仿宋_GB2312"/>
                <w:color w:val="00000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r>
              <w:rPr>
                <w:rFonts w:ascii="仿宋_GB2312" w:eastAsia="仿宋_GB2312" w:cs="仿宋_GB2312"/>
                <w:color w:val="000000"/>
                <w:sz w:val="20"/>
                <w:szCs w:val="20"/>
              </w:rPr>
              <w:t>316.24</w:t>
            </w:r>
            <w:r>
              <w:rPr>
                <w:rFonts w:hint="eastAsia" w:ascii="仿宋_GB2312" w:eastAsia="仿宋_GB2312" w:cs="仿宋_GB2312"/>
                <w:color w:val="000000"/>
                <w:sz w:val="20"/>
                <w:szCs w:val="20"/>
              </w:rPr>
              <w:t>　</w:t>
            </w:r>
          </w:p>
        </w:tc>
        <w:tc>
          <w:tcPr>
            <w:tcW w:w="1701"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ascii="仿宋_GB2312" w:eastAsia="仿宋_GB2312" w:cs="仿宋_GB2312"/>
                <w:color w:val="000000"/>
                <w:sz w:val="20"/>
                <w:szCs w:val="20"/>
              </w:rPr>
              <w:t>0</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224</w:t>
            </w:r>
            <w:r>
              <w:rPr>
                <w:rFonts w:hint="eastAsia" w:ascii="仿宋_GB2312" w:eastAsia="仿宋_GB2312" w:cs="仿宋_GB2312"/>
                <w:color w:val="000000"/>
                <w:sz w:val="20"/>
                <w:szCs w:val="20"/>
              </w:rPr>
              <w:t>　</w:t>
            </w:r>
          </w:p>
        </w:tc>
        <w:tc>
          <w:tcPr>
            <w:tcW w:w="492"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01</w:t>
            </w:r>
            <w:r>
              <w:rPr>
                <w:rFonts w:hint="eastAsia" w:ascii="仿宋_GB2312" w:eastAsia="仿宋_GB2312" w:cs="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06</w:t>
            </w:r>
            <w:r>
              <w:rPr>
                <w:rFonts w:hint="eastAsia" w:ascii="仿宋_GB2312" w:eastAsia="仿宋_GB2312" w:cs="仿宋_GB2312"/>
                <w:color w:val="000000"/>
                <w:sz w:val="20"/>
                <w:szCs w:val="20"/>
              </w:rPr>
              <w:t>　</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olor w:val="000000"/>
                <w:sz w:val="20"/>
                <w:szCs w:val="20"/>
              </w:rPr>
            </w:pPr>
            <w:r>
              <w:rPr>
                <w:rFonts w:hint="eastAsia" w:ascii="仿宋_GB2312" w:eastAsia="仿宋_GB2312" w:cs="仿宋_GB2312"/>
                <w:color w:val="000000"/>
                <w:sz w:val="20"/>
                <w:szCs w:val="20"/>
              </w:rPr>
              <w:t>安全监管　</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olor w:val="000000"/>
                <w:sz w:val="20"/>
                <w:szCs w:val="20"/>
              </w:rPr>
            </w:pPr>
            <w:r>
              <w:rPr>
                <w:rFonts w:ascii="仿宋_GB2312" w:eastAsia="仿宋_GB2312" w:cs="仿宋_GB2312"/>
                <w:color w:val="000000"/>
                <w:sz w:val="20"/>
                <w:szCs w:val="20"/>
              </w:rPr>
              <w:t>15</w:t>
            </w:r>
            <w:r>
              <w:rPr>
                <w:rFonts w:hint="eastAsia" w:ascii="仿宋_GB2312" w:eastAsia="仿宋_GB2312" w:cs="仿宋_GB2312"/>
                <w:color w:val="00000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　</w:t>
            </w:r>
            <w:r>
              <w:rPr>
                <w:rFonts w:ascii="仿宋_GB2312" w:eastAsia="仿宋_GB2312" w:cs="仿宋_GB2312"/>
                <w:color w:val="000000"/>
                <w:sz w:val="20"/>
                <w:szCs w:val="20"/>
              </w:rPr>
              <w:t>0</w:t>
            </w:r>
          </w:p>
        </w:tc>
        <w:tc>
          <w:tcPr>
            <w:tcW w:w="1701" w:type="dxa"/>
            <w:tcBorders>
              <w:top w:val="nil"/>
              <w:left w:val="nil"/>
              <w:bottom w:val="single" w:color="auto" w:sz="4" w:space="0"/>
              <w:right w:val="single" w:color="auto" w:sz="4" w:space="0"/>
            </w:tcBorders>
            <w:vAlign w:val="center"/>
          </w:tcPr>
          <w:p>
            <w:pPr>
              <w:widowControl/>
              <w:jc w:val="center"/>
              <w:rPr>
                <w:rFonts w:ascii="宋体"/>
                <w:b/>
                <w:bCs/>
                <w:color w:val="000000"/>
                <w:kern w:val="0"/>
                <w:sz w:val="22"/>
                <w:szCs w:val="22"/>
              </w:rPr>
            </w:pPr>
            <w:r>
              <w:rPr>
                <w:rFonts w:ascii="仿宋_GB2312" w:eastAsia="仿宋_GB2312" w:cs="仿宋_GB2312"/>
                <w:color w:val="000000"/>
                <w:sz w:val="20"/>
                <w:szCs w:val="20"/>
              </w:rPr>
              <w:t>15</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r>
      <w:tr>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eastAsia="仿宋_GB2312"/>
                <w:color w:val="000000"/>
                <w:kern w:val="0"/>
              </w:rPr>
            </w:pPr>
            <w:r>
              <w:rPr>
                <w:rFonts w:hint="eastAsia" w:ascii="宋体" w:hAnsi="宋体" w:cs="宋体"/>
                <w:color w:val="000000"/>
                <w:kern w:val="0"/>
                <w:sz w:val="24"/>
                <w:szCs w:val="24"/>
              </w:rPr>
              <w:t>　</w:t>
            </w:r>
            <w:r>
              <w:rPr>
                <w:rFonts w:ascii="仿宋_GB2312" w:hAnsi="宋体" w:eastAsia="仿宋_GB2312" w:cs="仿宋_GB2312"/>
                <w:color w:val="000000"/>
                <w:kern w:val="0"/>
              </w:rPr>
              <w:t>331.24</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仿宋_GB2312" w:eastAsia="仿宋_GB2312" w:cs="仿宋_GB2312"/>
                <w:color w:val="000000"/>
                <w:sz w:val="20"/>
                <w:szCs w:val="20"/>
              </w:rPr>
              <w:t>316.24</w:t>
            </w:r>
            <w:r>
              <w:rPr>
                <w:rFonts w:hint="eastAsia" w:ascii="仿宋_GB2312" w:eastAsia="仿宋_GB2312" w:cs="仿宋_GB2312"/>
                <w:color w:val="00000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r>
              <w:rPr>
                <w:rFonts w:ascii="仿宋_GB2312" w:eastAsia="仿宋_GB2312" w:cs="仿宋_GB2312"/>
                <w:color w:val="000000"/>
                <w:sz w:val="20"/>
                <w:szCs w:val="20"/>
              </w:rPr>
              <w:t>15</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表六：</w:t>
      </w:r>
    </w:p>
    <w:tbl>
      <w:tblPr>
        <w:tblStyle w:val="5"/>
        <w:tblW w:w="9087" w:type="dxa"/>
        <w:tblInd w:w="-106"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编制部门：昌吉回族自治州安全生产监督管理局本级</w:t>
            </w:r>
          </w:p>
        </w:tc>
        <w:tc>
          <w:tcPr>
            <w:tcW w:w="995" w:type="dxa"/>
            <w:tcBorders>
              <w:top w:val="nil"/>
              <w:left w:val="nil"/>
              <w:bottom w:val="nil"/>
              <w:right w:val="nil"/>
            </w:tcBorders>
            <w:vAlign w:val="center"/>
          </w:tcPr>
          <w:p>
            <w:pPr>
              <w:widowControl/>
              <w:jc w:val="left"/>
              <w:rPr>
                <w:rFonts w:ascii="仿宋_GB2312" w:hAnsi="宋体" w:eastAsia="仿宋_GB2312"/>
                <w:color w:val="000000"/>
                <w:kern w:val="0"/>
                <w:sz w:val="24"/>
                <w:szCs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olor w:val="000000"/>
                <w:kern w:val="0"/>
                <w:sz w:val="24"/>
                <w:szCs w:val="24"/>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tblPrEx>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一般公共预算基本支出</w:t>
            </w:r>
          </w:p>
        </w:tc>
      </w:tr>
      <w:tr>
        <w:tblPrEx>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rPr>
            </w:pPr>
            <w:r>
              <w:rPr>
                <w:rFonts w:hint="eastAsia" w:ascii="仿宋_GB2312" w:hAnsi="宋体" w:eastAsia="仿宋_GB2312" w:cs="仿宋_GB2312"/>
                <w:b/>
                <w:bCs/>
                <w:color w:val="000000"/>
                <w:kern w:val="0"/>
              </w:rPr>
              <w:t>公用经费</w:t>
            </w:r>
          </w:p>
        </w:tc>
      </w:tr>
      <w:tr>
        <w:tblPrEx>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b/>
                <w:bCs/>
                <w:color w:val="000000"/>
                <w:kern w:val="0"/>
                <w:sz w:val="20"/>
                <w:szCs w:val="20"/>
              </w:rPr>
            </w:pPr>
            <w:r>
              <w:rPr>
                <w:rFonts w:hint="eastAsia" w:ascii="仿宋_GB2312" w:hAnsi="宋体" w:eastAsia="仿宋_GB2312" w:cs="仿宋_GB2312"/>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b/>
                <w:bCs/>
                <w:color w:val="000000"/>
                <w:kern w:val="0"/>
                <w:sz w:val="20"/>
                <w:szCs w:val="20"/>
              </w:rPr>
            </w:pP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基本工资</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87.44</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87.44</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02</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津贴补贴</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44.08</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44.08</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03</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奖金</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5.55</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5.55</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06</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伙食补助费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21.42</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21.42</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07</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绩效工资</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2.61</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2.61</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08</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机关事业单位基本养老保险缴费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27.94</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27.94</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10</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职工基本医疗保险缴费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15.85</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15.85</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11</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公务员医疗补助缴费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12.33</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12.33</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12</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其他社会保障缴费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0.49</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0.49</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13</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住房公积金</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16.76</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16.76</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301</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99</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其他工资福利支出</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45.68</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45.68</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办公费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1.72</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1.72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02</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印刷费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05</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水费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06</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电费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0.79</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0.79</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07</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邮电费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0.91</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0.91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09</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物业管理费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11</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差旅费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9</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9</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13</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维修</w:t>
            </w:r>
            <w:r>
              <w:rPr>
                <w:rFonts w:ascii="Dialog" w:hAnsi="Dialog" w:cs="Dialog"/>
                <w:color w:val="000000"/>
              </w:rPr>
              <w:t>(</w:t>
            </w:r>
            <w:r>
              <w:rPr>
                <w:rFonts w:hint="eastAsia" w:ascii="Dialog" w:hAnsi="Dialog" w:cs="宋体"/>
                <w:color w:val="000000"/>
              </w:rPr>
              <w:t>护</w:t>
            </w:r>
            <w:r>
              <w:rPr>
                <w:rFonts w:ascii="Dialog" w:hAnsi="Dialog" w:cs="Dialog"/>
                <w:color w:val="000000"/>
              </w:rPr>
              <w:t>)</w:t>
            </w:r>
            <w:r>
              <w:rPr>
                <w:rFonts w:hint="eastAsia" w:ascii="Dialog" w:hAnsi="Dialog" w:cs="宋体"/>
                <w:color w:val="000000"/>
              </w:rPr>
              <w:t>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0.12</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0.12</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14</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租赁费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0.3</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0.3</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16</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培训费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1.27</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1.27</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302</w:t>
            </w:r>
          </w:p>
        </w:tc>
        <w:tc>
          <w:tcPr>
            <w:tcW w:w="577"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17</w:t>
            </w:r>
          </w:p>
        </w:tc>
        <w:tc>
          <w:tcPr>
            <w:tcW w:w="289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hint="eastAsia" w:ascii="Dialog" w:hAnsi="Dialog" w:cs="宋体"/>
                <w:color w:val="000000"/>
              </w:rPr>
              <w:t>公务招待费</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0.99</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0.99</w:t>
            </w:r>
          </w:p>
        </w:tc>
      </w:tr>
      <w:tr>
        <w:tblPrEx>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316.24</w:t>
            </w:r>
          </w:p>
        </w:tc>
        <w:tc>
          <w:tcPr>
            <w:tcW w:w="1701" w:type="dxa"/>
            <w:gridSpan w:val="2"/>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282.97</w:t>
            </w:r>
          </w:p>
        </w:tc>
        <w:tc>
          <w:tcPr>
            <w:tcW w:w="1701" w:type="dxa"/>
            <w:tcBorders>
              <w:top w:val="nil"/>
              <w:left w:val="nil"/>
              <w:bottom w:val="single" w:color="auto" w:sz="4" w:space="0"/>
              <w:right w:val="single" w:color="auto" w:sz="4" w:space="0"/>
            </w:tcBorders>
            <w:vAlign w:val="center"/>
          </w:tcPr>
          <w:p>
            <w:pPr>
              <w:rPr>
                <w:rFonts w:ascii="Dialog" w:hAnsi="Dialog" w:cs="Dialog"/>
                <w:color w:val="000000"/>
                <w:sz w:val="24"/>
                <w:szCs w:val="24"/>
              </w:rPr>
            </w:pPr>
            <w:r>
              <w:rPr>
                <w:rFonts w:ascii="Dialog" w:hAnsi="Dialog" w:cs="Dialog"/>
                <w:color w:val="000000"/>
              </w:rPr>
              <w:t>33.27</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表七：</w:t>
      </w:r>
    </w:p>
    <w:tbl>
      <w:tblPr>
        <w:tblStyle w:val="5"/>
        <w:tblW w:w="9469" w:type="dxa"/>
        <w:tblInd w:w="-106"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编制部门：昌吉回族自治州安全生产监督管理局本级</w:t>
            </w:r>
          </w:p>
        </w:tc>
        <w:tc>
          <w:tcPr>
            <w:tcW w:w="995" w:type="dxa"/>
            <w:gridSpan w:val="2"/>
            <w:tcBorders>
              <w:top w:val="nil"/>
              <w:left w:val="nil"/>
              <w:bottom w:val="nil"/>
              <w:right w:val="nil"/>
            </w:tcBorders>
            <w:vAlign w:val="center"/>
          </w:tcPr>
          <w:p>
            <w:pPr>
              <w:widowControl/>
              <w:jc w:val="left"/>
              <w:rPr>
                <w:rFonts w:ascii="仿宋_GB2312" w:hAnsi="宋体" w:eastAsia="仿宋_GB2312"/>
                <w:color w:val="000000"/>
                <w:kern w:val="0"/>
                <w:sz w:val="24"/>
                <w:szCs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olor w:val="000000"/>
                <w:kern w:val="0"/>
                <w:sz w:val="24"/>
                <w:szCs w:val="24"/>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目</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编</w:t>
            </w:r>
            <w:r>
              <w:rPr>
                <w:rFonts w:ascii="仿宋_GB2312" w:hAnsi="宋体" w:eastAsia="仿宋_GB2312" w:cs="仿宋_GB2312"/>
                <w:b/>
                <w:bCs/>
                <w:kern w:val="0"/>
                <w:sz w:val="18"/>
                <w:szCs w:val="18"/>
              </w:rPr>
              <w:t xml:space="preserve"> </w:t>
            </w:r>
            <w:r>
              <w:rPr>
                <w:rFonts w:hint="eastAsia" w:ascii="仿宋_GB2312" w:hAnsi="宋体" w:eastAsia="仿宋_GB2312" w:cs="仿宋_GB2312"/>
                <w:b/>
                <w:bCs/>
                <w:kern w:val="0"/>
                <w:sz w:val="18"/>
                <w:szCs w:val="18"/>
              </w:rPr>
              <w:t>码</w:t>
            </w:r>
          </w:p>
        </w:tc>
        <w:tc>
          <w:tcPr>
            <w:tcW w:w="851"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科目</w:t>
            </w:r>
          </w:p>
        </w:tc>
        <w:tc>
          <w:tcPr>
            <w:tcW w:w="1456" w:type="dxa"/>
            <w:vMerge w:val="restart"/>
            <w:vAlign w:val="center"/>
          </w:tcPr>
          <w:p>
            <w:pPr>
              <w:jc w:val="center"/>
              <w:rPr>
                <w:rFonts w:ascii="Calibri" w:hAnsi="Calibri" w:cs="Calibri"/>
                <w:sz w:val="24"/>
                <w:szCs w:val="24"/>
              </w:rPr>
            </w:pPr>
            <w:r>
              <w:rPr>
                <w:rFonts w:hint="eastAsia" w:ascii="仿宋_GB2312" w:hAnsi="宋体" w:eastAsia="仿宋_GB2312" w:cs="仿宋_GB2312"/>
                <w:b/>
                <w:bCs/>
                <w:kern w:val="0"/>
                <w:sz w:val="24"/>
                <w:szCs w:val="24"/>
              </w:rPr>
              <w:t>项目名称</w:t>
            </w:r>
          </w:p>
        </w:tc>
        <w:tc>
          <w:tcPr>
            <w:tcW w:w="750"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工资福利支出</w:t>
            </w:r>
          </w:p>
        </w:tc>
        <w:tc>
          <w:tcPr>
            <w:tcW w:w="536"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资本性支出</w:t>
            </w:r>
          </w:p>
        </w:tc>
        <w:tc>
          <w:tcPr>
            <w:tcW w:w="578"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对企业补助</w:t>
            </w:r>
          </w:p>
        </w:tc>
        <w:tc>
          <w:tcPr>
            <w:tcW w:w="420" w:type="dxa"/>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vAlign w:val="center"/>
          </w:tcPr>
          <w:p>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类</w:t>
            </w:r>
          </w:p>
        </w:tc>
        <w:tc>
          <w:tcPr>
            <w:tcW w:w="397" w:type="dxa"/>
            <w:vAlign w:val="center"/>
          </w:tcPr>
          <w:p>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款</w:t>
            </w:r>
          </w:p>
        </w:tc>
        <w:tc>
          <w:tcPr>
            <w:tcW w:w="397" w:type="dxa"/>
            <w:vAlign w:val="center"/>
          </w:tcPr>
          <w:p>
            <w:pPr>
              <w:widowControl/>
              <w:jc w:val="left"/>
              <w:outlineLvl w:val="1"/>
              <w:rPr>
                <w:rFonts w:ascii="仿宋_GB2312" w:hAnsi="宋体" w:eastAsia="仿宋_GB2312"/>
                <w:b/>
                <w:bCs/>
                <w:kern w:val="0"/>
                <w:sz w:val="18"/>
                <w:szCs w:val="18"/>
              </w:rPr>
            </w:pPr>
            <w:r>
              <w:rPr>
                <w:rFonts w:hint="eastAsia" w:ascii="仿宋_GB2312" w:hAnsi="宋体" w:eastAsia="仿宋_GB2312" w:cs="仿宋_GB2312"/>
                <w:b/>
                <w:bCs/>
                <w:kern w:val="0"/>
                <w:sz w:val="18"/>
                <w:szCs w:val="18"/>
              </w:rPr>
              <w:t>项</w:t>
            </w:r>
          </w:p>
        </w:tc>
        <w:tc>
          <w:tcPr>
            <w:tcW w:w="851" w:type="dxa"/>
            <w:vMerge w:val="continue"/>
            <w:vAlign w:val="center"/>
          </w:tcPr>
          <w:p>
            <w:pPr>
              <w:widowControl/>
              <w:jc w:val="left"/>
              <w:outlineLvl w:val="1"/>
              <w:rPr>
                <w:rFonts w:ascii="仿宋_GB2312" w:hAnsi="宋体" w:eastAsia="仿宋_GB2312"/>
                <w:b/>
                <w:bCs/>
                <w:kern w:val="0"/>
                <w:sz w:val="18"/>
                <w:szCs w:val="18"/>
              </w:rPr>
            </w:pPr>
          </w:p>
        </w:tc>
        <w:tc>
          <w:tcPr>
            <w:tcW w:w="1456" w:type="dxa"/>
            <w:vMerge w:val="continue"/>
          </w:tcPr>
          <w:p>
            <w:pPr>
              <w:widowControl/>
              <w:jc w:val="left"/>
              <w:outlineLvl w:val="1"/>
              <w:rPr>
                <w:rFonts w:ascii="仿宋_GB2312" w:hAnsi="宋体" w:eastAsia="仿宋_GB2312"/>
                <w:b/>
                <w:bCs/>
                <w:kern w:val="0"/>
                <w:sz w:val="18"/>
                <w:szCs w:val="18"/>
              </w:rPr>
            </w:pPr>
          </w:p>
        </w:tc>
        <w:tc>
          <w:tcPr>
            <w:tcW w:w="750" w:type="dxa"/>
            <w:vMerge w:val="continue"/>
          </w:tcPr>
          <w:p>
            <w:pPr>
              <w:widowControl/>
              <w:jc w:val="left"/>
              <w:outlineLvl w:val="1"/>
              <w:rPr>
                <w:rFonts w:ascii="仿宋_GB2312" w:hAnsi="宋体" w:eastAsia="仿宋_GB2312"/>
                <w:b/>
                <w:bCs/>
                <w:kern w:val="0"/>
                <w:sz w:val="18"/>
                <w:szCs w:val="18"/>
              </w:rPr>
            </w:pPr>
          </w:p>
        </w:tc>
        <w:tc>
          <w:tcPr>
            <w:tcW w:w="569" w:type="dxa"/>
            <w:gridSpan w:val="2"/>
            <w:vMerge w:val="continue"/>
          </w:tcPr>
          <w:p>
            <w:pPr>
              <w:widowControl/>
              <w:jc w:val="left"/>
              <w:outlineLvl w:val="1"/>
              <w:rPr>
                <w:rFonts w:ascii="仿宋_GB2312" w:hAnsi="宋体" w:eastAsia="仿宋_GB2312"/>
                <w:b/>
                <w:bCs/>
                <w:kern w:val="0"/>
                <w:sz w:val="18"/>
                <w:szCs w:val="18"/>
              </w:rPr>
            </w:pPr>
          </w:p>
        </w:tc>
        <w:tc>
          <w:tcPr>
            <w:tcW w:w="536" w:type="dxa"/>
            <w:vMerge w:val="continue"/>
          </w:tcPr>
          <w:p>
            <w:pPr>
              <w:widowControl/>
              <w:jc w:val="left"/>
              <w:outlineLvl w:val="1"/>
              <w:rPr>
                <w:rFonts w:ascii="仿宋_GB2312" w:hAnsi="宋体" w:eastAsia="仿宋_GB2312"/>
                <w:b/>
                <w:bCs/>
                <w:kern w:val="0"/>
                <w:sz w:val="18"/>
                <w:szCs w:val="18"/>
              </w:rPr>
            </w:pPr>
          </w:p>
        </w:tc>
        <w:tc>
          <w:tcPr>
            <w:tcW w:w="652" w:type="dxa"/>
            <w:vMerge w:val="continue"/>
          </w:tcPr>
          <w:p>
            <w:pPr>
              <w:widowControl/>
              <w:jc w:val="left"/>
              <w:outlineLvl w:val="1"/>
              <w:rPr>
                <w:rFonts w:ascii="仿宋_GB2312" w:hAnsi="宋体" w:eastAsia="仿宋_GB2312"/>
                <w:b/>
                <w:bCs/>
                <w:kern w:val="0"/>
                <w:sz w:val="18"/>
                <w:szCs w:val="18"/>
              </w:rPr>
            </w:pPr>
          </w:p>
        </w:tc>
        <w:tc>
          <w:tcPr>
            <w:tcW w:w="652" w:type="dxa"/>
            <w:vMerge w:val="continue"/>
          </w:tcPr>
          <w:p>
            <w:pPr>
              <w:widowControl/>
              <w:jc w:val="left"/>
              <w:outlineLvl w:val="1"/>
              <w:rPr>
                <w:rFonts w:ascii="仿宋_GB2312" w:hAnsi="宋体" w:eastAsia="仿宋_GB2312"/>
                <w:b/>
                <w:bCs/>
                <w:kern w:val="0"/>
                <w:sz w:val="18"/>
                <w:szCs w:val="18"/>
              </w:rPr>
            </w:pPr>
          </w:p>
        </w:tc>
        <w:tc>
          <w:tcPr>
            <w:tcW w:w="578" w:type="dxa"/>
            <w:gridSpan w:val="2"/>
            <w:vMerge w:val="continue"/>
          </w:tcPr>
          <w:p>
            <w:pPr>
              <w:widowControl/>
              <w:jc w:val="left"/>
              <w:outlineLvl w:val="1"/>
              <w:rPr>
                <w:rFonts w:ascii="仿宋_GB2312" w:hAnsi="宋体" w:eastAsia="仿宋_GB2312"/>
                <w:b/>
                <w:bCs/>
                <w:kern w:val="0"/>
                <w:sz w:val="18"/>
                <w:szCs w:val="18"/>
              </w:rPr>
            </w:pPr>
          </w:p>
        </w:tc>
        <w:tc>
          <w:tcPr>
            <w:tcW w:w="419" w:type="dxa"/>
            <w:vMerge w:val="continue"/>
          </w:tcPr>
          <w:p>
            <w:pPr>
              <w:widowControl/>
              <w:jc w:val="left"/>
              <w:outlineLvl w:val="1"/>
              <w:rPr>
                <w:rFonts w:ascii="仿宋_GB2312" w:hAnsi="宋体" w:eastAsia="仿宋_GB2312"/>
                <w:b/>
                <w:bCs/>
                <w:kern w:val="0"/>
                <w:sz w:val="18"/>
                <w:szCs w:val="18"/>
              </w:rPr>
            </w:pPr>
          </w:p>
        </w:tc>
        <w:tc>
          <w:tcPr>
            <w:tcW w:w="578" w:type="dxa"/>
            <w:vMerge w:val="continue"/>
          </w:tcPr>
          <w:p>
            <w:pPr>
              <w:widowControl/>
              <w:jc w:val="left"/>
              <w:outlineLvl w:val="1"/>
              <w:rPr>
                <w:rFonts w:ascii="仿宋_GB2312" w:hAnsi="宋体" w:eastAsia="仿宋_GB2312"/>
                <w:b/>
                <w:bCs/>
                <w:kern w:val="0"/>
                <w:sz w:val="18"/>
                <w:szCs w:val="18"/>
              </w:rPr>
            </w:pPr>
          </w:p>
        </w:tc>
        <w:tc>
          <w:tcPr>
            <w:tcW w:w="420" w:type="dxa"/>
            <w:vMerge w:val="continue"/>
          </w:tcPr>
          <w:p>
            <w:pPr>
              <w:widowControl/>
              <w:jc w:val="left"/>
              <w:outlineLvl w:val="1"/>
              <w:rPr>
                <w:rFonts w:ascii="仿宋_GB2312" w:hAnsi="宋体" w:eastAsia="仿宋_GB2312"/>
                <w:b/>
                <w:bCs/>
                <w:kern w:val="0"/>
                <w:sz w:val="18"/>
                <w:szCs w:val="18"/>
              </w:rPr>
            </w:pPr>
          </w:p>
        </w:tc>
        <w:tc>
          <w:tcPr>
            <w:tcW w:w="420" w:type="dxa"/>
            <w:vMerge w:val="continue"/>
          </w:tcPr>
          <w:p>
            <w:pPr>
              <w:widowControl/>
              <w:jc w:val="left"/>
              <w:outlineLvl w:val="1"/>
              <w:rPr>
                <w:rFonts w:ascii="仿宋_GB2312" w:hAnsi="宋体" w:eastAsia="仿宋_GB2312"/>
                <w:b/>
                <w:bCs/>
                <w:kern w:val="0"/>
                <w:sz w:val="18"/>
                <w:szCs w:val="18"/>
              </w:rPr>
            </w:pPr>
          </w:p>
        </w:tc>
        <w:tc>
          <w:tcPr>
            <w:tcW w:w="397" w:type="dxa"/>
            <w:gridSpan w:val="2"/>
            <w:vMerge w:val="continue"/>
          </w:tcPr>
          <w:p>
            <w:pPr>
              <w:widowControl/>
              <w:jc w:val="left"/>
              <w:outlineLvl w:val="1"/>
              <w:rPr>
                <w:rFonts w:ascii="仿宋_GB2312" w:hAnsi="宋体" w:eastAsia="仿宋_GB2312"/>
                <w:b/>
                <w:bCs/>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jc w:val="right"/>
              <w:rPr>
                <w:rFonts w:ascii="Dialog" w:hAnsi="Dialog" w:cs="Dialog"/>
                <w:color w:val="000000"/>
                <w:sz w:val="24"/>
                <w:szCs w:val="24"/>
              </w:rPr>
            </w:pPr>
            <w:r>
              <w:rPr>
                <w:rFonts w:ascii="Dialog" w:hAnsi="Dialog" w:cs="Dialog"/>
                <w:color w:val="000000"/>
              </w:rPr>
              <w:t>224</w:t>
            </w:r>
          </w:p>
        </w:tc>
        <w:tc>
          <w:tcPr>
            <w:tcW w:w="397" w:type="dxa"/>
            <w:vAlign w:val="center"/>
          </w:tcPr>
          <w:p>
            <w:pPr>
              <w:jc w:val="right"/>
              <w:rPr>
                <w:rFonts w:ascii="Dialog" w:hAnsi="Dialog" w:cs="Dialog"/>
                <w:color w:val="000000"/>
                <w:sz w:val="24"/>
                <w:szCs w:val="24"/>
              </w:rPr>
            </w:pPr>
            <w:r>
              <w:rPr>
                <w:rFonts w:ascii="Dialog" w:hAnsi="Dialog" w:cs="Dialog"/>
                <w:color w:val="000000"/>
              </w:rPr>
              <w:t>01</w:t>
            </w:r>
          </w:p>
        </w:tc>
        <w:tc>
          <w:tcPr>
            <w:tcW w:w="397" w:type="dxa"/>
            <w:vAlign w:val="center"/>
          </w:tcPr>
          <w:p>
            <w:pPr>
              <w:jc w:val="right"/>
              <w:rPr>
                <w:rFonts w:ascii="Dialog" w:hAnsi="Dialog" w:cs="Dialog"/>
                <w:color w:val="000000"/>
                <w:sz w:val="24"/>
                <w:szCs w:val="24"/>
              </w:rPr>
            </w:pPr>
            <w:r>
              <w:rPr>
                <w:rFonts w:ascii="Dialog" w:hAnsi="Dialog" w:cs="Dialog"/>
                <w:color w:val="000000"/>
              </w:rPr>
              <w:t>06</w:t>
            </w:r>
          </w:p>
        </w:tc>
        <w:tc>
          <w:tcPr>
            <w:tcW w:w="851" w:type="dxa"/>
            <w:vAlign w:val="center"/>
          </w:tcPr>
          <w:p>
            <w:pPr>
              <w:jc w:val="right"/>
              <w:rPr>
                <w:rFonts w:ascii="Dialog" w:hAnsi="Dialog" w:cs="Dialog"/>
                <w:color w:val="000000"/>
                <w:sz w:val="24"/>
                <w:szCs w:val="24"/>
              </w:rPr>
            </w:pPr>
            <w:r>
              <w:rPr>
                <w:rFonts w:hint="eastAsia" w:ascii="Dialog" w:hAnsi="Dialog" w:cs="Dialog"/>
                <w:color w:val="000000"/>
              </w:rPr>
              <w:t>安全监管</w:t>
            </w:r>
          </w:p>
        </w:tc>
        <w:tc>
          <w:tcPr>
            <w:tcW w:w="1456" w:type="dxa"/>
            <w:vAlign w:val="center"/>
          </w:tcPr>
          <w:p>
            <w:pPr>
              <w:jc w:val="right"/>
              <w:rPr>
                <w:rFonts w:ascii="Dialog" w:hAnsi="Dialog" w:cs="Dialog"/>
                <w:color w:val="000000"/>
                <w:sz w:val="24"/>
                <w:szCs w:val="24"/>
              </w:rPr>
            </w:pPr>
            <w:r>
              <w:rPr>
                <w:rFonts w:hint="eastAsia" w:ascii="Dialog" w:hAnsi="Dialog" w:cs="宋体"/>
                <w:color w:val="000000"/>
              </w:rPr>
              <w:t>安全生产检查经费</w:t>
            </w:r>
          </w:p>
        </w:tc>
        <w:tc>
          <w:tcPr>
            <w:tcW w:w="750" w:type="dxa"/>
            <w:vAlign w:val="center"/>
          </w:tcPr>
          <w:p>
            <w:pPr>
              <w:jc w:val="right"/>
              <w:rPr>
                <w:rFonts w:ascii="Dialog" w:hAnsi="Dialog" w:cs="Dialog"/>
                <w:color w:val="000000"/>
                <w:sz w:val="24"/>
                <w:szCs w:val="24"/>
              </w:rPr>
            </w:pPr>
            <w:r>
              <w:rPr>
                <w:rFonts w:ascii="Dialog" w:hAnsi="Dialog" w:cs="Dialog"/>
                <w:color w:val="000000"/>
              </w:rPr>
              <w:t>15</w:t>
            </w:r>
          </w:p>
        </w:tc>
        <w:tc>
          <w:tcPr>
            <w:tcW w:w="569" w:type="dxa"/>
            <w:gridSpan w:val="2"/>
            <w:vAlign w:val="center"/>
          </w:tcPr>
          <w:p>
            <w:pPr>
              <w:jc w:val="right"/>
              <w:rPr>
                <w:rFonts w:ascii="Dialog" w:hAnsi="Dialog" w:cs="Dialog"/>
                <w:color w:val="000000"/>
                <w:sz w:val="24"/>
                <w:szCs w:val="24"/>
              </w:rPr>
            </w:pPr>
            <w:r>
              <w:rPr>
                <w:rFonts w:hint="eastAsia" w:ascii="Dialog" w:hAnsi="Dialog" w:cs="宋体"/>
                <w:color w:val="000000"/>
              </w:rPr>
              <w:t>　</w:t>
            </w:r>
          </w:p>
        </w:tc>
        <w:tc>
          <w:tcPr>
            <w:tcW w:w="536" w:type="dxa"/>
            <w:vAlign w:val="center"/>
          </w:tcPr>
          <w:p>
            <w:pPr>
              <w:jc w:val="right"/>
              <w:rPr>
                <w:rFonts w:ascii="Dialog" w:hAnsi="Dialog" w:cs="Dialog"/>
                <w:color w:val="000000"/>
                <w:sz w:val="24"/>
                <w:szCs w:val="24"/>
              </w:rPr>
            </w:pPr>
            <w:r>
              <w:rPr>
                <w:rFonts w:ascii="Dialog" w:hAnsi="Dialog" w:cs="Dialog"/>
                <w:color w:val="000000"/>
              </w:rPr>
              <w:t>15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397" w:type="dxa"/>
          </w:tcPr>
          <w:p>
            <w:pPr>
              <w:widowControl/>
              <w:jc w:val="left"/>
              <w:outlineLvl w:val="1"/>
              <w:rPr>
                <w:rFonts w:ascii="仿宋_GB2312" w:hAnsi="宋体" w:eastAsia="仿宋_GB2312"/>
                <w:kern w:val="0"/>
                <w:sz w:val="32"/>
                <w:szCs w:val="32"/>
              </w:rPr>
            </w:pPr>
          </w:p>
        </w:tc>
        <w:tc>
          <w:tcPr>
            <w:tcW w:w="851" w:type="dxa"/>
          </w:tcPr>
          <w:p>
            <w:pPr>
              <w:widowControl/>
              <w:jc w:val="left"/>
              <w:outlineLvl w:val="1"/>
              <w:rPr>
                <w:rFonts w:ascii="仿宋_GB2312" w:hAnsi="宋体" w:eastAsia="仿宋_GB2312"/>
                <w:kern w:val="0"/>
                <w:sz w:val="32"/>
                <w:szCs w:val="32"/>
              </w:rPr>
            </w:pPr>
          </w:p>
        </w:tc>
        <w:tc>
          <w:tcPr>
            <w:tcW w:w="1456" w:type="dxa"/>
          </w:tcPr>
          <w:p>
            <w:pPr>
              <w:widowControl/>
              <w:jc w:val="left"/>
              <w:outlineLvl w:val="1"/>
              <w:rPr>
                <w:rFonts w:ascii="仿宋_GB2312" w:hAnsi="宋体" w:eastAsia="仿宋_GB2312"/>
                <w:kern w:val="0"/>
                <w:sz w:val="32"/>
                <w:szCs w:val="32"/>
              </w:rPr>
            </w:pPr>
          </w:p>
        </w:tc>
        <w:tc>
          <w:tcPr>
            <w:tcW w:w="750" w:type="dxa"/>
          </w:tcPr>
          <w:p>
            <w:pPr>
              <w:widowControl/>
              <w:jc w:val="left"/>
              <w:outlineLvl w:val="1"/>
              <w:rPr>
                <w:rFonts w:ascii="仿宋_GB2312" w:hAnsi="宋体" w:eastAsia="仿宋_GB2312"/>
                <w:kern w:val="0"/>
                <w:sz w:val="32"/>
                <w:szCs w:val="32"/>
              </w:rPr>
            </w:pPr>
          </w:p>
        </w:tc>
        <w:tc>
          <w:tcPr>
            <w:tcW w:w="569" w:type="dxa"/>
            <w:gridSpan w:val="2"/>
          </w:tcPr>
          <w:p>
            <w:pPr>
              <w:widowControl/>
              <w:jc w:val="left"/>
              <w:outlineLvl w:val="1"/>
              <w:rPr>
                <w:rFonts w:ascii="仿宋_GB2312" w:hAnsi="宋体" w:eastAsia="仿宋_GB2312"/>
                <w:kern w:val="0"/>
                <w:sz w:val="32"/>
                <w:szCs w:val="32"/>
              </w:rPr>
            </w:pPr>
          </w:p>
        </w:tc>
        <w:tc>
          <w:tcPr>
            <w:tcW w:w="536"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cs="仿宋_GB2312"/>
                <w:kern w:val="0"/>
              </w:rPr>
              <w:t>合计</w:t>
            </w:r>
          </w:p>
        </w:tc>
        <w:tc>
          <w:tcPr>
            <w:tcW w:w="750" w:type="dxa"/>
            <w:vAlign w:val="center"/>
          </w:tcPr>
          <w:p>
            <w:pPr>
              <w:jc w:val="right"/>
              <w:rPr>
                <w:rFonts w:ascii="Dialog" w:hAnsi="Dialog" w:cs="Dialog"/>
                <w:color w:val="000000"/>
                <w:sz w:val="24"/>
                <w:szCs w:val="24"/>
              </w:rPr>
            </w:pPr>
            <w:r>
              <w:rPr>
                <w:rFonts w:ascii="Dialog" w:hAnsi="Dialog" w:cs="Dialog"/>
                <w:color w:val="000000"/>
              </w:rPr>
              <w:t>15</w:t>
            </w:r>
          </w:p>
        </w:tc>
        <w:tc>
          <w:tcPr>
            <w:tcW w:w="569" w:type="dxa"/>
            <w:gridSpan w:val="2"/>
            <w:vAlign w:val="center"/>
          </w:tcPr>
          <w:p>
            <w:pPr>
              <w:jc w:val="right"/>
              <w:rPr>
                <w:rFonts w:ascii="Dialog" w:hAnsi="Dialog" w:cs="Dialog"/>
                <w:color w:val="000000"/>
                <w:sz w:val="24"/>
                <w:szCs w:val="24"/>
              </w:rPr>
            </w:pPr>
            <w:r>
              <w:rPr>
                <w:rFonts w:hint="eastAsia" w:ascii="Dialog" w:hAnsi="Dialog" w:cs="宋体"/>
                <w:color w:val="000000"/>
              </w:rPr>
              <w:t>　</w:t>
            </w:r>
          </w:p>
        </w:tc>
        <w:tc>
          <w:tcPr>
            <w:tcW w:w="536" w:type="dxa"/>
            <w:vAlign w:val="center"/>
          </w:tcPr>
          <w:p>
            <w:pPr>
              <w:jc w:val="right"/>
              <w:rPr>
                <w:rFonts w:ascii="Dialog" w:hAnsi="Dialog" w:cs="Dialog"/>
                <w:color w:val="000000"/>
                <w:sz w:val="24"/>
                <w:szCs w:val="24"/>
              </w:rPr>
            </w:pPr>
            <w:r>
              <w:rPr>
                <w:rFonts w:ascii="Dialog" w:hAnsi="Dialog" w:cs="Dialog"/>
                <w:color w:val="000000"/>
              </w:rPr>
              <w:t>15</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cs="仿宋_GB2312"/>
                <w:kern w:val="0"/>
                <w:sz w:val="32"/>
                <w:szCs w:val="32"/>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备注：无内容应公开空表并说明情况。</w:t>
      </w: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cs="仿宋_GB2312"/>
          <w:b/>
          <w:bCs/>
          <w:kern w:val="0"/>
          <w:sz w:val="32"/>
          <w:szCs w:val="32"/>
        </w:rPr>
      </w:pP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表八：</w:t>
      </w:r>
    </w:p>
    <w:p>
      <w:pPr>
        <w:widowControl/>
        <w:jc w:val="left"/>
        <w:outlineLvl w:val="1"/>
        <w:rPr>
          <w:rFonts w:ascii="仿宋_GB2312" w:hAnsi="宋体" w:eastAsia="仿宋_GB2312"/>
          <w:b/>
          <w:bCs/>
          <w:kern w:val="0"/>
          <w:sz w:val="32"/>
          <w:szCs w:val="32"/>
        </w:rPr>
      </w:pP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一般公共预算“三公”经费支出情况表</w:t>
      </w:r>
    </w:p>
    <w:p>
      <w:pPr>
        <w:widowControl/>
        <w:jc w:val="left"/>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编制单位：昌吉回族自治州安全生产监督管理局本级</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W w:w="9087" w:type="dxa"/>
        <w:tblInd w:w="-106"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2"/>
                <w:szCs w:val="22"/>
              </w:rPr>
            </w:pPr>
            <w:r>
              <w:rPr>
                <w:rFonts w:hint="eastAsia" w:ascii="仿宋_GB2312" w:hAnsi="宋体" w:eastAsia="仿宋_GB2312" w:cs="仿宋_GB2312"/>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jc w:val="right"/>
              <w:rPr>
                <w:rFonts w:ascii="Dialog" w:hAnsi="Dialog" w:cs="Dialog"/>
                <w:color w:val="000000"/>
                <w:sz w:val="24"/>
                <w:szCs w:val="24"/>
              </w:rPr>
            </w:pPr>
            <w:r>
              <w:rPr>
                <w:rFonts w:ascii="Dialog" w:hAnsi="Dialog" w:cs="Dialog"/>
                <w:color w:val="000000"/>
              </w:rPr>
              <w:t>9.90</w:t>
            </w:r>
          </w:p>
        </w:tc>
        <w:tc>
          <w:tcPr>
            <w:tcW w:w="1417" w:type="dxa"/>
            <w:tcBorders>
              <w:top w:val="nil"/>
              <w:left w:val="nil"/>
              <w:bottom w:val="single" w:color="auto" w:sz="4" w:space="0"/>
              <w:right w:val="single" w:color="auto" w:sz="4" w:space="0"/>
            </w:tcBorders>
            <w:vAlign w:val="center"/>
          </w:tcPr>
          <w:p>
            <w:pPr>
              <w:jc w:val="right"/>
              <w:rPr>
                <w:rFonts w:ascii="Dialog" w:hAnsi="Dialog" w:cs="Dialog"/>
                <w:color w:val="000000"/>
                <w:sz w:val="24"/>
                <w:szCs w:val="24"/>
              </w:rPr>
            </w:pPr>
            <w:r>
              <w:rPr>
                <w:rFonts w:ascii="Dialog" w:hAnsi="Dialog" w:cs="Dialog"/>
                <w:color w:val="000000"/>
              </w:rPr>
              <w:t>0</w:t>
            </w:r>
          </w:p>
        </w:tc>
        <w:tc>
          <w:tcPr>
            <w:tcW w:w="1559" w:type="dxa"/>
            <w:tcBorders>
              <w:top w:val="nil"/>
              <w:left w:val="nil"/>
              <w:bottom w:val="single" w:color="auto" w:sz="4" w:space="0"/>
              <w:right w:val="single" w:color="auto" w:sz="4" w:space="0"/>
            </w:tcBorders>
            <w:vAlign w:val="center"/>
          </w:tcPr>
          <w:p>
            <w:pPr>
              <w:jc w:val="right"/>
              <w:rPr>
                <w:rFonts w:ascii="Dialog" w:hAnsi="Dialog" w:cs="Dialog"/>
                <w:color w:val="000000"/>
                <w:sz w:val="24"/>
                <w:szCs w:val="24"/>
              </w:rPr>
            </w:pPr>
            <w:r>
              <w:rPr>
                <w:rFonts w:ascii="Dialog" w:hAnsi="Dialog" w:cs="Dialog"/>
                <w:color w:val="000000"/>
              </w:rPr>
              <w:t>8.91</w:t>
            </w:r>
          </w:p>
        </w:tc>
        <w:tc>
          <w:tcPr>
            <w:tcW w:w="1418" w:type="dxa"/>
            <w:tcBorders>
              <w:top w:val="nil"/>
              <w:left w:val="nil"/>
              <w:bottom w:val="single" w:color="auto" w:sz="4" w:space="0"/>
              <w:right w:val="single" w:color="auto" w:sz="4" w:space="0"/>
            </w:tcBorders>
            <w:vAlign w:val="center"/>
          </w:tcPr>
          <w:p>
            <w:pPr>
              <w:jc w:val="right"/>
              <w:rPr>
                <w:rFonts w:ascii="Dialog" w:hAnsi="Dialog" w:cs="Dialog"/>
                <w:color w:val="000000"/>
                <w:sz w:val="24"/>
                <w:szCs w:val="24"/>
              </w:rPr>
            </w:pPr>
            <w:r>
              <w:rPr>
                <w:rFonts w:ascii="Dialog" w:hAnsi="Dialog" w:cs="Dialog"/>
                <w:color w:val="000000"/>
              </w:rPr>
              <w:t>0</w:t>
            </w:r>
          </w:p>
        </w:tc>
        <w:tc>
          <w:tcPr>
            <w:tcW w:w="1559" w:type="dxa"/>
            <w:tcBorders>
              <w:top w:val="nil"/>
              <w:left w:val="nil"/>
              <w:bottom w:val="single" w:color="auto" w:sz="4" w:space="0"/>
              <w:right w:val="single" w:color="auto" w:sz="4" w:space="0"/>
            </w:tcBorders>
            <w:vAlign w:val="center"/>
          </w:tcPr>
          <w:p>
            <w:pPr>
              <w:jc w:val="right"/>
              <w:rPr>
                <w:rFonts w:ascii="Dialog" w:hAnsi="Dialog" w:cs="Dialog"/>
                <w:color w:val="000000"/>
                <w:sz w:val="24"/>
                <w:szCs w:val="24"/>
              </w:rPr>
            </w:pPr>
            <w:r>
              <w:rPr>
                <w:rFonts w:ascii="Dialog" w:hAnsi="Dialog" w:cs="Dialog"/>
                <w:color w:val="000000"/>
              </w:rPr>
              <w:t>8.91</w:t>
            </w:r>
          </w:p>
        </w:tc>
        <w:tc>
          <w:tcPr>
            <w:tcW w:w="1559" w:type="dxa"/>
            <w:tcBorders>
              <w:top w:val="nil"/>
              <w:left w:val="nil"/>
              <w:bottom w:val="single" w:color="auto" w:sz="4" w:space="0"/>
              <w:right w:val="single" w:color="auto" w:sz="4" w:space="0"/>
            </w:tcBorders>
            <w:vAlign w:val="center"/>
          </w:tcPr>
          <w:p>
            <w:pPr>
              <w:jc w:val="right"/>
              <w:rPr>
                <w:rFonts w:ascii="Dialog" w:hAnsi="Dialog" w:cs="Dialog"/>
                <w:color w:val="000000"/>
                <w:sz w:val="24"/>
                <w:szCs w:val="24"/>
              </w:rPr>
            </w:pPr>
            <w:r>
              <w:rPr>
                <w:rFonts w:ascii="Dialog" w:hAnsi="Dialog" w:cs="Dialog"/>
                <w:color w:val="000000"/>
              </w:rPr>
              <w:t>0.99</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r>
    </w:tbl>
    <w:p>
      <w:pPr>
        <w:widowControl/>
        <w:outlineLvl w:val="1"/>
        <w:rPr>
          <w:rFonts w:ascii="仿宋_GB2312" w:hAnsi="宋体" w:eastAsia="仿宋_GB2312"/>
          <w:b/>
          <w:bCs/>
          <w:kern w:val="0"/>
          <w:sz w:val="32"/>
          <w:szCs w:val="32"/>
        </w:rPr>
      </w:pPr>
      <w:r>
        <w:rPr>
          <w:rFonts w:hint="eastAsia" w:ascii="仿宋_GB2312" w:hAnsi="宋体" w:eastAsia="仿宋_GB2312" w:cs="仿宋_GB2312"/>
          <w:b/>
          <w:bCs/>
          <w:kern w:val="0"/>
          <w:sz w:val="28"/>
          <w:szCs w:val="28"/>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表九：</w:t>
      </w:r>
    </w:p>
    <w:p>
      <w:pPr>
        <w:widowControl/>
        <w:jc w:val="center"/>
        <w:outlineLvl w:val="1"/>
        <w:rPr>
          <w:rFonts w:ascii="仿宋_GB2312" w:hAnsi="宋体" w:eastAsia="仿宋_GB2312"/>
          <w:b/>
          <w:bCs/>
          <w:kern w:val="0"/>
          <w:sz w:val="32"/>
          <w:szCs w:val="32"/>
        </w:rPr>
      </w:pPr>
      <w:r>
        <w:rPr>
          <w:rFonts w:hint="eastAsia" w:ascii="仿宋_GB2312" w:hAnsi="宋体" w:eastAsia="仿宋_GB2312" w:cs="仿宋_GB2312"/>
          <w:b/>
          <w:bCs/>
          <w:kern w:val="0"/>
          <w:sz w:val="32"/>
          <w:szCs w:val="32"/>
        </w:rPr>
        <w:t>政府性基金预算支出情况表</w:t>
      </w:r>
    </w:p>
    <w:p>
      <w:pPr>
        <w:widowControl/>
        <w:outlineLvl w:val="1"/>
        <w:rPr>
          <w:rFonts w:ascii="仿宋_GB2312" w:hAnsi="宋体" w:eastAsia="仿宋_GB2312"/>
          <w:kern w:val="0"/>
          <w:sz w:val="24"/>
          <w:szCs w:val="24"/>
        </w:rPr>
      </w:pPr>
      <w:r>
        <w:rPr>
          <w:rFonts w:hint="eastAsia" w:ascii="仿宋_GB2312" w:hAnsi="宋体" w:eastAsia="仿宋_GB2312" w:cs="仿宋_GB2312"/>
          <w:kern w:val="0"/>
          <w:sz w:val="24"/>
          <w:szCs w:val="24"/>
        </w:rPr>
        <w:t>编制单位：昌吉回族自治州安全生产监督管理局本级</w:t>
      </w:r>
      <w:r>
        <w:rPr>
          <w:rFonts w:ascii="仿宋_GB2312" w:hAnsi="宋体" w:eastAsia="仿宋_GB2312" w:cs="仿宋_GB2312"/>
          <w:kern w:val="0"/>
          <w:sz w:val="24"/>
          <w:szCs w:val="24"/>
        </w:rPr>
        <w:t xml:space="preserve">                                                     </w:t>
      </w:r>
      <w:r>
        <w:rPr>
          <w:rFonts w:hint="eastAsia" w:ascii="仿宋_GB2312" w:hAnsi="宋体" w:eastAsia="仿宋_GB2312" w:cs="仿宋_GB2312"/>
          <w:kern w:val="0"/>
          <w:sz w:val="24"/>
          <w:szCs w:val="24"/>
        </w:rPr>
        <w:t>单位：万元</w:t>
      </w:r>
    </w:p>
    <w:tbl>
      <w:tblPr>
        <w:tblStyle w:val="5"/>
        <w:tblW w:w="9087" w:type="dxa"/>
        <w:tblInd w:w="-106"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r>
              <w:rPr>
                <w:rFonts w:ascii="仿宋_GB2312" w:hAnsi="宋体" w:eastAsia="仿宋_GB2312" w:cs="仿宋_GB2312"/>
                <w:b/>
                <w:bCs/>
                <w:color w:val="000000"/>
                <w:kern w:val="0"/>
                <w:sz w:val="24"/>
                <w:szCs w:val="24"/>
              </w:rPr>
              <w:t xml:space="preserve">  </w:t>
            </w:r>
            <w:r>
              <w:rPr>
                <w:rFonts w:hint="eastAsia" w:ascii="仿宋_GB2312" w:hAnsi="宋体" w:eastAsia="仿宋_GB2312" w:cs="仿宋_GB2312"/>
                <w:b/>
                <w:bCs/>
                <w:color w:val="000000"/>
                <w:kern w:val="0"/>
                <w:sz w:val="24"/>
                <w:szCs w:val="24"/>
              </w:rPr>
              <w:t>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18"/>
                <w:szCs w:val="18"/>
              </w:rPr>
            </w:pPr>
            <w:r>
              <w:rPr>
                <w:rFonts w:hint="eastAsia" w:ascii="仿宋_GB2312" w:hAnsi="宋体" w:eastAsia="仿宋_GB2312" w:cs="仿宋_GB2312"/>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24"/>
                <w:szCs w:val="24"/>
              </w:rPr>
            </w:pPr>
            <w:r>
              <w:rPr>
                <w:rFonts w:hint="eastAsia" w:ascii="仿宋_GB2312" w:hAnsi="宋体" w:eastAsia="仿宋_GB2312" w:cs="仿宋_GB2312"/>
                <w:b/>
                <w:bCs/>
                <w:color w:val="000000"/>
                <w:kern w:val="0"/>
                <w:sz w:val="24"/>
                <w:szCs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4"/>
                <w:szCs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4"/>
                <w:szCs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b/>
                <w:bCs/>
                <w:color w:val="000000"/>
                <w:kern w:val="0"/>
                <w:sz w:val="24"/>
                <w:szCs w:val="24"/>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b/>
                <w:bCs/>
                <w:color w:val="000000"/>
                <w:kern w:val="0"/>
                <w:sz w:val="32"/>
                <w:szCs w:val="32"/>
              </w:rPr>
            </w:pPr>
            <w:r>
              <w:rPr>
                <w:rFonts w:hint="eastAsia" w:ascii="仿宋_GB2312" w:hAnsi="宋体" w:eastAsia="仿宋_GB2312" w:cs="仿宋_GB2312"/>
                <w:b/>
                <w:bCs/>
                <w:color w:val="000000"/>
                <w:kern w:val="0"/>
                <w:sz w:val="32"/>
                <w:szCs w:val="32"/>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color w:val="000000"/>
                <w:kern w:val="0"/>
                <w:sz w:val="24"/>
                <w:szCs w:val="24"/>
              </w:rPr>
            </w:pPr>
            <w:r>
              <w:rPr>
                <w:rFonts w:hint="eastAsia" w:ascii="宋体" w:hAnsi="宋体" w:cs="宋体"/>
                <w:color w:val="000000"/>
                <w:kern w:val="0"/>
                <w:sz w:val="24"/>
                <w:szCs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olor w:val="000000"/>
                <w:kern w:val="0"/>
                <w:sz w:val="24"/>
                <w:szCs w:val="24"/>
              </w:rPr>
            </w:pPr>
            <w:r>
              <w:rPr>
                <w:rFonts w:hint="eastAsia" w:ascii="仿宋_GB2312" w:hAnsi="宋体" w:eastAsia="仿宋_GB2312" w:cs="仿宋_GB2312"/>
                <w:color w:val="000000"/>
                <w:kern w:val="0"/>
                <w:sz w:val="24"/>
                <w:szCs w:val="24"/>
              </w:rPr>
              <w:t>　</w:t>
            </w:r>
          </w:p>
        </w:tc>
      </w:tr>
    </w:tbl>
    <w:p>
      <w:pPr>
        <w:widowControl/>
        <w:outlineLvl w:val="1"/>
        <w:rPr>
          <w:rFonts w:ascii="仿宋_GB2312" w:hAnsi="宋体" w:eastAsia="仿宋_GB2312"/>
          <w:b/>
          <w:bCs/>
          <w:kern w:val="0"/>
          <w:sz w:val="28"/>
          <w:szCs w:val="28"/>
        </w:rPr>
      </w:pPr>
      <w:r>
        <w:rPr>
          <w:rFonts w:hint="eastAsia" w:ascii="仿宋_GB2312" w:hAnsi="宋体" w:eastAsia="仿宋_GB2312" w:cs="仿宋_GB2312"/>
          <w:b/>
          <w:bCs/>
          <w:kern w:val="0"/>
          <w:sz w:val="28"/>
          <w:szCs w:val="28"/>
        </w:rPr>
        <w:t>备注：本单位无政府性基金预算</w:t>
      </w:r>
    </w:p>
    <w:p>
      <w:pPr>
        <w:widowControl/>
        <w:jc w:val="left"/>
        <w:outlineLvl w:val="1"/>
        <w:sectPr>
          <w:footerReference r:id="rId3" w:type="default"/>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cs="黑体"/>
          <w:kern w:val="0"/>
          <w:sz w:val="32"/>
          <w:szCs w:val="32"/>
        </w:rPr>
        <w:t>第三部分</w:t>
      </w:r>
      <w:r>
        <w:rPr>
          <w:rFonts w:ascii="黑体" w:hAnsi="黑体" w:eastAsia="黑体" w:cs="黑体"/>
          <w:kern w:val="0"/>
          <w:sz w:val="32"/>
          <w:szCs w:val="32"/>
        </w:rPr>
        <w:t xml:space="preserve"> 2019</w:t>
      </w:r>
      <w:r>
        <w:rPr>
          <w:rFonts w:hint="eastAsia" w:ascii="黑体" w:hAnsi="黑体" w:eastAsia="黑体" w:cs="黑体"/>
          <w:kern w:val="0"/>
          <w:sz w:val="32"/>
          <w:szCs w:val="32"/>
        </w:rPr>
        <w:t>年部门预算情况说明</w:t>
      </w:r>
    </w:p>
    <w:p>
      <w:pPr>
        <w:widowControl/>
        <w:spacing w:line="580" w:lineRule="exact"/>
        <w:ind w:firstLine="640"/>
        <w:jc w:val="left"/>
        <w:rPr>
          <w:rFonts w:ascii="黑体" w:hAnsi="宋体" w:eastAsia="黑体"/>
          <w:kern w:val="0"/>
          <w:sz w:val="32"/>
          <w:szCs w:val="32"/>
        </w:rPr>
      </w:pPr>
      <w:r>
        <w:rPr>
          <w:rFonts w:hint="eastAsia" w:ascii="黑体" w:hAnsi="黑体" w:eastAsia="黑体" w:cs="黑体"/>
          <w:kern w:val="0"/>
          <w:sz w:val="32"/>
          <w:szCs w:val="32"/>
        </w:rPr>
        <w:t>一、</w:t>
      </w:r>
      <w:r>
        <w:rPr>
          <w:rFonts w:hint="eastAsia" w:ascii="黑体" w:hAnsi="宋体" w:eastAsia="黑体" w:cs="黑体"/>
          <w:kern w:val="0"/>
          <w:sz w:val="32"/>
          <w:szCs w:val="32"/>
        </w:rPr>
        <w:t>关于昌吉州安全生产监督管理局</w:t>
      </w:r>
      <w:r>
        <w:rPr>
          <w:rFonts w:ascii="黑体" w:hAnsi="宋体" w:eastAsia="黑体" w:cs="黑体"/>
          <w:kern w:val="0"/>
          <w:sz w:val="32"/>
          <w:szCs w:val="32"/>
        </w:rPr>
        <w:t>2019</w:t>
      </w:r>
      <w:r>
        <w:rPr>
          <w:rFonts w:hint="eastAsia" w:ascii="黑体" w:hAnsi="宋体" w:eastAsia="黑体" w:cs="黑体"/>
          <w:kern w:val="0"/>
          <w:sz w:val="32"/>
          <w:szCs w:val="32"/>
        </w:rPr>
        <w:t>年收支预算情况的总体说明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按照全口径预算的原则，昌吉州安全生产监督管理局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年所有收入和支出均纳入部门预算管理。收支总预算</w:t>
      </w:r>
      <w:r>
        <w:rPr>
          <w:rFonts w:ascii="仿宋_GB2312" w:hAnsi="宋体" w:eastAsia="仿宋_GB2312" w:cs="仿宋_GB2312"/>
          <w:kern w:val="0"/>
          <w:sz w:val="32"/>
          <w:szCs w:val="32"/>
        </w:rPr>
        <w:t>331.24</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收入预算包括：一般公共预算。</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支出预算包括：灾害防治及应急管理支出。</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二、关于昌吉州安全生产监督管理局</w:t>
      </w:r>
      <w:r>
        <w:rPr>
          <w:rFonts w:ascii="黑体" w:hAnsi="宋体" w:eastAsia="黑体" w:cs="黑体"/>
          <w:kern w:val="0"/>
          <w:sz w:val="32"/>
          <w:szCs w:val="32"/>
        </w:rPr>
        <w:t>2019</w:t>
      </w:r>
      <w:r>
        <w:rPr>
          <w:rFonts w:hint="eastAsia" w:ascii="黑体" w:hAnsi="宋体" w:eastAsia="黑体" w:cs="黑体"/>
          <w:kern w:val="0"/>
          <w:sz w:val="32"/>
          <w:szCs w:val="32"/>
        </w:rPr>
        <w:t>年收入预算情况说明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昌吉州安全生产监督管理局收入预算</w:t>
      </w:r>
      <w:r>
        <w:rPr>
          <w:rFonts w:ascii="仿宋_GB2312" w:hAnsi="宋体" w:eastAsia="仿宋_GB2312" w:cs="仿宋_GB2312"/>
          <w:kern w:val="0"/>
          <w:sz w:val="32"/>
          <w:szCs w:val="32"/>
        </w:rPr>
        <w:t>331.24</w:t>
      </w:r>
      <w:r>
        <w:rPr>
          <w:rFonts w:hint="eastAsia" w:ascii="仿宋_GB2312" w:hAnsi="宋体" w:eastAsia="仿宋_GB2312" w:cs="仿宋_GB2312"/>
          <w:kern w:val="0"/>
          <w:sz w:val="32"/>
          <w:szCs w:val="32"/>
        </w:rPr>
        <w:t>万元，其中：</w:t>
      </w:r>
    </w:p>
    <w:p>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一般公共预算</w:t>
      </w:r>
      <w:r>
        <w:rPr>
          <w:rFonts w:ascii="仿宋_GB2312" w:hAnsi="宋体" w:eastAsia="仿宋_GB2312" w:cs="仿宋_GB2312"/>
          <w:kern w:val="0"/>
          <w:sz w:val="32"/>
          <w:szCs w:val="32"/>
        </w:rPr>
        <w:t>331.24</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，比上年增加</w:t>
      </w:r>
      <w:r>
        <w:rPr>
          <w:rFonts w:ascii="仿宋_GB2312" w:hAnsi="宋体" w:eastAsia="仿宋_GB2312" w:cs="仿宋_GB2312"/>
          <w:kern w:val="0"/>
          <w:sz w:val="32"/>
          <w:szCs w:val="32"/>
        </w:rPr>
        <w:t>39.1</w:t>
      </w:r>
      <w:r>
        <w:rPr>
          <w:rFonts w:hint="eastAsia" w:ascii="仿宋_GB2312" w:hAnsi="宋体" w:eastAsia="仿宋_GB2312" w:cs="仿宋_GB2312"/>
          <w:kern w:val="0"/>
          <w:sz w:val="32"/>
          <w:szCs w:val="32"/>
        </w:rPr>
        <w:t>万元，主要原因是在职增加</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人，在职转退休</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人，员额控制数工作人员增加</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 xml:space="preserve">    </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政府性基金预算未安排。</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三、关于昌吉州安全生产监督管理局</w:t>
      </w:r>
      <w:r>
        <w:rPr>
          <w:rFonts w:ascii="黑体" w:hAnsi="宋体" w:eastAsia="黑体" w:cs="黑体"/>
          <w:kern w:val="0"/>
          <w:sz w:val="32"/>
          <w:szCs w:val="32"/>
        </w:rPr>
        <w:t>2019</w:t>
      </w:r>
      <w:r>
        <w:rPr>
          <w:rFonts w:hint="eastAsia" w:ascii="黑体" w:hAnsi="宋体" w:eastAsia="黑体" w:cs="黑体"/>
          <w:kern w:val="0"/>
          <w:sz w:val="32"/>
          <w:szCs w:val="32"/>
        </w:rPr>
        <w:t>年支出预算情况说明</w:t>
      </w:r>
    </w:p>
    <w:p>
      <w:pPr>
        <w:widowControl/>
        <w:spacing w:line="580" w:lineRule="exact"/>
        <w:ind w:firstLine="640"/>
        <w:jc w:val="left"/>
        <w:rPr>
          <w:rFonts w:ascii="仿宋_GB2312" w:hAnsi="宋体" w:eastAsia="仿宋_GB2312"/>
          <w:kern w:val="0"/>
          <w:sz w:val="32"/>
          <w:szCs w:val="32"/>
        </w:rPr>
      </w:pPr>
      <w:bookmarkStart w:id="0" w:name="_GoBack"/>
      <w:r>
        <w:rPr>
          <w:rFonts w:hint="eastAsia" w:ascii="仿宋_GB2312" w:hAnsi="宋体" w:eastAsia="仿宋_GB2312" w:cs="仿宋_GB2312"/>
          <w:kern w:val="0"/>
          <w:sz w:val="32"/>
          <w:szCs w:val="32"/>
        </w:rPr>
        <w:t>昌吉州安全生产监督管理局2019年</w:t>
      </w:r>
      <w:bookmarkEnd w:id="0"/>
      <w:r>
        <w:rPr>
          <w:rFonts w:hint="eastAsia" w:ascii="仿宋_GB2312" w:hAnsi="宋体" w:eastAsia="仿宋_GB2312" w:cs="仿宋_GB2312"/>
          <w:kern w:val="0"/>
          <w:sz w:val="32"/>
          <w:szCs w:val="32"/>
        </w:rPr>
        <w:t>支出预算</w:t>
      </w:r>
      <w:r>
        <w:rPr>
          <w:rFonts w:ascii="仿宋_GB2312" w:hAnsi="宋体" w:eastAsia="仿宋_GB2312" w:cs="仿宋_GB2312"/>
          <w:kern w:val="0"/>
          <w:sz w:val="32"/>
          <w:szCs w:val="32"/>
        </w:rPr>
        <w:t>331.24</w:t>
      </w:r>
      <w:r>
        <w:rPr>
          <w:rFonts w:hint="eastAsia" w:ascii="仿宋_GB2312" w:hAnsi="宋体" w:eastAsia="仿宋_GB2312" w:cs="仿宋_GB2312"/>
          <w:kern w:val="0"/>
          <w:sz w:val="32"/>
          <w:szCs w:val="32"/>
        </w:rPr>
        <w:t>万元，其中：</w:t>
      </w:r>
    </w:p>
    <w:p>
      <w:pPr>
        <w:widowControl/>
        <w:spacing w:line="580" w:lineRule="exact"/>
        <w:ind w:firstLine="640"/>
        <w:jc w:val="left"/>
        <w:rPr>
          <w:rFonts w:ascii="仿宋_GB2312" w:hAnsi="宋体" w:eastAsia="仿宋_GB2312"/>
          <w:b/>
          <w:bCs/>
          <w:kern w:val="0"/>
          <w:sz w:val="32"/>
          <w:szCs w:val="32"/>
        </w:rPr>
      </w:pPr>
      <w:r>
        <w:rPr>
          <w:rFonts w:hint="eastAsia" w:ascii="仿宋_GB2312" w:hAnsi="宋体" w:eastAsia="仿宋_GB2312" w:cs="仿宋_GB2312"/>
          <w:kern w:val="0"/>
          <w:sz w:val="32"/>
          <w:szCs w:val="32"/>
        </w:rPr>
        <w:t>基本支出</w:t>
      </w:r>
      <w:r>
        <w:rPr>
          <w:rFonts w:ascii="仿宋_GB2312" w:hAnsi="宋体" w:eastAsia="仿宋_GB2312" w:cs="仿宋_GB2312"/>
          <w:kern w:val="0"/>
          <w:sz w:val="32"/>
          <w:szCs w:val="32"/>
        </w:rPr>
        <w:t>316.24</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95.47%</w:t>
      </w:r>
      <w:r>
        <w:rPr>
          <w:rFonts w:hint="eastAsia" w:ascii="仿宋_GB2312" w:hAnsi="宋体" w:eastAsia="仿宋_GB2312" w:cs="仿宋_GB2312"/>
          <w:kern w:val="0"/>
          <w:sz w:val="32"/>
          <w:szCs w:val="32"/>
        </w:rPr>
        <w:t>，比上年增加</w:t>
      </w:r>
      <w:r>
        <w:rPr>
          <w:rFonts w:ascii="仿宋_GB2312" w:hAnsi="宋体" w:eastAsia="仿宋_GB2312" w:cs="仿宋_GB2312"/>
          <w:kern w:val="0"/>
          <w:sz w:val="32"/>
          <w:szCs w:val="32"/>
        </w:rPr>
        <w:t xml:space="preserve">39.1 </w:t>
      </w:r>
      <w:r>
        <w:rPr>
          <w:rFonts w:hint="eastAsia" w:ascii="仿宋_GB2312" w:hAnsi="宋体" w:eastAsia="仿宋_GB2312" w:cs="仿宋_GB2312"/>
          <w:kern w:val="0"/>
          <w:sz w:val="32"/>
          <w:szCs w:val="32"/>
        </w:rPr>
        <w:t>万元，主要原因是在职增加</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人，在职转退休</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人，员额控制数工作人员增加</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项目支出</w:t>
      </w:r>
      <w:r>
        <w:rPr>
          <w:rFonts w:ascii="仿宋_GB2312" w:hAnsi="宋体" w:eastAsia="仿宋_GB2312" w:cs="仿宋_GB2312"/>
          <w:kern w:val="0"/>
          <w:sz w:val="32"/>
          <w:szCs w:val="32"/>
        </w:rPr>
        <w:t>15</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4.53%</w:t>
      </w:r>
      <w:r>
        <w:rPr>
          <w:rFonts w:hint="eastAsia" w:ascii="仿宋_GB2312" w:hAnsi="宋体" w:eastAsia="仿宋_GB2312" w:cs="仿宋_GB2312"/>
          <w:kern w:val="0"/>
          <w:sz w:val="32"/>
          <w:szCs w:val="32"/>
        </w:rPr>
        <w:t>，比上年预算数无增减变化。</w:t>
      </w:r>
    </w:p>
    <w:p>
      <w:pPr>
        <w:widowControl/>
        <w:spacing w:line="580" w:lineRule="exact"/>
        <w:ind w:firstLine="640"/>
        <w:jc w:val="left"/>
        <w:rPr>
          <w:rFonts w:ascii="黑体" w:hAnsi="黑体" w:eastAsia="黑体"/>
          <w:kern w:val="0"/>
          <w:sz w:val="32"/>
          <w:szCs w:val="32"/>
        </w:rPr>
      </w:pPr>
      <w:r>
        <w:rPr>
          <w:rFonts w:hint="eastAsia" w:ascii="黑体" w:hAnsi="黑体" w:eastAsia="黑体" w:cs="黑体"/>
          <w:kern w:val="0"/>
          <w:sz w:val="32"/>
          <w:szCs w:val="32"/>
        </w:rPr>
        <w:t>四、关于昌吉州安全生产监督管理局</w:t>
      </w:r>
      <w:r>
        <w:rPr>
          <w:rFonts w:ascii="黑体" w:hAnsi="黑体" w:eastAsia="黑体" w:cs="黑体"/>
          <w:kern w:val="0"/>
          <w:sz w:val="32"/>
          <w:szCs w:val="32"/>
        </w:rPr>
        <w:t>2019</w:t>
      </w:r>
      <w:r>
        <w:rPr>
          <w:rFonts w:hint="eastAsia" w:ascii="黑体" w:hAnsi="黑体" w:eastAsia="黑体" w:cs="黑体"/>
          <w:kern w:val="0"/>
          <w:sz w:val="32"/>
          <w:szCs w:val="32"/>
        </w:rPr>
        <w:t>年财政拨款收支预算情况的总体说明</w:t>
      </w:r>
    </w:p>
    <w:p>
      <w:pPr>
        <w:spacing w:line="580" w:lineRule="exact"/>
        <w:ind w:firstLine="640"/>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年财政拨款收支总预算</w:t>
      </w:r>
      <w:r>
        <w:rPr>
          <w:rFonts w:ascii="仿宋_GB2312" w:hAnsi="宋体" w:eastAsia="仿宋_GB2312" w:cs="仿宋_GB2312"/>
          <w:kern w:val="0"/>
          <w:sz w:val="32"/>
          <w:szCs w:val="32"/>
        </w:rPr>
        <w:t>331.24</w:t>
      </w:r>
      <w:r>
        <w:rPr>
          <w:rFonts w:hint="eastAsia" w:ascii="仿宋_GB2312" w:hAnsi="宋体" w:eastAsia="仿宋_GB2312" w:cs="仿宋_GB2312"/>
          <w:kern w:val="0"/>
          <w:sz w:val="32"/>
          <w:szCs w:val="32"/>
        </w:rPr>
        <w:t>万元。</w:t>
      </w:r>
    </w:p>
    <w:p>
      <w:pPr>
        <w:spacing w:line="580" w:lineRule="exact"/>
        <w:ind w:firstLine="640"/>
        <w:rPr>
          <w:rFonts w:ascii="仿宋_GB2312" w:hAnsi="宋体" w:eastAsia="仿宋_GB2312"/>
          <w:kern w:val="0"/>
          <w:sz w:val="32"/>
          <w:szCs w:val="32"/>
        </w:rPr>
      </w:pPr>
      <w:r>
        <w:rPr>
          <w:rFonts w:hint="eastAsia" w:ascii="仿宋_GB2312" w:hAnsi="宋体" w:eastAsia="仿宋_GB2312" w:cs="仿宋_GB2312"/>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支出预算包括：灾害防治及应急管理支出331.24万元，主要用于</w:t>
      </w:r>
      <w:r>
        <w:rPr>
          <w:rFonts w:hint="eastAsia" w:ascii="仿宋_GB2312" w:hAnsi="宋体" w:eastAsia="仿宋_GB2312" w:cs="宋体"/>
          <w:kern w:val="0"/>
          <w:sz w:val="32"/>
          <w:szCs w:val="32"/>
          <w:lang w:eastAsia="zh-CN"/>
        </w:rPr>
        <w:t>人员工资福利支出、单位公用支出和安全生产检查项目支出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五、关于昌吉州安全生产监督管理局</w:t>
      </w:r>
      <w:r>
        <w:rPr>
          <w:rFonts w:ascii="黑体" w:hAnsi="宋体" w:eastAsia="黑体" w:cs="黑体"/>
          <w:kern w:val="0"/>
          <w:sz w:val="32"/>
          <w:szCs w:val="32"/>
        </w:rPr>
        <w:t>2019</w:t>
      </w:r>
      <w:r>
        <w:rPr>
          <w:rFonts w:hint="eastAsia" w:ascii="黑体" w:hAnsi="宋体" w:eastAsia="黑体" w:cs="黑体"/>
          <w:kern w:val="0"/>
          <w:sz w:val="32"/>
          <w:szCs w:val="32"/>
        </w:rPr>
        <w:t>年一般公共预算当年拨款情况说明</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（一）一般公用预算当年拨款规模变化情况</w:t>
      </w:r>
    </w:p>
    <w:p>
      <w:pPr>
        <w:widowControl/>
        <w:spacing w:line="580" w:lineRule="exact"/>
        <w:ind w:firstLine="640"/>
        <w:jc w:val="left"/>
        <w:rPr>
          <w:rFonts w:ascii="仿宋_GB2312" w:hAnsi="宋体" w:eastAsia="仿宋_GB2312" w:cs="仿宋_GB2312"/>
          <w:kern w:val="0"/>
          <w:sz w:val="32"/>
          <w:szCs w:val="32"/>
        </w:rPr>
      </w:pPr>
      <w:r>
        <w:rPr>
          <w:rFonts w:hint="eastAsia" w:ascii="仿宋_GB2312" w:hAnsi="宋体" w:eastAsia="仿宋_GB2312" w:cs="仿宋_GB2312"/>
          <w:kern w:val="0"/>
          <w:sz w:val="32"/>
          <w:szCs w:val="32"/>
        </w:rPr>
        <w:t>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年一般公共预算拨款基本支出</w:t>
      </w:r>
      <w:r>
        <w:rPr>
          <w:rFonts w:ascii="仿宋_GB2312" w:hAnsi="宋体" w:eastAsia="仿宋_GB2312" w:cs="仿宋_GB2312"/>
          <w:kern w:val="0"/>
          <w:sz w:val="32"/>
          <w:szCs w:val="32"/>
        </w:rPr>
        <w:t>316.24</w:t>
      </w:r>
      <w:r>
        <w:rPr>
          <w:rFonts w:hint="eastAsia" w:ascii="仿宋_GB2312" w:hAnsi="宋体" w:eastAsia="仿宋_GB2312" w:cs="仿宋_GB2312"/>
          <w:kern w:val="0"/>
          <w:sz w:val="32"/>
          <w:szCs w:val="32"/>
        </w:rPr>
        <w:t>万元，比上年执行数增加</w:t>
      </w:r>
      <w:r>
        <w:rPr>
          <w:rFonts w:ascii="仿宋_GB2312" w:hAnsi="宋体" w:eastAsia="仿宋_GB2312" w:cs="仿宋_GB2312"/>
          <w:kern w:val="0"/>
          <w:sz w:val="32"/>
          <w:szCs w:val="32"/>
        </w:rPr>
        <w:t>39.1</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14.11%</w:t>
      </w:r>
      <w:r>
        <w:rPr>
          <w:rFonts w:hint="eastAsia" w:ascii="仿宋_GB2312" w:hAnsi="宋体" w:eastAsia="仿宋_GB2312" w:cs="仿宋_GB2312"/>
          <w:kern w:val="0"/>
          <w:sz w:val="32"/>
          <w:szCs w:val="32"/>
        </w:rPr>
        <w:t>。主要原因是：在职增加</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人，在职转退休</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人，员额控制数工作人员增加</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 xml:space="preserve">     </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（二）一般公共预算当年拨款结构情况</w:t>
      </w:r>
    </w:p>
    <w:p>
      <w:pPr>
        <w:spacing w:line="580" w:lineRule="exact"/>
        <w:ind w:firstLine="640"/>
        <w:rPr>
          <w:rFonts w:ascii="仿宋_GB2312" w:hAnsi="宋体" w:eastAsia="仿宋_GB2312"/>
          <w:kern w:val="0"/>
          <w:sz w:val="32"/>
          <w:szCs w:val="32"/>
        </w:rPr>
      </w:pPr>
      <w:r>
        <w:t xml:space="preserve"> </w:t>
      </w:r>
      <w:r>
        <w:rPr>
          <w:rFonts w:hint="eastAsia" w:ascii="仿宋_GB2312" w:eastAsia="仿宋_GB2312" w:cs="仿宋_GB2312"/>
          <w:sz w:val="32"/>
          <w:szCs w:val="32"/>
        </w:rPr>
        <w:t>灾害防治及应急管理支出</w:t>
      </w:r>
      <w:r>
        <w:rPr>
          <w:rFonts w:ascii="仿宋_GB2312" w:eastAsia="仿宋_GB2312" w:cs="仿宋_GB2312"/>
          <w:sz w:val="32"/>
          <w:szCs w:val="32"/>
        </w:rPr>
        <w:t>331.24</w:t>
      </w:r>
      <w:r>
        <w:rPr>
          <w:rFonts w:hint="eastAsia" w:ascii="仿宋_GB2312" w:hAnsi="宋体" w:eastAsia="仿宋_GB2312" w:cs="仿宋_GB2312"/>
          <w:kern w:val="0"/>
          <w:sz w:val="32"/>
          <w:szCs w:val="32"/>
        </w:rPr>
        <w:t>万元，占</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w:t>
      </w:r>
    </w:p>
    <w:p>
      <w:pPr>
        <w:widowControl/>
        <w:spacing w:line="580" w:lineRule="exact"/>
        <w:ind w:firstLine="642"/>
        <w:jc w:val="left"/>
        <w:rPr>
          <w:rFonts w:ascii="楷体_GB2312" w:hAnsi="宋体" w:eastAsia="楷体_GB2312"/>
          <w:b/>
          <w:bCs/>
          <w:kern w:val="0"/>
          <w:sz w:val="32"/>
          <w:szCs w:val="32"/>
          <w:highlight w:val="none"/>
        </w:rPr>
      </w:pPr>
      <w:r>
        <w:rPr>
          <w:rFonts w:hint="eastAsia" w:ascii="楷体_GB2312" w:hAnsi="宋体" w:eastAsia="楷体_GB2312" w:cs="楷体_GB2312"/>
          <w:b/>
          <w:bCs/>
          <w:kern w:val="0"/>
          <w:sz w:val="32"/>
          <w:szCs w:val="32"/>
          <w:highlight w:val="none"/>
        </w:rPr>
        <w:t>（三）一般公共预算当年拨款具体使用情况</w:t>
      </w:r>
    </w:p>
    <w:p>
      <w:pPr>
        <w:widowControl/>
        <w:spacing w:line="580" w:lineRule="exact"/>
        <w:ind w:firstLine="640"/>
        <w:jc w:val="left"/>
        <w:rPr>
          <w:rFonts w:ascii="仿宋_GB2312" w:hAnsi="宋体" w:eastAsia="仿宋_GB2312" w:cs="仿宋_GB2312"/>
          <w:kern w:val="0"/>
          <w:sz w:val="32"/>
          <w:szCs w:val="32"/>
        </w:rPr>
      </w:pPr>
      <w:r>
        <w:rPr>
          <w:rFonts w:ascii="仿宋_GB2312" w:hAnsi="宋体" w:eastAsia="仿宋_GB2312" w:cs="仿宋_GB2312"/>
          <w:kern w:val="0"/>
          <w:sz w:val="32"/>
          <w:szCs w:val="32"/>
        </w:rPr>
        <w:t>1.</w:t>
      </w:r>
      <w:r>
        <w:rPr>
          <w:rFonts w:ascii="仿宋_GB2312" w:eastAsia="仿宋_GB2312" w:cs="仿宋_GB2312"/>
          <w:sz w:val="32"/>
          <w:szCs w:val="32"/>
        </w:rPr>
        <w:t xml:space="preserve"> </w:t>
      </w:r>
      <w:r>
        <w:rPr>
          <w:rFonts w:hint="eastAsia" w:ascii="仿宋_GB2312" w:eastAsia="仿宋_GB2312" w:cs="仿宋_GB2312"/>
          <w:sz w:val="32"/>
          <w:szCs w:val="32"/>
        </w:rPr>
        <w:t>灾害防治及应急管理</w:t>
      </w:r>
      <w:r>
        <w:rPr>
          <w:rFonts w:hint="eastAsia" w:ascii="仿宋_GB2312" w:hAnsi="宋体" w:eastAsia="仿宋_GB2312" w:cs="仿宋_GB2312"/>
          <w:kern w:val="0"/>
          <w:sz w:val="32"/>
          <w:szCs w:val="32"/>
        </w:rPr>
        <w:t>（类）</w:t>
      </w:r>
      <w:r>
        <w:rPr>
          <w:rFonts w:hint="eastAsia" w:ascii="仿宋_GB2312" w:eastAsia="仿宋_GB2312" w:cs="仿宋_GB2312"/>
          <w:sz w:val="32"/>
          <w:szCs w:val="32"/>
        </w:rPr>
        <w:t>应急管理</w:t>
      </w:r>
      <w:r>
        <w:rPr>
          <w:rFonts w:hint="eastAsia" w:ascii="仿宋_GB2312" w:hAnsi="宋体" w:eastAsia="仿宋_GB2312" w:cs="仿宋_GB2312"/>
          <w:kern w:val="0"/>
          <w:sz w:val="32"/>
          <w:szCs w:val="32"/>
        </w:rPr>
        <w:t>事务（款）行政运行（项）</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年预算数为</w:t>
      </w:r>
      <w:r>
        <w:rPr>
          <w:rFonts w:ascii="仿宋_GB2312" w:eastAsia="仿宋_GB2312" w:cs="仿宋_GB2312"/>
          <w:color w:val="000000"/>
          <w:sz w:val="20"/>
          <w:szCs w:val="20"/>
        </w:rPr>
        <w:t>316.24</w:t>
      </w:r>
      <w:r>
        <w:rPr>
          <w:rFonts w:hint="eastAsia" w:ascii="仿宋_GB2312" w:hAnsi="宋体" w:eastAsia="仿宋_GB2312" w:cs="仿宋_GB2312"/>
          <w:kern w:val="0"/>
          <w:sz w:val="32"/>
          <w:szCs w:val="32"/>
        </w:rPr>
        <w:t>万元，比上年执行数增加</w:t>
      </w:r>
      <w:r>
        <w:rPr>
          <w:rFonts w:ascii="仿宋_GB2312" w:hAnsi="宋体" w:eastAsia="仿宋_GB2312" w:cs="仿宋_GB2312"/>
          <w:kern w:val="0"/>
          <w:sz w:val="32"/>
          <w:szCs w:val="32"/>
        </w:rPr>
        <w:t>39.1</w:t>
      </w:r>
      <w:r>
        <w:rPr>
          <w:rFonts w:hint="eastAsia" w:ascii="仿宋_GB2312" w:hAnsi="宋体" w:eastAsia="仿宋_GB2312" w:cs="仿宋_GB2312"/>
          <w:kern w:val="0"/>
          <w:sz w:val="32"/>
          <w:szCs w:val="32"/>
        </w:rPr>
        <w:t>万元，增长</w:t>
      </w:r>
      <w:r>
        <w:rPr>
          <w:rFonts w:hint="eastAsia" w:ascii="仿宋_GB2312" w:hAnsi="宋体" w:eastAsia="仿宋_GB2312" w:cs="仿宋_GB2312"/>
          <w:kern w:val="0"/>
          <w:sz w:val="32"/>
          <w:szCs w:val="32"/>
          <w:lang w:val="en-US" w:eastAsia="zh-CN"/>
        </w:rPr>
        <w:t>14.11</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，主要原因是：在职增加</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人，在职转退休</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人，员额控制数工作人员增加</w:t>
      </w:r>
      <w:r>
        <w:rPr>
          <w:rFonts w:ascii="仿宋_GB2312" w:hAnsi="宋体" w:eastAsia="仿宋_GB2312" w:cs="仿宋_GB2312"/>
          <w:kern w:val="0"/>
          <w:sz w:val="32"/>
          <w:szCs w:val="32"/>
        </w:rPr>
        <w:t>5</w:t>
      </w:r>
      <w:r>
        <w:rPr>
          <w:rFonts w:hint="eastAsia" w:ascii="仿宋_GB2312" w:hAnsi="宋体" w:eastAsia="仿宋_GB2312" w:cs="仿宋_GB2312"/>
          <w:kern w:val="0"/>
          <w:sz w:val="32"/>
          <w:szCs w:val="32"/>
        </w:rPr>
        <w:t>人</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 xml:space="preserve">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仿宋_GB2312"/>
          <w:kern w:val="0"/>
          <w:sz w:val="32"/>
          <w:szCs w:val="32"/>
          <w:lang w:val="en-US" w:eastAsia="zh-CN"/>
        </w:rPr>
        <w:t>2</w:t>
      </w:r>
      <w:r>
        <w:rPr>
          <w:rFonts w:ascii="仿宋_GB2312" w:hAnsi="宋体" w:eastAsia="仿宋_GB2312" w:cs="仿宋_GB2312"/>
          <w:kern w:val="0"/>
          <w:sz w:val="32"/>
          <w:szCs w:val="32"/>
        </w:rPr>
        <w:t>.</w:t>
      </w:r>
      <w:r>
        <w:rPr>
          <w:rFonts w:ascii="仿宋_GB2312" w:eastAsia="仿宋_GB2312" w:cs="仿宋_GB2312"/>
          <w:sz w:val="32"/>
          <w:szCs w:val="32"/>
        </w:rPr>
        <w:t xml:space="preserve"> </w:t>
      </w:r>
      <w:r>
        <w:rPr>
          <w:rFonts w:hint="eastAsia" w:ascii="仿宋_GB2312" w:eastAsia="仿宋_GB2312" w:cs="仿宋_GB2312"/>
          <w:sz w:val="32"/>
          <w:szCs w:val="32"/>
        </w:rPr>
        <w:t>灾害防治及应急管理</w:t>
      </w:r>
      <w:r>
        <w:rPr>
          <w:rFonts w:hint="eastAsia" w:ascii="仿宋_GB2312" w:hAnsi="宋体" w:eastAsia="仿宋_GB2312" w:cs="仿宋_GB2312"/>
          <w:kern w:val="0"/>
          <w:sz w:val="32"/>
          <w:szCs w:val="32"/>
        </w:rPr>
        <w:t>（类）</w:t>
      </w:r>
      <w:r>
        <w:rPr>
          <w:rFonts w:hint="eastAsia" w:ascii="仿宋_GB2312" w:eastAsia="仿宋_GB2312" w:cs="仿宋_GB2312"/>
          <w:sz w:val="32"/>
          <w:szCs w:val="32"/>
        </w:rPr>
        <w:t>应急管理</w:t>
      </w:r>
      <w:r>
        <w:rPr>
          <w:rFonts w:hint="eastAsia" w:ascii="仿宋_GB2312" w:hAnsi="宋体" w:eastAsia="仿宋_GB2312" w:cs="仿宋_GB2312"/>
          <w:kern w:val="0"/>
          <w:sz w:val="32"/>
          <w:szCs w:val="32"/>
        </w:rPr>
        <w:t>事务（款）</w:t>
      </w:r>
      <w:r>
        <w:rPr>
          <w:rFonts w:hint="eastAsia" w:ascii="仿宋_GB2312" w:eastAsia="仿宋_GB2312" w:cs="仿宋_GB2312"/>
          <w:sz w:val="32"/>
          <w:szCs w:val="32"/>
        </w:rPr>
        <w:t>安全监管（项）:2019年预算数为</w:t>
      </w:r>
      <w:r>
        <w:rPr>
          <w:rFonts w:hint="eastAsia" w:ascii="仿宋_GB2312" w:eastAsia="仿宋_GB2312" w:cs="仿宋_GB2312"/>
          <w:sz w:val="32"/>
          <w:szCs w:val="32"/>
          <w:lang w:val="en-US" w:eastAsia="zh-CN"/>
        </w:rPr>
        <w:t>15</w:t>
      </w:r>
      <w:r>
        <w:rPr>
          <w:rFonts w:hint="eastAsia" w:ascii="仿宋_GB2312" w:eastAsia="仿宋_GB2312" w:cs="仿宋_GB2312"/>
          <w:sz w:val="32"/>
          <w:szCs w:val="32"/>
        </w:rPr>
        <w:t>万元，比上年执行数</w:t>
      </w:r>
      <w:r>
        <w:rPr>
          <w:rFonts w:hint="eastAsia" w:ascii="仿宋_GB2312" w:eastAsia="仿宋_GB2312" w:cs="仿宋_GB2312"/>
          <w:sz w:val="32"/>
          <w:szCs w:val="32"/>
          <w:lang w:eastAsia="zh-CN"/>
        </w:rPr>
        <w:t>无增减变化</w:t>
      </w:r>
      <w:r>
        <w:rPr>
          <w:rFonts w:hint="eastAsia" w:ascii="仿宋_GB2312" w:hAnsi="宋体" w:eastAsia="仿宋_GB2312" w:cs="仿宋_GB2312"/>
          <w:kern w:val="0"/>
          <w:sz w:val="32"/>
          <w:szCs w:val="32"/>
        </w:rPr>
        <w:t>，主要原因是：</w:t>
      </w:r>
      <w:r>
        <w:rPr>
          <w:rFonts w:hint="eastAsia" w:ascii="仿宋_GB2312" w:hAnsi="宋体" w:eastAsia="仿宋_GB2312" w:cs="仿宋_GB2312"/>
          <w:kern w:val="0"/>
          <w:sz w:val="32"/>
          <w:szCs w:val="32"/>
          <w:lang w:eastAsia="zh-CN"/>
        </w:rPr>
        <w:t>严格控制项目支出预算</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w:t>
      </w:r>
      <w:r>
        <w:rPr>
          <w:rFonts w:ascii="仿宋_GB2312" w:hAnsi="宋体" w:eastAsia="仿宋_GB2312" w:cs="仿宋_GB2312"/>
          <w:kern w:val="0"/>
          <w:sz w:val="32"/>
          <w:szCs w:val="32"/>
        </w:rPr>
        <w:t xml:space="preserve"> </w:t>
      </w:r>
      <w:r>
        <w:rPr>
          <w:rFonts w:hint="eastAsia" w:ascii="仿宋_GB2312" w:hAnsi="宋体" w:eastAsia="仿宋_GB2312" w:cs="宋体"/>
          <w:kern w:val="0"/>
          <w:sz w:val="32"/>
          <w:szCs w:val="32"/>
        </w:rPr>
        <w:t xml:space="preserve"> </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六、关于昌吉州安全生产监督管理局</w:t>
      </w:r>
      <w:r>
        <w:rPr>
          <w:rFonts w:ascii="黑体" w:hAnsi="宋体" w:eastAsia="黑体" w:cs="黑体"/>
          <w:kern w:val="0"/>
          <w:sz w:val="32"/>
          <w:szCs w:val="32"/>
        </w:rPr>
        <w:t>2019</w:t>
      </w:r>
      <w:r>
        <w:rPr>
          <w:rFonts w:hint="eastAsia" w:ascii="黑体" w:hAnsi="宋体" w:eastAsia="黑体" w:cs="黑体"/>
          <w:kern w:val="0"/>
          <w:sz w:val="32"/>
          <w:szCs w:val="32"/>
        </w:rPr>
        <w:t>年一般公共预算基本支出情况说明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年一般公共预算基本支出</w:t>
      </w:r>
      <w:r>
        <w:rPr>
          <w:rFonts w:ascii="仿宋_GB2312" w:hAnsi="宋体" w:eastAsia="仿宋_GB2312" w:cs="仿宋_GB2312"/>
          <w:kern w:val="0"/>
          <w:sz w:val="32"/>
          <w:szCs w:val="32"/>
        </w:rPr>
        <w:t>316.24</w:t>
      </w:r>
      <w:r>
        <w:rPr>
          <w:rFonts w:hint="eastAsia" w:ascii="仿宋_GB2312" w:hAnsi="宋体" w:eastAsia="仿宋_GB2312" w:cs="仿宋_GB2312"/>
          <w:kern w:val="0"/>
          <w:sz w:val="32"/>
          <w:szCs w:val="32"/>
        </w:rPr>
        <w:t>万元，</w:t>
      </w: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其中：</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人员经费</w:t>
      </w:r>
      <w:r>
        <w:rPr>
          <w:rFonts w:ascii="仿宋_GB2312" w:hAnsi="宋体" w:eastAsia="仿宋_GB2312" w:cs="仿宋_GB2312"/>
          <w:kern w:val="0"/>
          <w:sz w:val="32"/>
          <w:szCs w:val="32"/>
        </w:rPr>
        <w:t>282.97</w:t>
      </w:r>
      <w:r>
        <w:rPr>
          <w:rFonts w:hint="eastAsia" w:ascii="仿宋_GB2312" w:hAnsi="宋体" w:eastAsia="仿宋_GB2312" w:cs="仿宋_GB2312"/>
          <w:kern w:val="0"/>
          <w:sz w:val="32"/>
          <w:szCs w:val="32"/>
        </w:rPr>
        <w:t>万元，主要包括：基本工资、津贴补贴、奖金、伙食补助费、绩效工资、机关事业单位基本养老保险缴费、职工基本医疗保险缴费、公务员医疗补助缴费、其他社会保障缴费、住房公积金、其他工资福利支出、奖励金、职工住宅取暖费等。</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公用经费</w:t>
      </w:r>
      <w:r>
        <w:rPr>
          <w:rFonts w:ascii="仿宋_GB2312" w:hAnsi="宋体" w:eastAsia="仿宋_GB2312" w:cs="仿宋_GB2312"/>
          <w:kern w:val="0"/>
          <w:sz w:val="32"/>
          <w:szCs w:val="32"/>
        </w:rPr>
        <w:t>33.27</w:t>
      </w:r>
      <w:r>
        <w:rPr>
          <w:rFonts w:hint="eastAsia" w:ascii="仿宋_GB2312" w:hAnsi="宋体" w:eastAsia="仿宋_GB2312" w:cs="仿宋_GB2312"/>
          <w:kern w:val="0"/>
          <w:sz w:val="32"/>
          <w:szCs w:val="32"/>
        </w:rPr>
        <w:t>万元，主要包括：办公费、印刷费、水费、电费、邮电费、物业管理费、差旅费、维修（护）费、租赁费、培训费、公务接待费、劳务费、工会经费、福利费、公务用车运行维护费、其他商品和服务支出等。</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七、关于昌吉州安全生产监督管理局</w:t>
      </w:r>
      <w:r>
        <w:rPr>
          <w:rFonts w:ascii="黑体" w:hAnsi="宋体" w:eastAsia="黑体" w:cs="黑体"/>
          <w:kern w:val="0"/>
          <w:sz w:val="32"/>
          <w:szCs w:val="32"/>
        </w:rPr>
        <w:t>2019</w:t>
      </w:r>
      <w:r>
        <w:rPr>
          <w:rFonts w:hint="eastAsia" w:ascii="黑体" w:hAnsi="宋体" w:eastAsia="黑体" w:cs="黑体"/>
          <w:kern w:val="0"/>
          <w:sz w:val="32"/>
          <w:szCs w:val="32"/>
        </w:rPr>
        <w:t>年项目支出情况说明</w:t>
      </w:r>
    </w:p>
    <w:p>
      <w:pPr>
        <w:widowControl/>
        <w:spacing w:line="580" w:lineRule="exact"/>
        <w:ind w:firstLine="642"/>
        <w:jc w:val="left"/>
        <w:rPr>
          <w:rFonts w:ascii="仿宋_GB2312" w:hAnsi="黑体" w:eastAsia="仿宋_GB2312"/>
          <w:b/>
          <w:bCs/>
          <w:sz w:val="32"/>
          <w:szCs w:val="32"/>
        </w:rPr>
      </w:pPr>
      <w:r>
        <w:rPr>
          <w:rFonts w:hint="eastAsia" w:ascii="仿宋_GB2312" w:hAnsi="黑体" w:eastAsia="仿宋_GB2312" w:cs="仿宋_GB2312"/>
          <w:b/>
          <w:bCs/>
          <w:sz w:val="32"/>
          <w:szCs w:val="32"/>
        </w:rPr>
        <w:t>情况一：（项目支出、专项业务费按下列内容说明）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项目名称：</w:t>
      </w:r>
      <w:r>
        <w:rPr>
          <w:rFonts w:hint="eastAsia" w:ascii="仿宋_GB2312" w:hAnsi="宋体" w:eastAsia="仿宋_GB2312" w:cs="仿宋_GB2312"/>
          <w:kern w:val="0"/>
          <w:sz w:val="32"/>
          <w:szCs w:val="32"/>
        </w:rPr>
        <w:t>安全生产检查经费</w:t>
      </w:r>
    </w:p>
    <w:p>
      <w:pPr>
        <w:widowControl/>
        <w:spacing w:line="580" w:lineRule="exact"/>
        <w:ind w:firstLine="640"/>
        <w:jc w:val="left"/>
        <w:rPr>
          <w:rFonts w:hint="eastAsia" w:ascii="仿宋_GB2312" w:hAnsi="宋体" w:eastAsia="仿宋_GB2312" w:cs="仿宋_GB2312"/>
          <w:kern w:val="0"/>
          <w:sz w:val="32"/>
          <w:szCs w:val="32"/>
          <w:lang w:eastAsia="zh-CN"/>
        </w:rPr>
      </w:pPr>
      <w:r>
        <w:rPr>
          <w:rFonts w:hint="eastAsia" w:ascii="仿宋_GB2312" w:hAnsi="黑体" w:eastAsia="仿宋_GB2312" w:cs="仿宋_GB2312"/>
          <w:sz w:val="32"/>
          <w:szCs w:val="32"/>
        </w:rPr>
        <w:t>设立的政策依据：</w:t>
      </w:r>
      <w:r>
        <w:rPr>
          <w:rFonts w:hint="eastAsia" w:ascii="仿宋_GB2312" w:hAnsi="宋体" w:eastAsia="仿宋_GB2312" w:cs="仿宋_GB2312"/>
          <w:kern w:val="0"/>
          <w:sz w:val="32"/>
          <w:szCs w:val="32"/>
          <w:lang w:eastAsia="zh-CN"/>
        </w:rPr>
        <w:t>单位三定方案和工作计划</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15</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昌吉州安全生产监督管理局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年全年</w:t>
      </w:r>
    </w:p>
    <w:p>
      <w:pPr>
        <w:widowControl/>
        <w:spacing w:line="580" w:lineRule="exact"/>
        <w:ind w:firstLine="642"/>
        <w:jc w:val="left"/>
        <w:rPr>
          <w:rFonts w:ascii="黑体" w:hAnsi="宋体" w:eastAsia="黑体"/>
          <w:kern w:val="0"/>
          <w:sz w:val="32"/>
          <w:szCs w:val="32"/>
        </w:rPr>
      </w:pPr>
      <w:r>
        <w:rPr>
          <w:rFonts w:hint="eastAsia" w:ascii="黑体" w:hAnsi="宋体" w:eastAsia="黑体" w:cs="黑体"/>
          <w:kern w:val="0"/>
          <w:sz w:val="32"/>
          <w:szCs w:val="32"/>
        </w:rPr>
        <w:t>八、关于昌吉州安全生产监督管理局</w:t>
      </w:r>
      <w:r>
        <w:rPr>
          <w:rFonts w:ascii="黑体" w:hAnsi="宋体" w:eastAsia="黑体" w:cs="黑体"/>
          <w:kern w:val="0"/>
          <w:sz w:val="32"/>
          <w:szCs w:val="32"/>
        </w:rPr>
        <w:t>2019</w:t>
      </w:r>
      <w:r>
        <w:rPr>
          <w:rFonts w:hint="eastAsia" w:ascii="黑体" w:hAnsi="宋体" w:eastAsia="黑体" w:cs="黑体"/>
          <w:kern w:val="0"/>
          <w:sz w:val="32"/>
          <w:szCs w:val="32"/>
        </w:rPr>
        <w:t>年一般公共预算“三公”经费预算情况说明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年“三公”经费财政拨款预算数为</w:t>
      </w:r>
      <w:r>
        <w:rPr>
          <w:rFonts w:ascii="仿宋_GB2312" w:hAnsi="宋体" w:eastAsia="仿宋_GB2312" w:cs="仿宋_GB2312"/>
          <w:kern w:val="0"/>
          <w:sz w:val="32"/>
          <w:szCs w:val="32"/>
        </w:rPr>
        <w:t>9.9</w:t>
      </w:r>
      <w:r>
        <w:rPr>
          <w:rFonts w:hint="eastAsia" w:ascii="仿宋_GB2312" w:hAnsi="宋体" w:eastAsia="仿宋_GB2312" w:cs="仿宋_GB2312"/>
          <w:kern w:val="0"/>
          <w:sz w:val="32"/>
          <w:szCs w:val="32"/>
        </w:rPr>
        <w:t>万元，其中：因公出国（境）费</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万元，公务用车购置</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万元，公务用车运行费</w:t>
      </w:r>
      <w:r>
        <w:rPr>
          <w:rFonts w:ascii="仿宋_GB2312" w:hAnsi="宋体" w:eastAsia="仿宋_GB2312" w:cs="仿宋_GB2312"/>
          <w:kern w:val="0"/>
          <w:sz w:val="32"/>
          <w:szCs w:val="32"/>
        </w:rPr>
        <w:t>8.91</w:t>
      </w:r>
      <w:r>
        <w:rPr>
          <w:rFonts w:hint="eastAsia" w:ascii="仿宋_GB2312" w:hAnsi="宋体" w:eastAsia="仿宋_GB2312" w:cs="仿宋_GB2312"/>
          <w:kern w:val="0"/>
          <w:sz w:val="32"/>
          <w:szCs w:val="32"/>
        </w:rPr>
        <w:t>万元，公务接待费</w:t>
      </w:r>
      <w:r>
        <w:rPr>
          <w:rFonts w:ascii="仿宋_GB2312" w:hAnsi="宋体" w:eastAsia="仿宋_GB2312" w:cs="仿宋_GB2312"/>
          <w:kern w:val="0"/>
          <w:sz w:val="32"/>
          <w:szCs w:val="32"/>
        </w:rPr>
        <w:t>0.99</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年“三公”经费财政拨款预算比上年减少</w:t>
      </w:r>
      <w:r>
        <w:rPr>
          <w:rFonts w:ascii="仿宋_GB2312" w:hAnsi="宋体" w:eastAsia="仿宋_GB2312" w:cs="仿宋_GB2312"/>
          <w:kern w:val="0"/>
          <w:sz w:val="32"/>
          <w:szCs w:val="32"/>
        </w:rPr>
        <w:t>0.1</w:t>
      </w:r>
      <w:r>
        <w:rPr>
          <w:rFonts w:hint="eastAsia" w:ascii="仿宋_GB2312" w:hAnsi="宋体" w:eastAsia="仿宋_GB2312" w:cs="仿宋_GB2312"/>
          <w:kern w:val="0"/>
          <w:sz w:val="32"/>
          <w:szCs w:val="32"/>
        </w:rPr>
        <w:t>万元，其中：因公出国（境）费未安排预算，主要原因是我单位严格执行中央八项规定和自治区十条规定，压减因公出国（境）经费；公务用车购置费为</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，未安排预算；公务用车运行费减少</w:t>
      </w:r>
      <w:r>
        <w:rPr>
          <w:rFonts w:ascii="仿宋_GB2312" w:hAnsi="宋体" w:eastAsia="仿宋_GB2312" w:cs="仿宋_GB2312"/>
          <w:kern w:val="0"/>
          <w:sz w:val="32"/>
          <w:szCs w:val="32"/>
        </w:rPr>
        <w:t>0.09</w:t>
      </w:r>
      <w:r>
        <w:rPr>
          <w:rFonts w:hint="eastAsia" w:ascii="仿宋_GB2312" w:hAnsi="宋体" w:eastAsia="仿宋_GB2312" w:cs="仿宋_GB2312"/>
          <w:kern w:val="0"/>
          <w:sz w:val="32"/>
          <w:szCs w:val="32"/>
        </w:rPr>
        <w:t>万元，主要原因是我单位严格执行中央八项规定和自治区十条规定，压减公务用车购置费和公务用车运行费；公务接待费减少</w:t>
      </w:r>
      <w:r>
        <w:rPr>
          <w:rFonts w:ascii="仿宋_GB2312" w:hAnsi="宋体" w:eastAsia="仿宋_GB2312" w:cs="仿宋_GB2312"/>
          <w:kern w:val="0"/>
          <w:sz w:val="32"/>
          <w:szCs w:val="32"/>
        </w:rPr>
        <w:t>0.01</w:t>
      </w:r>
      <w:r>
        <w:rPr>
          <w:rFonts w:hint="eastAsia" w:ascii="仿宋_GB2312" w:hAnsi="宋体" w:eastAsia="仿宋_GB2312" w:cs="仿宋_GB2312"/>
          <w:kern w:val="0"/>
          <w:sz w:val="32"/>
          <w:szCs w:val="32"/>
        </w:rPr>
        <w:t>万元，主要原因是我单位严格执行中央八项规定和自治区十条规定，压减公务接待费。</w:t>
      </w:r>
    </w:p>
    <w:p>
      <w:pPr>
        <w:widowControl/>
        <w:spacing w:line="580" w:lineRule="exact"/>
        <w:ind w:firstLine="642"/>
        <w:jc w:val="left"/>
        <w:rPr>
          <w:rFonts w:ascii="黑体" w:hAnsi="宋体" w:eastAsia="黑体"/>
          <w:kern w:val="0"/>
          <w:sz w:val="32"/>
          <w:szCs w:val="32"/>
        </w:rPr>
      </w:pPr>
      <w:r>
        <w:rPr>
          <w:rFonts w:hint="eastAsia" w:ascii="黑体" w:hAnsi="宋体" w:eastAsia="黑体" w:cs="黑体"/>
          <w:kern w:val="0"/>
          <w:sz w:val="32"/>
          <w:szCs w:val="32"/>
        </w:rPr>
        <w:t>九、关于昌吉州安全生产监督管理局</w:t>
      </w:r>
      <w:r>
        <w:rPr>
          <w:rFonts w:ascii="黑体" w:hAnsi="宋体" w:eastAsia="黑体" w:cs="黑体"/>
          <w:kern w:val="0"/>
          <w:sz w:val="32"/>
          <w:szCs w:val="32"/>
        </w:rPr>
        <w:t>2019</w:t>
      </w:r>
      <w:r>
        <w:rPr>
          <w:rFonts w:hint="eastAsia" w:ascii="黑体" w:hAnsi="宋体" w:eastAsia="黑体" w:cs="黑体"/>
          <w:kern w:val="0"/>
          <w:sz w:val="32"/>
          <w:szCs w:val="32"/>
        </w:rPr>
        <w:t>年政府性基金预算拨款情况说明</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昌吉州安全生产监督管理局</w:t>
      </w: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年没有使用政府性基金预算拨款安排的支出，政府性基金预算支出情况表为空表。</w:t>
      </w:r>
    </w:p>
    <w:p>
      <w:pPr>
        <w:widowControl/>
        <w:spacing w:line="580" w:lineRule="exact"/>
        <w:ind w:firstLine="640"/>
        <w:jc w:val="left"/>
        <w:rPr>
          <w:rFonts w:ascii="黑体" w:hAnsi="宋体" w:eastAsia="黑体"/>
          <w:kern w:val="0"/>
          <w:sz w:val="32"/>
          <w:szCs w:val="32"/>
        </w:rPr>
      </w:pPr>
      <w:r>
        <w:rPr>
          <w:rFonts w:hint="eastAsia" w:ascii="黑体" w:hAnsi="宋体" w:eastAsia="黑体" w:cs="黑体"/>
          <w:kern w:val="0"/>
          <w:sz w:val="32"/>
          <w:szCs w:val="32"/>
        </w:rPr>
        <w:t>十、其他重要事项的情况说明</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（一）机关运行经费情况</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年，昌吉州安全生产监督管理局本级及下属</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家参公管理事业单位（独立核算）和</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家事业单位（非独立核算）的机关运行经费财政拨款预算</w:t>
      </w:r>
      <w:r>
        <w:rPr>
          <w:rFonts w:ascii="仿宋_GB2312" w:hAnsi="宋体" w:eastAsia="仿宋_GB2312" w:cs="仿宋_GB2312"/>
          <w:kern w:val="0"/>
          <w:sz w:val="32"/>
          <w:szCs w:val="32"/>
        </w:rPr>
        <w:t>49.67</w:t>
      </w:r>
      <w:r>
        <w:rPr>
          <w:rFonts w:hint="eastAsia" w:ascii="仿宋_GB2312" w:hAnsi="宋体" w:eastAsia="仿宋_GB2312" w:cs="仿宋_GB2312"/>
          <w:kern w:val="0"/>
          <w:sz w:val="32"/>
          <w:szCs w:val="32"/>
        </w:rPr>
        <w:t>万元，比上年预算增加</w:t>
      </w:r>
      <w:r>
        <w:rPr>
          <w:rFonts w:ascii="仿宋_GB2312" w:hAnsi="宋体" w:eastAsia="仿宋_GB2312" w:cs="仿宋_GB2312"/>
          <w:kern w:val="0"/>
          <w:sz w:val="32"/>
          <w:szCs w:val="32"/>
        </w:rPr>
        <w:t>0.96</w:t>
      </w:r>
      <w:r>
        <w:rPr>
          <w:rFonts w:hint="eastAsia" w:ascii="仿宋_GB2312" w:hAnsi="宋体" w:eastAsia="仿宋_GB2312" w:cs="仿宋_GB2312"/>
          <w:kern w:val="0"/>
          <w:sz w:val="32"/>
          <w:szCs w:val="32"/>
        </w:rPr>
        <w:t>万元，增长</w:t>
      </w:r>
      <w:r>
        <w:rPr>
          <w:rFonts w:ascii="仿宋_GB2312" w:hAnsi="宋体" w:eastAsia="仿宋_GB2312" w:cs="仿宋_GB2312"/>
          <w:kern w:val="0"/>
          <w:sz w:val="32"/>
          <w:szCs w:val="32"/>
        </w:rPr>
        <w:t>1.97%</w:t>
      </w:r>
      <w:r>
        <w:rPr>
          <w:rFonts w:hint="eastAsia" w:ascii="仿宋_GB2312" w:hAnsi="宋体" w:eastAsia="仿宋_GB2312" w:cs="仿宋_GB2312"/>
          <w:kern w:val="0"/>
          <w:sz w:val="32"/>
          <w:szCs w:val="32"/>
        </w:rPr>
        <w:t>。主要原因是在职人员增减变化，局本级退休</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人，下属单位新招聘</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人，相应增加了运行经费。</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（二）政府采购情况</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年，昌吉州安全生产监督管理局及下属单位政府采购预算</w:t>
      </w:r>
      <w:r>
        <w:rPr>
          <w:rFonts w:ascii="仿宋_GB2312" w:hAnsi="宋体" w:eastAsia="仿宋_GB2312" w:cs="仿宋_GB2312"/>
          <w:kern w:val="0"/>
          <w:sz w:val="32"/>
          <w:szCs w:val="32"/>
        </w:rPr>
        <w:t>403.9</w:t>
      </w:r>
      <w:r>
        <w:rPr>
          <w:rFonts w:hint="eastAsia" w:ascii="仿宋_GB2312" w:hAnsi="宋体" w:eastAsia="仿宋_GB2312" w:cs="仿宋_GB2312"/>
          <w:kern w:val="0"/>
          <w:sz w:val="32"/>
          <w:szCs w:val="32"/>
        </w:rPr>
        <w:t>万元，其中：政府采购货物预算</w:t>
      </w:r>
      <w:r>
        <w:rPr>
          <w:rFonts w:ascii="仿宋_GB2312" w:hAnsi="宋体" w:eastAsia="仿宋_GB2312" w:cs="仿宋_GB2312"/>
          <w:kern w:val="0"/>
          <w:sz w:val="32"/>
          <w:szCs w:val="32"/>
        </w:rPr>
        <w:t>66.65</w:t>
      </w:r>
      <w:r>
        <w:rPr>
          <w:rFonts w:hint="eastAsia" w:ascii="仿宋_GB2312" w:hAnsi="宋体" w:eastAsia="仿宋_GB2312" w:cs="仿宋_GB2312"/>
          <w:kern w:val="0"/>
          <w:sz w:val="32"/>
          <w:szCs w:val="32"/>
        </w:rPr>
        <w:t>万元，政府采购工程预算</w:t>
      </w:r>
      <w:r>
        <w:rPr>
          <w:rFonts w:ascii="仿宋_GB2312" w:hAnsi="宋体" w:eastAsia="仿宋_GB2312" w:cs="仿宋_GB2312"/>
          <w:kern w:val="0"/>
          <w:sz w:val="32"/>
          <w:szCs w:val="32"/>
        </w:rPr>
        <w:t>40</w:t>
      </w:r>
      <w:r>
        <w:rPr>
          <w:rFonts w:hint="eastAsia" w:ascii="仿宋_GB2312" w:hAnsi="宋体" w:eastAsia="仿宋_GB2312" w:cs="仿宋_GB2312"/>
          <w:kern w:val="0"/>
          <w:sz w:val="32"/>
          <w:szCs w:val="32"/>
        </w:rPr>
        <w:t>万元，政府采购服务预算</w:t>
      </w:r>
      <w:r>
        <w:rPr>
          <w:rFonts w:ascii="仿宋_GB2312" w:hAnsi="宋体" w:eastAsia="仿宋_GB2312" w:cs="仿宋_GB2312"/>
          <w:kern w:val="0"/>
          <w:sz w:val="32"/>
          <w:szCs w:val="32"/>
        </w:rPr>
        <w:t>297.25</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年度本部门面向中小企业预留政府采购项目预算金额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万元，其中：面向小微企业预留政府采购项目预算金额</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万元。</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（三）国有资产占用使用情况</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截至</w:t>
      </w:r>
      <w:r>
        <w:rPr>
          <w:rFonts w:ascii="仿宋_GB2312" w:hAnsi="宋体" w:eastAsia="仿宋_GB2312" w:cs="仿宋_GB2312"/>
          <w:kern w:val="0"/>
          <w:sz w:val="32"/>
          <w:szCs w:val="32"/>
        </w:rPr>
        <w:t>2018</w:t>
      </w:r>
      <w:r>
        <w:rPr>
          <w:rFonts w:hint="eastAsia" w:ascii="仿宋_GB2312" w:hAnsi="宋体" w:eastAsia="仿宋_GB2312" w:cs="仿宋_GB2312"/>
          <w:kern w:val="0"/>
          <w:sz w:val="32"/>
          <w:szCs w:val="32"/>
        </w:rPr>
        <w:t>年底，昌吉州安全生产监督管理局及下属各预算单位占用使用国有资产总体情况为</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房屋</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平方米，价值</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车辆</w:t>
      </w: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140.88</w:t>
      </w:r>
      <w:r>
        <w:rPr>
          <w:rFonts w:hint="eastAsia" w:ascii="仿宋_GB2312" w:hAnsi="宋体" w:eastAsia="仿宋_GB2312" w:cs="仿宋_GB2312"/>
          <w:kern w:val="0"/>
          <w:sz w:val="32"/>
          <w:szCs w:val="32"/>
        </w:rPr>
        <w:t>万元；其中：一般公务用车</w:t>
      </w:r>
      <w:r>
        <w:rPr>
          <w:rFonts w:ascii="仿宋_GB2312" w:hAnsi="宋体" w:eastAsia="仿宋_GB2312" w:cs="仿宋_GB2312"/>
          <w:kern w:val="0"/>
          <w:sz w:val="32"/>
          <w:szCs w:val="32"/>
        </w:rPr>
        <w:t xml:space="preserve">0  </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万元；执法执勤用车</w:t>
      </w: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140.88</w:t>
      </w:r>
      <w:r>
        <w:rPr>
          <w:rFonts w:hint="eastAsia" w:ascii="仿宋_GB2312" w:hAnsi="宋体" w:eastAsia="仿宋_GB2312" w:cs="仿宋_GB2312"/>
          <w:kern w:val="0"/>
          <w:sz w:val="32"/>
          <w:szCs w:val="32"/>
        </w:rPr>
        <w:t>万元；其他车辆</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3.</w:t>
      </w:r>
      <w:r>
        <w:rPr>
          <w:rFonts w:hint="eastAsia" w:ascii="仿宋_GB2312" w:hAnsi="宋体" w:eastAsia="仿宋_GB2312" w:cs="仿宋_GB2312"/>
          <w:kern w:val="0"/>
          <w:sz w:val="32"/>
          <w:szCs w:val="32"/>
        </w:rPr>
        <w:t>办公家具价值</w:t>
      </w:r>
      <w:r>
        <w:rPr>
          <w:rFonts w:ascii="仿宋_GB2312" w:hAnsi="宋体" w:eastAsia="仿宋_GB2312" w:cs="仿宋_GB2312"/>
          <w:kern w:val="0"/>
          <w:sz w:val="32"/>
          <w:szCs w:val="32"/>
        </w:rPr>
        <w:t>22.29</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4.</w:t>
      </w:r>
      <w:r>
        <w:rPr>
          <w:rFonts w:hint="eastAsia" w:ascii="仿宋_GB2312" w:hAnsi="宋体" w:eastAsia="仿宋_GB2312" w:cs="仿宋_GB2312"/>
          <w:kern w:val="0"/>
          <w:sz w:val="32"/>
          <w:szCs w:val="32"/>
        </w:rPr>
        <w:t>其他资产价值</w:t>
      </w:r>
      <w:r>
        <w:rPr>
          <w:rFonts w:ascii="仿宋_GB2312" w:hAnsi="宋体" w:eastAsia="仿宋_GB2312" w:cs="仿宋_GB2312"/>
          <w:kern w:val="0"/>
          <w:sz w:val="32"/>
          <w:szCs w:val="32"/>
        </w:rPr>
        <w:t>121.8</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hint="eastAsia" w:ascii="仿宋_GB2312" w:hAnsi="宋体" w:eastAsia="仿宋_GB2312" w:cs="仿宋_GB2312"/>
          <w:kern w:val="0"/>
          <w:sz w:val="32"/>
          <w:szCs w:val="32"/>
        </w:rPr>
        <w:t>单位价值</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台（套）。</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年部门预算未安排购置车辆经费，未安排购置</w:t>
      </w:r>
      <w:r>
        <w:rPr>
          <w:rFonts w:ascii="仿宋_GB2312" w:hAnsi="宋体" w:eastAsia="仿宋_GB2312" w:cs="仿宋_GB2312"/>
          <w:kern w:val="0"/>
          <w:sz w:val="32"/>
          <w:szCs w:val="32"/>
        </w:rPr>
        <w:t>50</w:t>
      </w:r>
      <w:r>
        <w:rPr>
          <w:rFonts w:hint="eastAsia" w:ascii="仿宋_GB2312" w:hAnsi="宋体" w:eastAsia="仿宋_GB2312" w:cs="仿宋_GB2312"/>
          <w:kern w:val="0"/>
          <w:sz w:val="32"/>
          <w:szCs w:val="32"/>
        </w:rPr>
        <w:t>万元以上大型设备，未安排购置单位价值</w:t>
      </w:r>
      <w:r>
        <w:rPr>
          <w:rFonts w:ascii="仿宋_GB2312" w:hAnsi="宋体" w:eastAsia="仿宋_GB2312" w:cs="仿宋_GB2312"/>
          <w:kern w:val="0"/>
          <w:sz w:val="32"/>
          <w:szCs w:val="32"/>
        </w:rPr>
        <w:t>100</w:t>
      </w:r>
      <w:r>
        <w:rPr>
          <w:rFonts w:hint="eastAsia" w:ascii="仿宋_GB2312" w:hAnsi="宋体" w:eastAsia="仿宋_GB2312" w:cs="仿宋_GB2312"/>
          <w:kern w:val="0"/>
          <w:sz w:val="32"/>
          <w:szCs w:val="32"/>
        </w:rPr>
        <w:t>万元以上大型设备。</w:t>
      </w:r>
    </w:p>
    <w:p>
      <w:pPr>
        <w:widowControl/>
        <w:spacing w:line="580" w:lineRule="exact"/>
        <w:ind w:firstLine="642"/>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（四）预算绩效情况</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年度，本年度实行绩效管理的项目</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个，涉及预算金额</w:t>
      </w:r>
      <w:r>
        <w:rPr>
          <w:rFonts w:ascii="仿宋_GB2312" w:hAnsi="宋体" w:eastAsia="仿宋_GB2312" w:cs="仿宋_GB2312"/>
          <w:kern w:val="0"/>
          <w:sz w:val="32"/>
          <w:szCs w:val="32"/>
        </w:rPr>
        <w:t>15</w:t>
      </w:r>
      <w:r>
        <w:rPr>
          <w:rFonts w:hint="eastAsia" w:ascii="仿宋_GB2312" w:hAnsi="宋体" w:eastAsia="仿宋_GB2312" w:cs="仿宋_GB2312"/>
          <w:kern w:val="0"/>
          <w:sz w:val="32"/>
          <w:szCs w:val="32"/>
        </w:rPr>
        <w:t>万元。具体情况见下表（按项目分别填报）：</w:t>
      </w:r>
    </w:p>
    <w:p>
      <w:pPr>
        <w:spacing w:line="500" w:lineRule="exact"/>
        <w:rPr>
          <w:rFonts w:ascii="仿宋_GB2312" w:hAnsi="宋体" w:eastAsia="仿宋_GB2312"/>
          <w:kern w:val="0"/>
          <w:sz w:val="32"/>
          <w:szCs w:val="32"/>
        </w:rPr>
      </w:pPr>
    </w:p>
    <w:p>
      <w:pPr>
        <w:spacing w:line="500" w:lineRule="exact"/>
        <w:rPr>
          <w:rFonts w:ascii="仿宋_GB2312" w:hAnsi="宋体" w:eastAsia="仿宋_GB2312"/>
          <w:kern w:val="0"/>
          <w:sz w:val="32"/>
          <w:szCs w:val="32"/>
        </w:rPr>
      </w:pPr>
    </w:p>
    <w:p>
      <w:pPr>
        <w:spacing w:line="500" w:lineRule="exact"/>
        <w:rPr>
          <w:rFonts w:ascii="仿宋_GB2312" w:hAnsi="宋体" w:eastAsia="仿宋_GB2312"/>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5"/>
        <w:tblW w:w="13973" w:type="dxa"/>
        <w:tblInd w:w="-106"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b/>
                <w:bCs/>
                <w:kern w:val="0"/>
                <w:sz w:val="32"/>
                <w:szCs w:val="32"/>
              </w:rPr>
            </w:pPr>
            <w:r>
              <w:rPr>
                <w:rFonts w:hint="eastAsia" w:ascii="仿宋_GB2312" w:hAnsi="宋体" w:eastAsia="仿宋_GB2312" w:cs="仿宋_GB2312"/>
                <w:b/>
                <w:bCs/>
                <w:kern w:val="0"/>
                <w:sz w:val="32"/>
                <w:szCs w:val="32"/>
              </w:rPr>
              <w:t>项</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支</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出</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绩</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效</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目</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标</w:t>
            </w:r>
            <w:r>
              <w:rPr>
                <w:rFonts w:ascii="仿宋_GB2312" w:hAnsi="宋体" w:eastAsia="仿宋_GB2312" w:cs="仿宋_GB2312"/>
                <w:b/>
                <w:bCs/>
                <w:kern w:val="0"/>
                <w:sz w:val="32"/>
                <w:szCs w:val="32"/>
              </w:rPr>
              <w:t xml:space="preserve">  </w:t>
            </w:r>
            <w:r>
              <w:rPr>
                <w:rFonts w:hint="eastAsia" w:ascii="仿宋_GB2312" w:hAnsi="宋体" w:eastAsia="仿宋_GB2312" w:cs="仿宋_GB2312"/>
                <w:b/>
                <w:bCs/>
                <w:kern w:val="0"/>
                <w:sz w:val="32"/>
                <w:szCs w:val="32"/>
              </w:rPr>
              <w:t>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color w:val="000000"/>
                <w:kern w:val="0"/>
                <w:sz w:val="22"/>
                <w:szCs w:val="22"/>
              </w:rPr>
            </w:pPr>
          </w:p>
        </w:tc>
        <w:tc>
          <w:tcPr>
            <w:tcW w:w="1857" w:type="dxa"/>
            <w:tcBorders>
              <w:top w:val="nil"/>
              <w:left w:val="nil"/>
              <w:bottom w:val="nil"/>
              <w:right w:val="nil"/>
            </w:tcBorders>
            <w:vAlign w:val="bottom"/>
          </w:tcPr>
          <w:p>
            <w:pPr>
              <w:widowControl/>
              <w:jc w:val="left"/>
              <w:rPr>
                <w:rFonts w:ascii="宋体"/>
                <w:color w:val="000000"/>
                <w:kern w:val="0"/>
                <w:sz w:val="22"/>
                <w:szCs w:val="22"/>
              </w:rPr>
            </w:pPr>
          </w:p>
        </w:tc>
        <w:tc>
          <w:tcPr>
            <w:tcW w:w="1664" w:type="dxa"/>
            <w:tcBorders>
              <w:top w:val="nil"/>
              <w:left w:val="nil"/>
              <w:bottom w:val="nil"/>
              <w:right w:val="nil"/>
            </w:tcBorders>
            <w:vAlign w:val="bottom"/>
          </w:tcPr>
          <w:p>
            <w:pPr>
              <w:widowControl/>
              <w:jc w:val="left"/>
              <w:rPr>
                <w:rFonts w:ascii="宋体"/>
                <w:color w:val="000000"/>
                <w:kern w:val="0"/>
                <w:sz w:val="22"/>
                <w:szCs w:val="22"/>
              </w:rPr>
            </w:pPr>
          </w:p>
        </w:tc>
        <w:tc>
          <w:tcPr>
            <w:tcW w:w="1664" w:type="dxa"/>
            <w:gridSpan w:val="2"/>
            <w:tcBorders>
              <w:top w:val="nil"/>
              <w:left w:val="nil"/>
              <w:bottom w:val="nil"/>
              <w:right w:val="nil"/>
            </w:tcBorders>
            <w:vAlign w:val="bottom"/>
          </w:tcPr>
          <w:p>
            <w:pPr>
              <w:widowControl/>
              <w:jc w:val="left"/>
              <w:rPr>
                <w:rFonts w:ascii="宋体"/>
                <w:color w:val="000000"/>
                <w:kern w:val="0"/>
                <w:sz w:val="22"/>
                <w:szCs w:val="22"/>
              </w:rPr>
            </w:pPr>
          </w:p>
        </w:tc>
        <w:tc>
          <w:tcPr>
            <w:tcW w:w="323" w:type="dxa"/>
            <w:tcBorders>
              <w:top w:val="nil"/>
              <w:left w:val="nil"/>
              <w:bottom w:val="nil"/>
              <w:right w:val="nil"/>
            </w:tcBorders>
            <w:vAlign w:val="bottom"/>
          </w:tcPr>
          <w:p>
            <w:pPr>
              <w:widowControl/>
              <w:jc w:val="left"/>
              <w:rPr>
                <w:rFonts w:ascii="宋体"/>
                <w:color w:val="000000"/>
                <w:kern w:val="0"/>
                <w:sz w:val="22"/>
                <w:szCs w:val="22"/>
              </w:rPr>
            </w:pPr>
          </w:p>
        </w:tc>
        <w:tc>
          <w:tcPr>
            <w:tcW w:w="323" w:type="dxa"/>
            <w:tcBorders>
              <w:top w:val="nil"/>
              <w:left w:val="nil"/>
              <w:bottom w:val="nil"/>
              <w:right w:val="nil"/>
            </w:tcBorders>
            <w:vAlign w:val="bottom"/>
          </w:tcPr>
          <w:p>
            <w:pPr>
              <w:widowControl/>
              <w:jc w:val="left"/>
              <w:rPr>
                <w:rFonts w:ascii="宋体"/>
                <w:color w:val="000000"/>
                <w:kern w:val="0"/>
                <w:sz w:val="22"/>
                <w:szCs w:val="22"/>
              </w:rPr>
            </w:pPr>
          </w:p>
        </w:tc>
        <w:tc>
          <w:tcPr>
            <w:tcW w:w="1925" w:type="dxa"/>
            <w:tcBorders>
              <w:top w:val="nil"/>
              <w:left w:val="nil"/>
              <w:bottom w:val="nil"/>
              <w:right w:val="nil"/>
            </w:tcBorders>
            <w:vAlign w:val="bottom"/>
          </w:tcPr>
          <w:p>
            <w:pPr>
              <w:widowControl/>
              <w:jc w:val="left"/>
              <w:rPr>
                <w:rFonts w:ascii="宋体"/>
                <w:color w:val="000000"/>
                <w:kern w:val="0"/>
                <w:sz w:val="22"/>
                <w:szCs w:val="22"/>
              </w:rPr>
            </w:pPr>
          </w:p>
        </w:tc>
        <w:tc>
          <w:tcPr>
            <w:tcW w:w="249" w:type="dxa"/>
            <w:tcBorders>
              <w:top w:val="nil"/>
              <w:left w:val="nil"/>
              <w:bottom w:val="nil"/>
              <w:right w:val="nil"/>
            </w:tcBorders>
            <w:vAlign w:val="bottom"/>
          </w:tcPr>
          <w:p>
            <w:pPr>
              <w:widowControl/>
              <w:jc w:val="left"/>
              <w:rPr>
                <w:rFonts w:ascii="宋体"/>
                <w:color w:val="000000"/>
                <w:kern w:val="0"/>
                <w:sz w:val="22"/>
                <w:szCs w:val="22"/>
              </w:rPr>
            </w:pPr>
          </w:p>
        </w:tc>
        <w:tc>
          <w:tcPr>
            <w:tcW w:w="3275" w:type="dxa"/>
            <w:gridSpan w:val="2"/>
            <w:tcBorders>
              <w:top w:val="nil"/>
              <w:left w:val="nil"/>
              <w:bottom w:val="nil"/>
              <w:right w:val="nil"/>
            </w:tcBorders>
            <w:vAlign w:val="bottom"/>
          </w:tcPr>
          <w:p>
            <w:pPr>
              <w:widowControl/>
              <w:jc w:val="left"/>
              <w:rPr>
                <w:rFonts w:ascii="宋体"/>
                <w:color w:val="000000"/>
                <w:kern w:val="0"/>
                <w:sz w:val="22"/>
                <w:szCs w:val="22"/>
              </w:rPr>
            </w:pPr>
          </w:p>
        </w:tc>
        <w:tc>
          <w:tcPr>
            <w:tcW w:w="249" w:type="dxa"/>
            <w:tcBorders>
              <w:top w:val="nil"/>
              <w:left w:val="nil"/>
              <w:bottom w:val="nil"/>
              <w:right w:val="nil"/>
            </w:tcBorders>
            <w:vAlign w:val="bottom"/>
          </w:tcPr>
          <w:p>
            <w:pPr>
              <w:widowControl/>
              <w:jc w:val="left"/>
              <w:rPr>
                <w:rFonts w:ascii="宋体"/>
                <w:color w:val="000000"/>
                <w:kern w:val="0"/>
                <w:sz w:val="22"/>
                <w:szCs w:val="22"/>
              </w:rPr>
            </w:pPr>
          </w:p>
        </w:tc>
        <w:tc>
          <w:tcPr>
            <w:tcW w:w="249" w:type="dxa"/>
            <w:tcBorders>
              <w:top w:val="nil"/>
              <w:left w:val="nil"/>
              <w:bottom w:val="nil"/>
              <w:right w:val="nil"/>
            </w:tcBorders>
            <w:vAlign w:val="bottom"/>
          </w:tcPr>
          <w:p>
            <w:pPr>
              <w:widowControl/>
              <w:jc w:val="left"/>
              <w:rPr>
                <w:rFonts w:ascii="宋体"/>
                <w:color w:val="000000"/>
                <w:kern w:val="0"/>
                <w:sz w:val="22"/>
                <w:szCs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昌吉州安全生产监督管理局本级</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安全生产检查经费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kern w:val="0"/>
                <w:sz w:val="18"/>
                <w:szCs w:val="18"/>
              </w:rPr>
            </w:pPr>
            <w:r>
              <w:rPr>
                <w:rFonts w:ascii="宋体" w:hAnsi="宋体" w:cs="宋体"/>
                <w:kern w:val="0"/>
                <w:sz w:val="18"/>
                <w:szCs w:val="18"/>
              </w:rPr>
              <w:t>15</w:t>
            </w: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kern w:val="0"/>
                <w:sz w:val="18"/>
                <w:szCs w:val="18"/>
              </w:rPr>
            </w:pPr>
            <w:r>
              <w:rPr>
                <w:rFonts w:ascii="宋体" w:hAnsi="宋体" w:cs="宋体"/>
                <w:kern w:val="0"/>
                <w:sz w:val="18"/>
                <w:szCs w:val="18"/>
              </w:rPr>
              <w:t>15</w:t>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kern w:val="0"/>
                <w:sz w:val="18"/>
                <w:szCs w:val="18"/>
              </w:rPr>
            </w:pPr>
            <w:r>
              <w:rPr>
                <w:rFonts w:hint="eastAsia" w:ascii="宋体" w:hAnsi="宋体" w:cs="宋体"/>
                <w:kern w:val="0"/>
                <w:sz w:val="18"/>
                <w:szCs w:val="18"/>
              </w:rPr>
              <w:t>　加强安全生产工作，对全州安全生产工作实施综合监督管理。</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p>
          <w:p>
            <w:pPr>
              <w:widowControl/>
              <w:jc w:val="center"/>
              <w:rPr>
                <w:rFonts w:ascii="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color w:val="000000"/>
                <w:sz w:val="18"/>
                <w:szCs w:val="18"/>
              </w:rPr>
            </w:pPr>
            <w:r>
              <w:rPr>
                <w:rFonts w:hint="eastAsia" w:cs="宋体"/>
                <w:color w:val="000000"/>
                <w:sz w:val="18"/>
                <w:szCs w:val="18"/>
              </w:rPr>
              <w:t>高危生产经营企业安全隐患排查数量（家）</w:t>
            </w:r>
          </w:p>
        </w:tc>
        <w:tc>
          <w:tcPr>
            <w:tcW w:w="3773" w:type="dxa"/>
            <w:gridSpan w:val="4"/>
            <w:tcBorders>
              <w:top w:val="single" w:color="000000" w:sz="4" w:space="0"/>
              <w:left w:val="nil"/>
              <w:bottom w:val="single" w:color="000000" w:sz="4" w:space="0"/>
              <w:right w:val="single" w:color="000000" w:sz="4" w:space="0"/>
            </w:tcBorders>
            <w:vAlign w:val="center"/>
          </w:tcPr>
          <w:p>
            <w:pPr>
              <w:rPr>
                <w:rFonts w:ascii="宋体" w:cs="宋体"/>
                <w:color w:val="000000"/>
                <w:sz w:val="15"/>
                <w:szCs w:val="15"/>
              </w:rPr>
            </w:pPr>
            <w:r>
              <w:rPr>
                <w:rFonts w:hint="eastAsia" w:cs="宋体"/>
                <w:color w:val="000000"/>
                <w:sz w:val="15"/>
                <w:szCs w:val="15"/>
              </w:rPr>
              <w:t>高危行业生产经营企业隐患排查的数量是</w:t>
            </w:r>
            <w:r>
              <w:rPr>
                <w:color w:val="000000"/>
                <w:sz w:val="15"/>
                <w:szCs w:val="15"/>
              </w:rPr>
              <w:t>57</w:t>
            </w:r>
            <w:r>
              <w:rPr>
                <w:rFonts w:hint="eastAsia" w:cs="宋体"/>
                <w:color w:val="000000"/>
                <w:sz w:val="15"/>
                <w:szCs w:val="15"/>
              </w:rPr>
              <w:t>家</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color w:val="000000"/>
                <w:sz w:val="18"/>
                <w:szCs w:val="18"/>
              </w:rPr>
            </w:pPr>
            <w:r>
              <w:rPr>
                <w:rFonts w:hint="eastAsia" w:cs="宋体"/>
                <w:color w:val="000000"/>
                <w:sz w:val="18"/>
                <w:szCs w:val="18"/>
              </w:rPr>
              <w:t>行政处罚率（</w:t>
            </w:r>
            <w:r>
              <w:rPr>
                <w:color w:val="000000"/>
                <w:sz w:val="18"/>
                <w:szCs w:val="18"/>
              </w:rPr>
              <w:t>%</w:t>
            </w:r>
            <w:r>
              <w:rPr>
                <w:rFonts w:hint="eastAsia" w:cs="宋体"/>
                <w:color w:val="00000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rPr>
                <w:rFonts w:ascii="宋体" w:cs="宋体"/>
                <w:color w:val="000000"/>
                <w:sz w:val="15"/>
                <w:szCs w:val="15"/>
              </w:rPr>
            </w:pPr>
            <w:r>
              <w:rPr>
                <w:rFonts w:hint="eastAsia" w:cs="宋体"/>
                <w:color w:val="000000"/>
                <w:sz w:val="15"/>
                <w:szCs w:val="15"/>
              </w:rPr>
              <w:t>对违法行为实施行政处罚的条数占执法发现的违法行为总数的</w:t>
            </w:r>
            <w:r>
              <w:rPr>
                <w:color w:val="000000"/>
                <w:sz w:val="15"/>
                <w:szCs w:val="15"/>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color w:val="000000"/>
                <w:sz w:val="18"/>
                <w:szCs w:val="18"/>
              </w:rPr>
            </w:pPr>
            <w:r>
              <w:rPr>
                <w:rFonts w:hint="eastAsia" w:cs="宋体"/>
                <w:color w:val="000000"/>
                <w:sz w:val="18"/>
                <w:szCs w:val="18"/>
              </w:rPr>
              <w:t>生产经营单位执法检查率（</w:t>
            </w:r>
            <w:r>
              <w:rPr>
                <w:color w:val="000000"/>
                <w:sz w:val="18"/>
                <w:szCs w:val="18"/>
              </w:rPr>
              <w:t>%</w:t>
            </w:r>
            <w:r>
              <w:rPr>
                <w:rFonts w:hint="eastAsia" w:cs="宋体"/>
                <w:color w:val="00000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rPr>
                <w:rFonts w:ascii="宋体" w:cs="宋体"/>
                <w:color w:val="000000"/>
                <w:sz w:val="15"/>
                <w:szCs w:val="15"/>
              </w:rPr>
            </w:pPr>
            <w:r>
              <w:rPr>
                <w:rFonts w:hint="eastAsia" w:cs="宋体"/>
                <w:color w:val="000000"/>
                <w:sz w:val="15"/>
                <w:szCs w:val="15"/>
              </w:rPr>
              <w:t>本年实际执法检查的生产经营单位数占应检查单位总数的</w:t>
            </w:r>
            <w:r>
              <w:rPr>
                <w:color w:val="000000"/>
                <w:sz w:val="15"/>
                <w:szCs w:val="15"/>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color w:val="000000"/>
                <w:sz w:val="18"/>
                <w:szCs w:val="18"/>
              </w:rPr>
            </w:pPr>
            <w:r>
              <w:rPr>
                <w:rFonts w:hint="eastAsia" w:cs="宋体"/>
                <w:color w:val="000000"/>
                <w:sz w:val="18"/>
                <w:szCs w:val="18"/>
              </w:rPr>
              <w:t>生产经营单位安全隐患率（</w:t>
            </w:r>
            <w:r>
              <w:rPr>
                <w:color w:val="000000"/>
                <w:sz w:val="18"/>
                <w:szCs w:val="18"/>
              </w:rPr>
              <w:t>%</w:t>
            </w:r>
            <w:r>
              <w:rPr>
                <w:rFonts w:hint="eastAsia" w:cs="宋体"/>
                <w:color w:val="00000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rPr>
                <w:rFonts w:ascii="宋体" w:cs="宋体"/>
                <w:color w:val="000000"/>
                <w:sz w:val="15"/>
                <w:szCs w:val="15"/>
              </w:rPr>
            </w:pPr>
            <w:r>
              <w:rPr>
                <w:rFonts w:hint="eastAsia" w:cs="宋体"/>
                <w:color w:val="000000"/>
                <w:sz w:val="15"/>
                <w:szCs w:val="15"/>
              </w:rPr>
              <w:t>存在安全隐患的生产经营单位总数占本年实际执法检查的生产经营单位总数的</w:t>
            </w:r>
            <w:r>
              <w:rPr>
                <w:color w:val="000000"/>
                <w:sz w:val="15"/>
                <w:szCs w:val="15"/>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color w:val="000000"/>
                <w:sz w:val="18"/>
                <w:szCs w:val="18"/>
              </w:rPr>
            </w:pPr>
            <w:r>
              <w:rPr>
                <w:rFonts w:hint="eastAsia" w:cs="宋体"/>
                <w:color w:val="000000"/>
                <w:sz w:val="18"/>
                <w:szCs w:val="18"/>
              </w:rPr>
              <w:t>生产经营单位合法率（</w:t>
            </w:r>
            <w:r>
              <w:rPr>
                <w:color w:val="000000"/>
                <w:sz w:val="18"/>
                <w:szCs w:val="18"/>
              </w:rPr>
              <w:t>%</w:t>
            </w:r>
            <w:r>
              <w:rPr>
                <w:rFonts w:hint="eastAsia" w:cs="宋体"/>
                <w:color w:val="00000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rPr>
                <w:rFonts w:ascii="宋体" w:cs="宋体"/>
                <w:color w:val="000000"/>
                <w:sz w:val="15"/>
                <w:szCs w:val="15"/>
              </w:rPr>
            </w:pPr>
            <w:r>
              <w:rPr>
                <w:rFonts w:hint="eastAsia" w:cs="宋体"/>
                <w:color w:val="000000"/>
                <w:sz w:val="15"/>
                <w:szCs w:val="15"/>
              </w:rPr>
              <w:t>不存在违法行为的生产经营单位总数占本年实际执法检查生产经营单位总数的</w:t>
            </w:r>
            <w:r>
              <w:rPr>
                <w:color w:val="000000"/>
                <w:sz w:val="15"/>
                <w:szCs w:val="15"/>
              </w:rPr>
              <w:t>10%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center"/>
              <w:rPr>
                <w:rFonts w:asci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color w:val="000000"/>
                <w:sz w:val="18"/>
                <w:szCs w:val="18"/>
              </w:rPr>
            </w:pPr>
            <w:r>
              <w:rPr>
                <w:rFonts w:hint="eastAsia" w:cs="宋体"/>
                <w:color w:val="000000"/>
                <w:sz w:val="18"/>
                <w:szCs w:val="18"/>
              </w:rPr>
              <w:t>危险源点安全运行率（</w:t>
            </w:r>
            <w:r>
              <w:rPr>
                <w:color w:val="000000"/>
                <w:sz w:val="18"/>
                <w:szCs w:val="18"/>
              </w:rPr>
              <w:t>%</w:t>
            </w:r>
            <w:r>
              <w:rPr>
                <w:rFonts w:hint="eastAsia" w:cs="宋体"/>
                <w:color w:val="00000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rPr>
                <w:rFonts w:ascii="宋体" w:cs="宋体"/>
                <w:color w:val="000000"/>
                <w:sz w:val="15"/>
                <w:szCs w:val="15"/>
              </w:rPr>
            </w:pPr>
            <w:r>
              <w:rPr>
                <w:rFonts w:hint="eastAsia" w:cs="宋体"/>
                <w:color w:val="000000"/>
                <w:sz w:val="15"/>
                <w:szCs w:val="15"/>
              </w:rPr>
              <w:t>安全运行危险源点数占危险源点总数的</w:t>
            </w:r>
            <w:r>
              <w:rPr>
                <w:color w:val="000000"/>
                <w:sz w:val="15"/>
                <w:szCs w:val="15"/>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rPr>
                <w:rFonts w:ascii="宋体" w:cs="宋体"/>
                <w:color w:val="000000"/>
                <w:sz w:val="18"/>
                <w:szCs w:val="18"/>
              </w:rPr>
            </w:pPr>
            <w:r>
              <w:rPr>
                <w:rFonts w:hint="eastAsia" w:cs="宋体"/>
                <w:color w:val="000000"/>
                <w:sz w:val="18"/>
                <w:szCs w:val="18"/>
              </w:rPr>
              <w:t>隐患整改率（</w:t>
            </w:r>
            <w:r>
              <w:rPr>
                <w:color w:val="000000"/>
                <w:sz w:val="18"/>
                <w:szCs w:val="18"/>
              </w:rPr>
              <w:t>%</w:t>
            </w:r>
            <w:r>
              <w:rPr>
                <w:rFonts w:hint="eastAsia" w:cs="宋体"/>
                <w:color w:val="000000"/>
                <w:sz w:val="18"/>
                <w:szCs w:val="18"/>
              </w:rPr>
              <w:t>）</w:t>
            </w:r>
          </w:p>
        </w:tc>
        <w:tc>
          <w:tcPr>
            <w:tcW w:w="3773" w:type="dxa"/>
            <w:gridSpan w:val="4"/>
            <w:tcBorders>
              <w:top w:val="single" w:color="000000" w:sz="4" w:space="0"/>
              <w:left w:val="nil"/>
              <w:bottom w:val="single" w:color="000000" w:sz="4" w:space="0"/>
              <w:right w:val="single" w:color="000000" w:sz="4" w:space="0"/>
            </w:tcBorders>
            <w:vAlign w:val="center"/>
          </w:tcPr>
          <w:p>
            <w:pPr>
              <w:rPr>
                <w:rFonts w:ascii="宋体" w:cs="宋体"/>
                <w:color w:val="000000"/>
                <w:sz w:val="15"/>
                <w:szCs w:val="15"/>
              </w:rPr>
            </w:pPr>
            <w:r>
              <w:rPr>
                <w:rFonts w:hint="eastAsia" w:cs="宋体"/>
                <w:color w:val="000000"/>
                <w:sz w:val="15"/>
                <w:szCs w:val="15"/>
              </w:rPr>
              <w:t>已整改隐患数占执法发现的隐患总数的</w:t>
            </w:r>
            <w:r>
              <w:rPr>
                <w:color w:val="000000"/>
                <w:sz w:val="15"/>
                <w:szCs w:val="15"/>
              </w:rPr>
              <w:t>100%</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b/>
          <w:bCs/>
          <w:kern w:val="0"/>
          <w:sz w:val="32"/>
          <w:szCs w:val="32"/>
        </w:rPr>
      </w:pPr>
      <w:r>
        <w:rPr>
          <w:rFonts w:hint="eastAsia" w:ascii="楷体_GB2312" w:hAnsi="宋体" w:eastAsia="楷体_GB2312" w:cs="楷体_GB2312"/>
          <w:b/>
          <w:bCs/>
          <w:kern w:val="0"/>
          <w:sz w:val="32"/>
          <w:szCs w:val="32"/>
        </w:rPr>
        <w:t>（五）其他需说明的事项</w:t>
      </w:r>
    </w:p>
    <w:p>
      <w:pPr>
        <w:widowControl/>
        <w:spacing w:line="560" w:lineRule="exact"/>
        <w:ind w:firstLine="640" w:firstLineChars="200"/>
        <w:jc w:val="left"/>
        <w:rPr>
          <w:rFonts w:ascii="仿宋_GB2312" w:hAnsi="宋体" w:eastAsia="仿宋_GB2312"/>
          <w:kern w:val="0"/>
          <w:sz w:val="32"/>
          <w:szCs w:val="32"/>
        </w:rPr>
      </w:pPr>
      <w:r>
        <w:rPr>
          <w:rFonts w:hint="eastAsia" w:ascii="仿宋_GB2312" w:hAnsi="宋体" w:eastAsia="仿宋_GB2312" w:cs="仿宋_GB2312"/>
          <w:kern w:val="0"/>
          <w:sz w:val="32"/>
          <w:szCs w:val="32"/>
        </w:rPr>
        <w:t>无。</w:t>
      </w:r>
    </w:p>
    <w:p>
      <w:pPr>
        <w:widowControl/>
        <w:spacing w:line="560" w:lineRule="exact"/>
        <w:jc w:val="left"/>
        <w:rPr>
          <w:rFonts w:ascii="仿宋_GB2312" w:hAnsi="宋体" w:eastAsia="仿宋_GB2312"/>
          <w:kern w:val="0"/>
          <w:sz w:val="32"/>
          <w:szCs w:val="32"/>
        </w:rPr>
      </w:pPr>
    </w:p>
    <w:p>
      <w:pPr>
        <w:widowControl/>
        <w:spacing w:before="156" w:beforeLines="50"/>
        <w:jc w:val="center"/>
        <w:outlineLvl w:val="1"/>
        <w:rPr>
          <w:rFonts w:ascii="黑体" w:hAnsi="黑体" w:eastAsia="黑体"/>
          <w:kern w:val="0"/>
          <w:sz w:val="32"/>
          <w:szCs w:val="32"/>
        </w:rPr>
      </w:pPr>
      <w:r>
        <w:rPr>
          <w:rFonts w:hint="eastAsia" w:ascii="黑体" w:hAnsi="黑体" w:eastAsia="黑体" w:cs="黑体"/>
          <w:kern w:val="0"/>
          <w:sz w:val="32"/>
          <w:szCs w:val="32"/>
        </w:rPr>
        <w:t>第四部分</w:t>
      </w:r>
      <w:r>
        <w:rPr>
          <w:rFonts w:ascii="黑体" w:hAnsi="黑体" w:eastAsia="黑体" w:cs="黑体"/>
          <w:kern w:val="0"/>
          <w:sz w:val="32"/>
          <w:szCs w:val="32"/>
        </w:rPr>
        <w:t xml:space="preserve">  </w:t>
      </w:r>
      <w:r>
        <w:rPr>
          <w:rFonts w:hint="eastAsia" w:ascii="黑体" w:hAnsi="黑体" w:eastAsia="黑体" w:cs="黑体"/>
          <w:kern w:val="0"/>
          <w:sz w:val="32"/>
          <w:szCs w:val="32"/>
        </w:rPr>
        <w:t>名词解释</w:t>
      </w:r>
    </w:p>
    <w:p>
      <w:pPr>
        <w:widowControl/>
        <w:spacing w:line="560" w:lineRule="exact"/>
        <w:ind w:firstLine="640"/>
        <w:jc w:val="left"/>
        <w:rPr>
          <w:rFonts w:ascii="黑体" w:hAnsi="宋体" w:eastAsia="黑体"/>
          <w:kern w:val="0"/>
          <w:sz w:val="32"/>
          <w:szCs w:val="32"/>
        </w:rPr>
      </w:pPr>
      <w:r>
        <w:rPr>
          <w:rFonts w:hint="eastAsia" w:ascii="黑体" w:hAnsi="宋体" w:eastAsia="黑体" w:cs="黑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cs="黑体"/>
          <w:sz w:val="32"/>
          <w:szCs w:val="32"/>
        </w:rPr>
        <w:t>一、财政拨款：</w:t>
      </w:r>
      <w:r>
        <w:rPr>
          <w:rFonts w:hint="eastAsia" w:ascii="仿宋_GB2312" w:eastAsia="仿宋_GB2312" w:cs="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cs="黑体"/>
          <w:sz w:val="32"/>
          <w:szCs w:val="32"/>
        </w:rPr>
        <w:t>二、一般公共预算：</w:t>
      </w:r>
      <w:r>
        <w:rPr>
          <w:rFonts w:hint="eastAsia" w:ascii="仿宋_GB2312" w:eastAsia="仿宋_GB2312" w:cs="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cs="黑体"/>
          <w:sz w:val="32"/>
          <w:szCs w:val="32"/>
        </w:rPr>
        <w:t>三、基本支出：</w:t>
      </w:r>
      <w:r>
        <w:rPr>
          <w:rFonts w:hint="eastAsia" w:ascii="仿宋_GB2312" w:eastAsia="仿宋_GB2312" w:cs="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cs="黑体"/>
          <w:sz w:val="32"/>
          <w:szCs w:val="32"/>
        </w:rPr>
        <w:t>四、项目支出：</w:t>
      </w:r>
      <w:r>
        <w:rPr>
          <w:rFonts w:hint="eastAsia" w:ascii="仿宋_GB2312" w:eastAsia="仿宋_GB2312" w:cs="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cs="黑体"/>
          <w:sz w:val="32"/>
          <w:szCs w:val="32"/>
        </w:rPr>
        <w:t>五、“三公”经费：</w:t>
      </w:r>
      <w:r>
        <w:rPr>
          <w:rFonts w:hint="eastAsia" w:ascii="仿宋_GB2312" w:eastAsia="仿宋_GB2312" w:cs="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cs="黑体"/>
          <w:sz w:val="32"/>
          <w:szCs w:val="32"/>
        </w:rPr>
        <w:t>六、机关运行经费：</w:t>
      </w:r>
      <w:r>
        <w:rPr>
          <w:rFonts w:hint="eastAsia" w:ascii="仿宋_GB2312" w:eastAsia="仿宋_GB2312" w:cs="仿宋_GB2312"/>
          <w:sz w:val="32"/>
          <w:szCs w:val="32"/>
        </w:rPr>
        <w:t>指各部门的公用经费，包括办公及印刷费、邮电费、差旅费、会议费、福利费、日常维修费、专用材料及一般设备购置费、办公用房水电费、办公用房物业管理费、公务用车运行维护费及其他费用。</w:t>
      </w:r>
    </w:p>
    <w:p>
      <w:pPr>
        <w:widowControl/>
        <w:spacing w:line="560" w:lineRule="exact"/>
        <w:jc w:val="left"/>
        <w:rPr>
          <w:rFonts w:ascii="仿宋_GB2312" w:hAnsi="宋体" w:eastAsia="仿宋_GB2312"/>
          <w:kern w:val="0"/>
          <w:sz w:val="32"/>
          <w:szCs w:val="32"/>
        </w:rPr>
      </w:pPr>
    </w:p>
    <w:p>
      <w:pPr>
        <w:widowControl/>
        <w:spacing w:line="560" w:lineRule="exact"/>
        <w:jc w:val="left"/>
        <w:rPr>
          <w:rFonts w:ascii="仿宋_GB2312" w:hAnsi="宋体" w:eastAsia="仿宋_GB2312"/>
          <w:kern w:val="0"/>
          <w:sz w:val="32"/>
          <w:szCs w:val="32"/>
        </w:rPr>
      </w:pPr>
    </w:p>
    <w:p>
      <w:pPr>
        <w:widowControl/>
        <w:spacing w:line="560" w:lineRule="exact"/>
        <w:jc w:val="left"/>
        <w:rPr>
          <w:rFonts w:ascii="仿宋_GB2312" w:hAnsi="宋体" w:eastAsia="仿宋_GB2312"/>
          <w:kern w:val="0"/>
          <w:sz w:val="32"/>
          <w:szCs w:val="32"/>
        </w:rPr>
      </w:pPr>
    </w:p>
    <w:p>
      <w:pPr>
        <w:widowControl/>
        <w:spacing w:line="560" w:lineRule="exact"/>
        <w:jc w:val="left"/>
        <w:rPr>
          <w:rFonts w:ascii="仿宋_GB2312" w:hAnsi="宋体" w:eastAsia="仿宋_GB2312"/>
          <w:kern w:val="0"/>
          <w:sz w:val="32"/>
          <w:szCs w:val="32"/>
        </w:rPr>
      </w:pPr>
    </w:p>
    <w:p>
      <w:pPr>
        <w:widowControl/>
        <w:spacing w:line="560" w:lineRule="exact"/>
        <w:jc w:val="left"/>
        <w:rPr>
          <w:rFonts w:ascii="仿宋_GB2312" w:hAnsi="宋体" w:eastAsia="仿宋_GB2312"/>
          <w:kern w:val="0"/>
          <w:sz w:val="32"/>
          <w:szCs w:val="32"/>
        </w:rPr>
      </w:pPr>
    </w:p>
    <w:p>
      <w:pPr>
        <w:widowControl/>
        <w:spacing w:line="560" w:lineRule="exact"/>
        <w:jc w:val="left"/>
        <w:rPr>
          <w:rFonts w:ascii="仿宋_GB2312" w:hAnsi="宋体" w:eastAsia="仿宋_GB2312"/>
          <w:kern w:val="0"/>
          <w:sz w:val="32"/>
          <w:szCs w:val="32"/>
        </w:rPr>
      </w:pPr>
      <w:r>
        <w:rPr>
          <w:rFonts w:ascii="仿宋_GB2312" w:hAnsi="宋体" w:eastAsia="仿宋_GB2312" w:cs="仿宋_GB2312"/>
          <w:kern w:val="0"/>
          <w:sz w:val="32"/>
          <w:szCs w:val="32"/>
        </w:rPr>
        <w:t xml:space="preserve">                           </w:t>
      </w:r>
      <w:r>
        <w:rPr>
          <w:rFonts w:hint="eastAsia" w:ascii="仿宋_GB2312" w:hAnsi="宋体" w:eastAsia="仿宋_GB2312" w:cs="仿宋_GB2312"/>
          <w:kern w:val="0"/>
          <w:sz w:val="32"/>
          <w:szCs w:val="32"/>
        </w:rPr>
        <w:t>昌吉州安全生产监督管理局</w:t>
      </w:r>
    </w:p>
    <w:p>
      <w:pPr>
        <w:widowControl/>
        <w:spacing w:line="560" w:lineRule="exact"/>
        <w:ind w:firstLine="4960" w:firstLineChars="1550"/>
        <w:jc w:val="left"/>
        <w:rPr>
          <w:rFonts w:ascii="仿宋_GB2312" w:hAnsi="宋体" w:eastAsia="仿宋_GB2312"/>
          <w:kern w:val="0"/>
          <w:sz w:val="32"/>
          <w:szCs w:val="32"/>
        </w:rPr>
      </w:pPr>
      <w:r>
        <w:rPr>
          <w:rFonts w:ascii="仿宋_GB2312" w:hAnsi="宋体" w:eastAsia="仿宋_GB2312" w:cs="仿宋_GB2312"/>
          <w:kern w:val="0"/>
          <w:sz w:val="32"/>
          <w:szCs w:val="32"/>
        </w:rPr>
        <w:t>2019</w:t>
      </w:r>
      <w:r>
        <w:rPr>
          <w:rFonts w:hint="eastAsia" w:ascii="仿宋_GB2312" w:hAnsi="宋体" w:eastAsia="仿宋_GB2312" w:cs="仿宋_GB2312"/>
          <w:kern w:val="0"/>
          <w:sz w:val="32"/>
          <w:szCs w:val="32"/>
        </w:rPr>
        <w:t>年1月31日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Dialog">
    <w:altName w:val="Times New Roman"/>
    <w:panose1 w:val="00000000000000000000"/>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cs="宋体"/>
        <w:sz w:val="28"/>
        <w:szCs w:val="28"/>
      </w:rPr>
      <w:fldChar w:fldCharType="begin"/>
    </w:r>
    <w:r>
      <w:rPr>
        <w:rFonts w:ascii="宋体" w:hAnsi="宋体" w:eastAsia="宋体" w:cs="宋体"/>
        <w:sz w:val="28"/>
        <w:szCs w:val="28"/>
      </w:rPr>
      <w:instrText xml:space="preserve">PAGE   \* MERGEFORMAT</w:instrText>
    </w:r>
    <w:r>
      <w:rPr>
        <w:rFonts w:ascii="宋体" w:hAnsi="宋体" w:eastAsia="宋体" w:cs="宋体"/>
        <w:sz w:val="28"/>
        <w:szCs w:val="28"/>
      </w:rPr>
      <w:fldChar w:fldCharType="separate"/>
    </w:r>
    <w:r>
      <w:rPr>
        <w:rFonts w:ascii="宋体" w:hAnsi="宋体" w:eastAsia="宋体" w:cs="宋体"/>
        <w:sz w:val="28"/>
        <w:szCs w:val="28"/>
        <w:lang w:val="zh-CN"/>
      </w:rPr>
      <w:t>26</w:t>
    </w:r>
    <w:r>
      <w:rPr>
        <w:rFonts w:ascii="宋体" w:hAnsi="宋体" w:eastAsia="宋体" w:cs="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52250E"/>
    <w:multiLevelType w:val="multilevel"/>
    <w:tmpl w:val="0D52250E"/>
    <w:lvl w:ilvl="0" w:tentative="0">
      <w:start w:val="1"/>
      <w:numFmt w:val="decimal"/>
      <w:lvlText w:val="%1."/>
      <w:lvlJc w:val="left"/>
      <w:pPr>
        <w:tabs>
          <w:tab w:val="left" w:pos="1120"/>
        </w:tabs>
        <w:ind w:left="1120" w:hanging="48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7B41"/>
    <w:rsid w:val="000210F6"/>
    <w:rsid w:val="000644DA"/>
    <w:rsid w:val="00095C18"/>
    <w:rsid w:val="000C156B"/>
    <w:rsid w:val="000D19DF"/>
    <w:rsid w:val="00112771"/>
    <w:rsid w:val="001227C5"/>
    <w:rsid w:val="001A1888"/>
    <w:rsid w:val="00237CCE"/>
    <w:rsid w:val="002649C9"/>
    <w:rsid w:val="00285A57"/>
    <w:rsid w:val="00296A07"/>
    <w:rsid w:val="00297623"/>
    <w:rsid w:val="002A68B1"/>
    <w:rsid w:val="002A6D0E"/>
    <w:rsid w:val="002B28DB"/>
    <w:rsid w:val="002C407C"/>
    <w:rsid w:val="002F3A75"/>
    <w:rsid w:val="00307B41"/>
    <w:rsid w:val="00312F09"/>
    <w:rsid w:val="003219E5"/>
    <w:rsid w:val="003242F3"/>
    <w:rsid w:val="003500E2"/>
    <w:rsid w:val="00360164"/>
    <w:rsid w:val="003607F7"/>
    <w:rsid w:val="003878DD"/>
    <w:rsid w:val="003A1D24"/>
    <w:rsid w:val="003D30E4"/>
    <w:rsid w:val="003D4769"/>
    <w:rsid w:val="003D6B43"/>
    <w:rsid w:val="004007C2"/>
    <w:rsid w:val="00423A47"/>
    <w:rsid w:val="00425E0C"/>
    <w:rsid w:val="004509B6"/>
    <w:rsid w:val="00463304"/>
    <w:rsid w:val="00483A3E"/>
    <w:rsid w:val="004B1AAC"/>
    <w:rsid w:val="004C2902"/>
    <w:rsid w:val="004E18B3"/>
    <w:rsid w:val="004E7A17"/>
    <w:rsid w:val="005008EA"/>
    <w:rsid w:val="005154B9"/>
    <w:rsid w:val="00515DC4"/>
    <w:rsid w:val="00542EDF"/>
    <w:rsid w:val="00565BA1"/>
    <w:rsid w:val="00567E85"/>
    <w:rsid w:val="005C70E6"/>
    <w:rsid w:val="005E5355"/>
    <w:rsid w:val="005F37B4"/>
    <w:rsid w:val="00646298"/>
    <w:rsid w:val="006A208B"/>
    <w:rsid w:val="006A33E0"/>
    <w:rsid w:val="006C7D87"/>
    <w:rsid w:val="00734B92"/>
    <w:rsid w:val="00765464"/>
    <w:rsid w:val="00790CD7"/>
    <w:rsid w:val="00792DB2"/>
    <w:rsid w:val="00793799"/>
    <w:rsid w:val="007B1A6B"/>
    <w:rsid w:val="007C21A2"/>
    <w:rsid w:val="0082340E"/>
    <w:rsid w:val="00864B77"/>
    <w:rsid w:val="00873436"/>
    <w:rsid w:val="00881FD4"/>
    <w:rsid w:val="00887836"/>
    <w:rsid w:val="00891D60"/>
    <w:rsid w:val="008B22B9"/>
    <w:rsid w:val="008B6EBB"/>
    <w:rsid w:val="008C78C1"/>
    <w:rsid w:val="008D0185"/>
    <w:rsid w:val="00954C4B"/>
    <w:rsid w:val="009551F8"/>
    <w:rsid w:val="0099182E"/>
    <w:rsid w:val="009A0FDE"/>
    <w:rsid w:val="009E23A5"/>
    <w:rsid w:val="009F103F"/>
    <w:rsid w:val="00A105B8"/>
    <w:rsid w:val="00A4526A"/>
    <w:rsid w:val="00A55979"/>
    <w:rsid w:val="00A85160"/>
    <w:rsid w:val="00AD3057"/>
    <w:rsid w:val="00AF7A1E"/>
    <w:rsid w:val="00B124FE"/>
    <w:rsid w:val="00B707BF"/>
    <w:rsid w:val="00BD6D8D"/>
    <w:rsid w:val="00C278EB"/>
    <w:rsid w:val="00C501EE"/>
    <w:rsid w:val="00C5732B"/>
    <w:rsid w:val="00C615F9"/>
    <w:rsid w:val="00CB2455"/>
    <w:rsid w:val="00CC07B0"/>
    <w:rsid w:val="00CF79E2"/>
    <w:rsid w:val="00D01B08"/>
    <w:rsid w:val="00D16CAB"/>
    <w:rsid w:val="00D202AC"/>
    <w:rsid w:val="00D403F2"/>
    <w:rsid w:val="00D519E0"/>
    <w:rsid w:val="00D6287D"/>
    <w:rsid w:val="00D82BCF"/>
    <w:rsid w:val="00D92754"/>
    <w:rsid w:val="00DC392A"/>
    <w:rsid w:val="00DD2DFD"/>
    <w:rsid w:val="00DD36B4"/>
    <w:rsid w:val="00E1427A"/>
    <w:rsid w:val="00E25306"/>
    <w:rsid w:val="00E625B2"/>
    <w:rsid w:val="00E72301"/>
    <w:rsid w:val="00E803B0"/>
    <w:rsid w:val="00EB0AF6"/>
    <w:rsid w:val="00ED5B47"/>
    <w:rsid w:val="00F005D3"/>
    <w:rsid w:val="00FA6849"/>
    <w:rsid w:val="00FB2FD9"/>
    <w:rsid w:val="00FB37FF"/>
    <w:rsid w:val="00FD5762"/>
    <w:rsid w:val="00FE4C7C"/>
    <w:rsid w:val="00FE7C81"/>
    <w:rsid w:val="05EA321C"/>
    <w:rsid w:val="12827E41"/>
    <w:rsid w:val="1C3C60C8"/>
    <w:rsid w:val="1E290CE6"/>
    <w:rsid w:val="1FF020EC"/>
    <w:rsid w:val="20CF2671"/>
    <w:rsid w:val="343C4A0B"/>
    <w:rsid w:val="35214EAA"/>
    <w:rsid w:val="373762EB"/>
    <w:rsid w:val="382A6531"/>
    <w:rsid w:val="5E163253"/>
    <w:rsid w:val="60D75603"/>
    <w:rsid w:val="6CF80D7C"/>
    <w:rsid w:val="6FEF0C10"/>
    <w:rsid w:val="73B12026"/>
    <w:rsid w:val="79531ED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qFormat/>
    <w:uiPriority w:val="99"/>
    <w:rPr>
      <w:sz w:val="18"/>
      <w:szCs w:val="18"/>
    </w:rPr>
  </w:style>
  <w:style w:type="paragraph" w:styleId="3">
    <w:name w:val="footer"/>
    <w:basedOn w:val="1"/>
    <w:link w:val="10"/>
    <w:qFormat/>
    <w:uiPriority w:val="99"/>
    <w:pPr>
      <w:tabs>
        <w:tab w:val="center" w:pos="4153"/>
        <w:tab w:val="right" w:pos="8306"/>
      </w:tabs>
      <w:snapToGrid w:val="0"/>
      <w:jc w:val="left"/>
    </w:pPr>
    <w:rPr>
      <w:rFonts w:eastAsia="黑体"/>
      <w:kern w:val="0"/>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character" w:styleId="7">
    <w:name w:val="Strong"/>
    <w:qFormat/>
    <w:uiPriority w:val="99"/>
    <w:rPr>
      <w:b/>
      <w:bCs/>
    </w:rPr>
  </w:style>
  <w:style w:type="character" w:customStyle="1" w:styleId="8">
    <w:name w:val="Balloon Text Char"/>
    <w:semiHidden/>
    <w:qFormat/>
    <w:locked/>
    <w:uiPriority w:val="99"/>
    <w:rPr>
      <w:sz w:val="2"/>
      <w:szCs w:val="2"/>
    </w:rPr>
  </w:style>
  <w:style w:type="character" w:customStyle="1" w:styleId="9">
    <w:name w:val="批注框文本 字符"/>
    <w:link w:val="2"/>
    <w:semiHidden/>
    <w:qFormat/>
    <w:locked/>
    <w:uiPriority w:val="99"/>
    <w:rPr>
      <w:rFonts w:ascii="Times New Roman" w:hAnsi="Times New Roman" w:eastAsia="宋体" w:cs="Times New Roman"/>
      <w:sz w:val="18"/>
      <w:szCs w:val="18"/>
    </w:rPr>
  </w:style>
  <w:style w:type="character" w:customStyle="1" w:styleId="10">
    <w:name w:val="页脚 字符"/>
    <w:link w:val="3"/>
    <w:semiHidden/>
    <w:qFormat/>
    <w:locked/>
    <w:uiPriority w:val="99"/>
    <w:rPr>
      <w:rFonts w:ascii="Times New Roman" w:hAnsi="Times New Roman" w:eastAsia="黑体" w:cs="Times New Roman"/>
      <w:snapToGrid w:val="0"/>
      <w:kern w:val="0"/>
      <w:sz w:val="18"/>
      <w:szCs w:val="18"/>
    </w:rPr>
  </w:style>
  <w:style w:type="character" w:customStyle="1" w:styleId="11">
    <w:name w:val="页眉 字符"/>
    <w:link w:val="4"/>
    <w:semiHidden/>
    <w:qFormat/>
    <w:locked/>
    <w:uiPriority w:val="99"/>
    <w:rPr>
      <w:rFonts w:ascii="Times New Roman" w:hAnsi="Times New Roman" w:eastAsia="宋体" w:cs="Times New Roman"/>
      <w:sz w:val="18"/>
      <w:szCs w:val="18"/>
    </w:rPr>
  </w:style>
  <w:style w:type="character" w:customStyle="1" w:styleId="12">
    <w:name w:val="正文文本缩进 3 Char"/>
    <w:link w:val="13"/>
    <w:semiHidden/>
    <w:qFormat/>
    <w:locked/>
    <w:uiPriority w:val="99"/>
    <w:rPr>
      <w:rFonts w:ascii="Times New Roman" w:hAnsi="Times New Roman" w:eastAsia="仿宋_GB2312" w:cs="Times New Roman"/>
      <w:sz w:val="24"/>
      <w:szCs w:val="24"/>
    </w:rPr>
  </w:style>
  <w:style w:type="paragraph" w:customStyle="1" w:styleId="13">
    <w:name w:val="Body Text Indent 31"/>
    <w:basedOn w:val="1"/>
    <w:link w:val="12"/>
    <w:qFormat/>
    <w:uiPriority w:val="99"/>
    <w:pPr>
      <w:pBdr>
        <w:top w:val="single" w:color="auto" w:sz="12" w:space="1"/>
        <w:bottom w:val="single" w:color="auto" w:sz="12" w:space="1"/>
      </w:pBdr>
      <w:spacing w:line="600" w:lineRule="exact"/>
      <w:ind w:left="1280" w:hanging="1280" w:hangingChars="400"/>
    </w:pPr>
    <w:rPr>
      <w:rFonts w:eastAsia="仿宋_GB2312"/>
      <w:sz w:val="32"/>
      <w:szCs w:val="32"/>
    </w:rPr>
  </w:style>
  <w:style w:type="paragraph" w:customStyle="1" w:styleId="14">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5">
    <w:name w:val="List Paragraph1"/>
    <w:basedOn w:val="1"/>
    <w:qFormat/>
    <w:uiPriority w:val="99"/>
    <w:pPr>
      <w:ind w:firstLine="420" w:firstLineChars="200"/>
    </w:pPr>
    <w:rPr>
      <w:rFonts w:ascii="Calibri" w:hAnsi="Calibri" w:cs="Calibri"/>
    </w:rPr>
  </w:style>
  <w:style w:type="paragraph" w:customStyle="1" w:styleId="16">
    <w:name w:val="普通(网站)1"/>
    <w:basedOn w:val="1"/>
    <w:qFormat/>
    <w:uiPriority w:val="99"/>
    <w:rPr>
      <w:rFonts w:ascii="Calibri" w:hAnsi="Calibri" w:cs="Calibri"/>
      <w:sz w:val="24"/>
      <w:szCs w:val="24"/>
    </w:rPr>
  </w:style>
  <w:style w:type="paragraph" w:customStyle="1" w:styleId="17">
    <w:name w:val="Normal (Web)1"/>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8">
    <w:name w:val="普通(网站)2"/>
    <w:basedOn w:val="1"/>
    <w:qFormat/>
    <w:uiPriority w:val="99"/>
    <w:rPr>
      <w:rFonts w:ascii="Calibri" w:hAnsi="Calibri" w:cs="Calibri"/>
      <w:sz w:val="24"/>
      <w:szCs w:val="24"/>
    </w:rPr>
  </w:style>
  <w:style w:type="paragraph" w:customStyle="1" w:styleId="19">
    <w:name w:val="普通(网站)3"/>
    <w:basedOn w:val="1"/>
    <w:qFormat/>
    <w:uiPriority w:val="99"/>
    <w:rPr>
      <w:rFonts w:ascii="Calibri" w:hAnsi="Calibri" w:cs="Calibri"/>
      <w:sz w:val="24"/>
      <w:szCs w:val="24"/>
    </w:rPr>
  </w:style>
  <w:style w:type="character" w:customStyle="1" w:styleId="20">
    <w:name w:val="Page Number1"/>
    <w:basedOn w:val="6"/>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1752</Words>
  <Characters>9987</Characters>
  <Lines>83</Lines>
  <Paragraphs>23</Paragraphs>
  <TotalTime>2</TotalTime>
  <ScaleCrop>false</ScaleCrop>
  <LinksUpToDate>false</LinksUpToDate>
  <CharactersWithSpaces>11716</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Administrator</cp:lastModifiedBy>
  <dcterms:modified xsi:type="dcterms:W3CDTF">2021-05-28T04:06:21Z</dcterms:modified>
  <dc:title>王怡</dc:title>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37F888EEAF9042EFB893AC10B06CC089</vt:lpwstr>
  </property>
</Properties>
</file>