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b/>
          <w:bCs/>
          <w:kern w:val="0"/>
          <w:sz w:val="44"/>
          <w:szCs w:val="44"/>
        </w:rPr>
      </w:pPr>
      <w:r>
        <w:rPr>
          <w:rFonts w:hint="eastAsia" w:ascii="方正小标宋_GBK" w:hAnsi="宋体" w:eastAsia="方正小标宋_GBK"/>
          <w:b/>
          <w:bCs/>
          <w:kern w:val="0"/>
          <w:sz w:val="44"/>
          <w:szCs w:val="44"/>
        </w:rPr>
        <w:t>昌吉州住房和城乡建设局2019年部门预算公开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昌吉州住房和城乡建设局部门单位概况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宋体" w:hAnsi="宋体" w:eastAsia="仿宋_GB2312"/>
          <w:b/>
          <w:kern w:val="0"/>
          <w:sz w:val="32"/>
          <w:szCs w:val="32"/>
        </w:rPr>
        <w:t>2019</w:t>
      </w:r>
      <w:r>
        <w:rPr>
          <w:rFonts w:hint="eastAsia" w:ascii="仿宋_GB2312" w:hAnsi="宋体" w:eastAsia="仿宋_GB2312"/>
          <w:b/>
          <w:kern w:val="0"/>
          <w:sz w:val="32"/>
          <w:szCs w:val="32"/>
        </w:rPr>
        <w:t>年部门预算公开表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宋体" w:hAnsi="宋体" w:eastAsia="仿宋_GB2312"/>
          <w:b/>
          <w:kern w:val="0"/>
          <w:sz w:val="32"/>
          <w:szCs w:val="32"/>
        </w:rPr>
        <w:t>2019</w:t>
      </w:r>
      <w:r>
        <w:rPr>
          <w:rFonts w:hint="eastAsia" w:ascii="仿宋_GB2312" w:hAnsi="宋体" w:eastAsia="仿宋_GB2312"/>
          <w:b/>
          <w:kern w:val="0"/>
          <w:sz w:val="32"/>
          <w:szCs w:val="32"/>
        </w:rPr>
        <w:t>年部门预算情况说明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一、关于州住房和城乡建设局2019年收支预算情况的总体说明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二、关于州住房和城乡建设局2019年收入预算情况说明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三、关于州住房和城乡建设局2019年支出预算情况说明</w:t>
      </w:r>
    </w:p>
    <w:p>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州住房和城乡建设局2019年</w:t>
      </w:r>
      <w:r>
        <w:rPr>
          <w:rFonts w:hint="eastAsia" w:ascii="仿宋_GB2312" w:hAnsi="宋体" w:eastAsia="仿宋_GB2312"/>
          <w:bCs/>
          <w:kern w:val="0"/>
          <w:sz w:val="32"/>
          <w:szCs w:val="32"/>
        </w:rPr>
        <w:t>财政拨款收支预算情况的总体说明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五、关于州住房和城乡建设局2019年一般公共预算当年拨款情况说明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六、关于州住房和城乡建设局2019年一般公共预算基本支出情况说明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七、关于州住房和城乡建设局2019年项目支出情况说明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八、关于州住房和城乡建设局2019年一般公共预算“三公”经费预算情况说明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九、关于州住房和城乡建设局2019年政府性基金预算拨款情况说明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cs="黑体"/>
          <w:b/>
          <w:bCs/>
          <w:kern w:val="0"/>
          <w:sz w:val="32"/>
          <w:szCs w:val="32"/>
        </w:rPr>
        <w:t>州住房和城乡建设局2019年</w:t>
      </w:r>
      <w:r>
        <w:rPr>
          <w:rFonts w:hint="eastAsia" w:ascii="黑体" w:hAnsi="黑体" w:eastAsia="黑体"/>
          <w:kern w:val="0"/>
          <w:sz w:val="32"/>
          <w:szCs w:val="32"/>
        </w:rPr>
        <w:t>单位概况</w:t>
      </w:r>
    </w:p>
    <w:p>
      <w:pPr>
        <w:widowControl/>
        <w:jc w:val="center"/>
        <w:outlineLvl w:val="1"/>
        <w:rPr>
          <w:rFonts w:ascii="宋体" w:hAnsi="宋体"/>
          <w:b/>
          <w:kern w:val="0"/>
          <w:sz w:val="32"/>
          <w:szCs w:val="32"/>
        </w:rPr>
      </w:pPr>
    </w:p>
    <w:p>
      <w:pPr>
        <w:widowControl/>
        <w:numPr>
          <w:ilvl w:val="0"/>
          <w:numId w:val="1"/>
        </w:numPr>
        <w:spacing w:line="560" w:lineRule="exact"/>
        <w:jc w:val="left"/>
        <w:rPr>
          <w:rFonts w:ascii="黑体" w:hAnsi="黑体" w:eastAsia="黑体" w:cs="宋体"/>
          <w:bCs/>
          <w:kern w:val="0"/>
          <w:sz w:val="32"/>
          <w:szCs w:val="32"/>
        </w:rPr>
      </w:pPr>
      <w:r>
        <w:rPr>
          <w:rFonts w:hint="eastAsia" w:ascii="黑体" w:hAnsi="黑体" w:eastAsia="黑体" w:cs="宋体"/>
          <w:bCs/>
          <w:kern w:val="0"/>
          <w:sz w:val="32"/>
          <w:szCs w:val="32"/>
        </w:rPr>
        <w:t>主要职能</w:t>
      </w:r>
    </w:p>
    <w:p>
      <w:pPr>
        <w:widowControl/>
        <w:spacing w:line="520" w:lineRule="exact"/>
        <w:ind w:left="641" w:firstLine="640" w:firstLineChars="200"/>
        <w:jc w:val="left"/>
        <w:rPr>
          <w:rFonts w:ascii="仿宋" w:hAnsi="仿宋" w:eastAsia="仿宋" w:cs="仿宋"/>
          <w:kern w:val="0"/>
          <w:sz w:val="32"/>
          <w:szCs w:val="32"/>
          <w:lang w:bidi="ar"/>
        </w:rPr>
      </w:pPr>
      <w:r>
        <w:rPr>
          <w:rFonts w:hint="eastAsia" w:ascii="仿宋" w:hAnsi="仿宋" w:eastAsia="仿宋" w:cs="仿宋"/>
          <w:kern w:val="0"/>
          <w:sz w:val="32"/>
          <w:szCs w:val="32"/>
          <w:lang w:bidi="ar"/>
        </w:rPr>
        <w:t>昌吉回族自治州住房和城乡建设局（以下简称自治州住</w:t>
      </w:r>
    </w:p>
    <w:p>
      <w:pPr>
        <w:widowControl/>
        <w:spacing w:line="520" w:lineRule="exact"/>
        <w:jc w:val="left"/>
        <w:rPr>
          <w:rFonts w:ascii="仿宋" w:hAnsi="仿宋" w:eastAsia="仿宋" w:cs="仿宋"/>
          <w:kern w:val="0"/>
          <w:sz w:val="32"/>
          <w:szCs w:val="32"/>
          <w:lang w:bidi="ar"/>
        </w:rPr>
      </w:pPr>
      <w:r>
        <w:rPr>
          <w:rFonts w:hint="eastAsia" w:ascii="仿宋" w:hAnsi="仿宋" w:eastAsia="仿宋" w:cs="仿宋"/>
          <w:kern w:val="0"/>
          <w:sz w:val="32"/>
          <w:szCs w:val="32"/>
          <w:lang w:bidi="ar"/>
        </w:rPr>
        <w:t>房和城乡建设局）是自治州人民政府工作部门，为正处级。主要贯彻落实党中央关于住房和城乡建设工作的方针政策和决策部署以及自治区、自治州党委工作要求，在履行职责过程中坚持和加强党对住房和城乡建设工作的集中统一领导。主要职责是：</w:t>
      </w:r>
    </w:p>
    <w:p>
      <w:pPr>
        <w:widowControl/>
        <w:spacing w:line="520" w:lineRule="exact"/>
        <w:ind w:firstLine="640" w:firstLineChars="200"/>
        <w:jc w:val="left"/>
        <w:rPr>
          <w:rFonts w:ascii="仿宋" w:hAnsi="仿宋" w:eastAsia="仿宋" w:cs="仿宋"/>
          <w:sz w:val="32"/>
          <w:szCs w:val="32"/>
        </w:rPr>
      </w:pPr>
      <w:r>
        <w:rPr>
          <w:rFonts w:hint="eastAsia" w:ascii="仿宋" w:hAnsi="仿宋" w:eastAsia="仿宋" w:cs="仿宋"/>
          <w:kern w:val="0"/>
          <w:sz w:val="32"/>
          <w:szCs w:val="32"/>
          <w:lang w:bidi="ar"/>
        </w:rPr>
        <w:t>（－）承担保障城镇低收入家庭住房的责任。组织实施住</w:t>
      </w:r>
      <w:r>
        <w:rPr>
          <w:rFonts w:hint="eastAsia" w:ascii="仿宋" w:hAnsi="仿宋" w:eastAsia="仿宋" w:cs="仿宋"/>
          <w:kern w:val="0"/>
          <w:sz w:val="32"/>
          <w:szCs w:val="32"/>
          <w:lang w:bidi="ar"/>
        </w:rPr>
        <w:br w:type="textWrapping"/>
      </w:r>
      <w:r>
        <w:rPr>
          <w:rFonts w:hint="eastAsia" w:ascii="仿宋" w:hAnsi="仿宋" w:eastAsia="仿宋" w:cs="仿宋"/>
          <w:kern w:val="0"/>
          <w:sz w:val="32"/>
          <w:szCs w:val="32"/>
          <w:lang w:bidi="ar"/>
        </w:rPr>
        <w:t>房保障相关政策；编制住房保障发展规划和年度计划并监督实</w:t>
      </w:r>
      <w:r>
        <w:rPr>
          <w:rFonts w:hint="eastAsia" w:ascii="仿宋" w:hAnsi="仿宋" w:eastAsia="仿宋" w:cs="仿宋"/>
          <w:kern w:val="0"/>
          <w:sz w:val="32"/>
          <w:szCs w:val="32"/>
          <w:lang w:bidi="ar"/>
        </w:rPr>
        <w:br w:type="textWrapping"/>
      </w:r>
      <w:r>
        <w:rPr>
          <w:rFonts w:hint="eastAsia" w:ascii="仿宋" w:hAnsi="仿宋" w:eastAsia="仿宋" w:cs="仿宋"/>
          <w:kern w:val="0"/>
          <w:sz w:val="32"/>
          <w:szCs w:val="32"/>
          <w:lang w:bidi="ar"/>
        </w:rPr>
        <w:t>施；会同有关部门做好国家、自治区和自治州有关保障性住房</w:t>
      </w:r>
      <w:r>
        <w:rPr>
          <w:rFonts w:hint="eastAsia" w:ascii="仿宋" w:hAnsi="仿宋" w:eastAsia="仿宋" w:cs="仿宋"/>
          <w:kern w:val="0"/>
          <w:sz w:val="32"/>
          <w:szCs w:val="32"/>
          <w:lang w:bidi="ar"/>
        </w:rPr>
        <w:br w:type="textWrapping"/>
      </w:r>
      <w:r>
        <w:rPr>
          <w:rFonts w:hint="eastAsia" w:ascii="仿宋" w:hAnsi="仿宋" w:eastAsia="仿宋" w:cs="仿宋"/>
          <w:kern w:val="0"/>
          <w:sz w:val="32"/>
          <w:szCs w:val="32"/>
          <w:lang w:bidi="ar"/>
        </w:rPr>
        <w:t>资金安排工作，监督各县（市）组织实施。</w:t>
      </w:r>
      <w:r>
        <w:rPr>
          <w:rFonts w:hint="eastAsia" w:ascii="仿宋" w:hAnsi="仿宋" w:eastAsia="仿宋" w:cs="仿宋"/>
          <w:kern w:val="0"/>
          <w:sz w:val="32"/>
          <w:szCs w:val="32"/>
          <w:lang w:bidi="ar"/>
        </w:rPr>
        <w:br w:type="textWrapping"/>
      </w:r>
      <w:r>
        <w:rPr>
          <w:rFonts w:hint="eastAsia" w:ascii="仿宋" w:hAnsi="仿宋" w:eastAsia="仿宋" w:cs="仿宋"/>
          <w:kern w:val="0"/>
          <w:sz w:val="32"/>
          <w:szCs w:val="32"/>
          <w:lang w:bidi="ar"/>
        </w:rPr>
        <w:t xml:space="preserve">    （二）承担推进住房制度改革的责任。拟订自治州住房政</w:t>
      </w:r>
      <w:r>
        <w:rPr>
          <w:rFonts w:hint="eastAsia" w:ascii="仿宋" w:hAnsi="仿宋" w:eastAsia="仿宋" w:cs="仿宋"/>
          <w:kern w:val="0"/>
          <w:sz w:val="32"/>
          <w:szCs w:val="32"/>
          <w:lang w:bidi="ar"/>
        </w:rPr>
        <w:br w:type="textWrapping"/>
      </w:r>
      <w:r>
        <w:rPr>
          <w:rFonts w:hint="eastAsia" w:ascii="仿宋" w:hAnsi="仿宋" w:eastAsia="仿宋" w:cs="仿宋"/>
          <w:kern w:val="0"/>
          <w:sz w:val="32"/>
          <w:szCs w:val="32"/>
          <w:lang w:bidi="ar"/>
        </w:rPr>
        <w:t>策，指导住房建设和住房制度改革，拟订自治州住房建设规划</w:t>
      </w:r>
      <w:r>
        <w:rPr>
          <w:rFonts w:hint="eastAsia" w:ascii="仿宋" w:hAnsi="仿宋" w:eastAsia="仿宋" w:cs="仿宋"/>
          <w:kern w:val="0"/>
          <w:sz w:val="32"/>
          <w:szCs w:val="32"/>
          <w:lang w:bidi="ar"/>
        </w:rPr>
        <w:br w:type="textWrapping"/>
      </w:r>
      <w:r>
        <w:rPr>
          <w:rFonts w:hint="eastAsia" w:ascii="仿宋" w:hAnsi="仿宋" w:eastAsia="仿宋" w:cs="仿宋"/>
          <w:kern w:val="0"/>
          <w:sz w:val="32"/>
          <w:szCs w:val="32"/>
          <w:lang w:bidi="ar"/>
        </w:rPr>
        <w:t>并指导实施。</w:t>
      </w:r>
    </w:p>
    <w:p>
      <w:pPr>
        <w:widowControl/>
        <w:numPr>
          <w:ilvl w:val="0"/>
          <w:numId w:val="2"/>
        </w:numPr>
        <w:spacing w:line="520" w:lineRule="exact"/>
        <w:ind w:left="319" w:leftChars="152" w:firstLine="320" w:firstLineChars="100"/>
        <w:jc w:val="left"/>
        <w:rPr>
          <w:rFonts w:ascii="仿宋" w:hAnsi="仿宋" w:eastAsia="仿宋" w:cs="仿宋"/>
          <w:kern w:val="0"/>
          <w:sz w:val="32"/>
          <w:szCs w:val="32"/>
          <w:lang w:bidi="ar"/>
        </w:rPr>
      </w:pPr>
      <w:r>
        <w:rPr>
          <w:rFonts w:hint="eastAsia" w:ascii="仿宋" w:hAnsi="仿宋" w:eastAsia="仿宋" w:cs="仿宋"/>
          <w:kern w:val="0"/>
          <w:sz w:val="32"/>
          <w:szCs w:val="32"/>
          <w:lang w:bidi="ar"/>
        </w:rPr>
        <w:t>承担规范住房和城乡建设管理秩序的责任。拟订自</w:t>
      </w:r>
      <w:r>
        <w:rPr>
          <w:rFonts w:hint="eastAsia" w:ascii="仿宋" w:hAnsi="仿宋" w:eastAsia="仿宋" w:cs="仿宋"/>
          <w:kern w:val="0"/>
          <w:sz w:val="32"/>
          <w:szCs w:val="32"/>
          <w:lang w:bidi="ar"/>
        </w:rPr>
        <w:br w:type="textWrapping"/>
      </w:r>
      <w:r>
        <w:rPr>
          <w:rFonts w:hint="eastAsia" w:ascii="仿宋" w:hAnsi="仿宋" w:eastAsia="仿宋" w:cs="仿宋"/>
          <w:kern w:val="0"/>
          <w:sz w:val="32"/>
          <w:szCs w:val="32"/>
          <w:lang w:bidi="ar"/>
        </w:rPr>
        <w:t>治州住房和城乡建设行业发展战略和中长期规划，并组织实施</w:t>
      </w:r>
      <w:r>
        <w:rPr>
          <w:rFonts w:hint="eastAsia" w:ascii="仿宋" w:hAnsi="仿宋" w:eastAsia="仿宋" w:cs="仿宋"/>
          <w:kern w:val="0"/>
          <w:sz w:val="32"/>
          <w:szCs w:val="32"/>
          <w:lang w:bidi="ar"/>
        </w:rPr>
        <w:br w:type="textWrapping"/>
      </w:r>
      <w:r>
        <w:rPr>
          <w:rFonts w:hint="eastAsia" w:ascii="仿宋" w:hAnsi="仿宋" w:eastAsia="仿宋" w:cs="仿宋"/>
          <w:kern w:val="0"/>
          <w:sz w:val="32"/>
          <w:szCs w:val="32"/>
          <w:lang w:bidi="ar"/>
        </w:rPr>
        <w:t>制定自治州住房和城乡建设规范性文件。</w:t>
      </w:r>
      <w:r>
        <w:rPr>
          <w:rFonts w:hint="eastAsia" w:ascii="仿宋" w:hAnsi="仿宋" w:eastAsia="仿宋" w:cs="仿宋"/>
          <w:kern w:val="0"/>
          <w:sz w:val="32"/>
          <w:szCs w:val="32"/>
          <w:lang w:bidi="ar"/>
        </w:rPr>
        <w:br w:type="textWrapping"/>
      </w:r>
      <w:r>
        <w:rPr>
          <w:rFonts w:hint="eastAsia" w:ascii="仿宋" w:hAnsi="仿宋" w:eastAsia="仿宋" w:cs="仿宋"/>
          <w:kern w:val="0"/>
          <w:sz w:val="32"/>
          <w:szCs w:val="32"/>
          <w:lang w:bidi="ar"/>
        </w:rPr>
        <w:t xml:space="preserve">   （四）组织实施住房和城乡建设的国家标准、地方标准</w:t>
      </w:r>
      <w:r>
        <w:rPr>
          <w:rFonts w:hint="eastAsia" w:ascii="仿宋" w:hAnsi="仿宋" w:eastAsia="仿宋" w:cs="仿宋"/>
          <w:kern w:val="0"/>
          <w:sz w:val="32"/>
          <w:szCs w:val="32"/>
          <w:lang w:bidi="ar"/>
        </w:rPr>
        <w:br w:type="textWrapping"/>
      </w:r>
      <w:r>
        <w:rPr>
          <w:rFonts w:hint="eastAsia" w:ascii="仿宋" w:hAnsi="仿宋" w:eastAsia="仿宋" w:cs="仿宋"/>
          <w:kern w:val="0"/>
          <w:sz w:val="32"/>
          <w:szCs w:val="32"/>
          <w:lang w:bidi="ar"/>
        </w:rPr>
        <w:t>全国统一定额和行业标准；组织制定和发布工程建设全州统一</w:t>
      </w:r>
      <w:r>
        <w:rPr>
          <w:rFonts w:hint="eastAsia" w:ascii="仿宋" w:hAnsi="仿宋" w:eastAsia="仿宋" w:cs="仿宋"/>
          <w:kern w:val="0"/>
          <w:sz w:val="32"/>
          <w:szCs w:val="32"/>
          <w:lang w:bidi="ar"/>
        </w:rPr>
        <w:br w:type="textWrapping"/>
      </w:r>
      <w:r>
        <w:rPr>
          <w:rFonts w:hint="eastAsia" w:ascii="仿宋" w:hAnsi="仿宋" w:eastAsia="仿宋" w:cs="仿宋"/>
          <w:kern w:val="0"/>
          <w:sz w:val="32"/>
          <w:szCs w:val="32"/>
          <w:lang w:bidi="ar"/>
        </w:rPr>
        <w:t>标准、建设工期定额，拟订建设项目可行性研究评价方法、经</w:t>
      </w:r>
      <w:r>
        <w:rPr>
          <w:rFonts w:hint="eastAsia" w:ascii="仿宋" w:hAnsi="仿宋" w:eastAsia="仿宋" w:cs="仿宋"/>
          <w:kern w:val="0"/>
          <w:sz w:val="32"/>
          <w:szCs w:val="32"/>
          <w:lang w:bidi="ar"/>
        </w:rPr>
        <w:br w:type="textWrapping"/>
      </w:r>
      <w:r>
        <w:rPr>
          <w:rFonts w:hint="eastAsia" w:ascii="仿宋" w:hAnsi="仿宋" w:eastAsia="仿宋" w:cs="仿宋"/>
          <w:kern w:val="0"/>
          <w:sz w:val="32"/>
          <w:szCs w:val="32"/>
          <w:lang w:bidi="ar"/>
        </w:rPr>
        <w:t>济参数、建设标准和工程造价的管理制度，指导监督各类工程</w:t>
      </w:r>
      <w:r>
        <w:rPr>
          <w:rFonts w:hint="eastAsia" w:ascii="仿宋" w:hAnsi="仿宋" w:eastAsia="仿宋" w:cs="仿宋"/>
          <w:kern w:val="0"/>
          <w:sz w:val="32"/>
          <w:szCs w:val="32"/>
          <w:lang w:bidi="ar"/>
        </w:rPr>
        <w:br w:type="textWrapping"/>
      </w:r>
      <w:r>
        <w:rPr>
          <w:rFonts w:hint="eastAsia" w:ascii="仿宋" w:hAnsi="仿宋" w:eastAsia="仿宋" w:cs="仿宋"/>
          <w:kern w:val="0"/>
          <w:sz w:val="32"/>
          <w:szCs w:val="32"/>
          <w:lang w:bidi="ar"/>
        </w:rPr>
        <w:t>建设标准定额实施和工程造价计价，组织发布工程造价信息。</w:t>
      </w:r>
      <w:r>
        <w:rPr>
          <w:rFonts w:hint="eastAsia" w:ascii="仿宋" w:hAnsi="仿宋" w:eastAsia="仿宋" w:cs="仿宋"/>
          <w:kern w:val="0"/>
          <w:sz w:val="32"/>
          <w:szCs w:val="32"/>
          <w:lang w:bidi="ar"/>
        </w:rPr>
        <w:br w:type="textWrapping"/>
      </w:r>
      <w:r>
        <w:rPr>
          <w:rFonts w:hint="eastAsia" w:ascii="仿宋" w:hAnsi="仿宋" w:eastAsia="仿宋" w:cs="仿宋"/>
          <w:kern w:val="0"/>
          <w:sz w:val="32"/>
          <w:szCs w:val="32"/>
          <w:lang w:bidi="ar"/>
        </w:rPr>
        <w:t xml:space="preserve">   （五）承担规范房地产市场秩序、监督管理房地产市场的</w:t>
      </w:r>
      <w:r>
        <w:rPr>
          <w:rFonts w:hint="eastAsia" w:ascii="仿宋" w:hAnsi="仿宋" w:eastAsia="仿宋" w:cs="仿宋"/>
          <w:kern w:val="0"/>
          <w:sz w:val="32"/>
          <w:szCs w:val="32"/>
          <w:lang w:bidi="ar"/>
        </w:rPr>
        <w:br w:type="textWrapping"/>
      </w:r>
      <w:r>
        <w:rPr>
          <w:rFonts w:hint="eastAsia" w:ascii="仿宋" w:hAnsi="仿宋" w:eastAsia="仿宋" w:cs="仿宋"/>
          <w:kern w:val="0"/>
          <w:sz w:val="32"/>
          <w:szCs w:val="32"/>
          <w:lang w:bidi="ar"/>
        </w:rPr>
        <w:t>责任。监督执行房地产市场监管政策；参与拟定土地使用权有</w:t>
      </w:r>
      <w:r>
        <w:rPr>
          <w:rFonts w:hint="eastAsia" w:ascii="仿宋" w:hAnsi="仿宋" w:eastAsia="仿宋" w:cs="仿宋"/>
          <w:kern w:val="0"/>
          <w:sz w:val="32"/>
          <w:szCs w:val="32"/>
          <w:lang w:bidi="ar"/>
        </w:rPr>
        <w:br w:type="textWrapping"/>
      </w:r>
      <w:r>
        <w:rPr>
          <w:rFonts w:hint="eastAsia" w:ascii="仿宋" w:hAnsi="仿宋" w:eastAsia="仿宋" w:cs="仿宋"/>
          <w:kern w:val="0"/>
          <w:sz w:val="32"/>
          <w:szCs w:val="32"/>
          <w:lang w:bidi="ar"/>
        </w:rPr>
        <w:t>偿转让和开发利用工作方案，指导城镇房屋征收补偿；提出房</w:t>
      </w:r>
      <w:r>
        <w:rPr>
          <w:rFonts w:hint="eastAsia" w:ascii="仿宋" w:hAnsi="仿宋" w:eastAsia="仿宋" w:cs="仿宋"/>
          <w:kern w:val="0"/>
          <w:sz w:val="32"/>
          <w:szCs w:val="32"/>
          <w:lang w:bidi="ar"/>
        </w:rPr>
        <w:br w:type="textWrapping"/>
      </w:r>
      <w:r>
        <w:rPr>
          <w:rFonts w:hint="eastAsia" w:ascii="仿宋" w:hAnsi="仿宋" w:eastAsia="仿宋" w:cs="仿宋"/>
          <w:kern w:val="0"/>
          <w:sz w:val="32"/>
          <w:szCs w:val="32"/>
          <w:lang w:bidi="ar"/>
        </w:rPr>
        <w:t>地产业发展规划和产业政策，负责拟订房地产开发、房屋销售</w:t>
      </w:r>
      <w:r>
        <w:rPr>
          <w:rFonts w:hint="eastAsia" w:ascii="仿宋" w:hAnsi="仿宋" w:eastAsia="仿宋" w:cs="仿宋"/>
          <w:kern w:val="0"/>
          <w:sz w:val="32"/>
          <w:szCs w:val="32"/>
          <w:lang w:bidi="ar"/>
        </w:rPr>
        <w:br w:type="textWrapping"/>
      </w:r>
      <w:r>
        <w:rPr>
          <w:rFonts w:hint="eastAsia" w:ascii="仿宋" w:hAnsi="仿宋" w:eastAsia="仿宋" w:cs="仿宋"/>
          <w:kern w:val="0"/>
          <w:sz w:val="32"/>
          <w:szCs w:val="32"/>
          <w:lang w:bidi="ar"/>
        </w:rPr>
        <w:t>房屋权属登记、房屋租赁、房屋面积管理、房地产估价与经纪</w:t>
      </w:r>
      <w:r>
        <w:rPr>
          <w:rFonts w:hint="eastAsia" w:ascii="仿宋" w:hAnsi="仿宋" w:eastAsia="仿宋" w:cs="仿宋"/>
          <w:kern w:val="0"/>
          <w:sz w:val="32"/>
          <w:szCs w:val="32"/>
          <w:lang w:bidi="ar"/>
        </w:rPr>
        <w:br w:type="textWrapping"/>
      </w:r>
      <w:r>
        <w:rPr>
          <w:rFonts w:hint="eastAsia" w:ascii="仿宋" w:hAnsi="仿宋" w:eastAsia="仿宋" w:cs="仿宋"/>
          <w:kern w:val="0"/>
          <w:sz w:val="32"/>
          <w:szCs w:val="32"/>
          <w:lang w:bidi="ar"/>
        </w:rPr>
        <w:t>管理、物业管理、房屋征收拆迁等规章制度并监督执行。</w:t>
      </w:r>
      <w:r>
        <w:rPr>
          <w:rFonts w:hint="eastAsia" w:ascii="仿宋" w:hAnsi="仿宋" w:eastAsia="仿宋" w:cs="仿宋"/>
          <w:kern w:val="0"/>
          <w:sz w:val="32"/>
          <w:szCs w:val="32"/>
          <w:lang w:bidi="ar"/>
        </w:rPr>
        <w:br w:type="textWrapping"/>
      </w:r>
      <w:r>
        <w:rPr>
          <w:rFonts w:hint="eastAsia" w:ascii="仿宋" w:hAnsi="仿宋" w:eastAsia="仿宋" w:cs="仿宋"/>
          <w:kern w:val="0"/>
          <w:sz w:val="32"/>
          <w:szCs w:val="32"/>
          <w:lang w:bidi="ar"/>
        </w:rPr>
        <w:t xml:space="preserve">   （六）监督管理自治州建筑市场，规范各方主体行为。拟</w:t>
      </w:r>
      <w:r>
        <w:rPr>
          <w:rFonts w:hint="eastAsia" w:ascii="仿宋" w:hAnsi="仿宋" w:eastAsia="仿宋" w:cs="仿宋"/>
          <w:kern w:val="0"/>
          <w:sz w:val="32"/>
          <w:szCs w:val="32"/>
          <w:lang w:bidi="ar"/>
        </w:rPr>
        <w:br w:type="textWrapping"/>
      </w:r>
      <w:r>
        <w:rPr>
          <w:rFonts w:hint="eastAsia" w:ascii="仿宋" w:hAnsi="仿宋" w:eastAsia="仿宋" w:cs="仿宋"/>
          <w:kern w:val="0"/>
          <w:sz w:val="32"/>
          <w:szCs w:val="32"/>
          <w:lang w:bidi="ar"/>
        </w:rPr>
        <w:t>订工程建设、建筑业、勘察设计咨询业的行业发展战略、中长</w:t>
      </w:r>
      <w:r>
        <w:rPr>
          <w:rFonts w:hint="eastAsia" w:ascii="仿宋" w:hAnsi="仿宋" w:eastAsia="仿宋" w:cs="仿宋"/>
          <w:kern w:val="0"/>
          <w:sz w:val="32"/>
          <w:szCs w:val="32"/>
          <w:lang w:bidi="ar"/>
        </w:rPr>
        <w:br w:type="textWrapping"/>
      </w:r>
      <w:r>
        <w:rPr>
          <w:rFonts w:hint="eastAsia" w:ascii="仿宋" w:hAnsi="仿宋" w:eastAsia="仿宋" w:cs="仿宋"/>
          <w:kern w:val="0"/>
          <w:sz w:val="32"/>
          <w:szCs w:val="32"/>
          <w:lang w:bidi="ar"/>
        </w:rPr>
        <w:t>期规划、改革方案、产业政策并监督执行；组织实施房屋建筑</w:t>
      </w:r>
      <w:r>
        <w:rPr>
          <w:rFonts w:hint="eastAsia" w:ascii="仿宋" w:hAnsi="仿宋" w:eastAsia="仿宋" w:cs="仿宋"/>
          <w:kern w:val="0"/>
          <w:sz w:val="32"/>
          <w:szCs w:val="32"/>
          <w:lang w:bidi="ar"/>
        </w:rPr>
        <w:br w:type="textWrapping"/>
      </w:r>
      <w:r>
        <w:rPr>
          <w:rFonts w:hint="eastAsia" w:ascii="仿宋" w:hAnsi="仿宋" w:eastAsia="仿宋" w:cs="仿宋"/>
          <w:kern w:val="0"/>
          <w:sz w:val="32"/>
          <w:szCs w:val="32"/>
          <w:lang w:bidi="ar"/>
        </w:rPr>
        <w:t>和市政工程项目招投标活动的监督工作；负责勘察、设计、施</w:t>
      </w:r>
      <w:r>
        <w:rPr>
          <w:rFonts w:hint="eastAsia" w:ascii="仿宋" w:hAnsi="仿宋" w:eastAsia="仿宋" w:cs="仿宋"/>
          <w:kern w:val="0"/>
          <w:sz w:val="32"/>
          <w:szCs w:val="32"/>
          <w:lang w:bidi="ar"/>
        </w:rPr>
        <w:br w:type="textWrapping"/>
      </w:r>
      <w:r>
        <w:rPr>
          <w:rFonts w:hint="eastAsia" w:ascii="仿宋" w:hAnsi="仿宋" w:eastAsia="仿宋" w:cs="仿宋"/>
          <w:kern w:val="0"/>
          <w:sz w:val="32"/>
          <w:szCs w:val="32"/>
          <w:lang w:bidi="ar"/>
        </w:rPr>
        <w:t>工、工程监理法律法规规章执行的监督指导。</w:t>
      </w:r>
      <w:r>
        <w:rPr>
          <w:rFonts w:hint="eastAsia" w:ascii="仿宋" w:hAnsi="仿宋" w:eastAsia="仿宋" w:cs="仿宋"/>
          <w:kern w:val="0"/>
          <w:sz w:val="32"/>
          <w:szCs w:val="32"/>
          <w:lang w:bidi="ar"/>
        </w:rPr>
        <w:br w:type="textWrapping"/>
      </w:r>
      <w:r>
        <w:rPr>
          <w:rFonts w:hint="eastAsia" w:ascii="仿宋" w:hAnsi="仿宋" w:eastAsia="仿宋" w:cs="仿宋"/>
          <w:kern w:val="0"/>
          <w:sz w:val="32"/>
          <w:szCs w:val="32"/>
          <w:lang w:bidi="ar"/>
        </w:rPr>
        <w:t xml:space="preserve">   （七）承担住建行业安全生产监督管理责任。承担建筑工</w:t>
      </w:r>
      <w:r>
        <w:rPr>
          <w:rFonts w:hint="eastAsia" w:ascii="仿宋" w:hAnsi="仿宋" w:eastAsia="仿宋" w:cs="仿宋"/>
          <w:kern w:val="0"/>
          <w:sz w:val="32"/>
          <w:szCs w:val="32"/>
          <w:lang w:bidi="ar"/>
        </w:rPr>
        <w:br w:type="textWrapping"/>
      </w:r>
      <w:r>
        <w:rPr>
          <w:rFonts w:hint="eastAsia" w:ascii="仿宋" w:hAnsi="仿宋" w:eastAsia="仿宋" w:cs="仿宋"/>
          <w:kern w:val="0"/>
          <w:sz w:val="32"/>
          <w:szCs w:val="32"/>
          <w:lang w:bidi="ar"/>
        </w:rPr>
        <w:t>程质量安全监管责任，负责建筑工程质量、建筑安全生产和竣</w:t>
      </w:r>
      <w:r>
        <w:rPr>
          <w:rFonts w:hint="eastAsia" w:ascii="仿宋" w:hAnsi="仿宋" w:eastAsia="仿宋" w:cs="仿宋"/>
          <w:kern w:val="0"/>
          <w:sz w:val="32"/>
          <w:szCs w:val="32"/>
          <w:lang w:bidi="ar"/>
        </w:rPr>
        <w:br w:type="textWrapping"/>
      </w:r>
      <w:r>
        <w:rPr>
          <w:rFonts w:hint="eastAsia" w:ascii="仿宋" w:hAnsi="仿宋" w:eastAsia="仿宋" w:cs="仿宋"/>
          <w:kern w:val="0"/>
          <w:sz w:val="32"/>
          <w:szCs w:val="32"/>
          <w:lang w:bidi="ar"/>
        </w:rPr>
        <w:t>工验收备案的法律法规规章执行的监督指导；负责房屋和市政</w:t>
      </w:r>
      <w:r>
        <w:rPr>
          <w:rFonts w:hint="eastAsia" w:ascii="仿宋" w:hAnsi="仿宋" w:eastAsia="仿宋" w:cs="仿宋"/>
          <w:kern w:val="0"/>
          <w:sz w:val="32"/>
          <w:szCs w:val="32"/>
          <w:lang w:bidi="ar"/>
        </w:rPr>
        <w:br w:type="textWrapping"/>
      </w:r>
      <w:r>
        <w:rPr>
          <w:rFonts w:hint="eastAsia" w:ascii="仿宋" w:hAnsi="仿宋" w:eastAsia="仿宋" w:cs="仿宋"/>
          <w:kern w:val="0"/>
          <w:sz w:val="32"/>
          <w:szCs w:val="32"/>
          <w:lang w:bidi="ar"/>
        </w:rPr>
        <w:t>基础设施工程建设、城镇燃气领域安全生产监督管理；负责房</w:t>
      </w:r>
      <w:r>
        <w:rPr>
          <w:rFonts w:hint="eastAsia" w:ascii="仿宋" w:hAnsi="仿宋" w:eastAsia="仿宋" w:cs="仿宋"/>
          <w:kern w:val="0"/>
          <w:sz w:val="32"/>
          <w:szCs w:val="32"/>
          <w:lang w:bidi="ar"/>
        </w:rPr>
        <w:br w:type="textWrapping"/>
      </w:r>
      <w:r>
        <w:rPr>
          <w:rFonts w:hint="eastAsia" w:ascii="仿宋" w:hAnsi="仿宋" w:eastAsia="仿宋" w:cs="仿宋"/>
          <w:kern w:val="0"/>
          <w:sz w:val="32"/>
          <w:szCs w:val="32"/>
          <w:lang w:bidi="ar"/>
        </w:rPr>
        <w:t>屋建筑工地和市政基础设施工程用起重机械、专用机动车辆安</w:t>
      </w:r>
      <w:r>
        <w:rPr>
          <w:rFonts w:hint="eastAsia" w:ascii="仿宋" w:hAnsi="仿宋" w:eastAsia="仿宋" w:cs="仿宋"/>
          <w:kern w:val="0"/>
          <w:sz w:val="32"/>
          <w:szCs w:val="32"/>
          <w:lang w:bidi="ar"/>
        </w:rPr>
        <w:br w:type="textWrapping"/>
      </w:r>
      <w:r>
        <w:rPr>
          <w:rFonts w:hint="eastAsia" w:ascii="仿宋" w:hAnsi="仿宋" w:eastAsia="仿宋" w:cs="仿宋"/>
          <w:kern w:val="0"/>
          <w:sz w:val="32"/>
          <w:szCs w:val="32"/>
          <w:lang w:bidi="ar"/>
        </w:rPr>
        <w:t>全生产监督管理；组织或参与工程质量、安全事故的调査处理</w:t>
      </w:r>
      <w:r>
        <w:rPr>
          <w:rFonts w:hint="eastAsia" w:ascii="仿宋" w:hAnsi="仿宋" w:eastAsia="仿宋" w:cs="仿宋"/>
          <w:kern w:val="0"/>
          <w:sz w:val="32"/>
          <w:szCs w:val="32"/>
          <w:lang w:bidi="ar"/>
        </w:rPr>
        <w:br w:type="textWrapping"/>
      </w:r>
      <w:r>
        <w:rPr>
          <w:rFonts w:hint="eastAsia" w:ascii="仿宋" w:hAnsi="仿宋" w:eastAsia="仿宋" w:cs="仿宋"/>
          <w:kern w:val="0"/>
          <w:sz w:val="32"/>
          <w:szCs w:val="32"/>
          <w:lang w:bidi="ar"/>
        </w:rPr>
        <w:t>指导实施自治州建筑业、工程勘察设计咨询业的技术政策。</w:t>
      </w:r>
    </w:p>
    <w:p>
      <w:pPr>
        <w:widowControl/>
        <w:spacing w:line="520" w:lineRule="exact"/>
        <w:ind w:left="529" w:leftChars="252" w:firstLine="640" w:firstLineChars="200"/>
        <w:jc w:val="left"/>
        <w:rPr>
          <w:rFonts w:ascii="仿宋" w:hAnsi="仿宋" w:eastAsia="仿宋" w:cs="仿宋"/>
          <w:kern w:val="0"/>
          <w:sz w:val="32"/>
          <w:szCs w:val="32"/>
          <w:lang w:bidi="ar"/>
        </w:rPr>
      </w:pPr>
      <w:r>
        <w:rPr>
          <w:rFonts w:hint="eastAsia" w:ascii="仿宋" w:hAnsi="仿宋" w:eastAsia="仿宋" w:cs="仿宋"/>
          <w:kern w:val="0"/>
          <w:sz w:val="32"/>
          <w:szCs w:val="32"/>
          <w:lang w:bidi="ar"/>
        </w:rPr>
        <w:t>（八）承担推进建筑节能、城镇减排的责任。会同有关部</w:t>
      </w:r>
      <w:r>
        <w:rPr>
          <w:rFonts w:hint="eastAsia" w:ascii="仿宋" w:hAnsi="仿宋" w:eastAsia="仿宋" w:cs="仿宋"/>
          <w:kern w:val="0"/>
          <w:sz w:val="32"/>
          <w:szCs w:val="32"/>
          <w:lang w:bidi="ar"/>
        </w:rPr>
        <w:br w:type="textWrapping"/>
      </w:r>
      <w:r>
        <w:rPr>
          <w:rFonts w:hint="eastAsia" w:ascii="仿宋" w:hAnsi="仿宋" w:eastAsia="仿宋" w:cs="仿宋"/>
          <w:kern w:val="0"/>
          <w:sz w:val="32"/>
          <w:szCs w:val="32"/>
          <w:lang w:bidi="ar"/>
        </w:rPr>
        <w:t>门拟订建筑节能的规划并监督实施；负责监督指导建筑节能法</w:t>
      </w:r>
      <w:r>
        <w:rPr>
          <w:rFonts w:hint="eastAsia" w:ascii="仿宋" w:hAnsi="仿宋" w:eastAsia="仿宋" w:cs="仿宋"/>
          <w:kern w:val="0"/>
          <w:sz w:val="32"/>
          <w:szCs w:val="32"/>
          <w:lang w:bidi="ar"/>
        </w:rPr>
        <w:br w:type="textWrapping"/>
      </w:r>
      <w:r>
        <w:rPr>
          <w:rFonts w:hint="eastAsia" w:ascii="仿宋" w:hAnsi="仿宋" w:eastAsia="仿宋" w:cs="仿宋"/>
          <w:kern w:val="0"/>
          <w:sz w:val="32"/>
          <w:szCs w:val="32"/>
          <w:lang w:bidi="ar"/>
        </w:rPr>
        <w:t>律法规规章的执行；负责建筑工程社会保险费统筹监督管理工作；组织实施建设行业技术创新与成果推广应用；组织实施建筑节能等科技示范项目；负责对施工图审查机构的监督管理。</w:t>
      </w:r>
      <w:r>
        <w:rPr>
          <w:rFonts w:hint="eastAsia" w:ascii="仿宋" w:hAnsi="仿宋" w:eastAsia="仿宋" w:cs="仿宋"/>
          <w:kern w:val="0"/>
          <w:sz w:val="32"/>
          <w:szCs w:val="32"/>
          <w:lang w:bidi="ar"/>
        </w:rPr>
        <w:br w:type="textWrapping"/>
      </w:r>
      <w:r>
        <w:rPr>
          <w:rFonts w:hint="eastAsia" w:ascii="仿宋" w:hAnsi="仿宋" w:eastAsia="仿宋" w:cs="仿宋"/>
          <w:kern w:val="0"/>
          <w:sz w:val="32"/>
          <w:szCs w:val="32"/>
          <w:lang w:bidi="ar"/>
        </w:rPr>
        <w:t xml:space="preserve">    （九）拟订城市建设的政策并指导实施。负责市政公用事业特许经营；监督指导供水、供气、供热和市容环境卫生、园林绿化法律法规规章的执行；指导城市市政公用设施建设、安全和应急管理；会同文物主管部门负责历史文化名城（镇、村）的保护和监督管理有关工作。</w:t>
      </w:r>
      <w:r>
        <w:rPr>
          <w:rFonts w:hint="eastAsia" w:ascii="仿宋" w:hAnsi="仿宋" w:eastAsia="仿宋" w:cs="仿宋"/>
          <w:kern w:val="0"/>
          <w:sz w:val="32"/>
          <w:szCs w:val="32"/>
          <w:lang w:bidi="ar"/>
        </w:rPr>
        <w:br w:type="textWrapping"/>
      </w:r>
      <w:r>
        <w:rPr>
          <w:rFonts w:hint="eastAsia" w:ascii="仿宋" w:hAnsi="仿宋" w:eastAsia="仿宋" w:cs="仿宋"/>
          <w:kern w:val="0"/>
          <w:sz w:val="32"/>
          <w:szCs w:val="32"/>
          <w:lang w:bidi="ar"/>
        </w:rPr>
        <w:t xml:space="preserve">  （十）承担规范和指导自治州村镇建设的工作。负责城乡</w:t>
      </w:r>
      <w:r>
        <w:rPr>
          <w:rFonts w:hint="eastAsia" w:ascii="仿宋" w:hAnsi="仿宋" w:eastAsia="仿宋" w:cs="仿宋"/>
          <w:kern w:val="0"/>
          <w:sz w:val="32"/>
          <w:szCs w:val="32"/>
          <w:lang w:bidi="ar"/>
        </w:rPr>
        <w:br w:type="textWrapping"/>
      </w:r>
      <w:r>
        <w:rPr>
          <w:rFonts w:hint="eastAsia" w:ascii="仿宋" w:hAnsi="仿宋" w:eastAsia="仿宋" w:cs="仿宋"/>
          <w:kern w:val="0"/>
          <w:sz w:val="32"/>
          <w:szCs w:val="32"/>
          <w:lang w:bidi="ar"/>
        </w:rPr>
        <w:t>抗震安居工程建设的指导监督；指导实施村庄和小城镇建设政策；指导农村住房建设、住房安全、危房改造及农村安居工程；指导村庄和小城镇人居生态环境的改善工作，指导自治州重点（示范）村镇的建设。</w:t>
      </w:r>
      <w:r>
        <w:rPr>
          <w:rFonts w:hint="eastAsia" w:ascii="仿宋" w:hAnsi="仿宋" w:eastAsia="仿宋" w:cs="仿宋"/>
          <w:kern w:val="0"/>
          <w:sz w:val="32"/>
          <w:szCs w:val="32"/>
          <w:lang w:bidi="ar"/>
        </w:rPr>
        <w:br w:type="textWrapping"/>
      </w:r>
      <w:r>
        <w:rPr>
          <w:rFonts w:hint="eastAsia" w:ascii="仿宋" w:hAnsi="仿宋" w:eastAsia="仿宋" w:cs="仿宋"/>
          <w:kern w:val="0"/>
          <w:sz w:val="32"/>
          <w:szCs w:val="32"/>
          <w:lang w:bidi="ar"/>
        </w:rPr>
        <w:t xml:space="preserve">   （十ー）综合管理城乡建设抗震减灾工作。对自治州各类</w:t>
      </w:r>
      <w:r>
        <w:rPr>
          <w:rFonts w:hint="eastAsia" w:ascii="仿宋" w:hAnsi="仿宋" w:eastAsia="仿宋" w:cs="仿宋"/>
          <w:kern w:val="0"/>
          <w:sz w:val="32"/>
          <w:szCs w:val="32"/>
          <w:lang w:bidi="ar"/>
        </w:rPr>
        <w:br w:type="textWrapping"/>
      </w:r>
      <w:r>
        <w:rPr>
          <w:rFonts w:hint="eastAsia" w:ascii="仿宋" w:hAnsi="仿宋" w:eastAsia="仿宋" w:cs="仿宋"/>
          <w:kern w:val="0"/>
          <w:sz w:val="32"/>
          <w:szCs w:val="32"/>
          <w:lang w:bidi="ar"/>
        </w:rPr>
        <w:t>房屋建筑及其附属设施和城市市政工程的抗震设计规范的实施进行监督检查；指导震后重建工作。</w:t>
      </w:r>
      <w:r>
        <w:rPr>
          <w:rFonts w:hint="eastAsia" w:ascii="仿宋" w:hAnsi="仿宋" w:eastAsia="仿宋" w:cs="仿宋"/>
          <w:kern w:val="0"/>
          <w:sz w:val="32"/>
          <w:szCs w:val="32"/>
          <w:lang w:bidi="ar"/>
        </w:rPr>
        <w:br w:type="textWrapping"/>
      </w:r>
      <w:r>
        <w:rPr>
          <w:rFonts w:hint="eastAsia" w:ascii="仿宋" w:hAnsi="仿宋" w:eastAsia="仿宋" w:cs="仿宋"/>
          <w:kern w:val="0"/>
          <w:sz w:val="32"/>
          <w:szCs w:val="32"/>
          <w:lang w:bidi="ar"/>
        </w:rPr>
        <w:t xml:space="preserve">   （十ニ）开展住房和城乡建设方面的国际交流与合作。</w:t>
      </w:r>
      <w:r>
        <w:rPr>
          <w:rFonts w:hint="eastAsia" w:ascii="仿宋" w:hAnsi="仿宋" w:eastAsia="仿宋" w:cs="仿宋"/>
          <w:kern w:val="0"/>
          <w:sz w:val="32"/>
          <w:szCs w:val="32"/>
          <w:lang w:bidi="ar"/>
        </w:rPr>
        <w:br w:type="textWrapping"/>
      </w:r>
      <w:r>
        <w:rPr>
          <w:rFonts w:hint="eastAsia" w:ascii="仿宋" w:hAnsi="仿宋" w:eastAsia="仿宋" w:cs="仿宋"/>
          <w:kern w:val="0"/>
          <w:sz w:val="32"/>
          <w:szCs w:val="32"/>
          <w:lang w:bidi="ar"/>
        </w:rPr>
        <w:t xml:space="preserve">   （十三）负责对自治州建设行业中介机构及从业人员的管</w:t>
      </w:r>
      <w:r>
        <w:rPr>
          <w:rFonts w:hint="eastAsia" w:ascii="仿宋" w:hAnsi="仿宋" w:eastAsia="仿宋" w:cs="仿宋"/>
          <w:kern w:val="0"/>
          <w:sz w:val="32"/>
          <w:szCs w:val="32"/>
          <w:lang w:bidi="ar"/>
        </w:rPr>
        <w:br w:type="textWrapping"/>
      </w:r>
      <w:r>
        <w:rPr>
          <w:rFonts w:hint="eastAsia" w:ascii="仿宋" w:hAnsi="仿宋" w:eastAsia="仿宋" w:cs="仿宋"/>
          <w:kern w:val="0"/>
          <w:sz w:val="32"/>
          <w:szCs w:val="32"/>
          <w:lang w:bidi="ar"/>
        </w:rPr>
        <w:t>理；指导和管理建设行业的职工培训和继续教育工作，负责建设系统的社团管理。</w:t>
      </w:r>
      <w:r>
        <w:rPr>
          <w:rFonts w:hint="eastAsia" w:ascii="仿宋" w:hAnsi="仿宋" w:eastAsia="仿宋" w:cs="仿宋"/>
          <w:kern w:val="0"/>
          <w:sz w:val="32"/>
          <w:szCs w:val="32"/>
          <w:lang w:bidi="ar"/>
        </w:rPr>
        <w:br w:type="textWrapping"/>
      </w:r>
      <w:r>
        <w:rPr>
          <w:rFonts w:hint="eastAsia" w:ascii="仿宋" w:hAnsi="仿宋" w:eastAsia="仿宋" w:cs="仿宋"/>
          <w:kern w:val="0"/>
          <w:sz w:val="32"/>
          <w:szCs w:val="32"/>
          <w:lang w:bidi="ar"/>
        </w:rPr>
        <w:t>(十四)完成自治州党委、自治州人民政府交办的其他任务。</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jc w:val="left"/>
        <w:rPr>
          <w:rFonts w:ascii="仿宋_GB2312" w:hAnsi="宋体" w:eastAsia="仿宋_GB2312" w:cs="宋体"/>
          <w:kern w:val="0"/>
          <w:sz w:val="32"/>
          <w:szCs w:val="32"/>
        </w:rPr>
      </w:pPr>
      <w:r>
        <w:rPr>
          <w:rFonts w:hint="eastAsia" w:ascii="黑体" w:hAnsi="黑体" w:eastAsia="黑体" w:cs="宋体"/>
          <w:b/>
          <w:bCs/>
          <w:kern w:val="0"/>
          <w:sz w:val="32"/>
          <w:szCs w:val="32"/>
        </w:rPr>
        <w:t xml:space="preserve">    </w:t>
      </w:r>
      <w:r>
        <w:rPr>
          <w:rFonts w:hint="eastAsia" w:ascii="仿宋_GB2312" w:hAnsi="宋体" w:eastAsia="仿宋_GB2312" w:cs="宋体"/>
          <w:kern w:val="0"/>
          <w:sz w:val="32"/>
          <w:szCs w:val="32"/>
        </w:rPr>
        <w:t>从预算单位构成看，昌吉州住房和城乡建设局的部门预算包括：住建局本级预算及下属5家事业单位预算单位在内的汇总预算。</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昌吉州住房和城乡建设局本级</w:t>
      </w:r>
      <w:r>
        <w:rPr>
          <w:rFonts w:hint="eastAsia" w:ascii="仿宋_GB2312" w:hAnsi="黑体" w:eastAsia="仿宋_GB2312" w:cs="宋体"/>
          <w:bCs/>
          <w:kern w:val="0"/>
          <w:sz w:val="32"/>
          <w:szCs w:val="32"/>
        </w:rPr>
        <w:t>下设7个科室，分别是：办公室、组织人事科、住房保障和房地产业科、建筑业科、城市建设科、村镇建设科、质量安全监管科。</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本部门中，行政单位 1 家，参公管理事业单位0  家,事业单位 5 家，纳入昌吉州住房和城乡建设局2019年部门预算编制范围的二级预算单位包括昌吉回族自治州住房和城乡建设局本级和事业单位：</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1.昌吉州建设行政综合执法支队</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2.昌吉州建设工程质量服务中心</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3.昌吉州建设工程造价服务中心</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4.昌吉州建设工程招投标监督管理站</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5.昌吉州建设工程质量监督管理站</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昌吉州住房和城乡建设局列行政编制数21名，工勤编制3个，实有人数19人，其中：在职 19 人，增加或减少0人； 退休 20人，增加或减少 2 人；离休 2人，增加或减少 0人。遗孀2人。</w:t>
      </w:r>
    </w:p>
    <w:p>
      <w:pPr>
        <w:widowControl/>
        <w:spacing w:line="560" w:lineRule="exact"/>
        <w:ind w:firstLine="640"/>
        <w:jc w:val="left"/>
        <w:rPr>
          <w:rFonts w:ascii="仿宋" w:hAnsi="仿宋" w:eastAsia="仿宋_GB2312" w:cs="仿宋"/>
          <w:color w:val="2B2B2B"/>
          <w:kern w:val="0"/>
          <w:sz w:val="32"/>
          <w:szCs w:val="32"/>
          <w:lang w:bidi="ar"/>
        </w:rPr>
      </w:pPr>
      <w:r>
        <w:rPr>
          <w:rFonts w:hint="eastAsia" w:ascii="仿宋_GB2312" w:hAnsi="宋体" w:eastAsia="仿宋_GB2312" w:cs="宋体"/>
          <w:kern w:val="0"/>
          <w:sz w:val="32"/>
          <w:szCs w:val="32"/>
        </w:rPr>
        <w:t>昌吉州住房和城乡建设局列入2019年预算的二级事业单位5个，实际为：昌吉州建设行政综合执法支队、昌吉州建设工程质量服务中心、昌吉州建设工程造价服务中心、昌吉州建设工程招投标监督管理站、昌吉州建设工程质量监督管理站，共有事业编制38名，实有人数33人，其中：在职33人，退休5人。</w:t>
      </w:r>
    </w:p>
    <w:p>
      <w:pPr>
        <w:widowControl/>
        <w:spacing w:line="560" w:lineRule="exact"/>
        <w:ind w:firstLine="640"/>
        <w:jc w:val="left"/>
        <w:rPr>
          <w:rFonts w:ascii="黑体" w:hAnsi="黑体" w:eastAsia="黑体"/>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kern w:val="0"/>
          <w:sz w:val="32"/>
          <w:szCs w:val="32"/>
        </w:rPr>
        <w:t>第二部分  2019年部门预算公开表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编制部门：昌吉州住房和城乡建设局                            单位：万元</w:t>
      </w:r>
    </w:p>
    <w:tbl>
      <w:tblPr>
        <w:tblStyle w:val="4"/>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854.15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854.15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854.15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854.15</w:t>
            </w:r>
          </w:p>
        </w:tc>
        <w:tc>
          <w:tcPr>
            <w:tcW w:w="269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854.15</w:t>
            </w:r>
          </w:p>
        </w:tc>
      </w:tr>
      <w:tr>
        <w:tblPrEx>
          <w:tblLayout w:type="fixed"/>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854.15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854.15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填报部门：昌吉州住房和城乡建设局                           单位：万元</w:t>
      </w:r>
    </w:p>
    <w:tbl>
      <w:tblPr>
        <w:tblStyle w:val="4"/>
        <w:tblpPr w:leftFromText="180" w:rightFromText="180" w:vertAnchor="text" w:horzAnchor="page" w:tblpX="1702" w:tblpY="75"/>
        <w:tblOverlap w:val="never"/>
        <w:tblW w:w="9654" w:type="dxa"/>
        <w:tblInd w:w="0" w:type="dxa"/>
        <w:tblLayout w:type="fixed"/>
        <w:tblCellMar>
          <w:top w:w="0" w:type="dxa"/>
          <w:left w:w="108" w:type="dxa"/>
          <w:bottom w:w="0" w:type="dxa"/>
          <w:right w:w="108" w:type="dxa"/>
        </w:tblCellMar>
      </w:tblPr>
      <w:tblGrid>
        <w:gridCol w:w="565"/>
        <w:gridCol w:w="555"/>
        <w:gridCol w:w="495"/>
        <w:gridCol w:w="1781"/>
        <w:gridCol w:w="820"/>
        <w:gridCol w:w="864"/>
        <w:gridCol w:w="496"/>
        <w:gridCol w:w="680"/>
        <w:gridCol w:w="680"/>
        <w:gridCol w:w="680"/>
        <w:gridCol w:w="680"/>
        <w:gridCol w:w="609"/>
        <w:gridCol w:w="749"/>
      </w:tblGrid>
      <w:tr>
        <w:tblPrEx>
          <w:tblLayout w:type="fixed"/>
          <w:tblCellMar>
            <w:top w:w="0" w:type="dxa"/>
            <w:left w:w="108" w:type="dxa"/>
            <w:bottom w:w="0" w:type="dxa"/>
            <w:right w:w="108" w:type="dxa"/>
          </w:tblCellMar>
        </w:tblPrEx>
        <w:trPr>
          <w:trHeight w:val="510" w:hRule="atLeast"/>
        </w:trPr>
        <w:tc>
          <w:tcPr>
            <w:tcW w:w="1615"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78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6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49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74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2114" w:hRule="atLeast"/>
        </w:trPr>
        <w:tc>
          <w:tcPr>
            <w:tcW w:w="56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95"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78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6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9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4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65"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212　</w:t>
            </w:r>
          </w:p>
        </w:tc>
        <w:tc>
          <w:tcPr>
            <w:tcW w:w="55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49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178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行政运行　</w:t>
            </w:r>
          </w:p>
        </w:tc>
        <w:tc>
          <w:tcPr>
            <w:tcW w:w="82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570.69　</w:t>
            </w:r>
          </w:p>
        </w:tc>
        <w:tc>
          <w:tcPr>
            <w:tcW w:w="864"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570.69　</w:t>
            </w:r>
          </w:p>
        </w:tc>
        <w:tc>
          <w:tcPr>
            <w:tcW w:w="496"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9"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9"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6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212　</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4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06　</w:t>
            </w:r>
          </w:p>
        </w:tc>
        <w:tc>
          <w:tcPr>
            <w:tcW w:w="178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工程建设管理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283.46　</w:t>
            </w:r>
          </w:p>
        </w:tc>
        <w:tc>
          <w:tcPr>
            <w:tcW w:w="86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283.46　</w:t>
            </w:r>
          </w:p>
        </w:tc>
        <w:tc>
          <w:tcPr>
            <w:tcW w:w="49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6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8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255" w:hRule="atLeast"/>
        </w:trPr>
        <w:tc>
          <w:tcPr>
            <w:tcW w:w="56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8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6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8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6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8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6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8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330" w:hRule="atLeast"/>
        </w:trPr>
        <w:tc>
          <w:tcPr>
            <w:tcW w:w="56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8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6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8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330" w:hRule="atLeast"/>
        </w:trPr>
        <w:tc>
          <w:tcPr>
            <w:tcW w:w="56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8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6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8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6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8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6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8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345" w:hRule="atLeast"/>
        </w:trPr>
        <w:tc>
          <w:tcPr>
            <w:tcW w:w="56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8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6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8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6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8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6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8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65"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78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854.15　</w:t>
            </w:r>
          </w:p>
        </w:tc>
        <w:tc>
          <w:tcPr>
            <w:tcW w:w="86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854.15　</w:t>
            </w:r>
          </w:p>
        </w:tc>
        <w:tc>
          <w:tcPr>
            <w:tcW w:w="49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                      </w:t>
      </w:r>
    </w:p>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编制部门：昌吉州住房和城乡建设局                          单位：万元                            </w:t>
      </w:r>
    </w:p>
    <w:tbl>
      <w:tblPr>
        <w:tblStyle w:val="4"/>
        <w:tblW w:w="9229" w:type="dxa"/>
        <w:tblInd w:w="93" w:type="dxa"/>
        <w:tblLayout w:type="fixed"/>
        <w:tblCellMar>
          <w:top w:w="0" w:type="dxa"/>
          <w:left w:w="108" w:type="dxa"/>
          <w:bottom w:w="0" w:type="dxa"/>
          <w:right w:w="108" w:type="dxa"/>
        </w:tblCellMar>
      </w:tblPr>
      <w:tblGrid>
        <w:gridCol w:w="401"/>
        <w:gridCol w:w="400"/>
        <w:gridCol w:w="400"/>
        <w:gridCol w:w="2604"/>
        <w:gridCol w:w="1855"/>
        <w:gridCol w:w="1856"/>
        <w:gridCol w:w="1713"/>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424" w:type="dxa"/>
            <w:gridSpan w:val="3"/>
            <w:tcBorders>
              <w:top w:val="single" w:color="auto" w:sz="4" w:space="0"/>
              <w:left w:val="nil"/>
              <w:bottom w:val="single" w:color="auto" w:sz="4" w:space="0"/>
              <w:right w:val="single" w:color="000000"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1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1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212</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01</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01</w:t>
            </w:r>
          </w:p>
        </w:tc>
        <w:tc>
          <w:tcPr>
            <w:tcW w:w="2604"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eastAsia="仿宋_GB2312"/>
                <w:color w:val="000000"/>
                <w:sz w:val="20"/>
                <w:szCs w:val="20"/>
              </w:rPr>
              <w:t>行政运行　</w:t>
            </w:r>
          </w:p>
        </w:tc>
        <w:tc>
          <w:tcPr>
            <w:tcW w:w="185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eastAsia="仿宋_GB2312"/>
                <w:color w:val="000000"/>
                <w:sz w:val="20"/>
                <w:szCs w:val="20"/>
              </w:rPr>
              <w:t>570.69</w:t>
            </w:r>
          </w:p>
        </w:tc>
        <w:tc>
          <w:tcPr>
            <w:tcW w:w="185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eastAsia="仿宋_GB2312"/>
                <w:color w:val="000000"/>
                <w:sz w:val="20"/>
                <w:szCs w:val="20"/>
              </w:rPr>
              <w:t>570.69</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0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212</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01</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06</w:t>
            </w:r>
          </w:p>
        </w:tc>
        <w:tc>
          <w:tcPr>
            <w:tcW w:w="2604"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eastAsia="仿宋_GB2312"/>
                <w:color w:val="000000"/>
                <w:sz w:val="20"/>
                <w:szCs w:val="20"/>
              </w:rPr>
              <w:t>工程建设管理　</w:t>
            </w:r>
          </w:p>
        </w:tc>
        <w:tc>
          <w:tcPr>
            <w:tcW w:w="1855"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eastAsia="仿宋_GB2312"/>
                <w:color w:val="000000"/>
                <w:sz w:val="20"/>
                <w:szCs w:val="20"/>
              </w:rPr>
              <w:t>283.46</w:t>
            </w:r>
          </w:p>
        </w:tc>
        <w:tc>
          <w:tcPr>
            <w:tcW w:w="185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eastAsia="仿宋_GB2312"/>
                <w:color w:val="000000"/>
                <w:sz w:val="20"/>
                <w:szCs w:val="20"/>
              </w:rPr>
              <w:t>283.46</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0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854.15</w:t>
            </w:r>
          </w:p>
        </w:tc>
        <w:tc>
          <w:tcPr>
            <w:tcW w:w="185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854.15</w:t>
            </w:r>
          </w:p>
        </w:tc>
        <w:tc>
          <w:tcPr>
            <w:tcW w:w="171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jc w:val="left"/>
        <w:outlineLvl w:val="1"/>
        <w:rPr>
          <w:rFonts w:ascii="仿宋_GB2312" w:hAnsi="宋体" w:eastAsia="仿宋_GB2312"/>
          <w:kern w:val="0"/>
          <w:sz w:val="28"/>
          <w:szCs w:val="28"/>
        </w:rPr>
      </w:pPr>
      <w:r>
        <w:rPr>
          <w:rFonts w:hint="eastAsia" w:ascii="仿宋_GB2312" w:hAnsi="宋体" w:eastAsia="仿宋_GB2312"/>
          <w:kern w:val="0"/>
          <w:sz w:val="28"/>
          <w:szCs w:val="28"/>
        </w:rPr>
        <w:t>编制部门：昌吉州住房和城乡建设局                   单位：万元</w:t>
      </w:r>
    </w:p>
    <w:tbl>
      <w:tblPr>
        <w:tblStyle w:val="4"/>
        <w:tblpPr w:leftFromText="180" w:rightFromText="180" w:vertAnchor="text" w:horzAnchor="page" w:tblpX="1687" w:tblpYSpec="center"/>
        <w:tblOverlap w:val="never"/>
        <w:tblW w:w="9229" w:type="dxa"/>
        <w:tblInd w:w="0" w:type="dxa"/>
        <w:tblLayout w:type="fixed"/>
        <w:tblCellMar>
          <w:top w:w="0" w:type="dxa"/>
          <w:left w:w="108" w:type="dxa"/>
          <w:bottom w:w="0" w:type="dxa"/>
          <w:right w:w="108" w:type="dxa"/>
        </w:tblCellMar>
      </w:tblPr>
      <w:tblGrid>
        <w:gridCol w:w="1620"/>
        <w:gridCol w:w="1230"/>
        <w:gridCol w:w="2250"/>
        <w:gridCol w:w="1294"/>
        <w:gridCol w:w="1418"/>
        <w:gridCol w:w="1417"/>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854.15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854.15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854.15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854.15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854.15</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854.15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854.15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854.15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854.15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spacing w:before="120" w:beforeLines="50"/>
        <w:jc w:val="left"/>
        <w:outlineLvl w:val="1"/>
        <w:rPr>
          <w:rFonts w:ascii="仿宋_GB2312" w:hAnsi="宋体" w:eastAsia="仿宋_GB2312"/>
          <w:kern w:val="0"/>
          <w:sz w:val="28"/>
          <w:szCs w:val="28"/>
        </w:rPr>
      </w:pPr>
      <w:r>
        <w:rPr>
          <w:rFonts w:hint="eastAsia" w:ascii="仿宋_GB2312" w:hAnsi="宋体" w:eastAsia="仿宋_GB2312"/>
          <w:kern w:val="0"/>
          <w:sz w:val="28"/>
          <w:szCs w:val="28"/>
        </w:rPr>
        <w:t xml:space="preserve">                     </w:t>
      </w:r>
    </w:p>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4"/>
        <w:tblW w:w="9087" w:type="dxa"/>
        <w:tblInd w:w="93" w:type="dxa"/>
        <w:tblLayout w:type="fixed"/>
        <w:tblCellMar>
          <w:top w:w="0" w:type="dxa"/>
          <w:left w:w="108" w:type="dxa"/>
          <w:bottom w:w="0" w:type="dxa"/>
          <w:right w:w="108" w:type="dxa"/>
        </w:tblCellMar>
      </w:tblPr>
      <w:tblGrid>
        <w:gridCol w:w="540"/>
        <w:gridCol w:w="510"/>
        <w:gridCol w:w="510"/>
        <w:gridCol w:w="1965"/>
        <w:gridCol w:w="995"/>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087"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525"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Cs w:val="21"/>
              </w:rPr>
              <w:t>编制部门：昌吉州住房和城乡建设局</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525"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562"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560"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1965"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2019"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4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1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51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1965"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2019"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212</w:t>
            </w:r>
          </w:p>
        </w:tc>
        <w:tc>
          <w:tcPr>
            <w:tcW w:w="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01</w:t>
            </w:r>
          </w:p>
        </w:tc>
        <w:tc>
          <w:tcPr>
            <w:tcW w:w="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01</w:t>
            </w:r>
          </w:p>
        </w:tc>
        <w:tc>
          <w:tcPr>
            <w:tcW w:w="196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行政运行</w:t>
            </w:r>
          </w:p>
        </w:tc>
        <w:tc>
          <w:tcPr>
            <w:tcW w:w="2019"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eastAsia="仿宋_GB2312"/>
                <w:color w:val="000000"/>
                <w:sz w:val="20"/>
                <w:szCs w:val="20"/>
              </w:rPr>
              <w:t>570.69</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eastAsia="仿宋_GB2312"/>
                <w:color w:val="000000"/>
                <w:sz w:val="20"/>
                <w:szCs w:val="20"/>
              </w:rPr>
              <w:t>570.69</w:t>
            </w: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0</w:t>
            </w:r>
          </w:p>
        </w:tc>
      </w:tr>
      <w:tr>
        <w:tblPrEx>
          <w:tblLayout w:type="fixed"/>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212</w:t>
            </w:r>
          </w:p>
        </w:tc>
        <w:tc>
          <w:tcPr>
            <w:tcW w:w="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06</w:t>
            </w:r>
          </w:p>
        </w:tc>
        <w:tc>
          <w:tcPr>
            <w:tcW w:w="19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工程建设管理</w:t>
            </w:r>
          </w:p>
        </w:tc>
        <w:tc>
          <w:tcPr>
            <w:tcW w:w="2019"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eastAsia="仿宋_GB2312"/>
                <w:color w:val="000000"/>
                <w:sz w:val="20"/>
                <w:szCs w:val="20"/>
              </w:rPr>
              <w:t>283.46</w:t>
            </w:r>
          </w:p>
        </w:tc>
        <w:tc>
          <w:tcPr>
            <w:tcW w:w="1842" w:type="dxa"/>
            <w:gridSpan w:val="2"/>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eastAsia="仿宋_GB2312"/>
                <w:color w:val="000000"/>
                <w:sz w:val="20"/>
                <w:szCs w:val="20"/>
              </w:rPr>
              <w:t>283.46</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w:t>
            </w:r>
          </w:p>
        </w:tc>
      </w:tr>
      <w:tr>
        <w:tblPrEx>
          <w:tblLayout w:type="fixed"/>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9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019"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9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019"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9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019"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9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019"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9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19"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9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19"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9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19"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9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19"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9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19"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9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19"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9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19"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9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19"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9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19"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9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019"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40"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96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2019"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854.15</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854.15</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4"/>
        <w:tblW w:w="9087" w:type="dxa"/>
        <w:tblInd w:w="93" w:type="dxa"/>
        <w:tblLayout w:type="fixed"/>
        <w:tblCellMar>
          <w:top w:w="0" w:type="dxa"/>
          <w:left w:w="108" w:type="dxa"/>
          <w:bottom w:w="0" w:type="dxa"/>
          <w:right w:w="108" w:type="dxa"/>
        </w:tblCellMar>
      </w:tblPr>
      <w:tblGrid>
        <w:gridCol w:w="516"/>
        <w:gridCol w:w="729"/>
        <w:gridCol w:w="2739"/>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087"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3984"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编制部门：昌吉州住房和城乡建设局</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3984"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245"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73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729"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73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p>
        </w:tc>
        <w:tc>
          <w:tcPr>
            <w:tcW w:w="729"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p>
        </w:tc>
        <w:tc>
          <w:tcPr>
            <w:tcW w:w="2739"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854.15</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753.54</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100.61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729"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2739"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基本工资</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162.63</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162.63</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仿宋_GB2312" w:hAnsi="宋体" w:eastAsia="仿宋_GB2312" w:cs="宋体"/>
                <w:color w:val="000000"/>
                <w:kern w:val="0"/>
                <w:sz w:val="20"/>
                <w:szCs w:val="20"/>
              </w:rPr>
              <w:t>301</w:t>
            </w:r>
          </w:p>
        </w:tc>
        <w:tc>
          <w:tcPr>
            <w:tcW w:w="72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仿宋_GB2312" w:hAnsi="宋体" w:eastAsia="仿宋_GB2312" w:cs="宋体"/>
                <w:color w:val="000000"/>
                <w:kern w:val="0"/>
                <w:sz w:val="20"/>
                <w:szCs w:val="20"/>
              </w:rPr>
              <w:t>01</w:t>
            </w:r>
          </w:p>
        </w:tc>
        <w:tc>
          <w:tcPr>
            <w:tcW w:w="2739"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基本工资</w:t>
            </w:r>
          </w:p>
        </w:tc>
        <w:tc>
          <w:tcPr>
            <w:tcW w:w="1701" w:type="dxa"/>
            <w:gridSpan w:val="2"/>
            <w:tcBorders>
              <w:top w:val="nil"/>
              <w:left w:val="nil"/>
              <w:bottom w:val="single" w:color="auto" w:sz="4" w:space="0"/>
              <w:right w:val="single" w:color="auto" w:sz="4" w:space="0"/>
            </w:tcBorders>
            <w:vAlign w:val="center"/>
          </w:tcPr>
          <w:p>
            <w:pPr>
              <w:widowControl/>
              <w:ind w:right="147" w:rightChars="70"/>
              <w:jc w:val="left"/>
              <w:rPr>
                <w:rFonts w:ascii="宋体" w:hAnsi="宋体" w:cs="宋体"/>
                <w:color w:val="000000"/>
                <w:kern w:val="0"/>
                <w:sz w:val="20"/>
                <w:szCs w:val="20"/>
              </w:rPr>
            </w:pPr>
            <w:r>
              <w:rPr>
                <w:rFonts w:hint="eastAsia" w:ascii="宋体" w:hAnsi="宋体" w:cs="宋体"/>
                <w:color w:val="000000"/>
                <w:kern w:val="0"/>
                <w:sz w:val="20"/>
                <w:szCs w:val="20"/>
              </w:rPr>
              <w:t>90.22</w:t>
            </w:r>
          </w:p>
        </w:tc>
        <w:tc>
          <w:tcPr>
            <w:tcW w:w="1701" w:type="dxa"/>
            <w:gridSpan w:val="2"/>
            <w:tcBorders>
              <w:top w:val="nil"/>
              <w:left w:val="nil"/>
              <w:bottom w:val="single" w:color="auto" w:sz="4" w:space="0"/>
              <w:right w:val="single" w:color="auto" w:sz="4" w:space="0"/>
            </w:tcBorders>
            <w:vAlign w:val="center"/>
          </w:tcPr>
          <w:p>
            <w:pPr>
              <w:widowControl/>
              <w:ind w:right="147" w:rightChars="70"/>
              <w:jc w:val="left"/>
              <w:rPr>
                <w:rFonts w:ascii="宋体" w:hAnsi="宋体" w:cs="宋体"/>
                <w:color w:val="000000"/>
                <w:kern w:val="0"/>
                <w:sz w:val="20"/>
                <w:szCs w:val="20"/>
              </w:rPr>
            </w:pPr>
            <w:r>
              <w:rPr>
                <w:rFonts w:hint="eastAsia" w:ascii="宋体" w:hAnsi="宋体" w:cs="宋体"/>
                <w:color w:val="000000"/>
                <w:kern w:val="0"/>
                <w:sz w:val="20"/>
                <w:szCs w:val="20"/>
              </w:rPr>
              <w:t>90.22</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72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02</w:t>
            </w:r>
          </w:p>
        </w:tc>
        <w:tc>
          <w:tcPr>
            <w:tcW w:w="273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津贴补贴</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55.18</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55.18</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72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02</w:t>
            </w:r>
          </w:p>
        </w:tc>
        <w:tc>
          <w:tcPr>
            <w:tcW w:w="273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津贴补贴</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7.9</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7.9</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72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03</w:t>
            </w:r>
          </w:p>
        </w:tc>
        <w:tc>
          <w:tcPr>
            <w:tcW w:w="273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奖金</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11.05</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11.05</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72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03</w:t>
            </w:r>
          </w:p>
        </w:tc>
        <w:tc>
          <w:tcPr>
            <w:tcW w:w="273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奖金</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6.15</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6.15</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72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06</w:t>
            </w:r>
          </w:p>
        </w:tc>
        <w:tc>
          <w:tcPr>
            <w:tcW w:w="2739"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伙食补助费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42.84</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42.84</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72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06</w:t>
            </w:r>
          </w:p>
        </w:tc>
        <w:tc>
          <w:tcPr>
            <w:tcW w:w="2739"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伙食补助费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23.94</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23.94</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72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07</w:t>
            </w:r>
          </w:p>
        </w:tc>
        <w:tc>
          <w:tcPr>
            <w:tcW w:w="273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绩效工资</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39.92</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39.92</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72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07</w:t>
            </w:r>
          </w:p>
        </w:tc>
        <w:tc>
          <w:tcPr>
            <w:tcW w:w="273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绩效工资</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44.62</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44.62</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72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08</w:t>
            </w:r>
          </w:p>
        </w:tc>
        <w:tc>
          <w:tcPr>
            <w:tcW w:w="2739"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18"/>
                <w:szCs w:val="18"/>
              </w:rPr>
            </w:pPr>
            <w:r>
              <w:rPr>
                <w:rFonts w:ascii="Dialog" w:hAnsi="Dialog" w:eastAsia="Dialog" w:cs="Dialog"/>
                <w:color w:val="000000"/>
                <w:kern w:val="0"/>
                <w:sz w:val="18"/>
                <w:szCs w:val="18"/>
                <w:lang w:bidi="ar"/>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53.75</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53.75</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72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08</w:t>
            </w:r>
          </w:p>
        </w:tc>
        <w:tc>
          <w:tcPr>
            <w:tcW w:w="2739"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18"/>
                <w:szCs w:val="18"/>
                <w:lang w:bidi="ar"/>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29.78</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29.78</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72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10</w:t>
            </w:r>
          </w:p>
        </w:tc>
        <w:tc>
          <w:tcPr>
            <w:tcW w:w="2739"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职工基本医疗保险缴费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37.36</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37.36</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72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10</w:t>
            </w:r>
          </w:p>
        </w:tc>
        <w:tc>
          <w:tcPr>
            <w:tcW w:w="2739"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职工基本医疗保险缴费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16.35</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16.35</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72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11</w:t>
            </w:r>
          </w:p>
        </w:tc>
        <w:tc>
          <w:tcPr>
            <w:tcW w:w="2739"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29.06</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29.06</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72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11</w:t>
            </w:r>
          </w:p>
        </w:tc>
        <w:tc>
          <w:tcPr>
            <w:tcW w:w="2739"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12.72</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12.72</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72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12</w:t>
            </w:r>
          </w:p>
        </w:tc>
        <w:tc>
          <w:tcPr>
            <w:tcW w:w="2739"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1.35</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1.35</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72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12</w:t>
            </w:r>
          </w:p>
        </w:tc>
        <w:tc>
          <w:tcPr>
            <w:tcW w:w="2739"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1.07</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1.07</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72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13</w:t>
            </w:r>
          </w:p>
        </w:tc>
        <w:tc>
          <w:tcPr>
            <w:tcW w:w="2739"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住房公积金</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32.26</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32.26</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72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13</w:t>
            </w:r>
          </w:p>
        </w:tc>
        <w:tc>
          <w:tcPr>
            <w:tcW w:w="2739"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住房公积金</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17.86</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17.86</w:t>
            </w:r>
          </w:p>
        </w:tc>
      </w:tr>
      <w:tr>
        <w:tblPrEx>
          <w:tblLayout w:type="fixed"/>
          <w:tblCellMar>
            <w:top w:w="0" w:type="dxa"/>
            <w:left w:w="108" w:type="dxa"/>
            <w:bottom w:w="0" w:type="dxa"/>
            <w:right w:w="108" w:type="dxa"/>
          </w:tblCellMar>
        </w:tblPrEx>
        <w:trPr>
          <w:trHeight w:val="402" w:hRule="atLeast"/>
        </w:trPr>
        <w:tc>
          <w:tcPr>
            <w:tcW w:w="51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29"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01</w:t>
            </w:r>
          </w:p>
        </w:tc>
        <w:tc>
          <w:tcPr>
            <w:tcW w:w="2739"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办公费</w:t>
            </w:r>
          </w:p>
        </w:tc>
        <w:tc>
          <w:tcPr>
            <w:tcW w:w="1701"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4.95</w:t>
            </w:r>
          </w:p>
        </w:tc>
        <w:tc>
          <w:tcPr>
            <w:tcW w:w="1701"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4.95</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2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01</w:t>
            </w:r>
          </w:p>
        </w:tc>
        <w:tc>
          <w:tcPr>
            <w:tcW w:w="273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办公费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3.9</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3.9</w:t>
            </w:r>
          </w:p>
        </w:tc>
      </w:tr>
      <w:tr>
        <w:tblPrEx>
          <w:tblLayout w:type="fixed"/>
          <w:tblCellMar>
            <w:top w:w="0" w:type="dxa"/>
            <w:left w:w="108" w:type="dxa"/>
            <w:bottom w:w="0" w:type="dxa"/>
            <w:right w:w="108" w:type="dxa"/>
          </w:tblCellMar>
        </w:tblPrEx>
        <w:trPr>
          <w:trHeight w:val="402" w:hRule="atLeast"/>
        </w:trPr>
        <w:tc>
          <w:tcPr>
            <w:tcW w:w="51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29"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02</w:t>
            </w:r>
          </w:p>
        </w:tc>
        <w:tc>
          <w:tcPr>
            <w:tcW w:w="2739"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印刷费</w:t>
            </w:r>
          </w:p>
        </w:tc>
        <w:tc>
          <w:tcPr>
            <w:tcW w:w="1701"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w:t>
            </w:r>
          </w:p>
        </w:tc>
        <w:tc>
          <w:tcPr>
            <w:tcW w:w="1701"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w:t>
            </w:r>
          </w:p>
        </w:tc>
      </w:tr>
      <w:tr>
        <w:tblPrEx>
          <w:tblLayout w:type="fixed"/>
          <w:tblCellMar>
            <w:top w:w="0" w:type="dxa"/>
            <w:left w:w="108" w:type="dxa"/>
            <w:bottom w:w="0" w:type="dxa"/>
            <w:right w:w="108" w:type="dxa"/>
          </w:tblCellMar>
        </w:tblPrEx>
        <w:trPr>
          <w:trHeight w:val="402" w:hRule="atLeast"/>
        </w:trPr>
        <w:tc>
          <w:tcPr>
            <w:tcW w:w="51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29"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02</w:t>
            </w:r>
          </w:p>
        </w:tc>
        <w:tc>
          <w:tcPr>
            <w:tcW w:w="2739"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印刷费</w:t>
            </w:r>
          </w:p>
        </w:tc>
        <w:tc>
          <w:tcPr>
            <w:tcW w:w="1701"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w:t>
            </w:r>
          </w:p>
        </w:tc>
        <w:tc>
          <w:tcPr>
            <w:tcW w:w="1701"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2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05</w:t>
            </w:r>
          </w:p>
        </w:tc>
        <w:tc>
          <w:tcPr>
            <w:tcW w:w="273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水费</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0.2</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0.2</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2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05</w:t>
            </w:r>
          </w:p>
        </w:tc>
        <w:tc>
          <w:tcPr>
            <w:tcW w:w="273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水费</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0.05</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0.05</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2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06</w:t>
            </w:r>
          </w:p>
        </w:tc>
        <w:tc>
          <w:tcPr>
            <w:tcW w:w="273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电费</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2.2</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2.2</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2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06</w:t>
            </w:r>
          </w:p>
        </w:tc>
        <w:tc>
          <w:tcPr>
            <w:tcW w:w="273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电费</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0.2</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0.2</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2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07</w:t>
            </w:r>
          </w:p>
        </w:tc>
        <w:tc>
          <w:tcPr>
            <w:tcW w:w="273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邮电费</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0.3</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0.3</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2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07</w:t>
            </w:r>
          </w:p>
        </w:tc>
        <w:tc>
          <w:tcPr>
            <w:tcW w:w="273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邮电费</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0.4</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0.4</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2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08</w:t>
            </w:r>
          </w:p>
        </w:tc>
        <w:tc>
          <w:tcPr>
            <w:tcW w:w="273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取暖费</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12.55</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12.55</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2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09</w:t>
            </w:r>
          </w:p>
        </w:tc>
        <w:tc>
          <w:tcPr>
            <w:tcW w:w="273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物业管理费</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1.98</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1.98</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2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09</w:t>
            </w:r>
          </w:p>
        </w:tc>
        <w:tc>
          <w:tcPr>
            <w:tcW w:w="273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物业管理费</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0.64</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0.64</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2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11</w:t>
            </w:r>
          </w:p>
        </w:tc>
        <w:tc>
          <w:tcPr>
            <w:tcW w:w="273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差旅费</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13.44</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13.44</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2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11</w:t>
            </w:r>
          </w:p>
        </w:tc>
        <w:tc>
          <w:tcPr>
            <w:tcW w:w="273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差旅费</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6</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6</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2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13</w:t>
            </w:r>
          </w:p>
        </w:tc>
        <w:tc>
          <w:tcPr>
            <w:tcW w:w="273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维修（护）费</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1.5</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1.5</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2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13</w:t>
            </w:r>
          </w:p>
        </w:tc>
        <w:tc>
          <w:tcPr>
            <w:tcW w:w="273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维修（护）费</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1.5</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1.5</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2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16</w:t>
            </w:r>
          </w:p>
        </w:tc>
        <w:tc>
          <w:tcPr>
            <w:tcW w:w="273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培训费</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0.6</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0.6</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2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16</w:t>
            </w:r>
          </w:p>
        </w:tc>
        <w:tc>
          <w:tcPr>
            <w:tcW w:w="273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培训费</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0.5</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0.5</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2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17</w:t>
            </w:r>
          </w:p>
        </w:tc>
        <w:tc>
          <w:tcPr>
            <w:tcW w:w="273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公务接待费</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0.83</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0.83</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2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26</w:t>
            </w:r>
          </w:p>
        </w:tc>
        <w:tc>
          <w:tcPr>
            <w:tcW w:w="273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劳务费</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3.67</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3.67</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2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26</w:t>
            </w:r>
          </w:p>
        </w:tc>
        <w:tc>
          <w:tcPr>
            <w:tcW w:w="273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劳务费</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2.4</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2.4</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2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28</w:t>
            </w:r>
          </w:p>
        </w:tc>
        <w:tc>
          <w:tcPr>
            <w:tcW w:w="273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工会经费</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3.25</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3.25</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2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28</w:t>
            </w:r>
          </w:p>
        </w:tc>
        <w:tc>
          <w:tcPr>
            <w:tcW w:w="273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工会经费</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1.8</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1.8</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2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29</w:t>
            </w:r>
          </w:p>
        </w:tc>
        <w:tc>
          <w:tcPr>
            <w:tcW w:w="273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福利费</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4.28</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4.28</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2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29</w:t>
            </w:r>
          </w:p>
        </w:tc>
        <w:tc>
          <w:tcPr>
            <w:tcW w:w="273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福利费</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2.4</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2.4</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2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31</w:t>
            </w:r>
          </w:p>
        </w:tc>
        <w:tc>
          <w:tcPr>
            <w:tcW w:w="273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公务车运行维护费</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10.79</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10.79</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　302</w:t>
            </w:r>
          </w:p>
        </w:tc>
        <w:tc>
          <w:tcPr>
            <w:tcW w:w="72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31　</w:t>
            </w:r>
          </w:p>
        </w:tc>
        <w:tc>
          <w:tcPr>
            <w:tcW w:w="273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公务车运行维护费</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　5.24</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5.24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　302</w:t>
            </w:r>
          </w:p>
        </w:tc>
        <w:tc>
          <w:tcPr>
            <w:tcW w:w="72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99　</w:t>
            </w:r>
          </w:p>
        </w:tc>
        <w:tc>
          <w:tcPr>
            <w:tcW w:w="273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其他商品和服务支出</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　6.92</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　6.92</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　302</w:t>
            </w:r>
          </w:p>
        </w:tc>
        <w:tc>
          <w:tcPr>
            <w:tcW w:w="72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99　</w:t>
            </w:r>
          </w:p>
        </w:tc>
        <w:tc>
          <w:tcPr>
            <w:tcW w:w="273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其他商品和服务支出</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2.55</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2.55</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303</w:t>
            </w:r>
          </w:p>
        </w:tc>
        <w:tc>
          <w:tcPr>
            <w:tcW w:w="72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01</w:t>
            </w:r>
          </w:p>
        </w:tc>
        <w:tc>
          <w:tcPr>
            <w:tcW w:w="273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离休费</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23.73</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23.73</w:t>
            </w:r>
          </w:p>
        </w:tc>
        <w:tc>
          <w:tcPr>
            <w:tcW w:w="170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303</w:t>
            </w:r>
          </w:p>
        </w:tc>
        <w:tc>
          <w:tcPr>
            <w:tcW w:w="72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05</w:t>
            </w:r>
          </w:p>
        </w:tc>
        <w:tc>
          <w:tcPr>
            <w:tcW w:w="273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生活补助</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2.76</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2.76</w:t>
            </w:r>
          </w:p>
        </w:tc>
        <w:tc>
          <w:tcPr>
            <w:tcW w:w="170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303</w:t>
            </w:r>
          </w:p>
        </w:tc>
        <w:tc>
          <w:tcPr>
            <w:tcW w:w="72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07</w:t>
            </w:r>
          </w:p>
        </w:tc>
        <w:tc>
          <w:tcPr>
            <w:tcW w:w="273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医疗补助费</w:t>
            </w:r>
          </w:p>
        </w:tc>
        <w:tc>
          <w:tcPr>
            <w:tcW w:w="1701"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0.2</w:t>
            </w:r>
          </w:p>
        </w:tc>
        <w:tc>
          <w:tcPr>
            <w:tcW w:w="1701"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0.2</w:t>
            </w:r>
          </w:p>
        </w:tc>
        <w:tc>
          <w:tcPr>
            <w:tcW w:w="170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303</w:t>
            </w:r>
          </w:p>
        </w:tc>
        <w:tc>
          <w:tcPr>
            <w:tcW w:w="72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09</w:t>
            </w:r>
          </w:p>
        </w:tc>
        <w:tc>
          <w:tcPr>
            <w:tcW w:w="273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奖励金</w:t>
            </w:r>
          </w:p>
        </w:tc>
        <w:tc>
          <w:tcPr>
            <w:tcW w:w="1701"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2.54</w:t>
            </w:r>
          </w:p>
        </w:tc>
        <w:tc>
          <w:tcPr>
            <w:tcW w:w="1701"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2.54</w:t>
            </w:r>
          </w:p>
        </w:tc>
        <w:tc>
          <w:tcPr>
            <w:tcW w:w="170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2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09</w:t>
            </w:r>
          </w:p>
        </w:tc>
        <w:tc>
          <w:tcPr>
            <w:tcW w:w="273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奖励金</w:t>
            </w:r>
          </w:p>
        </w:tc>
        <w:tc>
          <w:tcPr>
            <w:tcW w:w="1701"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0.3</w:t>
            </w:r>
          </w:p>
        </w:tc>
        <w:tc>
          <w:tcPr>
            <w:tcW w:w="1701"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0.3</w:t>
            </w:r>
          </w:p>
        </w:tc>
        <w:tc>
          <w:tcPr>
            <w:tcW w:w="170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303</w:t>
            </w:r>
          </w:p>
        </w:tc>
        <w:tc>
          <w:tcPr>
            <w:tcW w:w="72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14</w:t>
            </w:r>
          </w:p>
        </w:tc>
        <w:tc>
          <w:tcPr>
            <w:tcW w:w="273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职工住宅取暖费</w:t>
            </w:r>
          </w:p>
        </w:tc>
        <w:tc>
          <w:tcPr>
            <w:tcW w:w="1701"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8</w:t>
            </w:r>
          </w:p>
        </w:tc>
        <w:tc>
          <w:tcPr>
            <w:tcW w:w="1701" w:type="dxa"/>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8</w:t>
            </w:r>
          </w:p>
        </w:tc>
        <w:tc>
          <w:tcPr>
            <w:tcW w:w="170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72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73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left"/>
              <w:rPr>
                <w:rFonts w:ascii="宋体" w:hAnsi="宋体" w:cs="宋体"/>
                <w:color w:val="000000"/>
                <w:kern w:val="0"/>
                <w:sz w:val="20"/>
                <w:szCs w:val="20"/>
              </w:rPr>
            </w:pPr>
            <w:r>
              <w:rPr>
                <w:rFonts w:hint="eastAsia" w:ascii="宋体" w:hAnsi="宋体" w:cs="宋体"/>
                <w:color w:val="000000"/>
                <w:kern w:val="0"/>
                <w:sz w:val="20"/>
                <w:szCs w:val="20"/>
              </w:rPr>
              <w:t>　</w:t>
            </w:r>
          </w:p>
        </w:tc>
      </w:tr>
    </w:tbl>
    <w:p>
      <w:pPr>
        <w:keepNext w:val="0"/>
        <w:keepLines w:val="0"/>
        <w:pageBreakBefore w:val="0"/>
        <w:widowControl/>
        <w:kinsoku/>
        <w:wordWrap/>
        <w:overflowPunct/>
        <w:topLinePunct w:val="0"/>
        <w:autoSpaceDE/>
        <w:autoSpaceDN/>
        <w:bidi w:val="0"/>
        <w:adjustRightInd/>
        <w:snapToGrid/>
        <w:spacing w:line="200" w:lineRule="exact"/>
        <w:jc w:val="lef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keepNext w:val="0"/>
        <w:keepLines w:val="0"/>
        <w:pageBreakBefore w:val="0"/>
        <w:widowControl/>
        <w:kinsoku/>
        <w:wordWrap/>
        <w:overflowPunct/>
        <w:topLinePunct w:val="0"/>
        <w:autoSpaceDE/>
        <w:autoSpaceDN/>
        <w:bidi w:val="0"/>
        <w:adjustRightInd/>
        <w:snapToGrid/>
        <w:spacing w:line="200" w:lineRule="exact"/>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4"/>
        <w:tblW w:w="9469" w:type="dxa"/>
        <w:tblInd w:w="93"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tblPrEx>
          <w:tblLayout w:type="fixed"/>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8"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编制部门：昌吉州住房和城乡建设局</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851" w:type="dxa"/>
          </w:tcPr>
          <w:p>
            <w:pPr>
              <w:widowControl/>
              <w:jc w:val="left"/>
              <w:outlineLvl w:val="1"/>
              <w:rPr>
                <w:rFonts w:ascii="仿宋_GB2312" w:hAnsi="宋体" w:eastAsia="仿宋_GB2312"/>
                <w:kern w:val="0"/>
                <w:sz w:val="32"/>
                <w:szCs w:val="32"/>
              </w:rPr>
            </w:pPr>
          </w:p>
        </w:tc>
        <w:tc>
          <w:tcPr>
            <w:tcW w:w="1456" w:type="dxa"/>
          </w:tcPr>
          <w:p>
            <w:pPr>
              <w:widowControl/>
              <w:jc w:val="left"/>
              <w:outlineLvl w:val="1"/>
              <w:rPr>
                <w:rFonts w:ascii="仿宋_GB2312" w:hAnsi="宋体" w:eastAsia="仿宋_GB2312"/>
                <w:kern w:val="0"/>
                <w:sz w:val="32"/>
                <w:szCs w:val="32"/>
              </w:rPr>
            </w:pPr>
          </w:p>
        </w:tc>
        <w:tc>
          <w:tcPr>
            <w:tcW w:w="750" w:type="dxa"/>
          </w:tcPr>
          <w:p>
            <w:pPr>
              <w:widowControl/>
              <w:jc w:val="left"/>
              <w:outlineLvl w:val="1"/>
              <w:rPr>
                <w:rFonts w:ascii="仿宋_GB2312" w:hAnsi="宋体" w:eastAsia="仿宋_GB2312"/>
                <w:kern w:val="0"/>
                <w:sz w:val="32"/>
                <w:szCs w:val="32"/>
              </w:rPr>
            </w:pPr>
          </w:p>
        </w:tc>
        <w:tc>
          <w:tcPr>
            <w:tcW w:w="569" w:type="dxa"/>
            <w:gridSpan w:val="2"/>
          </w:tcPr>
          <w:p>
            <w:pPr>
              <w:widowControl/>
              <w:jc w:val="left"/>
              <w:outlineLvl w:val="1"/>
              <w:rPr>
                <w:rFonts w:ascii="仿宋_GB2312" w:hAnsi="宋体" w:eastAsia="仿宋_GB2312"/>
                <w:kern w:val="0"/>
                <w:sz w:val="32"/>
                <w:szCs w:val="32"/>
              </w:rPr>
            </w:pPr>
          </w:p>
        </w:tc>
        <w:tc>
          <w:tcPr>
            <w:tcW w:w="536"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397"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vAlign w:val="center"/>
          </w:tcPr>
          <w:p>
            <w:pPr>
              <w:widowControl/>
              <w:jc w:val="center"/>
              <w:outlineLvl w:val="1"/>
              <w:rPr>
                <w:rFonts w:ascii="仿宋_GB2312" w:hAnsi="宋体" w:eastAsia="仿宋_GB2312"/>
                <w:kern w:val="0"/>
                <w:szCs w:val="21"/>
              </w:rPr>
            </w:pP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hint="default" w:ascii="仿宋_GB2312" w:hAnsi="宋体" w:eastAsia="仿宋_GB2312"/>
          <w:b/>
          <w:kern w:val="0"/>
          <w:sz w:val="28"/>
          <w:szCs w:val="32"/>
          <w:lang w:val="en-US" w:eastAsia="zh-CN"/>
        </w:rPr>
      </w:pPr>
      <w:r>
        <w:rPr>
          <w:rFonts w:hint="eastAsia" w:ascii="仿宋_GB2312" w:hAnsi="宋体" w:eastAsia="仿宋_GB2312"/>
          <w:b/>
          <w:kern w:val="0"/>
          <w:sz w:val="28"/>
          <w:szCs w:val="32"/>
          <w:lang w:val="en-US" w:eastAsia="zh-CN"/>
        </w:rPr>
        <w:t xml:space="preserve"> 备注：2019年预算无项目安排，本表为空表。</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编制单位：昌吉州住房和城乡建设局                                                 单位：万元</w:t>
      </w:r>
    </w:p>
    <w:tbl>
      <w:tblPr>
        <w:tblStyle w:val="4"/>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16.86</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16.03</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16.03</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0.83</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 昌吉州住房和城乡建设局                                                    单位：万元</w:t>
      </w:r>
    </w:p>
    <w:tbl>
      <w:tblPr>
        <w:tblStyle w:val="4"/>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highlight w:val="yellow"/>
        </w:rPr>
        <w:t>无内容应公开空表并说明情况。</w:t>
      </w:r>
    </w:p>
    <w:p>
      <w:pPr>
        <w:widowControl/>
        <w:jc w:val="left"/>
        <w:outlineLvl w:val="1"/>
      </w:pPr>
    </w:p>
    <w:p>
      <w:pPr>
        <w:widowControl/>
        <w:jc w:val="left"/>
        <w:outlineLvl w:val="1"/>
        <w:rPr>
          <w:sz w:val="28"/>
          <w:szCs w:val="28"/>
        </w:rPr>
        <w:sectPr>
          <w:headerReference r:id="rId3" w:type="default"/>
          <w:footerReference r:id="rId4" w:type="default"/>
          <w:footerReference r:id="rId5" w:type="even"/>
          <w:pgSz w:w="11906" w:h="16838"/>
          <w:pgMar w:top="2098" w:right="1418" w:bottom="1928" w:left="1588" w:header="851" w:footer="992" w:gutter="0"/>
          <w:pgNumType w:fmt="numberInDash"/>
          <w:cols w:space="720" w:num="1"/>
          <w:docGrid w:linePitch="312" w:charSpace="0"/>
        </w:sectPr>
      </w:pPr>
      <w:r>
        <w:rPr>
          <w:rFonts w:hint="eastAsia"/>
          <w:sz w:val="28"/>
          <w:szCs w:val="28"/>
        </w:rPr>
        <w:t>备注：我单位没有安排政府性基金预算</w:t>
      </w:r>
    </w:p>
    <w:p>
      <w:pPr>
        <w:widowControl/>
        <w:jc w:val="left"/>
        <w:outlineLvl w:val="1"/>
        <w:sectPr>
          <w:headerReference r:id="rId6" w:type="default"/>
          <w:footerReference r:id="rId7" w:type="default"/>
          <w:footerReference r:id="rId8" w:type="even"/>
          <w:pgSz w:w="11906" w:h="16838"/>
          <w:pgMar w:top="2098" w:right="1418" w:bottom="1928" w:left="1588" w:header="851" w:footer="992" w:gutter="0"/>
          <w:pgNumType w:fmt="numberInDash"/>
          <w:cols w:space="720" w:num="1"/>
          <w:docGrid w:linePitch="312" w:charSpace="0"/>
        </w:sectPr>
      </w:pP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第三部分 昌吉州住房和城乡建设局2019年部门预算情况说明</w:t>
      </w:r>
    </w:p>
    <w:p>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关于昌吉州住房和城乡建设局2019年收支预算情况的总体说明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按照全口径预算的原则，昌吉州住房和城乡建设局2019年所有收入和支出均纳入部门预算管理。收支总预算 854.15万元。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支出预算包括:城乡社区支出。</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二、关于昌吉州住房和城乡建设局2019年收入预算情况说明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昌吉州住房和城乡建设局2019年收入预算 854.15万元，其中：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一般公共预算854.15 万元，占100 %，比上年增加</w:t>
      </w:r>
    </w:p>
    <w:p>
      <w:pPr>
        <w:widowControl/>
        <w:spacing w:line="5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283.46万元，主要原因是合并编制原昌吉州建设工程招投标</w:t>
      </w:r>
    </w:p>
    <w:p>
      <w:pPr>
        <w:widowControl/>
        <w:spacing w:line="5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监督站、昌吉州建设工程质量监督管理站、昌吉州建设工程</w:t>
      </w:r>
    </w:p>
    <w:p>
      <w:pPr>
        <w:widowControl/>
        <w:spacing w:line="5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造价服务中心、昌吉州建设工程质量服务中心四个事业单位预算。人员增加了21人。    </w:t>
      </w:r>
    </w:p>
    <w:p>
      <w:pPr>
        <w:widowControl/>
        <w:spacing w:line="580" w:lineRule="exact"/>
        <w:ind w:firstLine="640"/>
        <w:jc w:val="left"/>
        <w:rPr>
          <w:rFonts w:hint="eastAsia" w:ascii="仿宋_GB2312" w:hAnsi="宋体" w:eastAsia="仿宋_GB2312" w:cs="宋体"/>
          <w:kern w:val="0"/>
          <w:sz w:val="32"/>
          <w:szCs w:val="32"/>
          <w:highlight w:val="yellow"/>
        </w:rPr>
      </w:pPr>
      <w:r>
        <w:rPr>
          <w:rFonts w:hint="eastAsia" w:ascii="仿宋_GB2312" w:hAnsi="宋体" w:eastAsia="仿宋_GB2312" w:cs="宋体"/>
          <w:kern w:val="0"/>
          <w:sz w:val="32"/>
          <w:szCs w:val="32"/>
          <w:highlight w:val="yellow"/>
        </w:rPr>
        <w:t>政府性基金预算未安排。</w:t>
      </w:r>
    </w:p>
    <w:p>
      <w:pPr>
        <w:widowControl/>
        <w:spacing w:line="580" w:lineRule="exact"/>
        <w:ind w:firstLine="640"/>
        <w:jc w:val="left"/>
        <w:rPr>
          <w:rFonts w:hint="eastAsia" w:ascii="仿宋_GB2312" w:hAnsi="宋体" w:eastAsia="仿宋_GB2312" w:cs="宋体"/>
          <w:kern w:val="0"/>
          <w:sz w:val="32"/>
          <w:szCs w:val="32"/>
          <w:highlight w:val="yellow"/>
          <w:lang w:val="en-US" w:eastAsia="zh-CN"/>
        </w:rPr>
      </w:pPr>
      <w:r>
        <w:rPr>
          <w:rFonts w:hint="eastAsia" w:ascii="仿宋_GB2312" w:hAnsi="宋体" w:eastAsia="仿宋_GB2312" w:cs="宋体"/>
          <w:kern w:val="0"/>
          <w:sz w:val="32"/>
          <w:szCs w:val="32"/>
          <w:highlight w:val="yellow"/>
        </w:rPr>
        <w:t>财政专户管理资金0 元，</w:t>
      </w:r>
      <w:r>
        <w:rPr>
          <w:rFonts w:hint="eastAsia" w:ascii="仿宋_GB2312" w:hAnsi="宋体" w:eastAsia="仿宋_GB2312" w:cs="宋体"/>
          <w:kern w:val="0"/>
          <w:sz w:val="32"/>
          <w:szCs w:val="32"/>
        </w:rPr>
        <w:t xml:space="preserve">占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%，比上年增加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highlight w:val="yellow"/>
          <w:lang w:val="en-US" w:eastAsia="zh-CN"/>
        </w:rPr>
        <w:t>2019年预算无财政专户管理资金</w:t>
      </w:r>
    </w:p>
    <w:p>
      <w:pPr>
        <w:widowControl/>
        <w:spacing w:line="580" w:lineRule="exact"/>
        <w:ind w:firstLine="640"/>
        <w:jc w:val="left"/>
        <w:rPr>
          <w:rFonts w:hint="eastAsia" w:ascii="仿宋_GB2312" w:hAnsi="宋体" w:eastAsia="仿宋_GB2312" w:cs="宋体"/>
          <w:kern w:val="0"/>
          <w:sz w:val="32"/>
          <w:szCs w:val="32"/>
          <w:highlight w:val="yellow"/>
        </w:rPr>
      </w:pPr>
      <w:r>
        <w:rPr>
          <w:rFonts w:hint="eastAsia" w:ascii="仿宋_GB2312" w:hAnsi="宋体" w:eastAsia="仿宋_GB2312" w:cs="宋体"/>
          <w:kern w:val="0"/>
          <w:sz w:val="32"/>
          <w:szCs w:val="32"/>
          <w:highlight w:val="yellow"/>
        </w:rPr>
        <w:t>事业收入0 万元，</w:t>
      </w:r>
      <w:r>
        <w:rPr>
          <w:rFonts w:hint="eastAsia" w:ascii="仿宋_GB2312" w:hAnsi="宋体" w:eastAsia="仿宋_GB2312" w:cs="宋体"/>
          <w:kern w:val="0"/>
          <w:sz w:val="32"/>
          <w:szCs w:val="32"/>
          <w:highlight w:val="yellow"/>
          <w:lang w:val="en-US" w:eastAsia="zh-CN"/>
        </w:rPr>
        <w:t>2019年无</w:t>
      </w:r>
      <w:r>
        <w:rPr>
          <w:rFonts w:hint="eastAsia" w:ascii="仿宋_GB2312" w:hAnsi="宋体" w:eastAsia="仿宋_GB2312" w:cs="宋体"/>
          <w:kern w:val="0"/>
          <w:sz w:val="32"/>
          <w:szCs w:val="32"/>
          <w:highlight w:val="yellow"/>
        </w:rPr>
        <w:t>事业单位经营收入</w:t>
      </w:r>
    </w:p>
    <w:p>
      <w:pPr>
        <w:widowControl/>
        <w:spacing w:line="580" w:lineRule="exact"/>
        <w:ind w:firstLine="640"/>
        <w:jc w:val="left"/>
        <w:rPr>
          <w:rFonts w:ascii="仿宋_GB2312" w:hAnsi="宋体" w:eastAsia="仿宋_GB2312" w:cs="宋体"/>
          <w:kern w:val="0"/>
          <w:sz w:val="32"/>
          <w:szCs w:val="32"/>
          <w:highlight w:val="yellow"/>
        </w:rPr>
      </w:pPr>
      <w:r>
        <w:rPr>
          <w:rFonts w:hint="eastAsia" w:ascii="仿宋_GB2312" w:hAnsi="宋体" w:eastAsia="仿宋_GB2312" w:cs="宋体"/>
          <w:kern w:val="0"/>
          <w:sz w:val="32"/>
          <w:szCs w:val="32"/>
          <w:highlight w:val="yellow"/>
        </w:rPr>
        <w:t xml:space="preserve">其他收入0万元，占0 </w:t>
      </w:r>
      <w:r>
        <w:rPr>
          <w:rFonts w:hint="eastAsia"/>
          <w:highlight w:val="yellow"/>
        </w:rPr>
        <w:t xml:space="preserve"> </w:t>
      </w:r>
      <w:r>
        <w:rPr>
          <w:rFonts w:hint="eastAsia" w:ascii="仿宋_GB2312" w:hAnsi="宋体" w:eastAsia="仿宋_GB2312" w:cs="宋体"/>
          <w:kern w:val="0"/>
          <w:sz w:val="32"/>
          <w:szCs w:val="32"/>
          <w:highlight w:val="yellow"/>
        </w:rPr>
        <w:t>%，比上年增加0 万元，主要原因是没有其他收入。</w:t>
      </w:r>
    </w:p>
    <w:p>
      <w:pPr>
        <w:widowControl/>
        <w:spacing w:line="580" w:lineRule="exact"/>
        <w:ind w:firstLine="640"/>
        <w:jc w:val="left"/>
        <w:rPr>
          <w:rFonts w:ascii="仿宋_GB2312" w:hAnsi="宋体" w:eastAsia="仿宋_GB2312" w:cs="宋体"/>
          <w:kern w:val="0"/>
          <w:sz w:val="32"/>
          <w:szCs w:val="32"/>
          <w:highlight w:val="yellow"/>
        </w:rPr>
      </w:pPr>
      <w:r>
        <w:rPr>
          <w:rFonts w:hint="eastAsia" w:ascii="仿宋_GB2312" w:hAnsi="宋体" w:eastAsia="仿宋_GB2312" w:cs="宋体"/>
          <w:kern w:val="0"/>
          <w:sz w:val="32"/>
          <w:szCs w:val="32"/>
          <w:highlight w:val="yellow"/>
        </w:rPr>
        <w:t>用事业基金弥补收支差额0万元，占 0 %，比上年增加（减少）0万元，主要原因是没有用事业基金弥补收支差额。</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highlight w:val="yellow"/>
        </w:rPr>
        <w:t>单位上年结余（不包括国库集中支付额度结余）36.52   万元，占4.27 %，比上年减少 43.85  万元，主要原因是用上年结余弥补支出，项目资金结转22.37万元，基本支出结余14.15万元。           。</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三、关于昌吉州住房和城乡及安设局2019年支出预算情况说明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昌吉州住房和城乡建设局2019年支出预算854.15万元，</w:t>
      </w:r>
    </w:p>
    <w:p>
      <w:pPr>
        <w:widowControl/>
        <w:spacing w:line="5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其中：</w:t>
      </w:r>
    </w:p>
    <w:p>
      <w:pPr>
        <w:widowControl/>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基本支出854.15万元，占 0 %，比上年增加284.09万元，主要原因是 合并编制原昌吉州建设工程招投标监督站、昌吉州建设工程质量监督管理站、昌吉州建设工程造价服务中心、昌吉州建设工程质量服务中心四个事业单位预算。人员增加了21人。    </w:t>
      </w:r>
    </w:p>
    <w:p>
      <w:pPr>
        <w:widowControl/>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 0万元，占 0 %，比上年增加0 万元，主要原因是没有项目支出。           。</w:t>
      </w:r>
    </w:p>
    <w:p>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四、关于昌吉州住房和城乡建设局2019年财政拨款收支预算情况的总体说明</w:t>
      </w:r>
    </w:p>
    <w:p>
      <w:pPr>
        <w:spacing w:line="580" w:lineRule="exact"/>
        <w:ind w:firstLine="640"/>
        <w:rPr>
          <w:rFonts w:ascii="仿宋_GB2312" w:hAnsi="宋体" w:eastAsia="仿宋_GB2312" w:cs="宋体"/>
          <w:kern w:val="0"/>
          <w:sz w:val="32"/>
          <w:szCs w:val="32"/>
          <w:highlight w:val="yellow"/>
        </w:rPr>
      </w:pPr>
      <w:r>
        <w:rPr>
          <w:rFonts w:hint="eastAsia" w:ascii="仿宋_GB2312" w:hAnsi="宋体" w:eastAsia="仿宋_GB2312" w:cs="宋体"/>
          <w:kern w:val="0"/>
          <w:sz w:val="32"/>
          <w:szCs w:val="32"/>
          <w:highlight w:val="yellow"/>
        </w:rPr>
        <w:t>201</w:t>
      </w:r>
      <w:r>
        <w:rPr>
          <w:rFonts w:hint="eastAsia" w:ascii="仿宋_GB2312" w:hAnsi="宋体" w:eastAsia="仿宋_GB2312" w:cs="宋体"/>
          <w:kern w:val="0"/>
          <w:sz w:val="32"/>
          <w:szCs w:val="32"/>
          <w:highlight w:val="yellow"/>
          <w:lang w:val="en-US" w:eastAsia="zh-CN"/>
        </w:rPr>
        <w:t>9</w:t>
      </w:r>
      <w:r>
        <w:rPr>
          <w:rFonts w:hint="eastAsia" w:ascii="仿宋_GB2312" w:hAnsi="宋体" w:eastAsia="仿宋_GB2312" w:cs="宋体"/>
          <w:kern w:val="0"/>
          <w:sz w:val="32"/>
          <w:szCs w:val="32"/>
          <w:highlight w:val="yellow"/>
        </w:rPr>
        <w:t>年财政拨款收支总预算854.15万元。</w:t>
      </w:r>
    </w:p>
    <w:p>
      <w:pPr>
        <w:spacing w:line="580" w:lineRule="exact"/>
        <w:ind w:firstLine="640"/>
        <w:rPr>
          <w:rFonts w:hint="eastAsia" w:ascii="仿宋_GB2312" w:hAnsi="宋体" w:eastAsia="仿宋_GB2312" w:cs="宋体"/>
          <w:kern w:val="0"/>
          <w:sz w:val="32"/>
          <w:szCs w:val="32"/>
          <w:highlight w:val="yellow"/>
        </w:rPr>
      </w:pPr>
      <w:r>
        <w:rPr>
          <w:rFonts w:hint="eastAsia" w:ascii="仿宋_GB2312" w:hAnsi="宋体" w:eastAsia="仿宋_GB2312" w:cs="宋体"/>
          <w:kern w:val="0"/>
          <w:sz w:val="32"/>
          <w:szCs w:val="32"/>
          <w:highlight w:val="yellow"/>
        </w:rPr>
        <w:t>收入全部为一般公共预算拨款，无政府性基金预算拨款。</w:t>
      </w:r>
    </w:p>
    <w:p>
      <w:pPr>
        <w:spacing w:line="560" w:lineRule="exact"/>
        <w:ind w:left="638" w:leftChars="304"/>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w:t>
      </w:r>
      <w:r>
        <w:rPr>
          <w:rFonts w:hint="eastAsia" w:ascii="仿宋_GB2312" w:hAnsi="宋体" w:eastAsia="仿宋_GB2312" w:cs="宋体"/>
          <w:kern w:val="0"/>
          <w:sz w:val="32"/>
          <w:szCs w:val="32"/>
          <w:lang w:val="en-US" w:eastAsia="zh-CN"/>
        </w:rPr>
        <w:t>854.15</w:t>
      </w:r>
      <w:r>
        <w:rPr>
          <w:rFonts w:hint="eastAsia" w:ascii="仿宋_GB2312" w:hAnsi="宋体" w:eastAsia="仿宋_GB2312" w:cs="宋体"/>
          <w:kern w:val="0"/>
          <w:sz w:val="32"/>
          <w:szCs w:val="32"/>
        </w:rPr>
        <w:t>万元，主要</w:t>
      </w:r>
    </w:p>
    <w:p>
      <w:pPr>
        <w:spacing w:line="560" w:lineRule="exact"/>
        <w:rPr>
          <w:rFonts w:ascii="仿宋_GB2312" w:hAnsi="宋体" w:eastAsia="仿宋_GB2312" w:cs="宋体"/>
          <w:kern w:val="0"/>
          <w:sz w:val="32"/>
          <w:szCs w:val="32"/>
        </w:rPr>
      </w:pPr>
      <w:r>
        <w:rPr>
          <w:rFonts w:hint="eastAsia" w:ascii="仿宋_GB2312" w:hAnsi="宋体" w:eastAsia="仿宋_GB2312" w:cs="宋体"/>
          <w:kern w:val="0"/>
          <w:sz w:val="32"/>
          <w:szCs w:val="32"/>
        </w:rPr>
        <w:t>用于</w:t>
      </w:r>
      <w:r>
        <w:rPr>
          <w:rFonts w:hint="eastAsia" w:ascii="仿宋_GB2312" w:hAnsi="宋体" w:eastAsia="仿宋_GB2312" w:cs="宋体"/>
          <w:kern w:val="0"/>
          <w:sz w:val="32"/>
          <w:szCs w:val="32"/>
          <w:highlight w:val="yellow"/>
        </w:rPr>
        <w:t>工资及福利支出、商品和服务支出以及其他个人和家庭补助支出</w:t>
      </w:r>
      <w:r>
        <w:rPr>
          <w:rFonts w:hint="eastAsia" w:ascii="仿宋_GB2312" w:hAnsi="宋体" w:eastAsia="仿宋_GB2312" w:cs="宋体"/>
          <w:kern w:val="0"/>
          <w:sz w:val="32"/>
          <w:szCs w:val="32"/>
        </w:rPr>
        <w:t>。</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highlight w:val="yellow"/>
        </w:rPr>
        <w:t>五、关于昌吉州住房和城乡建设局2019年一般公共预算当年拨款情况说明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昌吉州住房和城乡建设局2019年一般公共预算拨款基本支出854.15万元，比上年执行数增加284.09万元，增长</w:t>
      </w:r>
      <w:r>
        <w:rPr>
          <w:rFonts w:hint="eastAsia" w:ascii="仿宋_GB2312" w:hAnsi="宋体" w:eastAsia="仿宋_GB2312" w:cs="宋体"/>
          <w:kern w:val="0"/>
          <w:sz w:val="32"/>
          <w:szCs w:val="32"/>
          <w:highlight w:val="yellow"/>
          <w:lang w:val="en-US" w:eastAsia="zh-CN"/>
        </w:rPr>
        <w:t>49.83</w:t>
      </w:r>
      <w:r>
        <w:rPr>
          <w:rFonts w:hint="eastAsia" w:ascii="仿宋_GB2312" w:hAnsi="宋体" w:eastAsia="仿宋_GB2312" w:cs="宋体"/>
          <w:kern w:val="0"/>
          <w:sz w:val="32"/>
          <w:szCs w:val="32"/>
          <w:highlight w:val="yellow"/>
        </w:rPr>
        <w:t>%</w:t>
      </w:r>
      <w:r>
        <w:rPr>
          <w:rFonts w:hint="eastAsia" w:ascii="仿宋_GB2312" w:hAnsi="宋体" w:eastAsia="仿宋_GB2312" w:cs="宋体"/>
          <w:kern w:val="0"/>
          <w:sz w:val="32"/>
          <w:szCs w:val="32"/>
        </w:rPr>
        <w:t>。主要原因是：合并编制原昌吉州建设工程招投标</w:t>
      </w:r>
    </w:p>
    <w:p>
      <w:pPr>
        <w:widowControl/>
        <w:spacing w:line="5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监督站、昌吉州建设工程质量监督管理站、昌吉州建设工程</w:t>
      </w:r>
    </w:p>
    <w:p>
      <w:pPr>
        <w:widowControl/>
        <w:spacing w:line="5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造价服务中心、昌吉州建设工程质量服务中心四个事业单位预算。人员增加了21人。     </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80" w:lineRule="exact"/>
        <w:ind w:firstLine="640"/>
        <w:rPr>
          <w:rFonts w:hint="eastAsia" w:ascii="仿宋_GB2312" w:eastAsia="仿宋_GB2312"/>
          <w:sz w:val="32"/>
          <w:szCs w:val="32"/>
          <w:lang w:val="en-US" w:eastAsia="zh-CN"/>
        </w:rPr>
      </w:pPr>
      <w:r>
        <w:rPr>
          <w:rFonts w:hint="eastAsia" w:ascii="仿宋_GB2312" w:eastAsia="仿宋_GB2312"/>
          <w:sz w:val="32"/>
          <w:szCs w:val="32"/>
        </w:rPr>
        <w:t>1.</w:t>
      </w:r>
      <w:r>
        <w:rPr>
          <w:rFonts w:hint="eastAsia" w:ascii="仿宋_GB2312" w:eastAsia="仿宋_GB2312"/>
          <w:sz w:val="32"/>
          <w:szCs w:val="32"/>
          <w:lang w:val="en-US" w:eastAsia="zh-CN"/>
        </w:rPr>
        <w:t>2120101城乡社区管理（行政运行）570.69万元，占66.81%；</w:t>
      </w:r>
    </w:p>
    <w:p>
      <w:pPr>
        <w:spacing w:line="580" w:lineRule="exact"/>
        <w:ind w:firstLine="640"/>
        <w:rPr>
          <w:rFonts w:ascii="仿宋_GB2312" w:hAnsi="宋体" w:eastAsia="仿宋_GB2312" w:cs="宋体"/>
          <w:kern w:val="0"/>
          <w:sz w:val="32"/>
          <w:szCs w:val="32"/>
        </w:rPr>
      </w:pPr>
      <w:r>
        <w:rPr>
          <w:rFonts w:hint="eastAsia" w:ascii="仿宋_GB2312" w:eastAsia="仿宋_GB2312"/>
          <w:sz w:val="32"/>
          <w:szCs w:val="32"/>
          <w:lang w:val="en-US" w:eastAsia="zh-CN"/>
        </w:rPr>
        <w:t>2.2120106建设工程管理283.46万元，占33.19%。</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pacing w:line="580" w:lineRule="exact"/>
        <w:ind w:firstLine="320" w:firstLineChars="100"/>
        <w:jc w:val="left"/>
        <w:rPr>
          <w:rFonts w:hint="eastAsia" w:ascii="仿宋_GB2312" w:hAnsi="宋体" w:eastAsia="仿宋_GB2312" w:cs="宋体"/>
          <w:kern w:val="0"/>
          <w:sz w:val="32"/>
          <w:szCs w:val="32"/>
          <w:lang w:val="en-US" w:eastAsia="zh-CN"/>
        </w:rPr>
      </w:pPr>
      <w:r>
        <w:rPr>
          <w:rFonts w:ascii="仿宋_GB2312" w:hAnsi="宋体" w:eastAsia="仿宋_GB2312" w:cs="宋体"/>
          <w:kern w:val="0"/>
          <w:sz w:val="32"/>
          <w:szCs w:val="32"/>
        </w:rPr>
        <w:t>一般公共服务（</w:t>
      </w:r>
      <w:r>
        <w:rPr>
          <w:rFonts w:ascii="仿宋_GB2312" w:hAnsi="宋体" w:eastAsia="仿宋_GB2312" w:cs="宋体"/>
          <w:kern w:val="0"/>
          <w:sz w:val="32"/>
          <w:szCs w:val="32"/>
          <w:highlight w:val="yellow"/>
        </w:rPr>
        <w:t>类</w:t>
      </w:r>
      <w:r>
        <w:rPr>
          <w:rFonts w:ascii="仿宋_GB2312" w:hAnsi="宋体" w:eastAsia="仿宋_GB2312" w:cs="宋体"/>
          <w:kern w:val="0"/>
          <w:sz w:val="32"/>
          <w:szCs w:val="32"/>
        </w:rPr>
        <w:t>）财政事务（</w:t>
      </w:r>
      <w:r>
        <w:rPr>
          <w:rFonts w:ascii="仿宋_GB2312" w:hAnsi="宋体" w:eastAsia="仿宋_GB2312" w:cs="宋体"/>
          <w:kern w:val="0"/>
          <w:sz w:val="32"/>
          <w:szCs w:val="32"/>
          <w:highlight w:val="yellow"/>
        </w:rPr>
        <w:t>款</w:t>
      </w:r>
      <w:r>
        <w:rPr>
          <w:rFonts w:ascii="仿宋_GB2312" w:hAnsi="宋体" w:eastAsia="仿宋_GB2312" w:cs="宋体"/>
          <w:kern w:val="0"/>
          <w:sz w:val="32"/>
          <w:szCs w:val="32"/>
        </w:rPr>
        <w:t>）行政运行（</w:t>
      </w:r>
      <w:r>
        <w:rPr>
          <w:rFonts w:ascii="仿宋_GB2312" w:hAnsi="宋体" w:eastAsia="仿宋_GB2312" w:cs="宋体"/>
          <w:kern w:val="0"/>
          <w:sz w:val="32"/>
          <w:szCs w:val="32"/>
          <w:highlight w:val="yellow"/>
        </w:rPr>
        <w:t>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2019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854.15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比上年执行数增加284.09万元，增长33.26 %，</w:t>
      </w:r>
      <w:r>
        <w:rPr>
          <w:rFonts w:hint="eastAsia" w:ascii="仿宋_GB2312" w:hAnsi="宋体" w:eastAsia="仿宋_GB2312" w:cs="宋体"/>
          <w:kern w:val="0"/>
          <w:sz w:val="32"/>
          <w:szCs w:val="32"/>
          <w:lang w:val="en-US" w:eastAsia="zh-CN"/>
        </w:rPr>
        <w:t>其中：</w:t>
      </w:r>
    </w:p>
    <w:p>
      <w:pPr>
        <w:widowControl/>
        <w:spacing w:line="580" w:lineRule="exact"/>
        <w:ind w:firstLine="640" w:firstLineChars="200"/>
        <w:jc w:val="left"/>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1.2120101行政运行570.69万元；主要用于行政人员工资及福利支出、商品和服务支出、对个人和家庭的支出。</w:t>
      </w:r>
    </w:p>
    <w:p>
      <w:pPr>
        <w:widowControl/>
        <w:spacing w:line="580" w:lineRule="exact"/>
        <w:ind w:firstLine="640" w:firstLineChars="200"/>
        <w:jc w:val="left"/>
        <w:rPr>
          <w:rFonts w:hint="default" w:ascii="仿宋_GB2312" w:hAnsi="宋体" w:eastAsia="仿宋_GB2312" w:cs="宋体"/>
          <w:kern w:val="0"/>
          <w:sz w:val="32"/>
          <w:szCs w:val="32"/>
          <w:lang w:val="en-US"/>
        </w:rPr>
      </w:pPr>
      <w:r>
        <w:rPr>
          <w:rFonts w:hint="eastAsia" w:ascii="仿宋_GB2312" w:hAnsi="宋体" w:eastAsia="仿宋_GB2312" w:cs="宋体"/>
          <w:kern w:val="0"/>
          <w:sz w:val="32"/>
          <w:szCs w:val="32"/>
          <w:lang w:val="en-US" w:eastAsia="zh-CN"/>
        </w:rPr>
        <w:t>2.</w:t>
      </w:r>
      <w:r>
        <w:rPr>
          <w:rFonts w:hint="eastAsia" w:ascii="仿宋_GB2312" w:eastAsia="仿宋_GB2312"/>
          <w:sz w:val="32"/>
          <w:szCs w:val="32"/>
          <w:lang w:val="en-US" w:eastAsia="zh-CN"/>
        </w:rPr>
        <w:t>2120106建设工程管理283.46万元。</w:t>
      </w:r>
      <w:r>
        <w:rPr>
          <w:rFonts w:hint="eastAsia" w:ascii="仿宋_GB2312" w:hAnsi="宋体" w:eastAsia="仿宋_GB2312" w:cs="宋体"/>
          <w:kern w:val="0"/>
          <w:sz w:val="32"/>
          <w:szCs w:val="32"/>
          <w:lang w:val="en-US" w:eastAsia="zh-CN"/>
        </w:rPr>
        <w:t>主要用于事业管理人员及专业技术人员工资及福利支出、商品和服务支出、对个人和家庭的支出</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六、关于昌吉州住房和城乡建设局2019年一般公共预算基本支出情况说明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昌吉州住房和城乡建设局2019年一般公共预算基本支出854.15万元， 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人员经费753.54万元，主要包括：</w:t>
      </w:r>
      <w:r>
        <w:rPr>
          <w:rFonts w:hint="eastAsia" w:ascii="仿宋_GB2312" w:hAnsi="宋体" w:eastAsia="仿宋_GB2312" w:cs="宋体"/>
          <w:kern w:val="0"/>
          <w:sz w:val="32"/>
          <w:szCs w:val="32"/>
          <w:highlight w:val="yellow"/>
        </w:rPr>
        <w:t>基本工资</w:t>
      </w:r>
      <w:r>
        <w:rPr>
          <w:rFonts w:hint="eastAsia" w:ascii="仿宋_GB2312" w:hAnsi="宋体" w:eastAsia="仿宋_GB2312" w:cs="宋体"/>
          <w:kern w:val="0"/>
          <w:sz w:val="32"/>
          <w:szCs w:val="32"/>
          <w:highlight w:val="yellow"/>
          <w:lang w:val="en-US" w:eastAsia="zh-CN"/>
        </w:rPr>
        <w:t>252.85万元</w:t>
      </w:r>
      <w:r>
        <w:rPr>
          <w:rFonts w:hint="eastAsia" w:ascii="仿宋_GB2312" w:hAnsi="宋体" w:eastAsia="仿宋_GB2312" w:cs="宋体"/>
          <w:kern w:val="0"/>
          <w:sz w:val="32"/>
          <w:szCs w:val="32"/>
          <w:highlight w:val="yellow"/>
        </w:rPr>
        <w:t>、津贴补贴</w:t>
      </w:r>
      <w:r>
        <w:rPr>
          <w:rFonts w:hint="eastAsia" w:ascii="仿宋_GB2312" w:hAnsi="宋体" w:eastAsia="仿宋_GB2312" w:cs="宋体"/>
          <w:kern w:val="0"/>
          <w:sz w:val="32"/>
          <w:szCs w:val="32"/>
          <w:highlight w:val="yellow"/>
          <w:lang w:val="en-US" w:eastAsia="zh-CN"/>
        </w:rPr>
        <w:t>63.08万元</w:t>
      </w:r>
      <w:r>
        <w:rPr>
          <w:rFonts w:hint="eastAsia" w:ascii="仿宋_GB2312" w:hAnsi="宋体" w:eastAsia="仿宋_GB2312" w:cs="宋体"/>
          <w:kern w:val="0"/>
          <w:sz w:val="32"/>
          <w:szCs w:val="32"/>
          <w:highlight w:val="yellow"/>
        </w:rPr>
        <w:t>、奖金</w:t>
      </w:r>
      <w:r>
        <w:rPr>
          <w:rFonts w:hint="eastAsia" w:ascii="仿宋_GB2312" w:hAnsi="宋体" w:eastAsia="仿宋_GB2312" w:cs="宋体"/>
          <w:kern w:val="0"/>
          <w:sz w:val="32"/>
          <w:szCs w:val="32"/>
          <w:highlight w:val="yellow"/>
          <w:lang w:val="en-US" w:eastAsia="zh-CN"/>
        </w:rPr>
        <w:t>17.2万元</w:t>
      </w:r>
      <w:r>
        <w:rPr>
          <w:rFonts w:hint="eastAsia" w:ascii="仿宋_GB2312" w:hAnsi="宋体" w:eastAsia="仿宋_GB2312" w:cs="宋体"/>
          <w:kern w:val="0"/>
          <w:sz w:val="32"/>
          <w:szCs w:val="32"/>
          <w:highlight w:val="yellow"/>
        </w:rPr>
        <w:t>、伙食补助费</w:t>
      </w:r>
      <w:r>
        <w:rPr>
          <w:rFonts w:hint="eastAsia" w:ascii="仿宋_GB2312" w:hAnsi="宋体" w:eastAsia="仿宋_GB2312" w:cs="宋体"/>
          <w:kern w:val="0"/>
          <w:sz w:val="32"/>
          <w:szCs w:val="32"/>
          <w:highlight w:val="yellow"/>
          <w:lang w:val="en-US" w:eastAsia="zh-CN"/>
        </w:rPr>
        <w:t>66.78万元</w:t>
      </w:r>
      <w:r>
        <w:rPr>
          <w:rFonts w:hint="eastAsia" w:ascii="仿宋_GB2312" w:hAnsi="宋体" w:eastAsia="仿宋_GB2312" w:cs="宋体"/>
          <w:kern w:val="0"/>
          <w:sz w:val="32"/>
          <w:szCs w:val="32"/>
          <w:highlight w:val="yellow"/>
        </w:rPr>
        <w:t>、绩效工资</w:t>
      </w:r>
      <w:r>
        <w:rPr>
          <w:rFonts w:hint="eastAsia" w:ascii="仿宋_GB2312" w:hAnsi="宋体" w:eastAsia="仿宋_GB2312" w:cs="宋体"/>
          <w:kern w:val="0"/>
          <w:sz w:val="32"/>
          <w:szCs w:val="32"/>
          <w:highlight w:val="yellow"/>
          <w:lang w:val="en-US" w:eastAsia="zh-CN"/>
        </w:rPr>
        <w:t>84.54万元</w:t>
      </w:r>
      <w:r>
        <w:rPr>
          <w:rFonts w:hint="eastAsia" w:ascii="仿宋_GB2312" w:hAnsi="宋体" w:eastAsia="仿宋_GB2312" w:cs="宋体"/>
          <w:kern w:val="0"/>
          <w:sz w:val="32"/>
          <w:szCs w:val="32"/>
          <w:highlight w:val="yellow"/>
        </w:rPr>
        <w:t>、机关事业单位基本养老保险缴费</w:t>
      </w:r>
      <w:r>
        <w:rPr>
          <w:rFonts w:hint="eastAsia" w:ascii="仿宋_GB2312" w:hAnsi="宋体" w:eastAsia="仿宋_GB2312" w:cs="宋体"/>
          <w:kern w:val="0"/>
          <w:sz w:val="32"/>
          <w:szCs w:val="32"/>
          <w:highlight w:val="yellow"/>
          <w:lang w:val="en-US" w:eastAsia="zh-CN"/>
        </w:rPr>
        <w:t>83.53万元</w:t>
      </w:r>
      <w:r>
        <w:rPr>
          <w:rFonts w:hint="eastAsia" w:ascii="仿宋_GB2312" w:hAnsi="宋体" w:eastAsia="仿宋_GB2312" w:cs="宋体"/>
          <w:kern w:val="0"/>
          <w:sz w:val="32"/>
          <w:szCs w:val="32"/>
          <w:highlight w:val="yellow"/>
        </w:rPr>
        <w:t>、职工基本医疗保险缴费</w:t>
      </w:r>
      <w:r>
        <w:rPr>
          <w:rFonts w:hint="eastAsia" w:ascii="仿宋_GB2312" w:hAnsi="宋体" w:eastAsia="仿宋_GB2312" w:cs="宋体"/>
          <w:kern w:val="0"/>
          <w:sz w:val="32"/>
          <w:szCs w:val="32"/>
          <w:highlight w:val="yellow"/>
          <w:lang w:val="en-US" w:eastAsia="zh-CN"/>
        </w:rPr>
        <w:t>53.71万元</w:t>
      </w:r>
      <w:r>
        <w:rPr>
          <w:rFonts w:hint="eastAsia" w:ascii="仿宋_GB2312" w:hAnsi="宋体" w:eastAsia="仿宋_GB2312" w:cs="宋体"/>
          <w:kern w:val="0"/>
          <w:sz w:val="32"/>
          <w:szCs w:val="32"/>
          <w:highlight w:val="yellow"/>
        </w:rPr>
        <w:t>、公务员医疗补助缴费</w:t>
      </w:r>
      <w:r>
        <w:rPr>
          <w:rFonts w:hint="eastAsia" w:ascii="仿宋_GB2312" w:hAnsi="宋体" w:eastAsia="仿宋_GB2312" w:cs="宋体"/>
          <w:kern w:val="0"/>
          <w:sz w:val="32"/>
          <w:szCs w:val="32"/>
          <w:highlight w:val="yellow"/>
          <w:lang w:val="en-US" w:eastAsia="zh-CN"/>
        </w:rPr>
        <w:t>41.78万元</w:t>
      </w:r>
      <w:r>
        <w:rPr>
          <w:rFonts w:hint="eastAsia" w:ascii="仿宋_GB2312" w:hAnsi="宋体" w:eastAsia="仿宋_GB2312" w:cs="宋体"/>
          <w:kern w:val="0"/>
          <w:sz w:val="32"/>
          <w:szCs w:val="32"/>
          <w:highlight w:val="yellow"/>
        </w:rPr>
        <w:t>、其他社会保障缴费</w:t>
      </w:r>
      <w:r>
        <w:rPr>
          <w:rFonts w:hint="eastAsia" w:ascii="仿宋_GB2312" w:hAnsi="宋体" w:eastAsia="仿宋_GB2312" w:cs="宋体"/>
          <w:kern w:val="0"/>
          <w:sz w:val="32"/>
          <w:szCs w:val="32"/>
          <w:highlight w:val="yellow"/>
          <w:lang w:val="en-US" w:eastAsia="zh-CN"/>
        </w:rPr>
        <w:t>2.42万元</w:t>
      </w:r>
      <w:r>
        <w:rPr>
          <w:rFonts w:hint="eastAsia" w:ascii="仿宋_GB2312" w:hAnsi="宋体" w:eastAsia="仿宋_GB2312" w:cs="宋体"/>
          <w:kern w:val="0"/>
          <w:sz w:val="32"/>
          <w:szCs w:val="32"/>
          <w:highlight w:val="yellow"/>
        </w:rPr>
        <w:t>、住房公积金</w:t>
      </w:r>
      <w:r>
        <w:rPr>
          <w:rFonts w:hint="eastAsia" w:ascii="仿宋_GB2312" w:hAnsi="宋体" w:eastAsia="仿宋_GB2312" w:cs="宋体"/>
          <w:kern w:val="0"/>
          <w:sz w:val="32"/>
          <w:szCs w:val="32"/>
          <w:highlight w:val="yellow"/>
          <w:lang w:val="en-US" w:eastAsia="zh-CN"/>
        </w:rPr>
        <w:t>50.12万元</w:t>
      </w:r>
      <w:r>
        <w:rPr>
          <w:rFonts w:hint="eastAsia" w:ascii="仿宋_GB2312" w:hAnsi="宋体" w:eastAsia="仿宋_GB2312" w:cs="宋体"/>
          <w:kern w:val="0"/>
          <w:sz w:val="32"/>
          <w:szCs w:val="32"/>
          <w:highlight w:val="yellow"/>
        </w:rPr>
        <w:t>、离休费</w:t>
      </w:r>
      <w:r>
        <w:rPr>
          <w:rFonts w:hint="eastAsia" w:ascii="仿宋_GB2312" w:hAnsi="宋体" w:eastAsia="仿宋_GB2312" w:cs="宋体"/>
          <w:kern w:val="0"/>
          <w:sz w:val="32"/>
          <w:szCs w:val="32"/>
          <w:highlight w:val="yellow"/>
          <w:lang w:val="en-US" w:eastAsia="zh-CN"/>
        </w:rPr>
        <w:t>23.73万元</w:t>
      </w:r>
      <w:r>
        <w:rPr>
          <w:rFonts w:hint="eastAsia" w:ascii="仿宋_GB2312" w:hAnsi="宋体" w:eastAsia="仿宋_GB2312" w:cs="宋体"/>
          <w:kern w:val="0"/>
          <w:sz w:val="32"/>
          <w:szCs w:val="32"/>
          <w:highlight w:val="yellow"/>
        </w:rPr>
        <w:t>、生活补助</w:t>
      </w:r>
      <w:r>
        <w:rPr>
          <w:rFonts w:hint="eastAsia" w:ascii="仿宋_GB2312" w:hAnsi="宋体" w:eastAsia="仿宋_GB2312" w:cs="宋体"/>
          <w:kern w:val="0"/>
          <w:sz w:val="32"/>
          <w:szCs w:val="32"/>
          <w:highlight w:val="yellow"/>
          <w:lang w:val="en-US" w:eastAsia="zh-CN"/>
        </w:rPr>
        <w:t>2.76万元</w:t>
      </w:r>
      <w:r>
        <w:rPr>
          <w:rFonts w:hint="eastAsia" w:ascii="仿宋_GB2312" w:hAnsi="宋体" w:eastAsia="仿宋_GB2312" w:cs="宋体"/>
          <w:kern w:val="0"/>
          <w:sz w:val="32"/>
          <w:szCs w:val="32"/>
          <w:highlight w:val="yellow"/>
        </w:rPr>
        <w:t>、医疗费补助</w:t>
      </w:r>
      <w:r>
        <w:rPr>
          <w:rFonts w:hint="eastAsia" w:ascii="仿宋_GB2312" w:hAnsi="宋体" w:eastAsia="仿宋_GB2312" w:cs="宋体"/>
          <w:kern w:val="0"/>
          <w:sz w:val="32"/>
          <w:szCs w:val="32"/>
          <w:highlight w:val="yellow"/>
          <w:lang w:val="en-US" w:eastAsia="zh-CN"/>
        </w:rPr>
        <w:t>0.2万元</w:t>
      </w:r>
      <w:r>
        <w:rPr>
          <w:rFonts w:hint="eastAsia" w:ascii="仿宋_GB2312" w:hAnsi="宋体" w:eastAsia="仿宋_GB2312" w:cs="宋体"/>
          <w:kern w:val="0"/>
          <w:sz w:val="32"/>
          <w:szCs w:val="32"/>
          <w:highlight w:val="yellow"/>
        </w:rPr>
        <w:t>、奖励金</w:t>
      </w:r>
      <w:r>
        <w:rPr>
          <w:rFonts w:hint="eastAsia" w:ascii="仿宋_GB2312" w:hAnsi="宋体" w:eastAsia="仿宋_GB2312" w:cs="宋体"/>
          <w:kern w:val="0"/>
          <w:sz w:val="32"/>
          <w:szCs w:val="32"/>
          <w:highlight w:val="yellow"/>
          <w:lang w:val="en-US" w:eastAsia="zh-CN"/>
        </w:rPr>
        <w:t>2.84万元</w:t>
      </w:r>
      <w:r>
        <w:rPr>
          <w:rFonts w:hint="eastAsia" w:ascii="仿宋_GB2312" w:hAnsi="宋体" w:eastAsia="仿宋_GB2312" w:cs="宋体"/>
          <w:kern w:val="0"/>
          <w:sz w:val="32"/>
          <w:szCs w:val="32"/>
          <w:highlight w:val="yellow"/>
        </w:rPr>
        <w:t>、其他对个人和家庭的补助</w:t>
      </w:r>
      <w:r>
        <w:rPr>
          <w:rFonts w:hint="eastAsia" w:ascii="仿宋_GB2312" w:hAnsi="宋体" w:eastAsia="仿宋_GB2312" w:cs="宋体"/>
          <w:kern w:val="0"/>
          <w:sz w:val="32"/>
          <w:szCs w:val="32"/>
          <w:highlight w:val="yellow"/>
          <w:lang w:val="en-US" w:eastAsia="zh-CN"/>
        </w:rPr>
        <w:t>8万元</w:t>
      </w:r>
      <w:r>
        <w:rPr>
          <w:rFonts w:hint="eastAsia" w:ascii="仿宋_GB2312" w:hAnsi="宋体" w:eastAsia="仿宋_GB2312" w:cs="宋体"/>
          <w:kern w:val="0"/>
          <w:sz w:val="32"/>
          <w:szCs w:val="32"/>
          <w:highlight w:val="yellow"/>
        </w:rPr>
        <w:t>等</w:t>
      </w:r>
      <w:r>
        <w:rPr>
          <w:rFonts w:hint="eastAsia" w:ascii="仿宋_GB2312" w:hAnsi="宋体" w:eastAsia="仿宋_GB2312" w:cs="宋体"/>
          <w:kern w:val="0"/>
          <w:sz w:val="32"/>
          <w:szCs w:val="32"/>
        </w:rPr>
        <w:t>。</w:t>
      </w:r>
    </w:p>
    <w:p>
      <w:pPr>
        <w:widowControl/>
        <w:spacing w:line="580" w:lineRule="exact"/>
        <w:ind w:firstLine="640"/>
        <w:jc w:val="left"/>
        <w:rPr>
          <w:rFonts w:hint="eastAsia" w:ascii="仿宋_GB2312" w:hAnsi="宋体" w:eastAsia="仿宋_GB2312" w:cs="宋体"/>
          <w:kern w:val="0"/>
          <w:sz w:val="32"/>
          <w:szCs w:val="32"/>
          <w:highlight w:val="yellow"/>
          <w:lang w:val="en-US" w:eastAsia="zh-CN"/>
        </w:rPr>
      </w:pPr>
      <w:r>
        <w:rPr>
          <w:rFonts w:hint="eastAsia" w:ascii="仿宋_GB2312" w:hAnsi="宋体" w:eastAsia="仿宋_GB2312" w:cs="宋体"/>
          <w:kern w:val="0"/>
          <w:sz w:val="32"/>
          <w:szCs w:val="32"/>
        </w:rPr>
        <w:t>公用经费100.61万元，主要包括：</w:t>
      </w:r>
      <w:r>
        <w:rPr>
          <w:rFonts w:hint="eastAsia" w:ascii="仿宋_GB2312" w:hAnsi="宋体" w:eastAsia="仿宋_GB2312" w:cs="宋体"/>
          <w:kern w:val="0"/>
          <w:sz w:val="32"/>
          <w:szCs w:val="32"/>
          <w:highlight w:val="yellow"/>
        </w:rPr>
        <w:t>办公费</w:t>
      </w:r>
      <w:r>
        <w:rPr>
          <w:rFonts w:hint="eastAsia" w:ascii="仿宋_GB2312" w:hAnsi="宋体" w:eastAsia="仿宋_GB2312" w:cs="宋体"/>
          <w:kern w:val="0"/>
          <w:sz w:val="32"/>
          <w:szCs w:val="32"/>
          <w:highlight w:val="yellow"/>
          <w:lang w:val="en-US" w:eastAsia="zh-CN"/>
        </w:rPr>
        <w:t>8.85万元</w:t>
      </w:r>
      <w:r>
        <w:rPr>
          <w:rFonts w:hint="eastAsia" w:ascii="仿宋_GB2312" w:hAnsi="宋体" w:eastAsia="仿宋_GB2312" w:cs="宋体"/>
          <w:kern w:val="0"/>
          <w:sz w:val="32"/>
          <w:szCs w:val="32"/>
          <w:highlight w:val="yellow"/>
        </w:rPr>
        <w:t>、印刷费</w:t>
      </w:r>
      <w:r>
        <w:rPr>
          <w:rFonts w:hint="eastAsia" w:ascii="仿宋_GB2312" w:hAnsi="宋体" w:eastAsia="仿宋_GB2312" w:cs="宋体"/>
          <w:kern w:val="0"/>
          <w:sz w:val="32"/>
          <w:szCs w:val="32"/>
          <w:highlight w:val="yellow"/>
          <w:lang w:val="en-US" w:eastAsia="zh-CN"/>
        </w:rPr>
        <w:t>4万元</w:t>
      </w:r>
      <w:r>
        <w:rPr>
          <w:rFonts w:hint="eastAsia" w:ascii="仿宋_GB2312" w:hAnsi="宋体" w:eastAsia="仿宋_GB2312" w:cs="宋体"/>
          <w:kern w:val="0"/>
          <w:sz w:val="32"/>
          <w:szCs w:val="32"/>
          <w:highlight w:val="yellow"/>
        </w:rPr>
        <w:t>、水费</w:t>
      </w:r>
      <w:r>
        <w:rPr>
          <w:rFonts w:hint="eastAsia" w:ascii="仿宋_GB2312" w:hAnsi="宋体" w:eastAsia="仿宋_GB2312" w:cs="宋体"/>
          <w:kern w:val="0"/>
          <w:sz w:val="32"/>
          <w:szCs w:val="32"/>
          <w:highlight w:val="yellow"/>
          <w:lang w:val="en-US" w:eastAsia="zh-CN"/>
        </w:rPr>
        <w:t>0.25万元</w:t>
      </w:r>
      <w:r>
        <w:rPr>
          <w:rFonts w:hint="eastAsia" w:ascii="仿宋_GB2312" w:hAnsi="宋体" w:eastAsia="仿宋_GB2312" w:cs="宋体"/>
          <w:kern w:val="0"/>
          <w:sz w:val="32"/>
          <w:szCs w:val="32"/>
          <w:highlight w:val="yellow"/>
        </w:rPr>
        <w:t>、电费</w:t>
      </w:r>
      <w:r>
        <w:rPr>
          <w:rFonts w:hint="eastAsia" w:ascii="仿宋_GB2312" w:hAnsi="宋体" w:eastAsia="仿宋_GB2312" w:cs="宋体"/>
          <w:kern w:val="0"/>
          <w:sz w:val="32"/>
          <w:szCs w:val="32"/>
          <w:highlight w:val="yellow"/>
          <w:lang w:val="en-US" w:eastAsia="zh-CN"/>
        </w:rPr>
        <w:t>2.4万元</w:t>
      </w:r>
      <w:r>
        <w:rPr>
          <w:rFonts w:hint="eastAsia" w:ascii="仿宋_GB2312" w:hAnsi="宋体" w:eastAsia="仿宋_GB2312" w:cs="宋体"/>
          <w:kern w:val="0"/>
          <w:sz w:val="32"/>
          <w:szCs w:val="32"/>
          <w:highlight w:val="yellow"/>
        </w:rPr>
        <w:t>、邮电费</w:t>
      </w:r>
      <w:r>
        <w:rPr>
          <w:rFonts w:hint="eastAsia" w:ascii="仿宋_GB2312" w:hAnsi="宋体" w:eastAsia="仿宋_GB2312" w:cs="宋体"/>
          <w:kern w:val="0"/>
          <w:sz w:val="32"/>
          <w:szCs w:val="32"/>
          <w:highlight w:val="yellow"/>
          <w:lang w:val="en-US" w:eastAsia="zh-CN"/>
        </w:rPr>
        <w:t>0.7万元</w:t>
      </w:r>
      <w:r>
        <w:rPr>
          <w:rFonts w:hint="eastAsia" w:ascii="仿宋_GB2312" w:hAnsi="宋体" w:eastAsia="仿宋_GB2312" w:cs="宋体"/>
          <w:kern w:val="0"/>
          <w:sz w:val="32"/>
          <w:szCs w:val="32"/>
          <w:highlight w:val="yellow"/>
        </w:rPr>
        <w:t>、取暖费</w:t>
      </w:r>
      <w:r>
        <w:rPr>
          <w:rFonts w:hint="eastAsia" w:ascii="仿宋_GB2312" w:hAnsi="宋体" w:eastAsia="仿宋_GB2312" w:cs="宋体"/>
          <w:kern w:val="0"/>
          <w:sz w:val="32"/>
          <w:szCs w:val="32"/>
          <w:highlight w:val="yellow"/>
          <w:lang w:val="en-US" w:eastAsia="zh-CN"/>
        </w:rPr>
        <w:t>12.55万元</w:t>
      </w:r>
      <w:r>
        <w:rPr>
          <w:rFonts w:hint="eastAsia" w:ascii="仿宋_GB2312" w:hAnsi="宋体" w:eastAsia="仿宋_GB2312" w:cs="宋体"/>
          <w:kern w:val="0"/>
          <w:sz w:val="32"/>
          <w:szCs w:val="32"/>
          <w:highlight w:val="yellow"/>
        </w:rPr>
        <w:t>、物业管理费</w:t>
      </w:r>
      <w:r>
        <w:rPr>
          <w:rFonts w:hint="eastAsia" w:ascii="仿宋_GB2312" w:hAnsi="宋体" w:eastAsia="仿宋_GB2312" w:cs="宋体"/>
          <w:kern w:val="0"/>
          <w:sz w:val="32"/>
          <w:szCs w:val="32"/>
          <w:highlight w:val="yellow"/>
          <w:lang w:val="en-US" w:eastAsia="zh-CN"/>
        </w:rPr>
        <w:t>2.62万元</w:t>
      </w:r>
      <w:r>
        <w:rPr>
          <w:rFonts w:hint="eastAsia" w:ascii="仿宋_GB2312" w:hAnsi="宋体" w:eastAsia="仿宋_GB2312" w:cs="宋体"/>
          <w:kern w:val="0"/>
          <w:sz w:val="32"/>
          <w:szCs w:val="32"/>
          <w:highlight w:val="yellow"/>
        </w:rPr>
        <w:t>、差旅费</w:t>
      </w:r>
      <w:r>
        <w:rPr>
          <w:rFonts w:hint="eastAsia" w:ascii="仿宋_GB2312" w:hAnsi="宋体" w:eastAsia="仿宋_GB2312" w:cs="宋体"/>
          <w:kern w:val="0"/>
          <w:sz w:val="32"/>
          <w:szCs w:val="32"/>
          <w:highlight w:val="yellow"/>
          <w:lang w:val="en-US" w:eastAsia="zh-CN"/>
        </w:rPr>
        <w:t>19.44万元</w:t>
      </w:r>
      <w:r>
        <w:rPr>
          <w:rFonts w:hint="eastAsia" w:ascii="仿宋_GB2312" w:hAnsi="宋体" w:eastAsia="仿宋_GB2312" w:cs="宋体"/>
          <w:kern w:val="0"/>
          <w:sz w:val="32"/>
          <w:szCs w:val="32"/>
          <w:highlight w:val="yellow"/>
        </w:rPr>
        <w:t>、维修（护）费</w:t>
      </w:r>
      <w:r>
        <w:rPr>
          <w:rFonts w:hint="eastAsia" w:ascii="仿宋_GB2312" w:hAnsi="宋体" w:eastAsia="仿宋_GB2312" w:cs="宋体"/>
          <w:kern w:val="0"/>
          <w:sz w:val="32"/>
          <w:szCs w:val="32"/>
          <w:highlight w:val="yellow"/>
          <w:lang w:val="en-US" w:eastAsia="zh-CN"/>
        </w:rPr>
        <w:t>3万元</w:t>
      </w:r>
      <w:r>
        <w:rPr>
          <w:rFonts w:hint="eastAsia" w:ascii="仿宋_GB2312" w:hAnsi="宋体" w:eastAsia="仿宋_GB2312" w:cs="宋体"/>
          <w:kern w:val="0"/>
          <w:sz w:val="32"/>
          <w:szCs w:val="32"/>
          <w:highlight w:val="yellow"/>
        </w:rPr>
        <w:t>、培训费</w:t>
      </w:r>
      <w:r>
        <w:rPr>
          <w:rFonts w:hint="eastAsia" w:ascii="仿宋_GB2312" w:hAnsi="宋体" w:eastAsia="仿宋_GB2312" w:cs="宋体"/>
          <w:kern w:val="0"/>
          <w:sz w:val="32"/>
          <w:szCs w:val="32"/>
          <w:highlight w:val="yellow"/>
          <w:lang w:val="en-US" w:eastAsia="zh-CN"/>
        </w:rPr>
        <w:t>1.1万元</w:t>
      </w:r>
      <w:r>
        <w:rPr>
          <w:rFonts w:hint="eastAsia" w:ascii="仿宋_GB2312" w:hAnsi="宋体" w:eastAsia="仿宋_GB2312" w:cs="宋体"/>
          <w:kern w:val="0"/>
          <w:sz w:val="32"/>
          <w:szCs w:val="32"/>
          <w:highlight w:val="yellow"/>
        </w:rPr>
        <w:t>、公务接待费</w:t>
      </w:r>
      <w:r>
        <w:rPr>
          <w:rFonts w:hint="eastAsia" w:ascii="仿宋_GB2312" w:hAnsi="宋体" w:eastAsia="仿宋_GB2312" w:cs="宋体"/>
          <w:kern w:val="0"/>
          <w:sz w:val="32"/>
          <w:szCs w:val="32"/>
          <w:highlight w:val="yellow"/>
          <w:lang w:val="en-US" w:eastAsia="zh-CN"/>
        </w:rPr>
        <w:t>0.83万元</w:t>
      </w:r>
      <w:r>
        <w:rPr>
          <w:rFonts w:hint="eastAsia" w:ascii="仿宋_GB2312" w:hAnsi="宋体" w:eastAsia="仿宋_GB2312" w:cs="宋体"/>
          <w:kern w:val="0"/>
          <w:sz w:val="32"/>
          <w:szCs w:val="32"/>
          <w:highlight w:val="yellow"/>
        </w:rPr>
        <w:t>、劳务费</w:t>
      </w:r>
      <w:r>
        <w:rPr>
          <w:rFonts w:hint="eastAsia" w:ascii="仿宋_GB2312" w:hAnsi="宋体" w:eastAsia="仿宋_GB2312" w:cs="宋体"/>
          <w:kern w:val="0"/>
          <w:sz w:val="32"/>
          <w:szCs w:val="32"/>
          <w:highlight w:val="yellow"/>
          <w:lang w:val="en-US" w:eastAsia="zh-CN"/>
        </w:rPr>
        <w:t>6.07万元</w:t>
      </w:r>
      <w:r>
        <w:rPr>
          <w:rFonts w:hint="eastAsia" w:ascii="仿宋_GB2312" w:hAnsi="宋体" w:eastAsia="仿宋_GB2312" w:cs="宋体"/>
          <w:kern w:val="0"/>
          <w:sz w:val="32"/>
          <w:szCs w:val="32"/>
          <w:highlight w:val="yellow"/>
        </w:rPr>
        <w:t>、工会经费</w:t>
      </w:r>
      <w:r>
        <w:rPr>
          <w:rFonts w:hint="eastAsia" w:ascii="仿宋_GB2312" w:hAnsi="宋体" w:eastAsia="仿宋_GB2312" w:cs="宋体"/>
          <w:kern w:val="0"/>
          <w:sz w:val="32"/>
          <w:szCs w:val="32"/>
          <w:highlight w:val="yellow"/>
          <w:lang w:val="en-US" w:eastAsia="zh-CN"/>
        </w:rPr>
        <w:t>5.05万元</w:t>
      </w:r>
      <w:r>
        <w:rPr>
          <w:rFonts w:hint="eastAsia" w:ascii="仿宋_GB2312" w:hAnsi="宋体" w:eastAsia="仿宋_GB2312" w:cs="宋体"/>
          <w:kern w:val="0"/>
          <w:sz w:val="32"/>
          <w:szCs w:val="32"/>
          <w:highlight w:val="yellow"/>
        </w:rPr>
        <w:t>、福利费</w:t>
      </w:r>
      <w:r>
        <w:rPr>
          <w:rFonts w:hint="eastAsia" w:ascii="仿宋_GB2312" w:hAnsi="宋体" w:eastAsia="仿宋_GB2312" w:cs="宋体"/>
          <w:kern w:val="0"/>
          <w:sz w:val="32"/>
          <w:szCs w:val="32"/>
          <w:highlight w:val="yellow"/>
          <w:lang w:val="en-US" w:eastAsia="zh-CN"/>
        </w:rPr>
        <w:t>6.68万元</w:t>
      </w:r>
      <w:r>
        <w:rPr>
          <w:rFonts w:hint="eastAsia" w:ascii="仿宋_GB2312" w:hAnsi="宋体" w:eastAsia="仿宋_GB2312" w:cs="宋体"/>
          <w:kern w:val="0"/>
          <w:sz w:val="32"/>
          <w:szCs w:val="32"/>
          <w:highlight w:val="yellow"/>
        </w:rPr>
        <w:t>、公务用车运行维护费</w:t>
      </w:r>
      <w:r>
        <w:rPr>
          <w:rFonts w:hint="eastAsia" w:ascii="仿宋_GB2312" w:hAnsi="宋体" w:eastAsia="仿宋_GB2312" w:cs="宋体"/>
          <w:kern w:val="0"/>
          <w:sz w:val="32"/>
          <w:szCs w:val="32"/>
          <w:highlight w:val="yellow"/>
          <w:lang w:val="en-US" w:eastAsia="zh-CN"/>
        </w:rPr>
        <w:t>16.03万元</w:t>
      </w:r>
      <w:r>
        <w:rPr>
          <w:rFonts w:hint="eastAsia" w:ascii="仿宋_GB2312" w:hAnsi="宋体" w:eastAsia="仿宋_GB2312" w:cs="宋体"/>
          <w:kern w:val="0"/>
          <w:sz w:val="32"/>
          <w:szCs w:val="32"/>
          <w:highlight w:val="yellow"/>
        </w:rPr>
        <w:t>、其他商品和服务支出</w:t>
      </w:r>
      <w:r>
        <w:rPr>
          <w:rFonts w:hint="eastAsia" w:ascii="仿宋_GB2312" w:hAnsi="宋体" w:eastAsia="仿宋_GB2312" w:cs="宋体"/>
          <w:kern w:val="0"/>
          <w:sz w:val="32"/>
          <w:szCs w:val="32"/>
          <w:highlight w:val="yellow"/>
          <w:lang w:val="en-US" w:eastAsia="zh-CN"/>
        </w:rPr>
        <w:t>9.47万元。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七、关于昌吉州住房和城乡建设局2019年项目支出情况说明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昌吉州住房和城乡建设局2019年无项目支出。</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八、关于昌吉州住房和城乡建设局2019年一般公共预算“三公”经费预算情况说明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昌吉州住房和城乡建设局2019“三公”经费财政拨款预算数为16.86万元，其中：因公出国（境）费 0万元，公务用车购置0万元，公务用车运行费16.03 万元，公务接待费0.83 万元。</w:t>
      </w:r>
    </w:p>
    <w:p>
      <w:pPr>
        <w:widowControl/>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2019年“三公”经费财政拨款预算比上年增加4.91 万元，其中：因公出国（境）费增加（减少）0万元，主要原因是无因公出国（境）费用 ；公务用车购置费为0，未安排预算。公务用车运行费增加 5.13万元，主要原因是合并编制原昌吉州建设工程招投标监督站、昌吉州建设工程质量监督管理站、昌吉州建设工程造价服务中心、昌吉州建设工程质量服务中心四个事业单位预算。公务车辆增加3辆。</w:t>
      </w:r>
    </w:p>
    <w:p>
      <w:pPr>
        <w:widowControl/>
        <w:spacing w:line="5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务接待费增加0.22万元，主要原因主要原因是合并编制原昌吉州建设工程招投标监督站、昌吉州建设工程质量监督管理站、昌吉州建设工程造价服务中心、昌吉州建设工程质量服务中心四个事业单位预算，人员增加21人。</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九、关于昌吉州住房和城乡建设局2019年政府性基金预算拨款情况说明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昌吉州住房和城乡建设局2019年没有使用政府性基金预算拨款安排的支出，政府性基金预算支出情况表为空表。</w:t>
      </w:r>
    </w:p>
    <w:p>
      <w:pPr>
        <w:widowControl/>
        <w:spacing w:line="580" w:lineRule="exact"/>
        <w:ind w:firstLine="640"/>
        <w:jc w:val="left"/>
        <w:rPr>
          <w:rFonts w:ascii="黑体" w:hAnsi="宋体" w:eastAsia="黑体" w:cs="宋体"/>
          <w:kern w:val="0"/>
          <w:sz w:val="32"/>
          <w:szCs w:val="32"/>
          <w:highlight w:val="yellow"/>
        </w:rPr>
      </w:pPr>
      <w:r>
        <w:rPr>
          <w:rFonts w:hint="eastAsia" w:ascii="黑体" w:hAnsi="宋体" w:eastAsia="黑体" w:cs="宋体"/>
          <w:kern w:val="0"/>
          <w:sz w:val="32"/>
          <w:szCs w:val="32"/>
          <w:highlight w:val="yellow"/>
        </w:rPr>
        <w:t>十、其他重要事项的情况说明</w:t>
      </w:r>
    </w:p>
    <w:p>
      <w:pPr>
        <w:widowControl/>
        <w:spacing w:line="580" w:lineRule="exact"/>
        <w:ind w:firstLine="642"/>
        <w:jc w:val="left"/>
        <w:rPr>
          <w:rFonts w:ascii="楷体_GB2312" w:hAnsi="宋体" w:eastAsia="楷体_GB2312" w:cs="宋体"/>
          <w:b/>
          <w:kern w:val="0"/>
          <w:sz w:val="32"/>
          <w:szCs w:val="32"/>
          <w:highlight w:val="yellow"/>
        </w:rPr>
      </w:pPr>
      <w:r>
        <w:rPr>
          <w:rFonts w:hint="eastAsia" w:ascii="楷体_GB2312" w:hAnsi="宋体" w:eastAsia="楷体_GB2312" w:cs="宋体"/>
          <w:b/>
          <w:kern w:val="0"/>
          <w:sz w:val="32"/>
          <w:szCs w:val="32"/>
          <w:highlight w:val="yellow"/>
        </w:rPr>
        <w:t>（一）机关运行经费情况</w:t>
      </w:r>
    </w:p>
    <w:p>
      <w:pPr>
        <w:widowControl/>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highlight w:val="yellow"/>
        </w:rPr>
        <w:t>2019年，</w:t>
      </w:r>
      <w:r>
        <w:rPr>
          <w:rFonts w:hint="eastAsia" w:ascii="仿宋_GB2312" w:hAnsi="宋体" w:eastAsia="仿宋_GB2312" w:cs="宋体"/>
          <w:kern w:val="0"/>
          <w:sz w:val="32"/>
          <w:szCs w:val="32"/>
        </w:rPr>
        <w:t>昌吉州住房和城乡建设局的机关运行经费财政拨款</w:t>
      </w:r>
      <w:r>
        <w:rPr>
          <w:rFonts w:hint="eastAsia" w:ascii="仿宋_GB2312" w:hAnsi="宋体" w:eastAsia="仿宋_GB2312" w:cs="宋体"/>
          <w:kern w:val="0"/>
          <w:sz w:val="32"/>
          <w:szCs w:val="32"/>
          <w:highlight w:val="yellow"/>
        </w:rPr>
        <w:t>100.61</w:t>
      </w:r>
      <w:r>
        <w:rPr>
          <w:rFonts w:hint="eastAsia" w:ascii="仿宋_GB2312" w:hAnsi="宋体" w:eastAsia="仿宋_GB2312" w:cs="宋体"/>
          <w:kern w:val="0"/>
          <w:sz w:val="32"/>
          <w:szCs w:val="32"/>
        </w:rPr>
        <w:t>万元，比上年预算增加31.19万元，增长44.93%。主要原因合并编制原昌吉州建设工程招投标监督站、昌吉州建设工程质量监督管理站、昌吉州建设工程造价服务中心、昌吉州建设工程质量服务中心四个事业单位预算。车辆增加3辆，人员增加了21人。                 。</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2019年，昌吉州住房和城乡建设局政府采购预算722.9 万元，其中：政府采购货物预算22.07 万元，政府采购工程预算700.83 万元，政府采购服务预算0 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仿宋_GB2312" w:eastAsia="仿宋_GB2312"/>
          <w:sz w:val="32"/>
        </w:rPr>
        <w:t>2019年度本部门面向中小企业预留政府采购项目预算金额</w:t>
      </w:r>
      <w:bookmarkStart w:id="0" w:name="_GoBack"/>
      <w:bookmarkEnd w:id="0"/>
      <w:r>
        <w:rPr>
          <w:rFonts w:hint="eastAsia" w:ascii="仿宋_GB2312" w:hAnsi="仿宋_GB2312" w:eastAsia="仿宋_GB2312"/>
          <w:sz w:val="32"/>
        </w:rPr>
        <w:t xml:space="preserve"> 0 万元，其中：面向小微企业预留政府采购项目预算金额 0 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截至2018年底，昌吉州住房和城乡建设局部门及下属各预算单位占用使用国有资产总体情况为：</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hint="eastAsia" w:ascii="仿宋_GB2312" w:hAnsi="宋体" w:eastAsia="仿宋_GB2312" w:cs="宋体"/>
          <w:kern w:val="0"/>
          <w:sz w:val="32"/>
          <w:szCs w:val="32"/>
          <w:highlight w:val="yellow"/>
        </w:rPr>
        <w:t xml:space="preserve">房屋 </w:t>
      </w:r>
      <w:r>
        <w:rPr>
          <w:rFonts w:hint="eastAsia" w:ascii="仿宋_GB2312" w:hAnsi="宋体" w:eastAsia="仿宋_GB2312" w:cs="宋体"/>
          <w:kern w:val="0"/>
          <w:sz w:val="32"/>
          <w:szCs w:val="32"/>
          <w:highlight w:val="yellow"/>
          <w:lang w:val="en-US" w:eastAsia="zh-CN"/>
        </w:rPr>
        <w:t>53.36</w:t>
      </w:r>
      <w:r>
        <w:rPr>
          <w:rFonts w:hint="eastAsia" w:ascii="仿宋_GB2312" w:hAnsi="宋体" w:eastAsia="仿宋_GB2312" w:cs="宋体"/>
          <w:kern w:val="0"/>
          <w:sz w:val="32"/>
          <w:szCs w:val="32"/>
          <w:highlight w:val="yellow"/>
        </w:rPr>
        <w:t>平方米，价值</w:t>
      </w:r>
      <w:r>
        <w:rPr>
          <w:rFonts w:hint="eastAsia" w:ascii="仿宋_GB2312" w:hAnsi="宋体" w:eastAsia="仿宋_GB2312" w:cs="宋体"/>
          <w:kern w:val="0"/>
          <w:sz w:val="32"/>
          <w:szCs w:val="32"/>
          <w:highlight w:val="yellow"/>
          <w:lang w:val="en-US" w:eastAsia="zh-CN"/>
        </w:rPr>
        <w:t>8.04</w:t>
      </w:r>
      <w:r>
        <w:rPr>
          <w:rFonts w:hint="eastAsia" w:ascii="仿宋_GB2312" w:hAnsi="宋体" w:eastAsia="仿宋_GB2312" w:cs="宋体"/>
          <w:kern w:val="0"/>
          <w:sz w:val="32"/>
          <w:szCs w:val="32"/>
          <w:highlight w:val="yellow"/>
        </w:rPr>
        <w:t>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 8 辆，价值 202.79 万元；其中：一般公务用车 8 辆，价值 202.79万元；执法执勤用车0 辆，价值 0万元；其他车辆 0 辆，价值 0 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3.办公家具价值47.56 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4.其他资产价值39.28 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 0 台（套），单位价值100万元以上大型设备 0 台（套）。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2019年部门预算未安排购置车辆经费，安排购置50万元以上大型设备0  台（套），单位价值100万元以上大型设备 0 台（套）。</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2019年度，本年度实行绩效管理的项目 0 个，涉及预算金额 0万元。具体情况见下表（按项目分别填报）：</w:t>
      </w: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widowControl/>
        <w:spacing w:line="600" w:lineRule="exact"/>
        <w:sectPr>
          <w:pgSz w:w="11906" w:h="16838"/>
          <w:pgMar w:top="1440" w:right="1800" w:bottom="1440" w:left="1800" w:header="851" w:footer="992" w:gutter="0"/>
          <w:cols w:space="425" w:num="1"/>
          <w:docGrid w:type="lines" w:linePitch="312" w:charSpace="0"/>
        </w:sectPr>
      </w:pPr>
    </w:p>
    <w:tbl>
      <w:tblPr>
        <w:tblStyle w:val="4"/>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XX单位</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XXXXX</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411" w:firstLineChars="196"/>
        <w:jc w:val="left"/>
        <w:sectPr>
          <w:pgSz w:w="16838" w:h="11906" w:orient="landscape"/>
          <w:pgMar w:top="1800" w:right="1440" w:bottom="1800" w:left="1440" w:header="851" w:footer="992" w:gutter="0"/>
          <w:cols w:space="425" w:num="1"/>
          <w:docGrid w:type="lines" w:linePitch="312" w:charSpace="0"/>
        </w:sectPr>
      </w:pPr>
    </w:p>
    <w:p>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无     </w:t>
      </w: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部门支出预算的组成部分，是自治区本级部门为完成其特定的行政任务或事业发展目标，在基本支出预算之外编制的年度项目支出计划。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hAnsi="宋体" w:eastAsia="仿宋_GB2312" w:cs="宋体"/>
          <w:kern w:val="0"/>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昌吉州住房和城乡建设局</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31</w:t>
      </w:r>
      <w:r>
        <w:rPr>
          <w:rFonts w:ascii="仿宋_GB2312" w:hAnsi="宋体" w:eastAsia="仿宋_GB2312" w:cs="宋体"/>
          <w:kern w:val="0"/>
          <w:sz w:val="32"/>
          <w:szCs w:val="32"/>
        </w:rPr>
        <w:t>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Dialog">
    <w:altName w:val="Times New Roman"/>
    <w:panose1 w:val="00000000000000000000"/>
    <w:charset w:val="00"/>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19</w:t>
    </w:r>
    <w:r>
      <w:rPr>
        <w:rFonts w:ascii="宋体" w:hAnsi="宋体" w:eastAsia="宋体"/>
        <w:sz w:val="28"/>
        <w:szCs w:val="28"/>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18 -</w:t>
    </w:r>
    <w:r>
      <w:rPr>
        <w:rFonts w:ascii="宋体" w:hAnsi="宋体" w:eastAsia="宋体"/>
        <w:sz w:val="28"/>
        <w:szCs w:val="28"/>
      </w:rPr>
      <w:fldChar w:fldCharType="end"/>
    </w:r>
  </w:p>
  <w:p>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05A96E2"/>
    <w:multiLevelType w:val="singleLevel"/>
    <w:tmpl w:val="E05A96E2"/>
    <w:lvl w:ilvl="0" w:tentative="0">
      <w:start w:val="3"/>
      <w:numFmt w:val="chineseCounting"/>
      <w:suff w:val="nothing"/>
      <w:lvlText w:val="（%1）"/>
      <w:lvlJc w:val="left"/>
      <w:rPr>
        <w:rFonts w:hint="eastAsia"/>
      </w:rPr>
    </w:lvl>
  </w:abstractNum>
  <w:abstractNum w:abstractNumId="1">
    <w:nsid w:val="E84C385B"/>
    <w:multiLevelType w:val="singleLevel"/>
    <w:tmpl w:val="E84C385B"/>
    <w:lvl w:ilvl="0" w:tentative="0">
      <w:start w:val="1"/>
      <w:numFmt w:val="chineseCounting"/>
      <w:suff w:val="nothing"/>
      <w:lvlText w:val="%1、"/>
      <w:lvlJc w:val="left"/>
      <w:pPr>
        <w:ind w:left="64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39B"/>
    <w:rsid w:val="000A7139"/>
    <w:rsid w:val="00407081"/>
    <w:rsid w:val="006C7F75"/>
    <w:rsid w:val="00804CB2"/>
    <w:rsid w:val="00925F59"/>
    <w:rsid w:val="00C85783"/>
    <w:rsid w:val="00C87AB7"/>
    <w:rsid w:val="00CA5B1F"/>
    <w:rsid w:val="00CC01E2"/>
    <w:rsid w:val="00E6039B"/>
    <w:rsid w:val="00FD125F"/>
    <w:rsid w:val="011A1461"/>
    <w:rsid w:val="018F13BE"/>
    <w:rsid w:val="01C25E58"/>
    <w:rsid w:val="01EA2D94"/>
    <w:rsid w:val="04767E5B"/>
    <w:rsid w:val="0A8D4224"/>
    <w:rsid w:val="0E9A36FE"/>
    <w:rsid w:val="0F386AFE"/>
    <w:rsid w:val="0FDD31DC"/>
    <w:rsid w:val="103B6892"/>
    <w:rsid w:val="104745F0"/>
    <w:rsid w:val="11172232"/>
    <w:rsid w:val="17F8618E"/>
    <w:rsid w:val="182F0FAC"/>
    <w:rsid w:val="18BD0D54"/>
    <w:rsid w:val="190B3535"/>
    <w:rsid w:val="19C90509"/>
    <w:rsid w:val="1EB206E7"/>
    <w:rsid w:val="1FFE0858"/>
    <w:rsid w:val="209B74CF"/>
    <w:rsid w:val="25EA469C"/>
    <w:rsid w:val="2785020A"/>
    <w:rsid w:val="27D941D7"/>
    <w:rsid w:val="27FB76E1"/>
    <w:rsid w:val="28EB6F60"/>
    <w:rsid w:val="2B3C0297"/>
    <w:rsid w:val="2C5B749C"/>
    <w:rsid w:val="34BC4626"/>
    <w:rsid w:val="34D3339B"/>
    <w:rsid w:val="365B11F7"/>
    <w:rsid w:val="3697502B"/>
    <w:rsid w:val="3AB6040C"/>
    <w:rsid w:val="3B406F04"/>
    <w:rsid w:val="3D5146A0"/>
    <w:rsid w:val="3FF11930"/>
    <w:rsid w:val="40AF6D1B"/>
    <w:rsid w:val="416F4943"/>
    <w:rsid w:val="44401AB3"/>
    <w:rsid w:val="44406BEA"/>
    <w:rsid w:val="45A86F99"/>
    <w:rsid w:val="45D03B97"/>
    <w:rsid w:val="45E741F9"/>
    <w:rsid w:val="464A52B5"/>
    <w:rsid w:val="4BF32B7D"/>
    <w:rsid w:val="4F2E11B7"/>
    <w:rsid w:val="4F6B1096"/>
    <w:rsid w:val="50D93EA0"/>
    <w:rsid w:val="551812D9"/>
    <w:rsid w:val="56192911"/>
    <w:rsid w:val="579D097C"/>
    <w:rsid w:val="58140BCE"/>
    <w:rsid w:val="5A3734C6"/>
    <w:rsid w:val="5B81658F"/>
    <w:rsid w:val="5D350AA3"/>
    <w:rsid w:val="5DEE4644"/>
    <w:rsid w:val="5F7D29E9"/>
    <w:rsid w:val="60513539"/>
    <w:rsid w:val="60DF7E7A"/>
    <w:rsid w:val="61A27CE5"/>
    <w:rsid w:val="62285197"/>
    <w:rsid w:val="63E96051"/>
    <w:rsid w:val="640D16B9"/>
    <w:rsid w:val="65BB7760"/>
    <w:rsid w:val="661E6EC0"/>
    <w:rsid w:val="69592AD1"/>
    <w:rsid w:val="696B6A91"/>
    <w:rsid w:val="69B67843"/>
    <w:rsid w:val="6DAC7EF2"/>
    <w:rsid w:val="6DB8132D"/>
    <w:rsid w:val="6EA0187F"/>
    <w:rsid w:val="71782142"/>
    <w:rsid w:val="71821B64"/>
    <w:rsid w:val="72AA08EA"/>
    <w:rsid w:val="737971B1"/>
    <w:rsid w:val="76801DA9"/>
    <w:rsid w:val="77C4068C"/>
    <w:rsid w:val="79BB4D08"/>
    <w:rsid w:val="7AA10B29"/>
    <w:rsid w:val="7B316A9A"/>
    <w:rsid w:val="7D024A9B"/>
    <w:rsid w:val="7FC456B5"/>
    <w:rsid w:val="7FFA6A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rFonts w:eastAsia="黑体"/>
      <w:snapToGrid w:val="0"/>
      <w:kern w:val="0"/>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6">
    <w:name w:val="Strong"/>
    <w:qFormat/>
    <w:uiPriority w:val="0"/>
    <w:rPr>
      <w:rFonts w:cs="Times New Roman"/>
      <w:b/>
      <w:bCs/>
    </w:rPr>
  </w:style>
  <w:style w:type="paragraph" w:customStyle="1" w:styleId="7">
    <w:name w:val="批注框文本1"/>
    <w:basedOn w:val="1"/>
    <w:link w:val="8"/>
    <w:qFormat/>
    <w:uiPriority w:val="0"/>
    <w:rPr>
      <w:sz w:val="18"/>
      <w:szCs w:val="18"/>
    </w:rPr>
  </w:style>
  <w:style w:type="character" w:customStyle="1" w:styleId="8">
    <w:name w:val="批注框文本 Char"/>
    <w:basedOn w:val="5"/>
    <w:link w:val="7"/>
    <w:semiHidden/>
    <w:qFormat/>
    <w:uiPriority w:val="0"/>
    <w:rPr>
      <w:rFonts w:ascii="Times New Roman" w:hAnsi="Times New Roman" w:eastAsia="宋体" w:cs="Times New Roman"/>
      <w:sz w:val="18"/>
      <w:szCs w:val="18"/>
    </w:rPr>
  </w:style>
  <w:style w:type="character" w:customStyle="1" w:styleId="9">
    <w:name w:val="页脚 字符"/>
    <w:basedOn w:val="5"/>
    <w:link w:val="2"/>
    <w:semiHidden/>
    <w:qFormat/>
    <w:uiPriority w:val="0"/>
    <w:rPr>
      <w:rFonts w:ascii="Times New Roman" w:hAnsi="Times New Roman" w:eastAsia="黑体" w:cs="Times New Roman"/>
      <w:snapToGrid w:val="0"/>
      <w:kern w:val="0"/>
      <w:sz w:val="18"/>
      <w:szCs w:val="18"/>
    </w:rPr>
  </w:style>
  <w:style w:type="character" w:customStyle="1" w:styleId="10">
    <w:name w:val="页眉 字符"/>
    <w:basedOn w:val="5"/>
    <w:link w:val="3"/>
    <w:semiHidden/>
    <w:qFormat/>
    <w:uiPriority w:val="0"/>
    <w:rPr>
      <w:rFonts w:ascii="Times New Roman" w:hAnsi="Times New Roman" w:eastAsia="宋体" w:cs="Times New Roman"/>
      <w:sz w:val="18"/>
      <w:szCs w:val="18"/>
    </w:rPr>
  </w:style>
  <w:style w:type="character" w:customStyle="1" w:styleId="11">
    <w:name w:val="正文文本缩进 3 Char"/>
    <w:basedOn w:val="5"/>
    <w:link w:val="12"/>
    <w:semiHidden/>
    <w:qFormat/>
    <w:uiPriority w:val="0"/>
    <w:rPr>
      <w:rFonts w:ascii="Times New Roman" w:hAnsi="Times New Roman" w:eastAsia="仿宋_GB2312" w:cs="Times New Roman"/>
      <w:sz w:val="32"/>
      <w:szCs w:val="24"/>
    </w:rPr>
  </w:style>
  <w:style w:type="paragraph" w:customStyle="1" w:styleId="12">
    <w:name w:val="正文文本缩进 31"/>
    <w:basedOn w:val="1"/>
    <w:link w:val="11"/>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4">
    <w:name w:val="列出段落1"/>
    <w:basedOn w:val="1"/>
    <w:qFormat/>
    <w:uiPriority w:val="0"/>
    <w:pPr>
      <w:ind w:firstLine="420" w:firstLineChars="200"/>
    </w:pPr>
    <w:rPr>
      <w:rFonts w:ascii="Calibri" w:hAnsi="Calibri"/>
      <w:szCs w:val="22"/>
    </w:rPr>
  </w:style>
  <w:style w:type="paragraph" w:customStyle="1" w:styleId="15">
    <w:name w:val="普通(网站)1"/>
    <w:basedOn w:val="1"/>
    <w:qFormat/>
    <w:uiPriority w:val="0"/>
    <w:rPr>
      <w:rFonts w:ascii="Calibri" w:hAnsi="Calibri" w:cs="黑体"/>
      <w:sz w:val="24"/>
    </w:rPr>
  </w:style>
  <w:style w:type="paragraph" w:customStyle="1" w:styleId="16">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17">
    <w:name w:val="普通(网站)21"/>
    <w:basedOn w:val="1"/>
    <w:qFormat/>
    <w:uiPriority w:val="0"/>
    <w:rPr>
      <w:rFonts w:ascii="Calibri" w:hAnsi="Calibri" w:cs="黑体"/>
      <w:sz w:val="24"/>
    </w:rPr>
  </w:style>
  <w:style w:type="paragraph" w:customStyle="1" w:styleId="18">
    <w:name w:val="普通(网站)3"/>
    <w:basedOn w:val="1"/>
    <w:qFormat/>
    <w:uiPriority w:val="0"/>
    <w:rPr>
      <w:rFonts w:ascii="Calibri" w:hAnsi="Calibri" w:cs="黑体"/>
      <w:sz w:val="24"/>
    </w:rPr>
  </w:style>
  <w:style w:type="character" w:customStyle="1" w:styleId="19">
    <w:name w:val="页码1"/>
    <w:basedOn w:val="5"/>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Pages>
  <Words>2008</Words>
  <Characters>11447</Characters>
  <Lines>95</Lines>
  <Paragraphs>26</Paragraphs>
  <TotalTime>1</TotalTime>
  <ScaleCrop>false</ScaleCrop>
  <LinksUpToDate>false</LinksUpToDate>
  <CharactersWithSpaces>13429</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2019-01-15T18:37:00Z</dcterms:created>
  <dc:creator>王怡</dc:creator>
  <cp:lastModifiedBy>cw01</cp:lastModifiedBy>
  <cp:lastPrinted>2021-05-27T08:23:47Z</cp:lastPrinted>
  <dcterms:modified xsi:type="dcterms:W3CDTF">2021-05-27T08:37:24Z</dcterms:modified>
  <dc:title>王怡</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