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b/>
          <w:bCs/>
          <w:kern w:val="0"/>
          <w:sz w:val="44"/>
          <w:szCs w:val="44"/>
        </w:rPr>
        <w:t>昌吉州建筑工程社会保险统筹总站2019年部门预算公开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昌吉州建筑工程社会保险统筹总站部门单位概况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eastAsia="仿宋_GB2312"/>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Cs/>
          <w:kern w:val="0"/>
          <w:sz w:val="32"/>
          <w:szCs w:val="32"/>
        </w:rPr>
        <w:t>昌吉州建筑工程社会保险统筹总站</w:t>
      </w:r>
      <w:r>
        <w:rPr>
          <w:rFonts w:hint="eastAsia" w:ascii="仿宋_GB2312" w:hAnsi="宋体" w:eastAsia="仿宋_GB2312"/>
          <w:kern w:val="0"/>
          <w:sz w:val="32"/>
          <w:szCs w:val="32"/>
        </w:rPr>
        <w:t>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Cs/>
          <w:kern w:val="0"/>
          <w:sz w:val="32"/>
          <w:szCs w:val="32"/>
        </w:rPr>
        <w:t>昌吉州建筑工程社会保险统筹总站</w:t>
      </w:r>
      <w:r>
        <w:rPr>
          <w:rFonts w:hint="eastAsia" w:ascii="仿宋_GB2312" w:hAnsi="宋体" w:eastAsia="仿宋_GB2312"/>
          <w:kern w:val="0"/>
          <w:sz w:val="32"/>
          <w:szCs w:val="32"/>
        </w:rPr>
        <w:t>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Cs/>
          <w:kern w:val="0"/>
          <w:sz w:val="32"/>
          <w:szCs w:val="32"/>
        </w:rPr>
        <w:t>昌吉州建筑工程社会保险统筹总站</w:t>
      </w:r>
      <w:r>
        <w:rPr>
          <w:rFonts w:hint="eastAsia" w:ascii="仿宋_GB2312" w:hAnsi="宋体" w:eastAsia="仿宋_GB2312"/>
          <w:kern w:val="0"/>
          <w:sz w:val="32"/>
          <w:szCs w:val="32"/>
        </w:rPr>
        <w:t>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四、关于昌吉州建筑工程社会保险统筹总站</w:t>
      </w:r>
      <w:r>
        <w:rPr>
          <w:rFonts w:hint="eastAsia" w:ascii="仿宋_GB2312" w:hAnsi="宋体" w:eastAsia="仿宋_GB2312"/>
          <w:kern w:val="0"/>
          <w:sz w:val="32"/>
          <w:szCs w:val="32"/>
        </w:rPr>
        <w:t>2019年</w:t>
      </w:r>
      <w:r>
        <w:rPr>
          <w:rFonts w:hint="eastAsia" w:ascii="仿宋_GB2312" w:hAnsi="宋体" w:eastAsia="仿宋_GB2312"/>
          <w:bCs/>
          <w:kern w:val="0"/>
          <w:sz w:val="32"/>
          <w:szCs w:val="32"/>
        </w:rPr>
        <w:t>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Cs/>
          <w:kern w:val="0"/>
          <w:sz w:val="32"/>
          <w:szCs w:val="32"/>
        </w:rPr>
        <w:t>昌吉州建筑工程社会保险统筹总站</w:t>
      </w:r>
      <w:r>
        <w:rPr>
          <w:rFonts w:hint="eastAsia" w:ascii="仿宋_GB2312" w:hAnsi="宋体" w:eastAsia="仿宋_GB2312"/>
          <w:kern w:val="0"/>
          <w:sz w:val="32"/>
          <w:szCs w:val="32"/>
        </w:rPr>
        <w:t>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Cs/>
          <w:kern w:val="0"/>
          <w:sz w:val="32"/>
          <w:szCs w:val="32"/>
        </w:rPr>
        <w:t>昌吉州建筑工程社会保险统筹总站</w:t>
      </w:r>
      <w:r>
        <w:rPr>
          <w:rFonts w:hint="eastAsia" w:ascii="仿宋_GB2312" w:hAnsi="宋体" w:eastAsia="仿宋_GB2312"/>
          <w:kern w:val="0"/>
          <w:sz w:val="32"/>
          <w:szCs w:val="32"/>
        </w:rPr>
        <w:t>2019年一般公共预算基本支出情况说明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kern w:val="0"/>
          <w:sz w:val="32"/>
          <w:szCs w:val="32"/>
        </w:rPr>
        <w:t>七、关于</w:t>
      </w:r>
      <w:r>
        <w:rPr>
          <w:rFonts w:hint="eastAsia" w:ascii="仿宋_GB2312" w:hAnsi="宋体" w:eastAsia="仿宋_GB2312"/>
          <w:bCs/>
          <w:kern w:val="0"/>
          <w:sz w:val="32"/>
          <w:szCs w:val="32"/>
        </w:rPr>
        <w:t>昌吉州建筑工程社会保险统筹总站2019年项目支出情况说明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八、关于昌吉州建筑工程社会保险统筹总站2019年一般公共预算“三公”经费预算情况说明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九、关于昌吉州建筑工程社会保险统筹总站2019年政府性基金预算拨款情况说明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
          <w:bCs/>
          <w:kern w:val="0"/>
          <w:sz w:val="32"/>
          <w:szCs w:val="32"/>
        </w:rPr>
        <w:t>昌吉州建筑工程社会保险统筹总站2019年</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主要职能</w:t>
      </w:r>
    </w:p>
    <w:p>
      <w:pPr>
        <w:widowControl/>
        <w:spacing w:line="560" w:lineRule="exact"/>
        <w:jc w:val="left"/>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eastAsia="仿宋_GB2312"/>
          <w:sz w:val="32"/>
          <w:szCs w:val="32"/>
        </w:rPr>
        <w:t>根据新疆维吾尔自治区人民政府第180号《新疆维吾尔自治区建筑工程社会保险费统筹管理暂行办法》有关规定，负责全州建筑工程社会保险统筹费收缴、拨付、使用等工作。具体工作有：</w:t>
      </w:r>
    </w:p>
    <w:p>
      <w:pPr>
        <w:numPr>
          <w:ilvl w:val="0"/>
          <w:numId w:val="2"/>
        </w:numPr>
        <w:spacing w:line="400" w:lineRule="exact"/>
        <w:ind w:firstLine="640" w:firstLineChars="200"/>
        <w:rPr>
          <w:rFonts w:ascii="仿宋_GB2312" w:eastAsia="仿宋_GB2312"/>
          <w:sz w:val="32"/>
          <w:szCs w:val="32"/>
        </w:rPr>
      </w:pPr>
      <w:r>
        <w:rPr>
          <w:rFonts w:hint="eastAsia" w:ascii="仿宋_GB2312" w:eastAsia="仿宋_GB2312"/>
          <w:sz w:val="32"/>
          <w:szCs w:val="32"/>
        </w:rPr>
        <w:t>负责将建筑工程社会保险费及时足额拨付给施工企业；</w:t>
      </w:r>
    </w:p>
    <w:p>
      <w:pPr>
        <w:numPr>
          <w:ilvl w:val="0"/>
          <w:numId w:val="2"/>
        </w:numPr>
        <w:spacing w:line="400" w:lineRule="exact"/>
        <w:ind w:firstLine="640" w:firstLineChars="200"/>
        <w:rPr>
          <w:rFonts w:ascii="仿宋_GB2312" w:eastAsia="仿宋_GB2312"/>
          <w:sz w:val="32"/>
          <w:szCs w:val="32"/>
        </w:rPr>
      </w:pPr>
      <w:r>
        <w:rPr>
          <w:rFonts w:hint="eastAsia" w:ascii="仿宋_GB2312" w:eastAsia="仿宋_GB2312"/>
          <w:sz w:val="32"/>
          <w:szCs w:val="32"/>
        </w:rPr>
        <w:t>负责监督昌吉州辖区内建筑施工企业收缴专户的设立、专户资金的使用，确保建筑工程社会保险费专款专用，保障建筑施工企业社会保险费的资金来源，维护社会稳定等。负责业务职权范围内的行业纠风工作。</w:t>
      </w:r>
    </w:p>
    <w:p>
      <w:pPr>
        <w:numPr>
          <w:ilvl w:val="0"/>
          <w:numId w:val="2"/>
        </w:numPr>
        <w:spacing w:line="400" w:lineRule="exact"/>
        <w:ind w:firstLine="640" w:firstLineChars="200"/>
        <w:rPr>
          <w:rFonts w:ascii="仿宋_GB2312" w:eastAsia="仿宋_GB2312"/>
          <w:sz w:val="32"/>
          <w:szCs w:val="32"/>
        </w:rPr>
      </w:pPr>
      <w:r>
        <w:rPr>
          <w:rFonts w:hint="eastAsia" w:ascii="仿宋_GB2312" w:eastAsia="仿宋_GB2312"/>
          <w:sz w:val="32"/>
          <w:szCs w:val="32"/>
        </w:rPr>
        <w:t>负责行政主管部门领导交办的其他工作。</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spacing w:line="400" w:lineRule="exact"/>
        <w:ind w:firstLine="640" w:firstLineChars="200"/>
        <w:rPr>
          <w:rFonts w:ascii="仿宋_GB2312" w:hAnsi="黑体" w:eastAsia="仿宋_GB2312" w:cs="宋体"/>
          <w:bCs/>
          <w:kern w:val="0"/>
          <w:sz w:val="32"/>
          <w:szCs w:val="32"/>
        </w:rPr>
      </w:pPr>
      <w:r>
        <w:rPr>
          <w:rFonts w:hint="eastAsia" w:ascii="仿宋_GB2312" w:hAnsi="宋体" w:eastAsia="仿宋_GB2312" w:cs="宋体"/>
          <w:kern w:val="0"/>
          <w:sz w:val="32"/>
          <w:szCs w:val="32"/>
        </w:rPr>
        <w:t>单位</w:t>
      </w:r>
      <w:r>
        <w:rPr>
          <w:rFonts w:hint="eastAsia" w:ascii="仿宋_GB2312" w:hAnsi="黑体" w:eastAsia="仿宋_GB2312" w:cs="宋体"/>
          <w:bCs/>
          <w:kern w:val="0"/>
          <w:sz w:val="32"/>
          <w:szCs w:val="32"/>
        </w:rPr>
        <w:t>无下属预算单位。无下设科室。</w:t>
      </w:r>
    </w:p>
    <w:p>
      <w:pPr>
        <w:widowControl/>
        <w:spacing w:line="560" w:lineRule="exact"/>
        <w:ind w:firstLine="640" w:firstLineChars="200"/>
        <w:jc w:val="left"/>
        <w:rPr>
          <w:rFonts w:ascii="仿宋_GB2312" w:hAnsi="黑体" w:eastAsia="仿宋_GB2312" w:cs="宋体"/>
          <w:b/>
          <w:bCs/>
          <w:kern w:val="0"/>
          <w:sz w:val="32"/>
          <w:szCs w:val="32"/>
        </w:rPr>
      </w:pPr>
      <w:r>
        <w:rPr>
          <w:rFonts w:hint="eastAsia" w:ascii="仿宋" w:hAnsi="仿宋" w:eastAsia="仿宋" w:cs="仿宋"/>
          <w:bCs/>
          <w:sz w:val="32"/>
          <w:szCs w:val="32"/>
        </w:rPr>
        <w:t>单位编制数14名，实有人数14名，其中：在职14人，增加2人；退休2人，增加或减少0人；离休0人，增加或减少0人。</w:t>
      </w:r>
    </w:p>
    <w:p>
      <w:pPr>
        <w:widowControl/>
        <w:spacing w:line="520" w:lineRule="exact"/>
        <w:ind w:left="529" w:leftChars="252" w:firstLine="640" w:firstLineChars="200"/>
        <w:jc w:val="left"/>
        <w:rPr>
          <w:rFonts w:ascii="仿宋" w:hAnsi="仿宋" w:eastAsia="仿宋" w:cs="仿宋"/>
          <w:kern w:val="0"/>
          <w:sz w:val="32"/>
          <w:szCs w:val="32"/>
          <w:lang w:bidi="ar"/>
        </w:rPr>
      </w:pPr>
    </w:p>
    <w:p>
      <w:pPr>
        <w:widowControl/>
        <w:spacing w:line="560" w:lineRule="exact"/>
        <w:ind w:firstLine="640"/>
        <w:jc w:val="left"/>
        <w:rPr>
          <w:rFonts w:ascii="黑体" w:hAnsi="黑体" w:eastAsia="黑体"/>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昌吉州建筑工程社会保险统筹总站                    单位：万元                             </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196.55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196.55</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196.55</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196.55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196.55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填报部门：昌吉州建筑工程社会保险统筹总站                         单位：万元               </w:t>
      </w:r>
    </w:p>
    <w:tbl>
      <w:tblPr>
        <w:tblStyle w:val="4"/>
        <w:tblW w:w="9654" w:type="dxa"/>
        <w:tblInd w:w="93" w:type="dxa"/>
        <w:tblLayout w:type="fixed"/>
        <w:tblCellMar>
          <w:top w:w="0" w:type="dxa"/>
          <w:left w:w="108" w:type="dxa"/>
          <w:bottom w:w="0" w:type="dxa"/>
          <w:right w:w="108" w:type="dxa"/>
        </w:tblCellMar>
      </w:tblPr>
      <w:tblGrid>
        <w:gridCol w:w="417"/>
        <w:gridCol w:w="417"/>
        <w:gridCol w:w="417"/>
        <w:gridCol w:w="2145"/>
        <w:gridCol w:w="820"/>
        <w:gridCol w:w="749"/>
        <w:gridCol w:w="611"/>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1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4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1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13"/>
                <w:szCs w:val="13"/>
              </w:rPr>
              <w:t>212</w:t>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06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工程建设管理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196.55</w:t>
            </w:r>
          </w:p>
        </w:tc>
        <w:tc>
          <w:tcPr>
            <w:tcW w:w="74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15"/>
                <w:szCs w:val="15"/>
              </w:rPr>
              <w:t>196.55</w:t>
            </w: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196.55　</w:t>
            </w:r>
          </w:p>
        </w:tc>
        <w:tc>
          <w:tcPr>
            <w:tcW w:w="74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16"/>
                <w:szCs w:val="16"/>
              </w:rPr>
              <w:t>196.55</w:t>
            </w:r>
            <w:r>
              <w:rPr>
                <w:rFonts w:hint="eastAsia" w:ascii="仿宋_GB2312" w:eastAsia="仿宋_GB2312"/>
                <w:color w:val="000000"/>
                <w:sz w:val="20"/>
                <w:szCs w:val="20"/>
              </w:rPr>
              <w:t>　</w:t>
            </w:r>
          </w:p>
        </w:tc>
        <w:tc>
          <w:tcPr>
            <w:tcW w:w="6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编制部门：昌吉州建筑工程社会保险统筹总站                      单位：万元                                </w:t>
      </w:r>
    </w:p>
    <w:tbl>
      <w:tblPr>
        <w:tblStyle w:val="4"/>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212</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06</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仿宋_GB2312" w:eastAsia="仿宋_GB2312"/>
                <w:color w:val="000000"/>
                <w:sz w:val="20"/>
                <w:szCs w:val="20"/>
              </w:rPr>
              <w:t>工程建设管理</w:t>
            </w: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196.55</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196.55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0</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　196.55</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b/>
                <w:bCs/>
                <w:color w:val="000000"/>
                <w:kern w:val="0"/>
                <w:sz w:val="22"/>
                <w:szCs w:val="22"/>
              </w:rPr>
              <w:t>196.55　</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 xml:space="preserve">编制部门：昌吉州建筑工程社会保险统筹总站              单位：万元                            </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196.55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196.55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196.55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196.55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196.55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196.55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196.55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375"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487"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18"/>
                <w:szCs w:val="18"/>
              </w:rPr>
              <w:t>编制部门：昌吉州建筑工程社会保险统筹总站</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212</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06</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工程建设管理</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196.55</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196.55</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196.55</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196.55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Layout w:type="fixed"/>
        <w:tblCellMar>
          <w:top w:w="0" w:type="dxa"/>
          <w:left w:w="108" w:type="dxa"/>
          <w:bottom w:w="0" w:type="dxa"/>
          <w:right w:w="108" w:type="dxa"/>
        </w:tblCellMar>
      </w:tblPr>
      <w:tblGrid>
        <w:gridCol w:w="516"/>
        <w:gridCol w:w="684"/>
        <w:gridCol w:w="2784"/>
        <w:gridCol w:w="995"/>
        <w:gridCol w:w="706"/>
        <w:gridCol w:w="976"/>
        <w:gridCol w:w="725"/>
        <w:gridCol w:w="1701"/>
      </w:tblGrid>
      <w:tr>
        <w:tblPrEx>
          <w:tblLayout w:type="fixed"/>
          <w:tblCellMar>
            <w:top w:w="0" w:type="dxa"/>
            <w:left w:w="108" w:type="dxa"/>
            <w:bottom w:w="0" w:type="dxa"/>
            <w:right w:w="108" w:type="dxa"/>
          </w:tblCellMar>
        </w:tblPrEx>
        <w:trPr>
          <w:trHeight w:val="35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30"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394" w:hRule="atLeast"/>
        </w:trPr>
        <w:tc>
          <w:tcPr>
            <w:tcW w:w="1200"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4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7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64.88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64.88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43"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宋体" w:hAnsi="宋体" w:cs="宋体"/>
                <w:color w:val="000000"/>
                <w:kern w:val="0"/>
                <w:sz w:val="20"/>
                <w:szCs w:val="20"/>
              </w:rPr>
              <w:t>03</w:t>
            </w:r>
          </w:p>
        </w:tc>
        <w:tc>
          <w:tcPr>
            <w:tcW w:w="27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18"/>
                <w:szCs w:val="18"/>
              </w:rPr>
              <w:t>年终一次性奖金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4.38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4.38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20"/>
                <w:szCs w:val="20"/>
              </w:rPr>
              <w:t>伙食补助费</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18"/>
                <w:szCs w:val="18"/>
              </w:rPr>
            </w:pPr>
            <w:r>
              <w:rPr>
                <w:rFonts w:hint="eastAsia" w:ascii="宋体" w:hAnsi="宋体" w:cs="宋体"/>
                <w:color w:val="000000"/>
                <w:kern w:val="0"/>
                <w:sz w:val="18"/>
                <w:szCs w:val="18"/>
              </w:rPr>
              <w:t>17.64</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18"/>
                <w:szCs w:val="18"/>
              </w:rPr>
            </w:pPr>
            <w:r>
              <w:rPr>
                <w:rFonts w:hint="eastAsia" w:ascii="宋体" w:hAnsi="宋体" w:cs="宋体"/>
                <w:color w:val="000000"/>
                <w:kern w:val="0"/>
                <w:sz w:val="18"/>
                <w:szCs w:val="18"/>
              </w:rPr>
              <w:t>17.64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基础性绩效</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23.1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奖励性绩效</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13.53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13.53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12.71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12.71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08</w:t>
            </w:r>
          </w:p>
        </w:tc>
        <w:tc>
          <w:tcPr>
            <w:tcW w:w="278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21.18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21.18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278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10.65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10.65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78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8.29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8.29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78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01失业保险缴费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78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02工伤保险缴费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0.14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0.14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301</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12</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03生育保险缴费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01</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　2.43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18"/>
                <w:szCs w:val="18"/>
              </w:rPr>
              <w:t>　2.43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06</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07</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09</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3.72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13</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r>
      <w:tr>
        <w:tblPrEx>
          <w:tblLayout w:type="fixed"/>
          <w:tblCellMar>
            <w:top w:w="0" w:type="dxa"/>
            <w:left w:w="108" w:type="dxa"/>
            <w:bottom w:w="0" w:type="dxa"/>
            <w:right w:w="108" w:type="dxa"/>
          </w:tblCellMar>
        </w:tblPrEx>
        <w:trPr>
          <w:trHeight w:val="31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302</w:t>
            </w:r>
          </w:p>
        </w:tc>
        <w:tc>
          <w:tcPr>
            <w:tcW w:w="6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16</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26　</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2.2</w:t>
            </w:r>
          </w:p>
        </w:tc>
      </w:tr>
      <w:tr>
        <w:tblPrEx>
          <w:tblLayout w:type="fixed"/>
          <w:tblCellMar>
            <w:top w:w="0" w:type="dxa"/>
            <w:left w:w="108" w:type="dxa"/>
            <w:bottom w:w="0" w:type="dxa"/>
            <w:right w:w="108" w:type="dxa"/>
          </w:tblCellMar>
        </w:tblPrEx>
        <w:trPr>
          <w:trHeight w:val="458"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302</w:t>
            </w:r>
          </w:p>
        </w:tc>
        <w:tc>
          <w:tcPr>
            <w:tcW w:w="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9901　</w:t>
            </w:r>
          </w:p>
        </w:tc>
        <w:tc>
          <w:tcPr>
            <w:tcW w:w="27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离退休人员活动费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0.13</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0.13</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68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8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tbl>
      <w:tblPr>
        <w:tblStyle w:val="4"/>
        <w:tblW w:w="9087" w:type="dxa"/>
        <w:tblInd w:w="93" w:type="dxa"/>
        <w:tblLayout w:type="fixed"/>
        <w:tblCellMar>
          <w:top w:w="0" w:type="dxa"/>
          <w:left w:w="108" w:type="dxa"/>
          <w:bottom w:w="0" w:type="dxa"/>
          <w:right w:w="108" w:type="dxa"/>
        </w:tblCellMar>
      </w:tblPr>
      <w:tblGrid>
        <w:gridCol w:w="516"/>
        <w:gridCol w:w="714"/>
        <w:gridCol w:w="2754"/>
        <w:gridCol w:w="995"/>
        <w:gridCol w:w="706"/>
        <w:gridCol w:w="976"/>
        <w:gridCol w:w="725"/>
        <w:gridCol w:w="1701"/>
      </w:tblGrid>
      <w:tr>
        <w:tblPrEx>
          <w:tblLayout w:type="fixed"/>
          <w:tblCellMar>
            <w:top w:w="0" w:type="dxa"/>
            <w:left w:w="108" w:type="dxa"/>
            <w:bottom w:w="0" w:type="dxa"/>
            <w:right w:w="108" w:type="dxa"/>
          </w:tblCellMar>
        </w:tblPrEx>
        <w:trPr>
          <w:trHeight w:val="35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330"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394" w:hRule="atLeast"/>
        </w:trPr>
        <w:tc>
          <w:tcPr>
            <w:tcW w:w="1230"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5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4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5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714"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9902</w:t>
            </w:r>
          </w:p>
        </w:tc>
        <w:tc>
          <w:tcPr>
            <w:tcW w:w="2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基层党组织活动费</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1.44</w:t>
            </w:r>
          </w:p>
        </w:tc>
      </w:tr>
      <w:tr>
        <w:tblPrEx>
          <w:tblLayout w:type="fixed"/>
          <w:tblCellMar>
            <w:top w:w="0" w:type="dxa"/>
            <w:left w:w="108" w:type="dxa"/>
            <w:bottom w:w="0" w:type="dxa"/>
            <w:right w:w="108" w:type="dxa"/>
          </w:tblCellMar>
        </w:tblPrEx>
        <w:trPr>
          <w:trHeight w:val="443"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71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0901</w:t>
            </w:r>
          </w:p>
        </w:tc>
        <w:tc>
          <w:tcPr>
            <w:tcW w:w="275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独生子女奖励金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0.08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0.08</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303</w:t>
            </w: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w:t>
            </w: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职工住宅取暖费</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hAnsi="宋体" w:cs="宋体"/>
                <w:color w:val="000000"/>
                <w:kern w:val="0"/>
                <w:sz w:val="18"/>
                <w:szCs w:val="18"/>
              </w:rPr>
            </w:pPr>
            <w:r>
              <w:rPr>
                <w:rFonts w:hint="eastAsia" w:ascii="宋体" w:hAnsi="宋体" w:cs="宋体"/>
                <w:color w:val="000000"/>
                <w:kern w:val="0"/>
                <w:sz w:val="18"/>
                <w:szCs w:val="18"/>
              </w:rPr>
              <w:t>1.6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71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5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1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5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196.55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178.88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17.67</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532"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编制部门：昌吉州建筑工程社会保险统筹总站</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编制单位：昌吉州建筑工程社会保险统筹总站                  单位：万元</w:t>
      </w:r>
    </w:p>
    <w:tbl>
      <w:tblPr>
        <w:tblStyle w:val="4"/>
        <w:tblpPr w:leftFromText="180" w:rightFromText="180" w:vertAnchor="text" w:horzAnchor="page" w:tblpX="1762" w:tblpY="108"/>
        <w:tblOverlap w:val="never"/>
        <w:tblW w:w="9087" w:type="dxa"/>
        <w:tblInd w:w="0"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                                 </w:t>
      </w:r>
    </w:p>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编制单位：昌吉州建筑工程社会保险统筹总站                  单位：万元                                   </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4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4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3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6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19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33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sectPr>
          <w:headerReference r:id="rId3" w:type="default"/>
          <w:footerReference r:id="rId4" w:type="default"/>
          <w:footerReference r:id="rId5" w:type="even"/>
          <w:pgSz w:w="11906" w:h="16838"/>
          <w:pgMar w:top="2098" w:right="1418" w:bottom="1928" w:left="1588" w:header="851" w:footer="992" w:gutter="0"/>
          <w:pgNumType w:fmt="numberInDash"/>
          <w:cols w:space="720" w:num="1"/>
          <w:docGrid w:linePitch="312" w:charSpace="0"/>
        </w:sectPr>
      </w:pPr>
      <w:r>
        <w:rPr>
          <w:rFonts w:hint="eastAsia"/>
        </w:rPr>
        <w:t>备注：我单位没有安排政府性基金预算</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关于昌吉州建筑工程社会保险统筹总站2019年收支预算情况的总体说明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按照全口径预算的原则，昌吉州建筑工程社会保险统筹总站2019年所有收入和支出均纳入部门预算管理。收支总预算 196.55万元。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支出预算包括：城乡社区支出。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二、关于昌吉州建筑工程社会保险统筹总站2019年收入预算情况说明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昌吉州建筑工程社会保险统筹总站2019年收入预算 196.55万元，其中：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一般公共预算196.55万元，占100 %，比上年增加26.12   万元，主要原因是人员增加，按照昌吉州“千名硕士进昌吉”政策引进两名研究生；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财政专户管理资金0 万元，占 0 %，比上年增加（减少）   0万元，主要原因是我单位没有财政专户管理资金；</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事业收入 0  万元，占0 %，比上年增加（减少）0万元，主要原因是我单位没有事业收入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事业单位经营收入0 万元，占0 %，比上年增加（减少）   0万元，主要原因是我单位没有事业经营收入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其他收入 0万元，占0</w:t>
      </w:r>
      <w:r>
        <w:rPr>
          <w:rFonts w:hint="eastAsia"/>
        </w:rPr>
        <w:t xml:space="preserve"> </w:t>
      </w:r>
      <w:r>
        <w:rPr>
          <w:rFonts w:hint="eastAsia" w:ascii="仿宋_GB2312" w:hAnsi="宋体" w:eastAsia="仿宋_GB2312" w:cs="宋体"/>
          <w:kern w:val="0"/>
          <w:sz w:val="32"/>
          <w:szCs w:val="32"/>
        </w:rPr>
        <w:t>%，比上年增加（减少）0万元，主要原因是我单位无其他收入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用事业基金弥补收支差额 0 万元，占0  %，比上年增加（减少）0 万元，主要原因是我单位没有用事业基金弥补收支差额。</w:t>
      </w:r>
    </w:p>
    <w:p>
      <w:pPr>
        <w:widowControl/>
        <w:spacing w:line="580" w:lineRule="exact"/>
        <w:ind w:firstLine="640"/>
        <w:jc w:val="left"/>
        <w:rPr>
          <w:rFonts w:ascii="黑体" w:hAnsi="宋体" w:eastAsia="黑体" w:cs="宋体"/>
          <w:kern w:val="0"/>
          <w:sz w:val="32"/>
          <w:szCs w:val="32"/>
        </w:rPr>
      </w:pPr>
      <w:r>
        <w:rPr>
          <w:rFonts w:hint="eastAsia" w:ascii="仿宋_GB2312" w:hAnsi="宋体" w:eastAsia="仿宋_GB2312" w:cs="宋体"/>
          <w:kern w:val="0"/>
          <w:sz w:val="32"/>
          <w:szCs w:val="32"/>
        </w:rPr>
        <w:t xml:space="preserve">单位上年结余（不包括国库集中支付额度结余）0万元，占0%，比上年减少0万元，主要原因是本单位无结转结余。 </w:t>
      </w:r>
      <w:r>
        <w:rPr>
          <w:rFonts w:hint="eastAsia" w:ascii="黑体" w:hAnsi="宋体" w:eastAsia="黑体" w:cs="宋体"/>
          <w:kern w:val="0"/>
          <w:sz w:val="32"/>
          <w:szCs w:val="32"/>
        </w:rPr>
        <w:t>三、关于昌吉州建筑工程社会保险统筹总站2019支出预算情况说明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昌吉州建筑工程社会保险统筹总站2019年支出预算 196.55万元，其中：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基本支出196.55万元，占100 %，比上年增加26.12万元，主要原因是主要原因是人员增加，按照昌吉州“千名硕士进昌吉”政策引进两名研究生。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 万元，占 0 %，比上年增加（减少） 0  万元。</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四、关于昌吉州建筑工程社会保险统筹总站2019年财政拨款收支预算情况的总体说明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 196.55 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highlight w:val="yellow"/>
        </w:rPr>
        <w:t>收入全部为一般公共预算拨款，无政府性基金预算拨款。</w:t>
      </w: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196.55</w:t>
      </w:r>
      <w:r>
        <w:rPr>
          <w:rFonts w:hint="eastAsia" w:ascii="仿宋_GB2312" w:hAnsi="宋体" w:eastAsia="仿宋_GB2312" w:cs="宋体"/>
          <w:kern w:val="0"/>
          <w:sz w:val="32"/>
          <w:szCs w:val="32"/>
        </w:rPr>
        <w:t>万元，主要</w:t>
      </w:r>
      <w:r>
        <w:rPr>
          <w:rFonts w:hint="eastAsia" w:ascii="仿宋_GB2312" w:hAnsi="宋体" w:eastAsia="仿宋_GB2312" w:cs="宋体"/>
          <w:kern w:val="0"/>
          <w:sz w:val="32"/>
          <w:szCs w:val="32"/>
          <w:lang w:val="en-US" w:eastAsia="zh-CN"/>
        </w:rPr>
        <w:t>为</w:t>
      </w:r>
      <w:r>
        <w:rPr>
          <w:rFonts w:hint="eastAsia" w:ascii="仿宋_GB2312" w:hAnsi="宋体" w:eastAsia="仿宋_GB2312" w:cs="宋体"/>
          <w:spacing w:val="-6"/>
          <w:kern w:val="0"/>
          <w:sz w:val="32"/>
          <w:szCs w:val="32"/>
          <w:lang w:val="en-US" w:eastAsia="zh-CN"/>
        </w:rPr>
        <w:t>212城乡社区支出196.55万元，</w:t>
      </w:r>
      <w:r>
        <w:rPr>
          <w:rFonts w:hint="eastAsia" w:ascii="仿宋_GB2312" w:hAnsi="宋体" w:eastAsia="仿宋_GB2312" w:cs="宋体"/>
          <w:spacing w:val="-6"/>
          <w:kern w:val="0"/>
          <w:sz w:val="32"/>
          <w:szCs w:val="32"/>
        </w:rPr>
        <w:t>主要用于人员</w:t>
      </w:r>
      <w:r>
        <w:rPr>
          <w:rFonts w:hint="eastAsia" w:ascii="仿宋_GB2312" w:hAnsi="宋体" w:eastAsia="仿宋_GB2312" w:cs="宋体"/>
          <w:spacing w:val="-6"/>
          <w:kern w:val="0"/>
          <w:sz w:val="32"/>
          <w:szCs w:val="32"/>
          <w:lang w:val="en-US" w:eastAsia="zh-CN"/>
        </w:rPr>
        <w:t>工资、津贴及各种社保缴费、</w:t>
      </w:r>
      <w:r>
        <w:rPr>
          <w:rFonts w:hint="eastAsia" w:ascii="仿宋_GB2312" w:hAnsi="宋体" w:eastAsia="仿宋_GB2312" w:cs="宋体"/>
          <w:spacing w:val="-6"/>
          <w:kern w:val="0"/>
          <w:sz w:val="32"/>
          <w:szCs w:val="32"/>
        </w:rPr>
        <w:t>日常公用经费</w:t>
      </w:r>
      <w:r>
        <w:rPr>
          <w:rFonts w:hint="eastAsia" w:ascii="仿宋_GB2312" w:hAnsi="宋体" w:eastAsia="仿宋_GB2312" w:cs="宋体"/>
          <w:spacing w:val="-6"/>
          <w:kern w:val="0"/>
          <w:sz w:val="32"/>
          <w:szCs w:val="32"/>
          <w:lang w:val="en-US" w:eastAsia="zh-CN"/>
        </w:rPr>
        <w:t>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五、关于昌吉州建筑工程社会保险统筹总站2019年一般公共预算当年拨款情况说明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昌吉州建筑工程社会保险统筹总站2019</w:t>
      </w:r>
      <w:r>
        <w:rPr>
          <w:rFonts w:hint="eastAsia" w:ascii="仿宋_GB2312" w:hAnsi="宋体" w:eastAsia="仿宋_GB2312" w:cs="宋体"/>
          <w:kern w:val="0"/>
          <w:sz w:val="32"/>
          <w:szCs w:val="32"/>
        </w:rPr>
        <w:t xml:space="preserve">年一般公共预算拨款基本支出 196.55万元，比上年执行数增加26.12 万元，增长15.33 %。主要原因是：人员增加，按照昌吉州“千名硕士进昌吉”政策引进两名研究生。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highlight w:val="yellow"/>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lang w:val="en-US" w:eastAsia="zh-CN"/>
        </w:rPr>
        <w:t>（212）城乡社区支出196.55</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hint="eastAsia" w:ascii="仿宋_GB2312" w:eastAsia="仿宋_GB2312"/>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1.</w:t>
      </w:r>
      <w:r>
        <w:rPr>
          <w:rFonts w:hint="eastAsia" w:ascii="仿宋_GB2312" w:hAnsi="宋体" w:eastAsia="仿宋_GB2312" w:cs="宋体"/>
          <w:kern w:val="0"/>
          <w:sz w:val="32"/>
          <w:szCs w:val="32"/>
          <w:highlight w:val="yellow"/>
          <w:lang w:val="en-US" w:eastAsia="zh-CN"/>
        </w:rPr>
        <w:t>2120106工程建设管理：2019年预算数为196.55万元，比上年预算增加26.12万元，增加15.33%，主要原因是：</w:t>
      </w:r>
      <w:r>
        <w:rPr>
          <w:rFonts w:hint="eastAsia" w:ascii="仿宋_GB2312" w:hAnsi="宋体" w:eastAsia="仿宋_GB2312" w:cs="宋体"/>
          <w:kern w:val="0"/>
          <w:sz w:val="32"/>
          <w:szCs w:val="32"/>
        </w:rPr>
        <w:t xml:space="preserve">人员增加，按照昌吉州“千名硕士进昌吉”政策引进两名研究生。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六、关于昌吉州建筑工程社会保险统筹总站2019年一般公共预算基本支出情况说明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昌吉州建筑工程社会保险统筹总站2019年</w:t>
      </w:r>
      <w:r>
        <w:rPr>
          <w:rFonts w:hint="eastAsia" w:ascii="仿宋_GB2312" w:hAnsi="宋体" w:eastAsia="仿宋_GB2312" w:cs="宋体"/>
          <w:kern w:val="0"/>
          <w:sz w:val="32"/>
          <w:szCs w:val="32"/>
        </w:rPr>
        <w:t>一般公共预算基本支出196.55万元，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178.88万元，主要包括：基本工资、津贴补贴、奖金、伙食补助费、绩效工资、机关事业单位基本养老保险缴费、职业年金缴费、职工基本医疗保险缴费、公务员医疗补助缴费、其他社会保障缴费、住房公积金、医疗费、其他工资福利支出、退休费、生活补助、救济费、医疗费补助、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 17.67 万元，主要包括：办公费、印刷费、咨询费、手续费、水费、电费、邮电费、取暖费、物业管理费、差旅费、因公出国（境）费、维修（护）费、租赁费、会议费、培训费、公务接待费、专用材料费、劳务费、委托业务费、工会经费、福利费、公务用车运行维护费、其他交通费用、税金及附加费用、其他商品和服务支出、办公设备购置、专用设备购置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七、关于昌吉州建筑工程社会保险统筹总站2019年项目支出情况说明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bCs/>
          <w:sz w:val="32"/>
          <w:szCs w:val="32"/>
        </w:rPr>
        <w:t>本单位2019年预算无项目支出</w:t>
      </w:r>
      <w:r>
        <w:rPr>
          <w:rFonts w:hint="eastAsia" w:ascii="仿宋_GB2312" w:hAnsi="黑体" w:eastAsia="仿宋_GB2312"/>
          <w:sz w:val="32"/>
          <w:szCs w:val="32"/>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八、关于昌吉州建筑工程社会保险统筹总站2019年一般公共预算“三公”经费预算情况说明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昌吉州建筑工程社会保险统筹总站2019年</w:t>
      </w:r>
      <w:r>
        <w:rPr>
          <w:rFonts w:hint="eastAsia" w:ascii="仿宋_GB2312" w:hAnsi="宋体" w:eastAsia="仿宋_GB2312" w:cs="宋体"/>
          <w:kern w:val="0"/>
          <w:sz w:val="32"/>
          <w:szCs w:val="32"/>
        </w:rPr>
        <w:t>“三公”经费财政拨款预算数为  0  万元，其中：因公出国（境）费     万元，公务用车购置  0  万元，公务用车运行费   0 万元，公务接待费 0  万元。主要是我单位没有安排三公经费支出。2019年“三公”经费财政拨款预算比上年持平，其中：因公出国（境）费增加（减少） 0  万元，主要原因是   ；公务用车购置费为0，未安排预算。公务用车运行费增加0万元；公务接待费增加（减少）0万元。</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九、关于昌吉州建筑工程社会保险统筹总站2019年政府性基金预算拨款情况说明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 w:hAnsi="仿宋" w:eastAsia="仿宋" w:cs="仿宋"/>
          <w:kern w:val="0"/>
          <w:sz w:val="32"/>
          <w:szCs w:val="32"/>
        </w:rPr>
        <w:t>昌吉州建筑工程社会保险统筹总站2019年</w:t>
      </w:r>
      <w:r>
        <w:rPr>
          <w:rFonts w:hint="eastAsia" w:ascii="仿宋_GB2312" w:hAnsi="宋体" w:eastAsia="仿宋_GB2312" w:cs="宋体"/>
          <w:kern w:val="0"/>
          <w:sz w:val="32"/>
          <w:szCs w:val="32"/>
        </w:rPr>
        <w:t>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2019年，昌吉州建筑工程社会保险统筹总站本级</w:t>
      </w:r>
      <w:r>
        <w:rPr>
          <w:rFonts w:hint="eastAsia" w:ascii="仿宋_GB2312" w:hAnsi="宋体" w:eastAsia="仿宋_GB2312" w:cs="宋体"/>
          <w:kern w:val="0"/>
          <w:sz w:val="32"/>
          <w:szCs w:val="32"/>
          <w:lang w:val="en-US" w:eastAsia="zh-CN"/>
        </w:rPr>
        <w:t>一</w:t>
      </w:r>
      <w:r>
        <w:rPr>
          <w:rFonts w:hint="eastAsia" w:ascii="仿宋_GB2312" w:hAnsi="宋体" w:eastAsia="仿宋_GB2312" w:cs="宋体"/>
          <w:kern w:val="0"/>
          <w:sz w:val="32"/>
          <w:szCs w:val="32"/>
        </w:rPr>
        <w:t xml:space="preserve">家事业单位的机关运行经费财政拨款预算 17.67 万元，比上年预算增加3.34万元，增长23.31 %。主要原因是人员增加，按照昌吉州“千名硕士进昌吉”政策引进两名研究生。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2019年，昌吉州建筑工程社会保险统筹总站政府采购预算0万元，其中：政府采购货物预算0万元，政府采购工程预算0万元，政府采购服务预算0万元。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截至2018年底，昌吉州建筑工程社会保险统筹总站部门及下属各预算单位占用使用国有资产总体情况为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2.车辆0辆，价值0万元；其中：一般公务用车0辆，价值0万元；执法执勤用车0辆，价值0万元；其他车辆0 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 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w:t>
      </w:r>
      <w:bookmarkStart w:id="0" w:name="_GoBack"/>
      <w:bookmarkEnd w:id="0"/>
      <w:r>
        <w:rPr>
          <w:rFonts w:hint="eastAsia" w:ascii="仿宋_GB2312" w:hAnsi="宋体" w:eastAsia="仿宋_GB2312" w:cs="宋体"/>
          <w:kern w:val="0"/>
          <w:sz w:val="32"/>
          <w:szCs w:val="32"/>
        </w:rPr>
        <w:t>目0个，涉及预算金额0万元。</w:t>
      </w: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无其他需要说明的情况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昌吉州建筑工程社会保险统筹总站</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19</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84C385B"/>
    <w:multiLevelType w:val="singleLevel"/>
    <w:tmpl w:val="E84C385B"/>
    <w:lvl w:ilvl="0" w:tentative="0">
      <w:start w:val="1"/>
      <w:numFmt w:val="chineseCounting"/>
      <w:suff w:val="nothing"/>
      <w:lvlText w:val="%1、"/>
      <w:lvlJc w:val="left"/>
      <w:pPr>
        <w:ind w:left="640" w:firstLine="0"/>
      </w:pPr>
      <w:rPr>
        <w:rFonts w:hint="eastAsia"/>
      </w:rPr>
    </w:lvl>
  </w:abstractNum>
  <w:abstractNum w:abstractNumId="1">
    <w:nsid w:val="0EE9AB33"/>
    <w:multiLevelType w:val="singleLevel"/>
    <w:tmpl w:val="0EE9AB3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D4F"/>
    <w:rsid w:val="00552482"/>
    <w:rsid w:val="006A595E"/>
    <w:rsid w:val="00701D4F"/>
    <w:rsid w:val="0075413B"/>
    <w:rsid w:val="00C41032"/>
    <w:rsid w:val="00E423B0"/>
    <w:rsid w:val="03BA0958"/>
    <w:rsid w:val="04767E5B"/>
    <w:rsid w:val="060D7A00"/>
    <w:rsid w:val="07495521"/>
    <w:rsid w:val="07A06717"/>
    <w:rsid w:val="15474121"/>
    <w:rsid w:val="157B6148"/>
    <w:rsid w:val="19C90509"/>
    <w:rsid w:val="1B8A5AD5"/>
    <w:rsid w:val="1EC055AB"/>
    <w:rsid w:val="378654C5"/>
    <w:rsid w:val="3A413A54"/>
    <w:rsid w:val="40CB587A"/>
    <w:rsid w:val="43296AAC"/>
    <w:rsid w:val="437A6B95"/>
    <w:rsid w:val="44BF23F6"/>
    <w:rsid w:val="484336F8"/>
    <w:rsid w:val="4889661C"/>
    <w:rsid w:val="4C490520"/>
    <w:rsid w:val="4E240B5F"/>
    <w:rsid w:val="51B83EC9"/>
    <w:rsid w:val="52FA19D0"/>
    <w:rsid w:val="62FB22A2"/>
    <w:rsid w:val="661E6EC0"/>
    <w:rsid w:val="68517A5C"/>
    <w:rsid w:val="6BE07B95"/>
    <w:rsid w:val="71782142"/>
    <w:rsid w:val="71DA0201"/>
    <w:rsid w:val="75687EDA"/>
    <w:rsid w:val="7B2B0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paragraph" w:customStyle="1" w:styleId="7">
    <w:name w:val="批注框文本1"/>
    <w:basedOn w:val="1"/>
    <w:link w:val="8"/>
    <w:qFormat/>
    <w:uiPriority w:val="0"/>
    <w:rPr>
      <w:sz w:val="18"/>
      <w:szCs w:val="18"/>
    </w:rPr>
  </w:style>
  <w:style w:type="character" w:customStyle="1" w:styleId="8">
    <w:name w:val="批注框文本 Char"/>
    <w:basedOn w:val="5"/>
    <w:link w:val="7"/>
    <w:semiHidden/>
    <w:qFormat/>
    <w:uiPriority w:val="0"/>
    <w:rPr>
      <w:rFonts w:ascii="Times New Roman" w:hAnsi="Times New Roman" w:eastAsia="宋体" w:cs="Times New Roman"/>
      <w:sz w:val="18"/>
      <w:szCs w:val="18"/>
    </w:rPr>
  </w:style>
  <w:style w:type="character" w:customStyle="1" w:styleId="9">
    <w:name w:val="页脚 字符"/>
    <w:basedOn w:val="5"/>
    <w:link w:val="2"/>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3"/>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20</Pages>
  <Words>1532</Words>
  <Characters>8737</Characters>
  <Lines>72</Lines>
  <Paragraphs>20</Paragraphs>
  <TotalTime>2</TotalTime>
  <ScaleCrop>false</ScaleCrop>
  <LinksUpToDate>false</LinksUpToDate>
  <CharactersWithSpaces>10249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cw01</cp:lastModifiedBy>
  <dcterms:modified xsi:type="dcterms:W3CDTF">2021-05-27T02:33:41Z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