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昌吉州价格监测中心2019年部门预算公开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昌吉州价格监测中心单位概况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一、关于昌吉州价格监测中心2019年收支预算情况的总体说明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二、关于昌吉州价格监测中心2019年收入预算情况说明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三、关于昌吉州价格监测中心2019年支出预算情况说明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昌吉州价格监测中心2019</w:t>
      </w:r>
      <w:r>
        <w:rPr>
          <w:rFonts w:hint="eastAsia" w:ascii="仿宋_GB2312" w:hAnsi="宋体" w:eastAsia="仿宋_GB2312"/>
          <w:bCs/>
          <w:kern w:val="0"/>
          <w:sz w:val="32"/>
          <w:szCs w:val="32"/>
        </w:rPr>
        <w:t>年财政拨款收支预算情况总体说明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五、关于昌吉州价格监测中心2019年一般公共预算当年拨款情况说明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六、关于昌吉州价格监测中心2019年一般公共预算基本支出情况说明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七、关于昌吉州价格监测中心2019年项目支出情况说明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八、关于昌吉州价格监测中心2019年一般公共预算“三公”经费预算情况说明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九、关于昌吉州价格监测中心2019年政府性基金预算拨款情况说明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昌吉州价格监测中心部门概况</w:t>
      </w:r>
    </w:p>
    <w:p>
      <w:pPr>
        <w:widowControl/>
        <w:jc w:val="center"/>
        <w:outlineLvl w:val="1"/>
        <w:rPr>
          <w:rFonts w:ascii="宋体" w:hAnsi="宋体"/>
          <w:b/>
          <w:kern w:val="0"/>
          <w:sz w:val="32"/>
          <w:szCs w:val="32"/>
        </w:rPr>
      </w:pP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widowControl/>
        <w:spacing w:line="560" w:lineRule="exact"/>
        <w:ind w:firstLine="640"/>
        <w:jc w:val="distribute"/>
        <w:rPr>
          <w:rFonts w:ascii="黑体" w:hAnsi="黑体" w:eastAsia="黑体" w:cs="宋体"/>
          <w:bCs/>
          <w:kern w:val="0"/>
          <w:sz w:val="32"/>
          <w:szCs w:val="32"/>
        </w:rPr>
      </w:pPr>
      <w:r>
        <w:rPr>
          <w:rFonts w:hint="eastAsia" w:ascii="仿宋_GB2312" w:hAnsi="黑体" w:eastAsia="仿宋_GB2312" w:cs="宋体"/>
          <w:bCs/>
          <w:kern w:val="0"/>
          <w:sz w:val="32"/>
          <w:szCs w:val="32"/>
        </w:rPr>
        <w:t>接受司法、行政机关和仲裁机构委托，对刑事、民事、行政、经济等案件中涉及的各类标的进行价格鉴定;对诉讼案件中的各类标的进行价格鉴定; 接受市场主体对各类无形资产、房产、地产价格的认证,对抵押物、拍卖物进行价格认证,对服务项目,中介价格评估结构的结论进行认证; 为部门、行业或企业调定价工作提供前期调研和可行性研究咨询,为政府价格管理和经济决策提供服务; 接受价格主管部门委托,组织、协调、指导本行政区内价格认证中心业务工作,办理其它涉及价格的事务性工作。</w:t>
      </w:r>
    </w:p>
    <w:p>
      <w:pPr>
        <w:widowControl/>
        <w:spacing w:line="56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r>
        <w:rPr>
          <w:rFonts w:hint="eastAsia" w:ascii="仿宋_GB2312" w:eastAsia="仿宋_GB2312"/>
          <w:sz w:val="32"/>
          <w:szCs w:val="32"/>
        </w:rPr>
        <w:t xml:space="preserve">    </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昌吉州价格监测中心</w:t>
      </w:r>
      <w:r>
        <w:rPr>
          <w:rFonts w:hint="eastAsia" w:ascii="仿宋_GB2312" w:hAnsi="黑体" w:eastAsia="仿宋_GB2312" w:cs="宋体"/>
          <w:bCs/>
          <w:kern w:val="0"/>
          <w:sz w:val="32"/>
          <w:szCs w:val="32"/>
        </w:rPr>
        <w:t>单位无下属预算单位，下设0个科室</w:t>
      </w:r>
      <w:r>
        <w:rPr>
          <w:rFonts w:hint="eastAsia" w:ascii="仿宋_GB2312" w:hAnsi="宋体" w:eastAsia="仿宋_GB2312" w:cs="宋体"/>
          <w:kern w:val="0"/>
          <w:sz w:val="32"/>
          <w:szCs w:val="32"/>
        </w:rPr>
        <w:t>。</w:t>
      </w:r>
    </w:p>
    <w:p>
      <w:pPr>
        <w:widowControl/>
        <w:spacing w:line="560" w:lineRule="exact"/>
        <w:ind w:firstLine="640"/>
        <w:jc w:val="left"/>
        <w:rPr>
          <w:rFonts w:ascii="黑体" w:hAnsi="黑体" w:eastAsia="黑体"/>
          <w:kern w:val="0"/>
          <w:sz w:val="32"/>
          <w:szCs w:val="32"/>
        </w:rPr>
      </w:pPr>
      <w:r>
        <w:rPr>
          <w:rFonts w:hint="eastAsia" w:ascii="仿宋_GB2312" w:hAnsi="宋体" w:eastAsia="仿宋_GB2312" w:cs="宋体"/>
          <w:kern w:val="0"/>
          <w:sz w:val="32"/>
          <w:szCs w:val="32"/>
        </w:rPr>
        <w:t>昌吉州价格监测中心单位编制数12人，实有人数13人，其中：在职9人，增加3人； 退休4人，增加1人；离休0人，增加或减少0人。</w:t>
      </w: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编制部门：昌吉州价格监测中心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122.16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122.16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122.16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tabs>
                <w:tab w:val="left" w:pos="500"/>
              </w:tabs>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122.16</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122.16</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122.16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122.16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填报部门：昌吉州价格监测中心                        单位：万元</w:t>
      </w:r>
    </w:p>
    <w:tbl>
      <w:tblPr>
        <w:tblStyle w:val="4"/>
        <w:tblW w:w="9548" w:type="dxa"/>
        <w:tblInd w:w="93" w:type="dxa"/>
        <w:tblLayout w:type="fixed"/>
        <w:tblCellMar>
          <w:top w:w="0" w:type="dxa"/>
          <w:left w:w="108" w:type="dxa"/>
          <w:bottom w:w="0" w:type="dxa"/>
          <w:right w:w="108" w:type="dxa"/>
        </w:tblCellMar>
      </w:tblPr>
      <w:tblGrid>
        <w:gridCol w:w="518"/>
        <w:gridCol w:w="420"/>
        <w:gridCol w:w="510"/>
        <w:gridCol w:w="1860"/>
        <w:gridCol w:w="1110"/>
        <w:gridCol w:w="918"/>
        <w:gridCol w:w="537"/>
        <w:gridCol w:w="383"/>
        <w:gridCol w:w="427"/>
        <w:gridCol w:w="750"/>
        <w:gridCol w:w="645"/>
        <w:gridCol w:w="630"/>
        <w:gridCol w:w="840"/>
      </w:tblGrid>
      <w:tr>
        <w:tblPrEx>
          <w:tblLayout w:type="fixed"/>
          <w:tblCellMar>
            <w:top w:w="0" w:type="dxa"/>
            <w:left w:w="108" w:type="dxa"/>
            <w:bottom w:w="0" w:type="dxa"/>
            <w:right w:w="108" w:type="dxa"/>
          </w:tblCellMar>
        </w:tblPrEx>
        <w:trPr>
          <w:trHeight w:val="510" w:hRule="atLeast"/>
        </w:trPr>
        <w:tc>
          <w:tcPr>
            <w:tcW w:w="144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3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38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2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3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8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8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1860"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rPr>
              <w:t>行政运行</w:t>
            </w:r>
          </w:p>
        </w:tc>
        <w:tc>
          <w:tcPr>
            <w:tcW w:w="111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122.16</w:t>
            </w: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122.16</w:t>
            </w:r>
          </w:p>
        </w:tc>
        <w:tc>
          <w:tcPr>
            <w:tcW w:w="53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86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86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9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rPr>
              <w:t>122.16</w:t>
            </w: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rPr>
              <w:t>122.16</w:t>
            </w: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编制部门：昌吉州价格监测中心                       单位：万元</w:t>
      </w:r>
    </w:p>
    <w:tbl>
      <w:tblPr>
        <w:tblStyle w:val="4"/>
        <w:tblW w:w="9262" w:type="dxa"/>
        <w:tblInd w:w="93" w:type="dxa"/>
        <w:tblLayout w:type="fixed"/>
        <w:tblCellMar>
          <w:top w:w="0" w:type="dxa"/>
          <w:left w:w="108" w:type="dxa"/>
          <w:bottom w:w="0" w:type="dxa"/>
          <w:right w:w="108" w:type="dxa"/>
        </w:tblCellMar>
      </w:tblPr>
      <w:tblGrid>
        <w:gridCol w:w="561"/>
        <w:gridCol w:w="437"/>
        <w:gridCol w:w="495"/>
        <w:gridCol w:w="1935"/>
        <w:gridCol w:w="2232"/>
        <w:gridCol w:w="1856"/>
        <w:gridCol w:w="1713"/>
        <w:gridCol w:w="33"/>
      </w:tblGrid>
      <w:tr>
        <w:tblPrEx>
          <w:tblLayout w:type="fixed"/>
          <w:tblCellMar>
            <w:top w:w="0" w:type="dxa"/>
            <w:left w:w="108" w:type="dxa"/>
            <w:bottom w:w="0" w:type="dxa"/>
            <w:right w:w="108" w:type="dxa"/>
          </w:tblCellMar>
        </w:tblPrEx>
        <w:trPr>
          <w:gridAfter w:val="1"/>
          <w:wAfter w:w="33" w:type="dxa"/>
          <w:trHeight w:val="345" w:hRule="atLeast"/>
        </w:trPr>
        <w:tc>
          <w:tcPr>
            <w:tcW w:w="342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801"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gridAfter w:val="1"/>
          <w:wAfter w:w="33" w:type="dxa"/>
          <w:trHeight w:val="480" w:hRule="atLeast"/>
        </w:trPr>
        <w:tc>
          <w:tcPr>
            <w:tcW w:w="14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935"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2232"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935"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2232"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46"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201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04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01</w:t>
            </w:r>
          </w:p>
        </w:tc>
        <w:tc>
          <w:tcPr>
            <w:tcW w:w="1935" w:type="dxa"/>
            <w:tcBorders>
              <w:top w:val="nil"/>
              <w:left w:val="nil"/>
              <w:bottom w:val="single" w:color="auto" w:sz="4" w:space="0"/>
              <w:right w:val="single" w:color="auto" w:sz="4" w:space="0"/>
            </w:tcBorders>
            <w:shd w:val="clear" w:color="auto" w:fill="auto"/>
            <w:vAlign w:val="center"/>
          </w:tcPr>
          <w:p>
            <w:pPr>
              <w:jc w:val="left"/>
              <w:rPr>
                <w:rFonts w:ascii="宋体" w:hAnsi="宋体" w:cs="宋体"/>
                <w:b/>
                <w:bCs/>
                <w:color w:val="000000"/>
                <w:kern w:val="0"/>
                <w:sz w:val="22"/>
                <w:szCs w:val="22"/>
              </w:rPr>
            </w:pPr>
            <w:r>
              <w:rPr>
                <w:rFonts w:hint="eastAsia" w:ascii="仿宋_GB2312" w:eastAsia="仿宋_GB2312"/>
                <w:color w:val="000000"/>
                <w:sz w:val="20"/>
                <w:szCs w:val="20"/>
              </w:rPr>
              <w:t>行政运行</w:t>
            </w:r>
          </w:p>
        </w:tc>
        <w:tc>
          <w:tcPr>
            <w:tcW w:w="2232" w:type="dxa"/>
            <w:tcBorders>
              <w:top w:val="nil"/>
              <w:left w:val="nil"/>
              <w:bottom w:val="single" w:color="auto" w:sz="4" w:space="0"/>
              <w:right w:val="single" w:color="auto" w:sz="4" w:space="0"/>
            </w:tcBorders>
            <w:shd w:val="clear" w:color="000000" w:fill="FFFFFF"/>
            <w:vAlign w:val="center"/>
          </w:tcPr>
          <w:p>
            <w:pPr>
              <w:jc w:val="right"/>
              <w:rPr>
                <w:rFonts w:ascii="宋体" w:hAnsi="宋体" w:cs="宋体"/>
                <w:color w:val="000000"/>
                <w:kern w:val="0"/>
                <w:sz w:val="22"/>
                <w:szCs w:val="22"/>
              </w:rPr>
            </w:pPr>
            <w:r>
              <w:rPr>
                <w:rFonts w:hint="eastAsia" w:ascii="仿宋_GB2312" w:hAnsi="宋体" w:eastAsia="仿宋_GB2312" w:cs="宋体"/>
                <w:kern w:val="0"/>
                <w:sz w:val="18"/>
                <w:szCs w:val="18"/>
              </w:rPr>
              <w:t>122.16</w:t>
            </w:r>
          </w:p>
        </w:tc>
        <w:tc>
          <w:tcPr>
            <w:tcW w:w="1856" w:type="dxa"/>
            <w:tcBorders>
              <w:top w:val="nil"/>
              <w:left w:val="nil"/>
              <w:bottom w:val="single" w:color="auto" w:sz="4" w:space="0"/>
              <w:right w:val="single" w:color="auto" w:sz="4" w:space="0"/>
            </w:tcBorders>
            <w:shd w:val="clear" w:color="000000" w:fill="FFFFFF"/>
            <w:vAlign w:val="center"/>
          </w:tcPr>
          <w:p>
            <w:pPr>
              <w:jc w:val="right"/>
              <w:rPr>
                <w:rFonts w:ascii="宋体" w:hAnsi="宋体" w:cs="宋体"/>
                <w:color w:val="000000"/>
                <w:kern w:val="0"/>
                <w:sz w:val="22"/>
                <w:szCs w:val="22"/>
              </w:rPr>
            </w:pPr>
            <w:r>
              <w:rPr>
                <w:rFonts w:hint="eastAsia" w:ascii="仿宋_GB2312" w:hAnsi="宋体" w:eastAsia="仿宋_GB2312" w:cs="宋体"/>
                <w:kern w:val="0"/>
                <w:sz w:val="18"/>
                <w:szCs w:val="18"/>
              </w:rPr>
              <w:t>122.16</w:t>
            </w: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0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856"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856"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223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r>
              <w:rPr>
                <w:rFonts w:hint="eastAsia" w:ascii="仿宋_GB2312" w:hAnsi="宋体" w:eastAsia="仿宋_GB2312" w:cs="宋体"/>
                <w:kern w:val="0"/>
                <w:sz w:val="18"/>
                <w:szCs w:val="18"/>
              </w:rPr>
              <w:t>122.16</w:t>
            </w: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r>
              <w:rPr>
                <w:rFonts w:hint="eastAsia" w:ascii="仿宋_GB2312" w:hAnsi="宋体" w:eastAsia="仿宋_GB2312" w:cs="宋体"/>
                <w:kern w:val="0"/>
                <w:sz w:val="18"/>
                <w:szCs w:val="18"/>
              </w:rPr>
              <w:t>122.16</w:t>
            </w: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center"/>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编制部门：昌吉州价格监测中心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3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122.16</w:t>
            </w: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122.16</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122.16</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122.16</w:t>
            </w: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r>
              <w:rPr>
                <w:rFonts w:hint="eastAsia" w:ascii="仿宋_GB2312" w:hAnsi="宋体" w:eastAsia="仿宋_GB2312" w:cs="宋体"/>
                <w:kern w:val="0"/>
                <w:sz w:val="18"/>
                <w:szCs w:val="18"/>
              </w:rPr>
              <w:t>122.16</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122.16</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122.16</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122.16</w:t>
            </w: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122.16</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122.16</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93"/>
        <w:gridCol w:w="480"/>
        <w:gridCol w:w="420"/>
        <w:gridCol w:w="2367"/>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76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8"/>
                <w:szCs w:val="28"/>
              </w:rPr>
              <w:t>昌吉州价格监测中心</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6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6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201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04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01</w:t>
            </w:r>
          </w:p>
        </w:tc>
        <w:tc>
          <w:tcPr>
            <w:tcW w:w="236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color w:val="000000"/>
                <w:kern w:val="0"/>
                <w:sz w:val="20"/>
                <w:szCs w:val="20"/>
              </w:rPr>
            </w:pPr>
            <w:r>
              <w:rPr>
                <w:rFonts w:hint="eastAsia" w:ascii="仿宋_GB2312" w:eastAsia="仿宋_GB2312"/>
                <w:color w:val="000000"/>
                <w:sz w:val="20"/>
                <w:szCs w:val="20"/>
              </w:rPr>
              <w:t>行政运行</w:t>
            </w:r>
          </w:p>
        </w:tc>
        <w:tc>
          <w:tcPr>
            <w:tcW w:w="1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122.16</w:t>
            </w:r>
          </w:p>
        </w:tc>
        <w:tc>
          <w:tcPr>
            <w:tcW w:w="1842" w:type="dxa"/>
            <w:gridSpan w:val="2"/>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122.16</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宋体" w:hAnsi="宋体" w:cs="宋体"/>
                <w:color w:val="000000"/>
                <w:kern w:val="0"/>
                <w:sz w:val="22"/>
                <w:szCs w:val="22"/>
              </w:rPr>
              <w:t>0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4"/>
              </w:rPr>
              <w:t>　</w:t>
            </w:r>
            <w:r>
              <w:rPr>
                <w:rFonts w:hint="eastAsia" w:ascii="仿宋_GB2312" w:hAnsi="宋体" w:eastAsia="仿宋_GB2312" w:cs="宋体"/>
                <w:kern w:val="0"/>
                <w:sz w:val="18"/>
                <w:szCs w:val="18"/>
              </w:rPr>
              <w:t>122.16</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4"/>
              </w:rPr>
              <w:t>　</w:t>
            </w:r>
            <w:r>
              <w:rPr>
                <w:rFonts w:hint="eastAsia" w:ascii="仿宋_GB2312" w:hAnsi="宋体" w:eastAsia="仿宋_GB2312" w:cs="宋体"/>
                <w:kern w:val="0"/>
                <w:sz w:val="18"/>
                <w:szCs w:val="18"/>
              </w:rPr>
              <w:t>122.16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br w:type="page"/>
      </w:r>
      <w:r>
        <w:rPr>
          <w:rFonts w:hint="eastAsia" w:ascii="仿宋_GB2312" w:hAnsi="宋体" w:eastAsia="仿宋_GB2312"/>
          <w:b/>
          <w:kern w:val="0"/>
          <w:sz w:val="32"/>
          <w:szCs w:val="32"/>
        </w:rPr>
        <w:t>表六：</w:t>
      </w:r>
    </w:p>
    <w:tbl>
      <w:tblPr>
        <w:tblStyle w:val="4"/>
        <w:tblW w:w="9116" w:type="dxa"/>
        <w:tblInd w:w="2" w:type="dxa"/>
        <w:tblLayout w:type="fixed"/>
        <w:tblCellMar>
          <w:top w:w="0" w:type="dxa"/>
          <w:left w:w="108" w:type="dxa"/>
          <w:bottom w:w="0" w:type="dxa"/>
          <w:right w:w="108" w:type="dxa"/>
        </w:tblCellMar>
      </w:tblPr>
      <w:tblGrid>
        <w:gridCol w:w="518"/>
        <w:gridCol w:w="578"/>
        <w:gridCol w:w="3080"/>
        <w:gridCol w:w="1527"/>
        <w:gridCol w:w="979"/>
        <w:gridCol w:w="728"/>
        <w:gridCol w:w="1706"/>
      </w:tblGrid>
      <w:tr>
        <w:tblPrEx>
          <w:tblLayout w:type="fixed"/>
          <w:tblCellMar>
            <w:top w:w="0" w:type="dxa"/>
            <w:left w:w="108" w:type="dxa"/>
            <w:bottom w:w="0" w:type="dxa"/>
            <w:right w:w="108" w:type="dxa"/>
          </w:tblCellMar>
        </w:tblPrEx>
        <w:trPr>
          <w:cantSplit/>
          <w:trHeight w:val="425" w:hRule="atLeast"/>
        </w:trPr>
        <w:tc>
          <w:tcPr>
            <w:tcW w:w="9116" w:type="dxa"/>
            <w:gridSpan w:val="7"/>
            <w:tcBorders>
              <w:top w:val="nil"/>
              <w:left w:val="nil"/>
              <w:bottom w:val="nil"/>
              <w:right w:val="nil"/>
            </w:tcBorders>
            <w:vAlign w:val="center"/>
          </w:tcPr>
          <w:p>
            <w:pPr>
              <w:widowControl/>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cantSplit/>
          <w:trHeight w:val="425" w:hRule="atLeast"/>
        </w:trPr>
        <w:tc>
          <w:tcPr>
            <w:tcW w:w="6682" w:type="dxa"/>
            <w:gridSpan w:val="5"/>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昌吉州价格监测中心</w:t>
            </w:r>
          </w:p>
        </w:tc>
        <w:tc>
          <w:tcPr>
            <w:tcW w:w="2434"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cantSplit/>
          <w:trHeight w:val="425" w:hRule="atLeast"/>
        </w:trPr>
        <w:tc>
          <w:tcPr>
            <w:tcW w:w="4176"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40" w:type="dxa"/>
            <w:gridSpan w:val="4"/>
            <w:tcBorders>
              <w:top w:val="single" w:color="auto" w:sz="4" w:space="0"/>
              <w:left w:val="nil"/>
              <w:bottom w:val="single" w:color="auto" w:sz="4" w:space="0"/>
              <w:right w:val="single" w:color="000000"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cantSplit/>
          <w:trHeight w:val="425" w:hRule="atLeast"/>
        </w:trPr>
        <w:tc>
          <w:tcPr>
            <w:tcW w:w="1096"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80"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27"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6"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cantSplit/>
          <w:trHeight w:val="310"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8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 w:val="20"/>
                <w:szCs w:val="20"/>
              </w:rPr>
            </w:pPr>
          </w:p>
        </w:tc>
        <w:tc>
          <w:tcPr>
            <w:tcW w:w="1527"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bCs/>
                <w:color w:val="000000"/>
                <w:kern w:val="0"/>
                <w:sz w:val="20"/>
                <w:szCs w:val="20"/>
              </w:rPr>
            </w:pPr>
          </w:p>
        </w:tc>
        <w:tc>
          <w:tcPr>
            <w:tcW w:w="17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bCs/>
                <w:color w:val="000000"/>
                <w:kern w:val="0"/>
                <w:sz w:val="20"/>
                <w:szCs w:val="20"/>
              </w:rPr>
            </w:pPr>
          </w:p>
        </w:tc>
        <w:tc>
          <w:tcPr>
            <w:tcW w:w="1706"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01</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基本工资</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36.03</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36.03</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02</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津贴补贴</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18.43</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18.43</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03</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奖金</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2.44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2.44</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06</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伙食补助费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11.34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11.34</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07</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绩效工资</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5.04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5.04</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08</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机关事业单位基本养老保险缴费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12.39</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12.39</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10</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职工基本医疗保险缴费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7.91</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7.91</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11</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公务员医疗补助缴费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6.15</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6.15</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12</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其他社会保障缴费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0.24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0.24</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13</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住房公积金</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7.43</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7.43</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01</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办公费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1.36</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1.36</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05</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0.47</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0.47</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06</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电费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0.47</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0.47</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07</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邮电费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0.54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0.54</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11</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差旅费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3.84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3.84</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13</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维修(护)费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0.09</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0.09</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16</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培训费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0.44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0.44</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26</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劳务费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2.5</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2.5</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28</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工会经费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0.72</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0.72</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29</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福利费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1.35</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1.35</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99</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其他商品和服务支出</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1.29</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1.29</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303</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09</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奖励金</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0.39</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0.39</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303</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14</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职工住宅取暖费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1.3</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1.3</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p>
        </w:tc>
        <w:tc>
          <w:tcPr>
            <w:tcW w:w="578"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p>
        </w:tc>
        <w:tc>
          <w:tcPr>
            <w:tcW w:w="308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r>
              <w:rPr>
                <w:rFonts w:hint="eastAsia" w:ascii="仿宋" w:hAnsi="仿宋" w:eastAsia="仿宋" w:cs="仿宋"/>
                <w:color w:val="000000"/>
                <w:kern w:val="0"/>
                <w:sz w:val="18"/>
                <w:szCs w:val="18"/>
              </w:rPr>
              <w:t>合计</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r>
              <w:rPr>
                <w:rFonts w:hint="eastAsia" w:ascii="仿宋" w:hAnsi="仿宋" w:eastAsia="仿宋" w:cs="仿宋"/>
                <w:color w:val="000000"/>
                <w:kern w:val="0"/>
                <w:sz w:val="18"/>
                <w:szCs w:val="18"/>
              </w:rPr>
              <w:t>122.16</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r>
              <w:rPr>
                <w:rFonts w:hint="eastAsia" w:ascii="仿宋" w:hAnsi="仿宋" w:eastAsia="仿宋" w:cs="仿宋"/>
                <w:color w:val="000000"/>
                <w:kern w:val="0"/>
                <w:sz w:val="18"/>
                <w:szCs w:val="18"/>
              </w:rPr>
              <w:t>109.09</w:t>
            </w:r>
          </w:p>
        </w:tc>
        <w:tc>
          <w:tcPr>
            <w:tcW w:w="1706"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000000"/>
                <w:kern w:val="0"/>
                <w:sz w:val="18"/>
                <w:szCs w:val="18"/>
              </w:rPr>
            </w:pPr>
            <w:r>
              <w:rPr>
                <w:rFonts w:hint="eastAsia" w:ascii="仿宋" w:hAnsi="仿宋" w:eastAsia="仿宋" w:cs="仿宋"/>
                <w:color w:val="000000"/>
                <w:kern w:val="0"/>
                <w:sz w:val="18"/>
                <w:szCs w:val="18"/>
              </w:rPr>
              <w:t>13.07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br w:type="page"/>
      </w:r>
      <w:r>
        <w:rPr>
          <w:rFonts w:hint="eastAsia" w:ascii="仿宋_GB2312" w:hAnsi="宋体" w:eastAsia="仿宋_GB2312"/>
          <w:b/>
          <w:kern w:val="0"/>
          <w:sz w:val="32"/>
          <w:szCs w:val="32"/>
        </w:rPr>
        <w:t>表七：</w:t>
      </w:r>
    </w:p>
    <w:tbl>
      <w:tblPr>
        <w:tblStyle w:val="4"/>
        <w:tblW w:w="9486" w:type="dxa"/>
        <w:tblInd w:w="93" w:type="dxa"/>
        <w:tblLayout w:type="fixed"/>
        <w:tblCellMar>
          <w:top w:w="0" w:type="dxa"/>
          <w:left w:w="108" w:type="dxa"/>
          <w:bottom w:w="0" w:type="dxa"/>
          <w:right w:w="108" w:type="dxa"/>
        </w:tblCellMar>
      </w:tblPr>
      <w:tblGrid>
        <w:gridCol w:w="8"/>
        <w:gridCol w:w="480"/>
        <w:gridCol w:w="420"/>
        <w:gridCol w:w="420"/>
        <w:gridCol w:w="945"/>
        <w:gridCol w:w="1695"/>
        <w:gridCol w:w="555"/>
        <w:gridCol w:w="311"/>
        <w:gridCol w:w="536"/>
        <w:gridCol w:w="652"/>
        <w:gridCol w:w="652"/>
        <w:gridCol w:w="361"/>
        <w:gridCol w:w="217"/>
        <w:gridCol w:w="419"/>
        <w:gridCol w:w="578"/>
        <w:gridCol w:w="420"/>
        <w:gridCol w:w="420"/>
        <w:gridCol w:w="372"/>
        <w:gridCol w:w="25"/>
      </w:tblGrid>
      <w:tr>
        <w:tblPrEx>
          <w:tblLayout w:type="fixed"/>
          <w:tblCellMar>
            <w:top w:w="0" w:type="dxa"/>
            <w:left w:w="108" w:type="dxa"/>
            <w:bottom w:w="0" w:type="dxa"/>
            <w:right w:w="108" w:type="dxa"/>
          </w:tblCellMar>
        </w:tblPrEx>
        <w:trPr>
          <w:gridBefore w:val="1"/>
          <w:gridAfter w:val="1"/>
          <w:wBefore w:w="8" w:type="dxa"/>
          <w:wAfter w:w="25" w:type="dxa"/>
          <w:trHeight w:val="375" w:hRule="atLeast"/>
        </w:trPr>
        <w:tc>
          <w:tcPr>
            <w:tcW w:w="9453"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25" w:type="dxa"/>
          <w:trHeight w:val="405"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昌吉州价格监测中心</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2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69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1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8"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4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69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1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right"/>
              <w:outlineLvl w:val="1"/>
              <w:rPr>
                <w:rFonts w:ascii="仿宋_GB2312" w:hAnsi="宋体" w:eastAsia="仿宋_GB2312"/>
                <w:kern w:val="0"/>
                <w:sz w:val="18"/>
                <w:szCs w:val="18"/>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32"/>
                <w:szCs w:val="32"/>
              </w:rPr>
            </w:pPr>
          </w:p>
        </w:tc>
        <w:tc>
          <w:tcPr>
            <w:tcW w:w="1695" w:type="dxa"/>
          </w:tcPr>
          <w:p>
            <w:pPr>
              <w:widowControl/>
              <w:jc w:val="left"/>
              <w:outlineLvl w:val="1"/>
              <w:rPr>
                <w:rFonts w:ascii="仿宋_GB2312" w:hAnsi="宋体" w:eastAsia="仿宋_GB2312"/>
                <w:kern w:val="0"/>
                <w:sz w:val="32"/>
                <w:szCs w:val="32"/>
              </w:rPr>
            </w:pPr>
          </w:p>
        </w:tc>
        <w:tc>
          <w:tcPr>
            <w:tcW w:w="555" w:type="dxa"/>
          </w:tcPr>
          <w:p>
            <w:pPr>
              <w:widowControl/>
              <w:jc w:val="left"/>
              <w:outlineLvl w:val="1"/>
              <w:rPr>
                <w:rFonts w:ascii="仿宋_GB2312" w:hAnsi="宋体" w:eastAsia="仿宋_GB2312"/>
                <w:kern w:val="0"/>
                <w:sz w:val="32"/>
                <w:szCs w:val="32"/>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55" w:type="dxa"/>
            <w:vAlign w:val="center"/>
          </w:tcPr>
          <w:p>
            <w:pPr>
              <w:widowControl/>
              <w:jc w:val="right"/>
              <w:outlineLvl w:val="1"/>
              <w:rPr>
                <w:rFonts w:ascii="仿宋_GB2312" w:hAnsi="宋体" w:eastAsia="仿宋_GB2312"/>
                <w:kern w:val="0"/>
                <w:szCs w:val="21"/>
              </w:rPr>
            </w:pPr>
          </w:p>
        </w:tc>
        <w:tc>
          <w:tcPr>
            <w:tcW w:w="311" w:type="dxa"/>
          </w:tcPr>
          <w:p>
            <w:pPr>
              <w:widowControl/>
              <w:jc w:val="righ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bCs/>
          <w:kern w:val="0"/>
          <w:sz w:val="32"/>
          <w:szCs w:val="32"/>
        </w:rPr>
      </w:pPr>
    </w:p>
    <w:p>
      <w:pPr>
        <w:widowControl/>
        <w:outlineLvl w:val="1"/>
        <w:rPr>
          <w:rFonts w:ascii="仿宋_GB2312" w:hAnsi="宋体" w:eastAsia="仿宋_GB2312"/>
          <w:b/>
          <w:bCs/>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bCs/>
          <w:kern w:val="0"/>
          <w:sz w:val="32"/>
          <w:szCs w:val="32"/>
        </w:rPr>
        <w:t xml:space="preserve">     本单位无</w:t>
      </w:r>
      <w:r>
        <w:rPr>
          <w:rFonts w:hint="eastAsia" w:ascii="仿宋_GB2312" w:hAnsi="宋体" w:eastAsia="仿宋_GB2312" w:cs="宋体"/>
          <w:b/>
          <w:bCs/>
          <w:color w:val="000000"/>
          <w:kern w:val="0"/>
          <w:sz w:val="32"/>
          <w:szCs w:val="32"/>
        </w:rPr>
        <w:t>项目</w:t>
      </w:r>
      <w:r>
        <w:rPr>
          <w:rFonts w:hint="eastAsia" w:ascii="仿宋_GB2312" w:hAnsi="宋体" w:eastAsia="仿宋_GB2312"/>
          <w:b/>
          <w:bCs/>
          <w:kern w:val="0"/>
          <w:sz w:val="32"/>
          <w:szCs w:val="32"/>
        </w:rPr>
        <w:t>经费预算支出</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编制单位：昌吉州价格监测中心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w:t>
      </w:r>
      <w:r>
        <w:rPr>
          <w:rFonts w:hint="eastAsia" w:ascii="仿宋_GB2312" w:hAnsi="宋体" w:eastAsia="仿宋_GB2312"/>
          <w:b/>
          <w:bCs/>
          <w:kern w:val="0"/>
          <w:sz w:val="32"/>
          <w:szCs w:val="32"/>
        </w:rPr>
        <w:t>本单位无“三公”经费预算支出</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编制单位：昌吉州价格监测中心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pPr>
    </w:p>
    <w:p>
      <w:pPr>
        <w:widowControl/>
        <w:jc w:val="left"/>
        <w:outlineLvl w:val="1"/>
        <w:sectPr>
          <w:pgSz w:w="11906" w:h="16838"/>
          <w:pgMar w:top="2098" w:right="1418" w:bottom="1928" w:left="1588" w:header="851" w:footer="992" w:gutter="0"/>
          <w:pgNumType w:fmt="numberInDash"/>
          <w:cols w:space="720" w:num="1"/>
          <w:docGrid w:linePitch="312" w:charSpace="0"/>
        </w:sectPr>
      </w:pPr>
      <w:r>
        <w:rPr>
          <w:rFonts w:hint="eastAsia"/>
        </w:rPr>
        <w:t xml:space="preserve">       </w:t>
      </w:r>
      <w:r>
        <w:rPr>
          <w:rFonts w:hint="eastAsia" w:ascii="仿宋_GB2312" w:hAnsi="宋体" w:eastAsia="仿宋_GB2312"/>
          <w:b/>
          <w:kern w:val="0"/>
          <w:sz w:val="32"/>
          <w:szCs w:val="32"/>
        </w:rPr>
        <w:t>本单位无政府性基金预算支出</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关于昌吉州价格监测中心2019年收支预算情况总体说明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昌吉州价格监测中心2019</w:t>
      </w:r>
      <w:r>
        <w:rPr>
          <w:rFonts w:hint="eastAsia" w:ascii="仿宋_GB2312" w:hAnsi="宋体" w:eastAsia="仿宋_GB2312" w:cs="宋体"/>
          <w:kern w:val="0"/>
          <w:sz w:val="32"/>
          <w:szCs w:val="32"/>
        </w:rPr>
        <w:t>年所有收入和支出均纳入部门预算管理。收支总预算122.16万元。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收入预算包括：一般公共预算收入122.16万元。</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支出预算包括：一般公共服务支出122.16万元</w:t>
      </w:r>
      <w:r>
        <w:rPr>
          <w:rFonts w:hint="eastAsia" w:ascii="仿宋_GB2312" w:hAnsi="宋体" w:eastAsia="仿宋_GB2312" w:cs="宋体"/>
          <w:b/>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二、关于昌吉州价格监测中心2019年收入预算情况说明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昌吉州价格监测中心部门收入预算122.16万元，其中：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一般公共预算122.16万元，占100 %，比上年增加1.35万元，主要原因是：在职增加3 人,在职人员调资，相应增加人员经费和公用经费支出；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 占0 %，比上年增加（减少）0万元，主要原因是：未安排；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三、关于昌吉州价格监测中心2019年支出预算情况说明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昌吉州价格监测中心2019年支出预算122.16万元，其中：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基本支出122.16万元，占100%，比上年增加1.35，主要原因是：在职增加3 人,在职人员调资，相应增加人员经费和公用经费支出；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项目支出0万元，占0%，比上年增加（减少）0万元，主要原因是：无项目支出预算。</w:t>
      </w:r>
    </w:p>
    <w:p>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宋体" w:eastAsia="黑体" w:cs="宋体"/>
          <w:kern w:val="0"/>
          <w:sz w:val="32"/>
          <w:szCs w:val="32"/>
          <w:highlight w:val="none"/>
        </w:rPr>
        <w:t>昌吉州价格监测中心2019</w:t>
      </w:r>
      <w:r>
        <w:rPr>
          <w:rFonts w:hint="eastAsia" w:ascii="黑体" w:hAnsi="黑体" w:eastAsia="黑体" w:cs="宋体"/>
          <w:bCs/>
          <w:kern w:val="0"/>
          <w:sz w:val="32"/>
          <w:szCs w:val="32"/>
          <w:highlight w:val="none"/>
        </w:rPr>
        <w:t>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2019年财政拨款收支总预算122.16万元。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122.16</w:t>
      </w:r>
      <w:r>
        <w:rPr>
          <w:rFonts w:hint="eastAsia" w:ascii="仿宋_GB2312" w:hAnsi="宋体" w:eastAsia="仿宋_GB2312" w:cs="宋体"/>
          <w:kern w:val="0"/>
          <w:sz w:val="32"/>
          <w:szCs w:val="32"/>
        </w:rPr>
        <w:t>万元，主要用于人员经费和公用经费支出。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五、关于昌吉州价格监测中心2019年一般公共预算当年拨款情况说明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昌吉州价格监测中心2019年一般公共预算拨款基本支出122.16万元，比上年执行数增加1.35，增长1.12%。主要原因是：在职增加3 人,在职人员调资，相应增加人员经费和公用经费支出；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80" w:lineRule="exact"/>
        <w:ind w:firstLine="640"/>
        <w:rPr>
          <w:rFonts w:ascii="仿宋_GB2312" w:hAnsi="宋体" w:eastAsia="仿宋_GB2312" w:cs="宋体"/>
          <w:kern w:val="0"/>
          <w:sz w:val="32"/>
          <w:szCs w:val="32"/>
          <w:highlight w:val="none"/>
        </w:rPr>
      </w:pPr>
      <w:r>
        <w:rPr>
          <w:rFonts w:hint="eastAsia" w:ascii="仿宋_GB2312" w:eastAsia="仿宋_GB2312"/>
          <w:sz w:val="32"/>
          <w:szCs w:val="32"/>
          <w:highlight w:val="none"/>
        </w:rPr>
        <w:t>1.一般公共服务（</w:t>
      </w:r>
      <w:r>
        <w:rPr>
          <w:rFonts w:hint="eastAsia" w:ascii="仿宋_GB2312" w:eastAsia="仿宋_GB2312"/>
          <w:sz w:val="32"/>
          <w:szCs w:val="32"/>
          <w:highlight w:val="none"/>
          <w:lang w:val="en-US" w:eastAsia="zh-CN"/>
        </w:rPr>
        <w:t>201</w:t>
      </w:r>
      <w:r>
        <w:rPr>
          <w:rFonts w:hint="eastAsia" w:ascii="仿宋_GB2312" w:eastAsia="仿宋_GB2312"/>
          <w:sz w:val="32"/>
          <w:szCs w:val="32"/>
          <w:highlight w:val="none"/>
        </w:rPr>
        <w:t>）</w:t>
      </w:r>
      <w:r>
        <w:rPr>
          <w:rFonts w:hint="eastAsia" w:ascii="仿宋_GB2312" w:hAnsi="宋体" w:eastAsia="仿宋_GB2312" w:cs="宋体"/>
          <w:kern w:val="0"/>
          <w:sz w:val="32"/>
          <w:szCs w:val="32"/>
          <w:highlight w:val="none"/>
        </w:rPr>
        <w:t>122.16万元，占100%。</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w:t>
      </w:r>
      <w:bookmarkStart w:id="0" w:name="_GoBack"/>
      <w:bookmarkEnd w:id="0"/>
      <w:r>
        <w:rPr>
          <w:rFonts w:hint="eastAsia" w:ascii="楷体_GB2312" w:hAnsi="宋体" w:eastAsia="楷体_GB2312" w:cs="宋体"/>
          <w:b/>
          <w:kern w:val="0"/>
          <w:sz w:val="32"/>
          <w:szCs w:val="32"/>
          <w:highlight w:val="none"/>
        </w:rPr>
        <w:t>拨款具体使用情况</w:t>
      </w:r>
    </w:p>
    <w:p>
      <w:pPr>
        <w:widowControl/>
        <w:spacing w:line="580" w:lineRule="exact"/>
        <w:ind w:firstLine="642"/>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发展和改革事务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122.16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比上年执行数增加1.35</w:t>
      </w:r>
      <w:r>
        <w:rPr>
          <w:rFonts w:hint="eastAsia"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rPr>
        <w:t xml:space="preserve">，增长1.12%，主要原因是：在职增加3 人,在职人员调资，相应增加人员经费和公用经费支出。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六、关于昌吉州价格监测中心2019年一般公共预算基本支出情况说明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昌吉州价格监测中心2019年一般公共预算基本支出122.16万元，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109.09万元，主要包括：基本工资、津贴补贴、奖金、伙食补助费、机关事业单位基本养老保险缴费、职工基本医疗保险缴费、公务员医疗补助缴费、其他社会保障缴费、住房公积金、其他工资福利支出、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公用经费13.07万元，主要包括：办公费、水费、电费、邮电费、差旅费、维修（护）费、培训费、工会经费、福利费、其他商品和服务支出等。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七、关于昌吉州价格监测中心2019年项目支出情况说明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宋体" w:eastAsia="仿宋_GB2312" w:cs="宋体"/>
          <w:kern w:val="0"/>
          <w:sz w:val="32"/>
          <w:szCs w:val="32"/>
        </w:rPr>
        <w:t>无项目支出。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八、关于昌吉州价格监测中心2019年一般公共预算“三公”经费预算情况说明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昌吉州价格监测中心2019年“三公”经费财政拨款预算数为0万元，其中：因公出国（境）费0万元，公务用车购置0万元，公务用车运行费0万元，公务接待费0万元。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增加（减少）0万元，其中：因公出国（境）费增加（减少）0万元，主要原因是：未安排预算；公务用车购置费为0，未安排预算。公务用车运行费增加（减少）0万元，主要原因是：未安排预算；公务接待费增加（减少）0万元，主要原因是：未安排预算。</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九、关于昌吉州价格监测中心2019年政府性基金预算拨款情况说明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昌吉州价格监测中心2019年没有使用政府性基金预算拨款安排的支出，政府性基金预算支出情况表为空表。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年，昌吉州价格监测中心本级及下属</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家行政单位、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13.07</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2.69</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17.07</w:t>
      </w:r>
      <w:r>
        <w:rPr>
          <w:rFonts w:hint="eastAsia" w:ascii="仿宋_GB2312" w:hAnsi="宋体" w:eastAsia="仿宋_GB2312" w:cs="宋体"/>
          <w:kern w:val="0"/>
          <w:sz w:val="32"/>
          <w:szCs w:val="32"/>
        </w:rPr>
        <w:t>%。主要原因是减少公用经费预算支出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年，昌吉州价格监测中心及下属单位政府采购预算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lang w:val="en-US" w:eastAsia="zh-CN"/>
        </w:rPr>
        <w:t>2019</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截至2018年底，昌吉州价格监测中心及下属各预算单位占用使用国有资产总体情况为：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昌吉州价格监测中心所占用使用国有资产由州发改委统一管理登记。</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pPr>
        <w:widowControl/>
        <w:tabs>
          <w:tab w:val="left" w:pos="5676"/>
        </w:tabs>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widowControl/>
        <w:spacing w:line="580" w:lineRule="exact"/>
        <w:ind w:firstLine="640"/>
        <w:jc w:val="left"/>
        <w:rPr>
          <w:rFonts w:ascii="仿宋_GB2312" w:hAnsi="宋体" w:eastAsia="仿宋_GB2312" w:cs="宋体"/>
          <w:kern w:val="0"/>
          <w:sz w:val="32"/>
          <w:szCs w:val="32"/>
        </w:rPr>
      </w:pP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2019年度，本年度实行绩效管理的项目0个，涉及预算金额0万元。具体情况见下表（按项目分别填报）：</w:t>
      </w:r>
    </w:p>
    <w:p>
      <w:pPr>
        <w:widowControl/>
        <w:spacing w:line="580" w:lineRule="exact"/>
        <w:jc w:val="left"/>
        <w:rPr>
          <w:rFonts w:ascii="仿宋_GB2312" w:hAnsi="宋体" w:eastAsia="仿宋_GB2312" w:cs="宋体"/>
          <w:kern w:val="0"/>
          <w:sz w:val="32"/>
          <w:szCs w:val="32"/>
        </w:rPr>
        <w:sectPr>
          <w:pgSz w:w="11906" w:h="16838"/>
          <w:pgMar w:top="1440" w:right="1800" w:bottom="1440" w:left="1800" w:header="851" w:footer="992" w:gutter="0"/>
          <w:cols w:space="720"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2"/>
        <w:gridCol w:w="1359"/>
        <w:gridCol w:w="2641"/>
      </w:tblGrid>
      <w:tr>
        <w:tblPrEx>
          <w:tblLayout w:type="fixed"/>
          <w:tblCellMar>
            <w:top w:w="0" w:type="dxa"/>
            <w:left w:w="108" w:type="dxa"/>
            <w:bottom w:w="0" w:type="dxa"/>
            <w:right w:w="108" w:type="dxa"/>
          </w:tblCellMar>
        </w:tblPrEx>
        <w:trPr>
          <w:trHeight w:val="406" w:hRule="atLeast"/>
        </w:trPr>
        <w:tc>
          <w:tcPr>
            <w:tcW w:w="13973" w:type="dxa"/>
            <w:gridSpan w:val="8"/>
            <w:tcBorders>
              <w:top w:val="nil"/>
              <w:left w:val="nil"/>
              <w:bottom w:val="nil"/>
              <w:right w:val="nil"/>
            </w:tcBorders>
            <w:vAlign w:val="bottom"/>
          </w:tcPr>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000"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09"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auto"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90"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auto"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auto"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21"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kern w:val="0"/>
                <w:sz w:val="18"/>
                <w:szCs w:val="18"/>
              </w:rPr>
            </w:pPr>
          </w:p>
        </w:tc>
        <w:tc>
          <w:tcPr>
            <w:tcW w:w="400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auto"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000" w:type="dxa"/>
            <w:gridSpan w:val="2"/>
            <w:tcBorders>
              <w:top w:val="single" w:color="auto"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bl>
    <w:p>
      <w:pPr>
        <w:widowControl/>
        <w:jc w:val="left"/>
        <w:rPr>
          <w:rFonts w:ascii="楷体_GB2312" w:hAnsi="宋体" w:eastAsia="楷体_GB2312" w:cs="宋体"/>
          <w:b/>
          <w:kern w:val="0"/>
          <w:sz w:val="32"/>
          <w:szCs w:val="32"/>
        </w:rPr>
        <w:sectPr>
          <w:pgSz w:w="16838" w:h="11906" w:orient="landscape"/>
          <w:pgMar w:top="1800" w:right="1440" w:bottom="1800" w:left="1440" w:header="851" w:footer="992" w:gutter="0"/>
          <w:cols w:space="720" w:num="1"/>
          <w:docGrid w:type="lines" w:linePitch="312" w:charSpace="0"/>
        </w:sectPr>
      </w:pPr>
    </w:p>
    <w:p>
      <w:pPr>
        <w:widowControl/>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60" w:lineRule="exact"/>
        <w:ind w:firstLine="640" w:firstLineChars="200"/>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w:t>
      </w:r>
    </w:p>
    <w:p>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本级部门用一般公共预算财政拨款安排的公务用车运行费和公务接待费。其中，公务用车运行费指单位公务用车燃料费、维修费、过路过桥费、保险费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指本级部门的公用经费，包括办公及印刷费、邮电费、差旅费、会议费、福利费、日常维修费、办公用房水电费及其他费用。</w:t>
      </w:r>
    </w:p>
    <w:p>
      <w:pPr>
        <w:spacing w:line="55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55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昌吉州价格监测中心</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Dialog">
    <w:altName w:val="Times New Roman"/>
    <w:panose1 w:val="00000000000000000000"/>
    <w:charset w:val="00"/>
    <w:family w:val="auto"/>
    <w:pitch w:val="default"/>
    <w:sig w:usb0="00000000" w:usb1="00000000" w:usb2="00000000"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w:t>
    </w:r>
    <w:r>
      <w:rPr>
        <w:rFonts w:ascii="宋体" w:hAnsi="宋体" w:eastAsia="宋体"/>
        <w:sz w:val="28"/>
        <w:szCs w:val="28"/>
      </w:rPr>
      <w:t xml:space="preserve"> 2 -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NotTrackMoves/>
  <w:documentProtection w:enforcement="0"/>
  <w:defaultTabStop w:val="420"/>
  <w:drawingGridVerticalSpacing w:val="159"/>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2C37"/>
    <w:rsid w:val="00172A27"/>
    <w:rsid w:val="003F10E7"/>
    <w:rsid w:val="004C3F92"/>
    <w:rsid w:val="00642363"/>
    <w:rsid w:val="0074163D"/>
    <w:rsid w:val="00EE3E70"/>
    <w:rsid w:val="01A45240"/>
    <w:rsid w:val="02F45E67"/>
    <w:rsid w:val="04AC7736"/>
    <w:rsid w:val="050E3F58"/>
    <w:rsid w:val="052109FA"/>
    <w:rsid w:val="06133805"/>
    <w:rsid w:val="066C7717"/>
    <w:rsid w:val="06C8202F"/>
    <w:rsid w:val="06ED47ED"/>
    <w:rsid w:val="074A1304"/>
    <w:rsid w:val="085F33CA"/>
    <w:rsid w:val="08AE0381"/>
    <w:rsid w:val="09F04A5A"/>
    <w:rsid w:val="0A262D36"/>
    <w:rsid w:val="0A420FE1"/>
    <w:rsid w:val="0B1161B7"/>
    <w:rsid w:val="0BFD5EF6"/>
    <w:rsid w:val="0DF626F7"/>
    <w:rsid w:val="1127642E"/>
    <w:rsid w:val="113B24D4"/>
    <w:rsid w:val="11A92B07"/>
    <w:rsid w:val="16D23D7F"/>
    <w:rsid w:val="17B133ED"/>
    <w:rsid w:val="18553EFB"/>
    <w:rsid w:val="1A1A0363"/>
    <w:rsid w:val="1E1959ED"/>
    <w:rsid w:val="1F8D4ED2"/>
    <w:rsid w:val="1FAF30E4"/>
    <w:rsid w:val="204770C8"/>
    <w:rsid w:val="21A57AC0"/>
    <w:rsid w:val="223F7F28"/>
    <w:rsid w:val="2255468D"/>
    <w:rsid w:val="23E55A70"/>
    <w:rsid w:val="244C67E5"/>
    <w:rsid w:val="267D5AB4"/>
    <w:rsid w:val="2792718F"/>
    <w:rsid w:val="27BB513C"/>
    <w:rsid w:val="28AF7EC4"/>
    <w:rsid w:val="2960326E"/>
    <w:rsid w:val="2B1264B8"/>
    <w:rsid w:val="2D8E0DCA"/>
    <w:rsid w:val="2E8A1F67"/>
    <w:rsid w:val="2E8E41F0"/>
    <w:rsid w:val="2E9C5704"/>
    <w:rsid w:val="2F3E6592"/>
    <w:rsid w:val="32445586"/>
    <w:rsid w:val="32CF7944"/>
    <w:rsid w:val="344D1E48"/>
    <w:rsid w:val="350F0F1C"/>
    <w:rsid w:val="35F90E99"/>
    <w:rsid w:val="36E70B22"/>
    <w:rsid w:val="38103CE4"/>
    <w:rsid w:val="3A692962"/>
    <w:rsid w:val="3AC05108"/>
    <w:rsid w:val="3B2E3C01"/>
    <w:rsid w:val="3DC119BC"/>
    <w:rsid w:val="3E790F0E"/>
    <w:rsid w:val="3EEC59CA"/>
    <w:rsid w:val="3F345DBE"/>
    <w:rsid w:val="405C1300"/>
    <w:rsid w:val="40CF4B5B"/>
    <w:rsid w:val="435A3E1E"/>
    <w:rsid w:val="44E1570C"/>
    <w:rsid w:val="462A061F"/>
    <w:rsid w:val="478046DF"/>
    <w:rsid w:val="481A5E03"/>
    <w:rsid w:val="48973EA7"/>
    <w:rsid w:val="4B1906C2"/>
    <w:rsid w:val="4B336ED3"/>
    <w:rsid w:val="4B481211"/>
    <w:rsid w:val="4C3350C4"/>
    <w:rsid w:val="4C3B1A9E"/>
    <w:rsid w:val="4D225959"/>
    <w:rsid w:val="4E7F4257"/>
    <w:rsid w:val="516412F2"/>
    <w:rsid w:val="531F3248"/>
    <w:rsid w:val="538B39A0"/>
    <w:rsid w:val="55DB79EC"/>
    <w:rsid w:val="56701CD5"/>
    <w:rsid w:val="56D0597B"/>
    <w:rsid w:val="57C54F8E"/>
    <w:rsid w:val="57F347D8"/>
    <w:rsid w:val="592461CF"/>
    <w:rsid w:val="59604D2F"/>
    <w:rsid w:val="5A6C6166"/>
    <w:rsid w:val="5AD104F6"/>
    <w:rsid w:val="5B1024F7"/>
    <w:rsid w:val="5C5B3413"/>
    <w:rsid w:val="5D7209DD"/>
    <w:rsid w:val="5D9D2B26"/>
    <w:rsid w:val="5E070ED0"/>
    <w:rsid w:val="66903DD3"/>
    <w:rsid w:val="67583E93"/>
    <w:rsid w:val="6987602F"/>
    <w:rsid w:val="6B2525D8"/>
    <w:rsid w:val="6B4E599A"/>
    <w:rsid w:val="6D303931"/>
    <w:rsid w:val="6F146FCA"/>
    <w:rsid w:val="6F5B51C0"/>
    <w:rsid w:val="713B7C54"/>
    <w:rsid w:val="715920DB"/>
    <w:rsid w:val="7825692D"/>
    <w:rsid w:val="794A5667"/>
    <w:rsid w:val="7A152CA2"/>
    <w:rsid w:val="7BAD2677"/>
    <w:rsid w:val="7BD12EA1"/>
    <w:rsid w:val="7C9570F1"/>
    <w:rsid w:val="7FED3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styleId="7">
    <w:name w:val="page number"/>
    <w:basedOn w:val="5"/>
    <w:unhideWhenUsed/>
    <w:qFormat/>
    <w:uiPriority w:val="99"/>
  </w:style>
  <w:style w:type="paragraph" w:customStyle="1" w:styleId="8">
    <w:name w:val="批注框文本1"/>
    <w:basedOn w:val="1"/>
    <w:link w:val="16"/>
    <w:qFormat/>
    <w:uiPriority w:val="0"/>
    <w:rPr>
      <w:sz w:val="18"/>
      <w:szCs w:val="18"/>
    </w:rPr>
  </w:style>
  <w:style w:type="paragraph" w:customStyle="1" w:styleId="9">
    <w:name w:val="正文文本缩进 31"/>
    <w:basedOn w:val="1"/>
    <w:link w:val="1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0">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1">
    <w:name w:val="列出段落1"/>
    <w:basedOn w:val="1"/>
    <w:qFormat/>
    <w:uiPriority w:val="0"/>
    <w:pPr>
      <w:ind w:firstLine="420" w:firstLineChars="200"/>
    </w:pPr>
    <w:rPr>
      <w:rFonts w:ascii="Calibri" w:hAnsi="Calibri"/>
      <w:szCs w:val="22"/>
    </w:rPr>
  </w:style>
  <w:style w:type="paragraph" w:customStyle="1" w:styleId="12">
    <w:name w:val="普通(网站)1"/>
    <w:basedOn w:val="1"/>
    <w:qFormat/>
    <w:uiPriority w:val="0"/>
    <w:rPr>
      <w:rFonts w:ascii="Calibri" w:hAnsi="Calibri" w:cs="黑体"/>
      <w:sz w:val="24"/>
    </w:rPr>
  </w:style>
  <w:style w:type="paragraph" w:customStyle="1" w:styleId="13">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普通(网站)21"/>
    <w:basedOn w:val="1"/>
    <w:qFormat/>
    <w:uiPriority w:val="0"/>
    <w:rPr>
      <w:rFonts w:ascii="Calibri" w:hAnsi="Calibri" w:cs="黑体"/>
      <w:sz w:val="24"/>
    </w:rPr>
  </w:style>
  <w:style w:type="paragraph" w:customStyle="1" w:styleId="15">
    <w:name w:val="普通(网站)3"/>
    <w:basedOn w:val="1"/>
    <w:qFormat/>
    <w:uiPriority w:val="0"/>
    <w:rPr>
      <w:rFonts w:ascii="Calibri" w:hAnsi="Calibri" w:cs="黑体"/>
      <w:sz w:val="24"/>
    </w:rPr>
  </w:style>
  <w:style w:type="character" w:customStyle="1" w:styleId="16">
    <w:name w:val="批注框文本 Char"/>
    <w:link w:val="8"/>
    <w:semiHidden/>
    <w:qFormat/>
    <w:uiPriority w:val="0"/>
    <w:rPr>
      <w:rFonts w:ascii="Times New Roman" w:hAnsi="Times New Roman" w:eastAsia="宋体" w:cs="Times New Roman"/>
      <w:sz w:val="18"/>
      <w:szCs w:val="18"/>
    </w:rPr>
  </w:style>
  <w:style w:type="character" w:customStyle="1" w:styleId="17">
    <w:name w:val="页脚 字符"/>
    <w:link w:val="2"/>
    <w:semiHidden/>
    <w:qFormat/>
    <w:uiPriority w:val="0"/>
    <w:rPr>
      <w:rFonts w:ascii="Times New Roman" w:hAnsi="Times New Roman" w:eastAsia="黑体" w:cs="Times New Roman"/>
      <w:snapToGrid w:val="0"/>
      <w:kern w:val="0"/>
      <w:sz w:val="18"/>
      <w:szCs w:val="18"/>
    </w:rPr>
  </w:style>
  <w:style w:type="character" w:customStyle="1" w:styleId="18">
    <w:name w:val="页眉 字符"/>
    <w:link w:val="3"/>
    <w:semiHidden/>
    <w:qFormat/>
    <w:uiPriority w:val="0"/>
    <w:rPr>
      <w:rFonts w:ascii="Times New Roman" w:hAnsi="Times New Roman" w:eastAsia="宋体" w:cs="Times New Roman"/>
      <w:sz w:val="18"/>
      <w:szCs w:val="18"/>
    </w:rPr>
  </w:style>
  <w:style w:type="character" w:customStyle="1" w:styleId="19">
    <w:name w:val="正文文本缩进 3 Char"/>
    <w:link w:val="9"/>
    <w:semiHidden/>
    <w:qFormat/>
    <w:uiPriority w:val="0"/>
    <w:rPr>
      <w:rFonts w:ascii="Times New Roman" w:hAnsi="Times New Roman" w:eastAsia="仿宋_GB2312" w:cs="Times New Roman"/>
      <w:sz w:val="32"/>
      <w:szCs w:val="24"/>
    </w:rPr>
  </w:style>
  <w:style w:type="character" w:customStyle="1" w:styleId="20">
    <w:name w:val="页码1"/>
    <w:basedOn w:val="5"/>
    <w:qFormat/>
    <w:uiPriority w:val="0"/>
  </w:style>
  <w:style w:type="character" w:customStyle="1" w:styleId="21">
    <w:name w:val="font01"/>
    <w:qFormat/>
    <w:uiPriority w:val="0"/>
    <w:rPr>
      <w:rFonts w:hint="eastAsia" w:ascii="宋体" w:hAnsi="宋体" w:eastAsia="宋体" w:cs="宋体"/>
      <w:color w:val="000000"/>
      <w:sz w:val="24"/>
      <w:szCs w:val="24"/>
      <w:u w:val="none"/>
    </w:rPr>
  </w:style>
  <w:style w:type="character" w:customStyle="1" w:styleId="22">
    <w:name w:val="font11"/>
    <w:qFormat/>
    <w:uiPriority w:val="0"/>
    <w:rPr>
      <w:rFonts w:hint="default" w:ascii="Dialog" w:hAnsi="Dialog" w:eastAsia="Dialog" w:cs="Dialog"/>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1363</Words>
  <Characters>7773</Characters>
  <Lines>64</Lines>
  <Paragraphs>18</Paragraphs>
  <TotalTime>0</TotalTime>
  <ScaleCrop>false</ScaleCrop>
  <LinksUpToDate>false</LinksUpToDate>
  <CharactersWithSpaces>9118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Administrator</cp:lastModifiedBy>
  <dcterms:modified xsi:type="dcterms:W3CDTF">2021-05-27T11:42:49Z</dcterms:modified>
  <dc:title>王怡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