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新疆维吾尔自治区昌吉州总工会2019年部门预算公开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昌吉州总工会单位概况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一、关于昌吉州总工会2019年收支预算情况的总体说明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二、关于昌吉州总工会2019年收入预算情况说明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三、关于昌吉州总工会2019年支出预算情况说明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昌吉州总工会2019</w:t>
      </w:r>
      <w:r>
        <w:rPr>
          <w:rFonts w:hint="eastAsia" w:ascii="仿宋_GB2312" w:hAnsi="宋体" w:eastAsia="仿宋_GB2312"/>
          <w:bCs/>
          <w:kern w:val="0"/>
          <w:sz w:val="32"/>
          <w:szCs w:val="32"/>
        </w:rPr>
        <w:t>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五、关于昌吉州总工会2019年一般公共预算当年拨款情况说明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六、关于昌吉州总工会2019年一般公共预算基本支出情况说明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七、关于昌吉州总工会2019年项目支出情况说明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八、关于昌吉州总工会2019年一般公共预算“三公”经费预算情况说明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九、关于昌吉州总工会2019年政府性基金预算拨款情况说明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昌吉州总工会单位概况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autoSpaceDE w:val="0"/>
        <w:autoSpaceDN w:val="0"/>
        <w:spacing w:line="540" w:lineRule="exact"/>
        <w:ind w:firstLine="640" w:firstLineChars="200"/>
        <w:rPr>
          <w:rFonts w:ascii="仿宋_GB2312" w:hAnsi="宋体" w:eastAsia="仿宋_GB2312"/>
          <w:sz w:val="32"/>
          <w:szCs w:val="32"/>
        </w:rPr>
      </w:pPr>
      <w:r>
        <w:rPr>
          <w:rFonts w:hint="eastAsia" w:ascii="仿宋_GB2312" w:hAnsi="仿宋_GB2312" w:eastAsia="仿宋_GB2312" w:cs="仿宋_GB2312"/>
          <w:color w:val="333333"/>
          <w:sz w:val="32"/>
          <w:szCs w:val="32"/>
          <w:shd w:val="clear" w:color="auto" w:fill="FFFFFF"/>
        </w:rPr>
        <w:t>工会主要承担着参与、维护、建设、教育四大职能，即：工会组织应该代表和组织职工参与本单位的民主决策，民主管理和民主监督; 工会组织必须代表和维护职工合法权益;工会组织应该动员和组织职工参加改革和建设，努力完成各项工作任务；工会组织应该教育职工不断提高思想道德和职业道德、技术业务和科学文化素质，建设“四有”职工队伍。其中</w:t>
      </w:r>
      <w:r>
        <w:rPr>
          <w:rFonts w:hint="eastAsia" w:ascii="仿宋_GB2312" w:hAnsi="微软雅黑" w:eastAsia="仿宋_GB2312"/>
          <w:color w:val="333333"/>
          <w:spacing w:val="-13"/>
          <w:sz w:val="32"/>
          <w:szCs w:val="32"/>
        </w:rPr>
        <w:t>维护职工合法权益是工会的基本职责</w:t>
      </w:r>
      <w:r>
        <w:rPr>
          <w:rFonts w:hint="eastAsia" w:ascii="仿宋_GB2312" w:hAnsi="仿宋_GB2312" w:eastAsia="仿宋_GB2312" w:cs="仿宋_GB2312"/>
          <w:color w:val="333333"/>
          <w:sz w:val="32"/>
          <w:szCs w:val="32"/>
          <w:shd w:val="clear" w:color="auto" w:fill="FFFFFF"/>
        </w:rPr>
        <w:t>。</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昌吉州总工会无下属预算单位，下设 4 个科室，分别是：</w:t>
      </w:r>
      <w:r>
        <w:rPr>
          <w:rFonts w:hint="eastAsia" w:ascii="仿宋_GB2312" w:hAnsi="仿宋_GB2312" w:eastAsia="仿宋_GB2312" w:cs="仿宋_GB2312"/>
          <w:bCs/>
          <w:sz w:val="32"/>
          <w:lang w:val="zh-CN"/>
        </w:rPr>
        <w:t>办公室、组宣部、帮扶办、经</w:t>
      </w:r>
      <w:r>
        <w:rPr>
          <w:rFonts w:hint="eastAsia" w:ascii="仿宋_GB2312" w:hAnsi="仿宋_GB2312" w:eastAsia="仿宋_GB2312" w:cs="仿宋_GB2312"/>
          <w:bCs/>
          <w:sz w:val="32"/>
          <w:highlight w:val="none"/>
          <w:lang w:val="zh-CN"/>
        </w:rPr>
        <w:t>审科</w:t>
      </w:r>
      <w:r>
        <w:rPr>
          <w:rFonts w:hint="eastAsia" w:ascii="仿宋_GB2312" w:hAnsi="黑体" w:eastAsia="仿宋_GB2312" w:cs="宋体"/>
          <w:bCs/>
          <w:kern w:val="0"/>
          <w:sz w:val="32"/>
          <w:szCs w:val="32"/>
        </w:rPr>
        <w:t>。</w:t>
      </w:r>
    </w:p>
    <w:p>
      <w:pPr>
        <w:widowControl/>
        <w:spacing w:line="560" w:lineRule="exact"/>
        <w:ind w:firstLine="64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单位编制数17个 ，实有人数  39  人，其中：在职  17  人，</w:t>
      </w:r>
      <w:r>
        <w:rPr>
          <w:rFonts w:hint="eastAsia" w:ascii="仿宋_GB2312" w:hAnsi="黑体" w:eastAsia="仿宋_GB2312" w:cs="宋体"/>
          <w:bCs/>
          <w:kern w:val="0"/>
          <w:sz w:val="32"/>
          <w:szCs w:val="32"/>
          <w:lang w:eastAsia="zh-CN"/>
        </w:rPr>
        <w:t>增加或减少</w:t>
      </w:r>
      <w:r>
        <w:rPr>
          <w:rFonts w:hint="eastAsia" w:ascii="仿宋_GB2312" w:hAnsi="黑体" w:eastAsia="仿宋_GB2312" w:cs="宋体"/>
          <w:bCs/>
          <w:kern w:val="0"/>
          <w:sz w:val="32"/>
          <w:szCs w:val="32"/>
          <w:lang w:val="en-US" w:eastAsia="zh-CN"/>
        </w:rPr>
        <w:t>0人</w:t>
      </w:r>
      <w:r>
        <w:rPr>
          <w:rFonts w:hint="eastAsia" w:ascii="仿宋_GB2312" w:hAnsi="黑体" w:eastAsia="仿宋_GB2312" w:cs="宋体"/>
          <w:bCs/>
          <w:kern w:val="0"/>
          <w:sz w:val="32"/>
          <w:szCs w:val="32"/>
        </w:rPr>
        <w:t>； 退休 22 人。</w:t>
      </w:r>
      <w:r>
        <w:rPr>
          <w:rFonts w:hint="eastAsia" w:ascii="仿宋_GB2312" w:hAnsi="黑体" w:eastAsia="仿宋_GB2312" w:cs="宋体"/>
          <w:bCs/>
          <w:kern w:val="0"/>
          <w:sz w:val="32"/>
          <w:szCs w:val="32"/>
          <w:lang w:eastAsia="zh-CN"/>
        </w:rPr>
        <w:t>增加或减少</w:t>
      </w:r>
      <w:r>
        <w:rPr>
          <w:rFonts w:hint="eastAsia" w:ascii="仿宋_GB2312" w:hAnsi="黑体" w:eastAsia="仿宋_GB2312" w:cs="宋体"/>
          <w:bCs/>
          <w:kern w:val="0"/>
          <w:sz w:val="32"/>
          <w:szCs w:val="32"/>
          <w:lang w:val="en-US" w:eastAsia="zh-CN"/>
        </w:rPr>
        <w:t>0人，离休0人，增加或减少0人。</w:t>
      </w:r>
      <w:r>
        <w:rPr>
          <w:rFonts w:hint="eastAsia" w:ascii="仿宋_GB2312" w:hAnsi="黑体" w:eastAsia="仿宋_GB2312" w:cs="宋体"/>
          <w:bCs/>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 昌吉州总工会                                    单位：万元</w:t>
      </w:r>
    </w:p>
    <w:tbl>
      <w:tblPr>
        <w:tblStyle w:val="5"/>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365.77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365.77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365.77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365.77</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365.77</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0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365.77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365.77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 昌吉州总工会                                                       单位：万元</w:t>
      </w:r>
    </w:p>
    <w:tbl>
      <w:tblPr>
        <w:tblStyle w:val="5"/>
        <w:tblW w:w="9654" w:type="dxa"/>
        <w:tblInd w:w="93" w:type="dxa"/>
        <w:tblLayout w:type="fixed"/>
        <w:tblCellMar>
          <w:top w:w="0" w:type="dxa"/>
          <w:left w:w="108" w:type="dxa"/>
          <w:bottom w:w="0" w:type="dxa"/>
          <w:right w:w="108" w:type="dxa"/>
        </w:tblCellMar>
      </w:tblPr>
      <w:tblGrid>
        <w:gridCol w:w="417"/>
        <w:gridCol w:w="417"/>
        <w:gridCol w:w="417"/>
        <w:gridCol w:w="2145"/>
        <w:gridCol w:w="820"/>
        <w:gridCol w:w="680"/>
        <w:gridCol w:w="680"/>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29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　</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249.55</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249.55</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29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一般行政管理事务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63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63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29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50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事业运行</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53.22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53.22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365.77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365.77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编制部门：昌吉州总工会                                                      单位：万元</w:t>
      </w:r>
    </w:p>
    <w:tbl>
      <w:tblPr>
        <w:tblStyle w:val="5"/>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29</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行政运行</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249.55</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249.55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29</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02</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仿宋_GB2312" w:eastAsia="仿宋_GB2312"/>
                <w:color w:val="000000"/>
                <w:sz w:val="20"/>
                <w:szCs w:val="20"/>
              </w:rPr>
              <w:t>一般行政管理事务</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63</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63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29</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50</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仿宋_GB2312" w:eastAsia="仿宋_GB2312"/>
                <w:color w:val="000000"/>
                <w:sz w:val="20"/>
                <w:szCs w:val="20"/>
              </w:rPr>
              <w:t>事业运行</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53.22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53.22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365.77</w:t>
            </w:r>
          </w:p>
        </w:tc>
        <w:tc>
          <w:tcPr>
            <w:tcW w:w="185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302.77</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63</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outlineLvl w:val="1"/>
        <w:rPr>
          <w:rFonts w:ascii="仿宋_GB2312" w:hAnsi="宋体" w:eastAsia="仿宋_GB2312"/>
          <w:b/>
          <w:kern w:val="0"/>
          <w:sz w:val="32"/>
          <w:szCs w:val="32"/>
        </w:rPr>
      </w:pP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 昌吉州总工会                              单位：万元</w:t>
      </w:r>
    </w:p>
    <w:tbl>
      <w:tblPr>
        <w:tblStyle w:val="5"/>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365.77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365.77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365.77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365.77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365.77</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365.77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365.77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365.77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5"/>
        <w:tblW w:w="9087" w:type="dxa"/>
        <w:tblInd w:w="93" w:type="dxa"/>
        <w:tblLayout w:type="fixed"/>
        <w:tblCellMar>
          <w:top w:w="0" w:type="dxa"/>
          <w:left w:w="108" w:type="dxa"/>
          <w:bottom w:w="0" w:type="dxa"/>
          <w:right w:w="108" w:type="dxa"/>
        </w:tblCellMar>
      </w:tblPr>
      <w:tblGrid>
        <w:gridCol w:w="441"/>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编制部门：昌吉州总工会</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201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29</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51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行政运行</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249.55</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249.55</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201</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一般行政管理事务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63</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63</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201</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50</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事业运行</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53.22</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53.22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365.77</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302.77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63</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5"/>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编制部门：昌吉州总工会</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89.73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89.73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34.72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34.72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6.17</w:t>
            </w:r>
          </w:p>
        </w:tc>
        <w:tc>
          <w:tcPr>
            <w:tcW w:w="1701" w:type="dxa"/>
            <w:gridSpan w:val="2"/>
            <w:tcBorders>
              <w:top w:val="nil"/>
              <w:left w:val="nil"/>
              <w:bottom w:val="single" w:color="auto" w:sz="4" w:space="0"/>
              <w:right w:val="single" w:color="auto" w:sz="4" w:space="0"/>
            </w:tcBorders>
            <w:vAlign w:val="center"/>
          </w:tcPr>
          <w:p>
            <w:pPr>
              <w:widowControl/>
              <w:ind w:right="147" w:rightChars="70"/>
              <w:jc w:val="left"/>
              <w:rPr>
                <w:rFonts w:ascii="宋体" w:hAnsi="宋体" w:cs="宋体"/>
                <w:color w:val="000000"/>
                <w:kern w:val="0"/>
                <w:sz w:val="20"/>
                <w:szCs w:val="20"/>
              </w:rPr>
            </w:pPr>
            <w:r>
              <w:rPr>
                <w:rFonts w:hint="eastAsia" w:ascii="宋体" w:hAnsi="宋体" w:cs="宋体"/>
                <w:color w:val="000000"/>
                <w:kern w:val="0"/>
                <w:sz w:val="20"/>
                <w:szCs w:val="20"/>
              </w:rPr>
              <w:t>　6.17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06</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伙食补助费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21.42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21.42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07</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绩效工资</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15.04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15.04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08</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29.13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29.13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10</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职工基本医疗保险缴费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27.92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27.92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公务员医疗补助缴费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21.71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21.71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12</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其他社会保障缴费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0.66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0.66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13</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住房公积金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17.48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17.48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办公费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2.51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2.51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06</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电费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2.4</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07</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邮电费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3.7</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08</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取暖费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4</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16</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培训费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公务招待费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1.79</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公务车辆运行维护费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3.36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3.36</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5.24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5.24</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303</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09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奖励金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1.79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1.79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303</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14</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职工住宅取暖费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302.77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269.67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33.10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5"/>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编制部门：昌吉州总工会</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201</w:t>
            </w:r>
          </w:p>
        </w:tc>
        <w:tc>
          <w:tcPr>
            <w:tcW w:w="39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29</w:t>
            </w:r>
          </w:p>
        </w:tc>
        <w:tc>
          <w:tcPr>
            <w:tcW w:w="39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02</w:t>
            </w:r>
          </w:p>
        </w:tc>
        <w:tc>
          <w:tcPr>
            <w:tcW w:w="851"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2012902</w:t>
            </w:r>
          </w:p>
        </w:tc>
        <w:tc>
          <w:tcPr>
            <w:tcW w:w="145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一般行政管理事务</w:t>
            </w:r>
          </w:p>
        </w:tc>
        <w:tc>
          <w:tcPr>
            <w:tcW w:w="75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60</w:t>
            </w:r>
          </w:p>
        </w:tc>
        <w:tc>
          <w:tcPr>
            <w:tcW w:w="569"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3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60</w:t>
            </w:r>
          </w:p>
        </w:tc>
        <w:tc>
          <w:tcPr>
            <w:tcW w:w="652"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201</w:t>
            </w:r>
          </w:p>
        </w:tc>
        <w:tc>
          <w:tcPr>
            <w:tcW w:w="39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29</w:t>
            </w:r>
          </w:p>
        </w:tc>
        <w:tc>
          <w:tcPr>
            <w:tcW w:w="39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02</w:t>
            </w:r>
          </w:p>
        </w:tc>
        <w:tc>
          <w:tcPr>
            <w:tcW w:w="851"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2012902</w:t>
            </w:r>
          </w:p>
        </w:tc>
        <w:tc>
          <w:tcPr>
            <w:tcW w:w="145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一般行政管理事务</w:t>
            </w:r>
          </w:p>
        </w:tc>
        <w:tc>
          <w:tcPr>
            <w:tcW w:w="75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3</w:t>
            </w:r>
          </w:p>
        </w:tc>
        <w:tc>
          <w:tcPr>
            <w:tcW w:w="569"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3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3</w:t>
            </w:r>
          </w:p>
        </w:tc>
        <w:tc>
          <w:tcPr>
            <w:tcW w:w="652"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851"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145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75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9"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3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851"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145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75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9"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3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851"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145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75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9"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3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851"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145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75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9"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3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851"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145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75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9"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3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851"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145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75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9"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3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right"/>
              <w:outlineLvl w:val="1"/>
              <w:rPr>
                <w:rFonts w:ascii="仿宋_GB2312" w:hAnsi="宋体" w:eastAsia="仿宋_GB2312"/>
                <w:kern w:val="0"/>
                <w:szCs w:val="21"/>
              </w:rPr>
            </w:pPr>
            <w:r>
              <w:rPr>
                <w:rFonts w:hint="eastAsia" w:ascii="仿宋_GB2312" w:hAnsi="宋体" w:eastAsia="仿宋_GB2312"/>
                <w:kern w:val="0"/>
                <w:szCs w:val="21"/>
              </w:rPr>
              <w:t>合计</w:t>
            </w:r>
          </w:p>
        </w:tc>
        <w:tc>
          <w:tcPr>
            <w:tcW w:w="750" w:type="dxa"/>
            <w:vAlign w:val="center"/>
          </w:tcPr>
          <w:p>
            <w:pPr>
              <w:widowControl/>
              <w:jc w:val="right"/>
              <w:outlineLvl w:val="1"/>
              <w:rPr>
                <w:rFonts w:ascii="仿宋_GB2312" w:hAnsi="宋体" w:eastAsia="仿宋_GB2312"/>
                <w:kern w:val="0"/>
                <w:szCs w:val="21"/>
              </w:rPr>
            </w:pPr>
            <w:r>
              <w:rPr>
                <w:rFonts w:hint="eastAsia" w:ascii="仿宋_GB2312" w:hAnsi="宋体" w:eastAsia="仿宋_GB2312"/>
                <w:kern w:val="0"/>
                <w:szCs w:val="21"/>
              </w:rPr>
              <w:t>63</w:t>
            </w:r>
          </w:p>
        </w:tc>
        <w:tc>
          <w:tcPr>
            <w:tcW w:w="569" w:type="dxa"/>
            <w:gridSpan w:val="2"/>
          </w:tcPr>
          <w:p>
            <w:pPr>
              <w:widowControl/>
              <w:jc w:val="right"/>
              <w:outlineLvl w:val="1"/>
              <w:rPr>
                <w:rFonts w:ascii="仿宋_GB2312" w:hAnsi="宋体" w:eastAsia="仿宋_GB2312"/>
                <w:kern w:val="0"/>
                <w:szCs w:val="21"/>
              </w:rPr>
            </w:pPr>
          </w:p>
        </w:tc>
        <w:tc>
          <w:tcPr>
            <w:tcW w:w="536" w:type="dxa"/>
          </w:tcPr>
          <w:p>
            <w:pPr>
              <w:widowControl/>
              <w:jc w:val="right"/>
              <w:outlineLvl w:val="1"/>
              <w:rPr>
                <w:rFonts w:ascii="仿宋_GB2312" w:hAnsi="宋体" w:eastAsia="仿宋_GB2312"/>
                <w:kern w:val="0"/>
                <w:szCs w:val="21"/>
              </w:rPr>
            </w:pPr>
            <w:r>
              <w:rPr>
                <w:rFonts w:hint="eastAsia" w:ascii="仿宋_GB2312" w:hAnsi="宋体" w:eastAsia="仿宋_GB2312"/>
                <w:kern w:val="0"/>
                <w:szCs w:val="21"/>
              </w:rPr>
              <w:t>3</w:t>
            </w:r>
          </w:p>
        </w:tc>
        <w:tc>
          <w:tcPr>
            <w:tcW w:w="652" w:type="dxa"/>
          </w:tcPr>
          <w:p>
            <w:pPr>
              <w:widowControl/>
              <w:jc w:val="right"/>
              <w:outlineLvl w:val="1"/>
              <w:rPr>
                <w:rFonts w:ascii="仿宋_GB2312" w:hAnsi="宋体" w:eastAsia="仿宋_GB2312"/>
                <w:kern w:val="0"/>
                <w:szCs w:val="21"/>
              </w:rPr>
            </w:pPr>
            <w:r>
              <w:rPr>
                <w:rFonts w:hint="eastAsia" w:ascii="仿宋_GB2312" w:hAnsi="宋体" w:eastAsia="仿宋_GB2312"/>
                <w:kern w:val="0"/>
                <w:szCs w:val="21"/>
              </w:rPr>
              <w:t>60</w:t>
            </w:r>
          </w:p>
        </w:tc>
        <w:tc>
          <w:tcPr>
            <w:tcW w:w="652" w:type="dxa"/>
          </w:tcPr>
          <w:p>
            <w:pPr>
              <w:widowControl/>
              <w:jc w:val="right"/>
              <w:outlineLvl w:val="1"/>
              <w:rPr>
                <w:rFonts w:ascii="仿宋_GB2312" w:hAnsi="宋体" w:eastAsia="仿宋_GB2312"/>
                <w:kern w:val="0"/>
                <w:szCs w:val="21"/>
              </w:rPr>
            </w:pPr>
          </w:p>
        </w:tc>
        <w:tc>
          <w:tcPr>
            <w:tcW w:w="578" w:type="dxa"/>
            <w:gridSpan w:val="2"/>
          </w:tcPr>
          <w:p>
            <w:pPr>
              <w:widowControl/>
              <w:jc w:val="right"/>
              <w:outlineLvl w:val="1"/>
              <w:rPr>
                <w:rFonts w:ascii="仿宋_GB2312" w:hAnsi="宋体" w:eastAsia="仿宋_GB2312"/>
                <w:kern w:val="0"/>
                <w:szCs w:val="21"/>
              </w:rPr>
            </w:pP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cs="宋体"/>
          <w:color w:val="000000"/>
          <w:kern w:val="0"/>
          <w:sz w:val="24"/>
        </w:rPr>
        <w:t>编制单位：昌吉州总工会</w:t>
      </w:r>
      <w:r>
        <w:rPr>
          <w:rFonts w:hint="eastAsia" w:ascii="仿宋_GB2312" w:hAnsi="宋体" w:eastAsia="仿宋_GB2312"/>
          <w:kern w:val="0"/>
          <w:sz w:val="24"/>
        </w:rPr>
        <w:t xml:space="preserve">                                                    单位：万元</w:t>
      </w:r>
    </w:p>
    <w:tbl>
      <w:tblPr>
        <w:tblStyle w:val="5"/>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3.66</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3.36</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3.36</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0.3</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制单位：</w:t>
      </w:r>
      <w:r>
        <w:rPr>
          <w:rFonts w:hint="eastAsia" w:ascii="仿宋_GB2312" w:hAnsi="宋体" w:eastAsia="仿宋_GB2312" w:cs="宋体"/>
          <w:color w:val="000000"/>
          <w:kern w:val="0"/>
          <w:sz w:val="24"/>
        </w:rPr>
        <w:t>昌吉州总工会</w:t>
      </w:r>
      <w:r>
        <w:rPr>
          <w:rFonts w:hint="eastAsia" w:ascii="仿宋_GB2312" w:hAnsi="宋体" w:eastAsia="仿宋_GB2312"/>
          <w:kern w:val="0"/>
          <w:sz w:val="24"/>
        </w:rPr>
        <w:t xml:space="preserve">                                          单位：万元</w:t>
      </w:r>
    </w:p>
    <w:tbl>
      <w:tblPr>
        <w:tblStyle w:val="5"/>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w:t>
      </w:r>
    </w:p>
    <w:p>
      <w:pPr>
        <w:widowControl/>
        <w:jc w:val="left"/>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关于昌吉州总工会2019年收支预算情况的总体说明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按照全口径预算的原则，昌吉州总工会2019年所有收入和支出均纳入部门预算管理。收支总预算  365.77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二、关于昌吉州总工会2019年收入预算情况说明</w:t>
      </w:r>
    </w:p>
    <w:p>
      <w:pPr>
        <w:widowControl/>
        <w:spacing w:line="580" w:lineRule="exact"/>
        <w:ind w:firstLine="960" w:firstLineChars="3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昌吉州总工会收入预算 365.77 万元，其中：</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  365.77 万元，占100  %，比上年减少5.01万元，主要原因是调出人员1人，人员工资减少。</w:t>
      </w:r>
    </w:p>
    <w:p>
      <w:pPr>
        <w:widowControl/>
        <w:numPr>
          <w:ilvl w:val="0"/>
          <w:numId w:val="1"/>
        </w:numPr>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关于昌吉州总工会2019年支出预算情况说明</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昌吉州总工会2019年支出预算365.77万元，其中：</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基本支出302.77万元，占82.78%，比上年减少5.01万元，主要原因是调出人员1人，人员工资减少。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项目支出63万元，占 17.22 %，比上年增加  0万元，主要原因是预算未安排新增项目 。</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四、关于昌吉州总工会2019年财政拨款收支预算情况的总体说明</w:t>
      </w:r>
    </w:p>
    <w:p>
      <w:pPr>
        <w:widowControl/>
        <w:spacing w:line="560" w:lineRule="exact"/>
        <w:ind w:firstLine="640"/>
        <w:jc w:val="left"/>
        <w:rPr>
          <w:rFonts w:hint="eastAsia" w:ascii="仿宋_GB2312" w:hAnsi="宋体" w:eastAsia="仿宋_GB2312" w:cs="宋体"/>
          <w:kern w:val="0"/>
          <w:sz w:val="32"/>
          <w:szCs w:val="32"/>
        </w:rPr>
      </w:pPr>
      <w:r>
        <w:rPr>
          <w:rFonts w:hint="eastAsia" w:ascii="黑体" w:hAnsi="黑体" w:eastAsia="黑体" w:cs="宋体"/>
          <w:bCs/>
          <w:kern w:val="0"/>
          <w:sz w:val="32"/>
          <w:szCs w:val="32"/>
        </w:rPr>
        <w:t>20</w:t>
      </w:r>
      <w:r>
        <w:rPr>
          <w:rFonts w:hint="eastAsia" w:ascii="仿宋_GB2312" w:hAnsi="宋体" w:eastAsia="仿宋_GB2312" w:cs="宋体"/>
          <w:kern w:val="0"/>
          <w:sz w:val="32"/>
          <w:szCs w:val="32"/>
        </w:rPr>
        <w:t>19年财政拨款收支总预算 365.77 万元。</w:t>
      </w:r>
    </w:p>
    <w:p>
      <w:pPr>
        <w:widowControl/>
        <w:spacing w:line="56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pPr>
        <w:widowControl/>
        <w:spacing w:line="560" w:lineRule="exact"/>
        <w:ind w:firstLine="640"/>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eastAsia="zh-CN"/>
        </w:rPr>
        <w:t>支出预算包括：一般公共预算支出</w:t>
      </w:r>
      <w:r>
        <w:rPr>
          <w:rFonts w:hint="eastAsia" w:ascii="仿宋_GB2312" w:hAnsi="宋体" w:eastAsia="仿宋_GB2312" w:cs="宋体"/>
          <w:kern w:val="0"/>
          <w:sz w:val="32"/>
          <w:szCs w:val="32"/>
          <w:lang w:val="en-US" w:eastAsia="zh-CN"/>
        </w:rPr>
        <w:t>365.77 万元，主要用于人员经费和公用支出。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五、关于昌吉州总工会2019年一般公共预算当年拨款情况说明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昌吉州总工会2019年一般公共预算拨款基本支出 302.77 万元，比上年执行数减少  67.18 万元，下降18.15  %。主要原因是：人员经费减少，综合目标奖金未做预算，访惠聚工作经费未作预算。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hint="eastAsia" w:ascii="仿宋_GB2312" w:eastAsia="仿宋_GB2312"/>
          <w:sz w:val="32"/>
          <w:szCs w:val="32"/>
        </w:rPr>
      </w:pPr>
      <w:r>
        <w:rPr>
          <w:rFonts w:hint="eastAsia" w:ascii="仿宋_GB2312" w:eastAsia="仿宋_GB2312"/>
          <w:sz w:val="32"/>
          <w:szCs w:val="32"/>
        </w:rPr>
        <w:t>1.一般公共服务（</w:t>
      </w:r>
      <w:r>
        <w:rPr>
          <w:rFonts w:hint="eastAsia" w:ascii="仿宋_GB2312" w:eastAsia="仿宋_GB2312"/>
          <w:sz w:val="32"/>
          <w:szCs w:val="32"/>
          <w:lang w:val="en-US" w:eastAsia="zh-CN"/>
        </w:rPr>
        <w:t>201</w:t>
      </w:r>
      <w:r>
        <w:rPr>
          <w:rFonts w:hint="eastAsia" w:ascii="仿宋_GB2312" w:eastAsia="仿宋_GB2312"/>
          <w:sz w:val="32"/>
          <w:szCs w:val="32"/>
        </w:rPr>
        <w:t>）365.77</w:t>
      </w:r>
      <w:r>
        <w:rPr>
          <w:rFonts w:hint="eastAsia" w:ascii="仿宋_GB2312" w:hAnsi="宋体" w:eastAsia="仿宋_GB2312" w:cs="宋体"/>
          <w:kern w:val="0"/>
          <w:sz w:val="32"/>
          <w:szCs w:val="32"/>
        </w:rPr>
        <w:t>万元，占  100 %。</w:t>
      </w:r>
      <w:bookmarkStart w:id="0" w:name="_GoBack"/>
      <w:r>
        <w:rPr>
          <w:rFonts w:hint="eastAsia" w:ascii="仿宋_GB2312" w:hAnsi="宋体" w:eastAsia="仿宋_GB2312" w:cs="宋体"/>
          <w:kern w:val="0"/>
          <w:sz w:val="32"/>
          <w:szCs w:val="32"/>
        </w:rPr>
        <w:t>其中：</w:t>
      </w:r>
      <w:r>
        <w:rPr>
          <w:rFonts w:hint="eastAsia" w:ascii="仿宋_GB2312" w:eastAsia="仿宋_GB2312"/>
          <w:sz w:val="32"/>
          <w:szCs w:val="32"/>
          <w:lang w:eastAsia="zh-CN"/>
        </w:rPr>
        <w:t>行政运行</w:t>
      </w:r>
      <w:r>
        <w:rPr>
          <w:rFonts w:hint="eastAsia" w:ascii="仿宋_GB2312" w:eastAsia="仿宋_GB2312"/>
          <w:sz w:val="32"/>
          <w:szCs w:val="32"/>
          <w:lang w:val="en-US" w:eastAsia="zh-CN"/>
        </w:rPr>
        <w:t>249.55万元，事业运行53.22万元，一般行政管理事务63万元</w:t>
      </w:r>
      <w:r>
        <w:rPr>
          <w:rFonts w:hint="eastAsia" w:ascii="仿宋_GB2312" w:eastAsia="仿宋_GB2312"/>
          <w:sz w:val="32"/>
          <w:szCs w:val="32"/>
        </w:rPr>
        <w:t>。</w:t>
      </w:r>
    </w:p>
    <w:bookmarkEnd w:id="0"/>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群众团体</w:t>
      </w:r>
      <w:r>
        <w:rPr>
          <w:rFonts w:ascii="仿宋_GB2312" w:hAnsi="宋体" w:eastAsia="仿宋_GB2312" w:cs="宋体"/>
          <w:kern w:val="0"/>
          <w:sz w:val="32"/>
          <w:szCs w:val="32"/>
        </w:rPr>
        <w:t>事务（</w:t>
      </w:r>
      <w:r>
        <w:rPr>
          <w:rFonts w:hint="eastAsia" w:ascii="仿宋_GB2312" w:hAnsi="宋体" w:eastAsia="仿宋_GB2312" w:cs="宋体"/>
          <w:kern w:val="0"/>
          <w:sz w:val="32"/>
          <w:szCs w:val="32"/>
          <w:lang w:val="en-US" w:eastAsia="zh-CN"/>
        </w:rPr>
        <w:t>29</w:t>
      </w:r>
      <w:r>
        <w:rPr>
          <w:rFonts w:hint="eastAsia" w:ascii="仿宋_GB2312" w:hAnsi="宋体" w:eastAsia="仿宋_GB2312" w:cs="宋体"/>
          <w:kern w:val="0"/>
          <w:sz w:val="32"/>
          <w:szCs w:val="32"/>
        </w:rPr>
        <w:t>）</w:t>
      </w:r>
      <w:r>
        <w:rPr>
          <w:rFonts w:ascii="仿宋_GB2312" w:hAnsi="宋体" w:eastAsia="仿宋_GB2312" w:cs="宋体"/>
          <w:kern w:val="0"/>
          <w:sz w:val="32"/>
          <w:szCs w:val="32"/>
        </w:rPr>
        <w:t>行政运行（</w:t>
      </w:r>
      <w:r>
        <w:rPr>
          <w:rFonts w:hint="eastAsia" w:ascii="仿宋_GB2312" w:eastAsia="仿宋_GB2312"/>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249.55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 120.4万元，下降32.54  %，主要原因是：2019年行政人员经费和事业人员经费款项分列。另外，综合目标奖金未做预算，访惠聚工作经费未列入预算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群众团体</w:t>
      </w:r>
      <w:r>
        <w:rPr>
          <w:rFonts w:ascii="仿宋_GB2312" w:hAnsi="宋体" w:eastAsia="仿宋_GB2312" w:cs="宋体"/>
          <w:kern w:val="0"/>
          <w:sz w:val="32"/>
          <w:szCs w:val="32"/>
        </w:rPr>
        <w:t>事务（</w:t>
      </w:r>
      <w:r>
        <w:rPr>
          <w:rFonts w:hint="eastAsia" w:ascii="仿宋_GB2312" w:hAnsi="宋体" w:eastAsia="仿宋_GB2312" w:cs="宋体"/>
          <w:kern w:val="0"/>
          <w:sz w:val="32"/>
          <w:szCs w:val="32"/>
          <w:lang w:val="en-US" w:eastAsia="zh-CN"/>
        </w:rPr>
        <w:t>29</w:t>
      </w:r>
      <w:r>
        <w:rPr>
          <w:rFonts w:ascii="仿宋_GB2312" w:hAnsi="宋体" w:eastAsia="仿宋_GB2312" w:cs="宋体"/>
          <w:kern w:val="0"/>
          <w:sz w:val="32"/>
          <w:szCs w:val="32"/>
        </w:rPr>
        <w:t>）</w:t>
      </w:r>
      <w:r>
        <w:rPr>
          <w:rFonts w:hint="eastAsia" w:ascii="仿宋_GB2312" w:hAnsi="宋体" w:eastAsia="仿宋_GB2312" w:cs="宋体"/>
          <w:kern w:val="0"/>
          <w:sz w:val="32"/>
          <w:szCs w:val="32"/>
        </w:rPr>
        <w:t>事业运行</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50</w:t>
      </w:r>
      <w:r>
        <w:rPr>
          <w:rFonts w:ascii="仿宋_GB2312" w:hAnsi="宋体" w:eastAsia="仿宋_GB2312" w:cs="宋体"/>
          <w:kern w:val="0"/>
          <w:sz w:val="32"/>
          <w:szCs w:val="32"/>
        </w:rPr>
        <w:t>）</w:t>
      </w: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53.22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比上年执行数增加53.22万元，主要原因是：2019年行政人员经费和事业人员经费款项分列。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群众团体</w:t>
      </w:r>
      <w:r>
        <w:rPr>
          <w:rFonts w:ascii="仿宋_GB2312" w:hAnsi="宋体" w:eastAsia="仿宋_GB2312" w:cs="宋体"/>
          <w:kern w:val="0"/>
          <w:sz w:val="32"/>
          <w:szCs w:val="32"/>
        </w:rPr>
        <w:t>事务（</w:t>
      </w:r>
      <w:r>
        <w:rPr>
          <w:rFonts w:hint="eastAsia" w:ascii="仿宋_GB2312" w:hAnsi="宋体" w:eastAsia="仿宋_GB2312" w:cs="宋体"/>
          <w:kern w:val="0"/>
          <w:sz w:val="32"/>
          <w:szCs w:val="32"/>
          <w:lang w:val="en-US" w:eastAsia="zh-CN"/>
        </w:rPr>
        <w:t>29</w:t>
      </w:r>
      <w:r>
        <w:rPr>
          <w:rFonts w:ascii="仿宋_GB2312" w:hAnsi="宋体" w:eastAsia="仿宋_GB2312" w:cs="宋体"/>
          <w:kern w:val="0"/>
          <w:sz w:val="32"/>
          <w:szCs w:val="32"/>
        </w:rPr>
        <w:t>）</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50</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比上年执行数增加0万元，比上年执行数增加 0万元，增长0  %，主要原因是：未安排新增项目。   </w:t>
      </w:r>
    </w:p>
    <w:p>
      <w:pPr>
        <w:widowControl/>
        <w:spacing w:line="580" w:lineRule="exact"/>
        <w:ind w:firstLine="640"/>
        <w:jc w:val="left"/>
        <w:rPr>
          <w:rFonts w:hint="eastAsia" w:ascii="黑体" w:hAnsi="黑体" w:eastAsia="黑体" w:cs="黑体"/>
          <w:kern w:val="0"/>
          <w:sz w:val="32"/>
          <w:szCs w:val="32"/>
        </w:rPr>
      </w:pPr>
      <w:r>
        <w:rPr>
          <w:rFonts w:hint="eastAsia" w:ascii="黑体" w:hAnsi="黑体" w:eastAsia="黑体" w:cs="黑体"/>
          <w:kern w:val="0"/>
          <w:sz w:val="32"/>
          <w:szCs w:val="32"/>
        </w:rPr>
        <w:t>六、关于昌吉州总工会2019年一般公共预算基本支出情况说明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昌吉州总工会2019年一般公共预算基本支出 302.77   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 269.67 万元，主要包括：基本工资、津贴补贴、奖金、伙食补助费、绩效工资、机关事业单位基本养老保险缴费、职工基本医疗保险缴费、公务员医疗补助缴费、其他社会保障缴费、住房公积金等。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 33.10 万元，主要包括：办公费、水费、电费、邮电费、取暖费、差旅费、培训费、公务接待费、工会经费、公务用车运行维护费、其他商品和服务支出等。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七、关于昌吉州总工会2019年项目支出情况说明</w:t>
      </w:r>
    </w:p>
    <w:p>
      <w:pPr>
        <w:widowControl/>
        <w:spacing w:line="580" w:lineRule="exact"/>
        <w:ind w:firstLine="642"/>
        <w:jc w:val="left"/>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 xml:space="preserve"> 物价监督经费</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立项依据：1998年3月昌吉州人民政府常务会议纪要(十一届政府第二期)</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：3万元</w:t>
      </w:r>
      <w:r>
        <w:rPr>
          <w:rFonts w:ascii="仿宋_GB2312" w:hAnsi="黑体" w:eastAsia="仿宋_GB2312"/>
          <w:sz w:val="32"/>
          <w:szCs w:val="32"/>
        </w:rPr>
        <w:t xml:space="preserve"> </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ascii="仿宋_GB2312" w:hAnsi="黑体" w:eastAsia="仿宋_GB2312"/>
          <w:sz w:val="32"/>
          <w:szCs w:val="32"/>
        </w:rPr>
        <w:t xml:space="preserve"> </w:t>
      </w:r>
      <w:r>
        <w:rPr>
          <w:rFonts w:hint="eastAsia" w:ascii="仿宋_GB2312" w:hAnsi="黑体" w:eastAsia="仿宋_GB2312"/>
          <w:sz w:val="32"/>
          <w:szCs w:val="32"/>
        </w:rPr>
        <w:t>昌吉州总工会</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主要用于补充办公经费</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2019年1-12月</w:t>
      </w:r>
    </w:p>
    <w:p>
      <w:pPr>
        <w:spacing w:line="580" w:lineRule="exact"/>
        <w:ind w:firstLine="642"/>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州级劳模慰问及奖励金</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依据2013年州财政局报州党委《关于对州总工会要求解决自治州劳动模范和先进工作者每年春节慰问金和困难补助费的意见》</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60万元</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昌吉州总工会</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2019年全州现有自治州劳动模范（先进工作者）、开发建设新疆奖章获得者共计701人，人均发放1000元，慰问及奖励金总额70.10万元，不足部分由工会经费补充。</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2019年12月</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sz w:val="32"/>
          <w:szCs w:val="22"/>
        </w:rPr>
        <w:t>资金来源</w:t>
      </w:r>
      <w:r>
        <w:rPr>
          <w:rFonts w:hint="eastAsia" w:ascii="仿宋_GB2312" w:hAnsi="黑体" w:eastAsia="仿宋_GB2312"/>
          <w:sz w:val="32"/>
          <w:szCs w:val="32"/>
        </w:rPr>
        <w:t>：财政拨款</w:t>
      </w:r>
    </w:p>
    <w:p>
      <w:pPr>
        <w:widowControl/>
        <w:spacing w:line="580" w:lineRule="exact"/>
        <w:ind w:firstLine="640"/>
        <w:jc w:val="left"/>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701人</w:t>
      </w:r>
    </w:p>
    <w:p>
      <w:pPr>
        <w:widowControl/>
        <w:spacing w:line="580" w:lineRule="exact"/>
        <w:ind w:firstLine="640"/>
        <w:jc w:val="left"/>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1000元</w:t>
      </w:r>
    </w:p>
    <w:p>
      <w:pPr>
        <w:widowControl/>
        <w:spacing w:line="580" w:lineRule="exact"/>
        <w:ind w:firstLine="640"/>
        <w:jc w:val="left"/>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州级劳动模范</w:t>
      </w:r>
      <w:r>
        <w:rPr>
          <w:rFonts w:ascii="仿宋_GB2312" w:hAnsi="宋体" w:eastAsia="仿宋_GB2312"/>
          <w:sz w:val="32"/>
          <w:szCs w:val="22"/>
        </w:rPr>
        <w:t xml:space="preserve"> </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银行打卡发放</w:t>
      </w:r>
    </w:p>
    <w:p>
      <w:pPr>
        <w:widowControl/>
        <w:spacing w:line="580" w:lineRule="exact"/>
        <w:ind w:firstLine="640"/>
        <w:jc w:val="left"/>
        <w:rPr>
          <w:rFonts w:ascii="仿宋_GB2312" w:hAnsi="宋体" w:eastAsia="仿宋_GB2312"/>
          <w:sz w:val="32"/>
          <w:szCs w:val="22"/>
        </w:rPr>
      </w:pPr>
      <w:r>
        <w:rPr>
          <w:rFonts w:hint="eastAsia" w:ascii="仿宋_GB2312" w:hAnsi="宋体" w:eastAsia="仿宋_GB2312" w:cs="宋体"/>
          <w:kern w:val="0"/>
          <w:sz w:val="32"/>
          <w:szCs w:val="32"/>
        </w:rPr>
        <w:t>发放程序：由业务科室提出发放方案，经昌吉州总工会党组会议通过后，再由财务制表由银行打卡统一发放。</w:t>
      </w:r>
    </w:p>
    <w:p>
      <w:pPr>
        <w:widowControl/>
        <w:spacing w:line="560" w:lineRule="exact"/>
        <w:ind w:firstLine="640" w:firstLineChars="200"/>
        <w:jc w:val="left"/>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每年春节前将劳模慰问金及时发放到每个劳模手中，把党和政府对他们的关怀和关心及时送到劳模心中，充分调动劳模和先进工作者的积极性和创造性；发挥劳动模范和先进工作者的模范带头作用；在全社会营造崇尚劳模、争当劳模的良好氛围。</w:t>
      </w:r>
    </w:p>
    <w:p>
      <w:pPr>
        <w:widowControl/>
        <w:spacing w:line="560" w:lineRule="exact"/>
        <w:ind w:firstLine="640" w:firstLineChars="200"/>
        <w:jc w:val="left"/>
        <w:rPr>
          <w:rFonts w:hint="eastAsia" w:ascii="黑体" w:hAnsi="黑体" w:eastAsia="黑体" w:cs="黑体"/>
          <w:sz w:val="32"/>
          <w:szCs w:val="22"/>
        </w:rPr>
      </w:pPr>
      <w:r>
        <w:rPr>
          <w:rFonts w:hint="eastAsia" w:ascii="黑体" w:hAnsi="黑体" w:eastAsia="黑体" w:cs="黑体"/>
          <w:sz w:val="32"/>
          <w:szCs w:val="22"/>
        </w:rPr>
        <w:t>八、关于昌吉州总工会2019年一般公共预算“三公”经费预算情况说明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昌吉州总工会2019年“三公”经费财政拨款预算数为    3.66万元，其中：因公出国（境）费 0 万元，公务用车购置 0 万元，公务用车运行费 3.36 万元，公务接待费  0.3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  0.03 万元，其中：因公出国（境）费增加 0 万元，主要原因是未安排预算 ；公务用车购置费为0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，未安排预算；公务用车运行费减少0.03万元，主要原因是 预算压减车辆运行支出 ；公务接待费增加0万元，主要原因是2019年继续控制压减公务接待开支 。</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九、关于昌吉州总工会2019年政府性基金预算拨款情况说明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昌吉州总工会2019年没有使用政府性基金预算拨款安排的支出，政府性基金预算支出情况表为空表。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2019年，昌吉州总工会本级机关运行经费财政拨款预算     33.10万元，比上年预算增加 1.21万元，增长3.79 %。主要原因是调出1名科级干部，调入1名县级领导，人员公用经费相应增加。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2019年，昌吉州总工会政府采购预算  0 万元，其中：政府采购货物预算  0   万元，政府采购工程预算     0万元，政府采购服务预算  0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  0 万元，其中：面向小微企业预留政府采购项目预算金额  0  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截至2018年底，昌吉州总工会占用使用国有资产总体情况为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0  平方米，价值 0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   0 辆，价值 0  万元；其中：一般公务用车  辆，价值0   万元；执法执勤用车 0  辆，价值 0  万元；其他车辆  0辆，价值 0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  0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 0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0 台（套），单位价值100万元以上大型设备0  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  万元），安排购置50万元以上大型设备 0 台（套），单位价值100万元以上大型设备  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  2 个，涉及预算金额  63   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sectPr>
          <w:pgSz w:w="11906" w:h="16838"/>
          <w:pgMar w:top="1440" w:right="1800" w:bottom="1440" w:left="1800" w:header="851" w:footer="992" w:gutter="0"/>
          <w:cols w:space="425" w:num="1"/>
          <w:docGrid w:type="lines" w:linePitch="312" w:charSpace="0"/>
        </w:sectPr>
      </w:pPr>
    </w:p>
    <w:tbl>
      <w:tblPr>
        <w:tblStyle w:val="5"/>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昌吉州总工会</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州级劳模慰问及奖励金</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70.1</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60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10.1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Cs w:val="21"/>
              </w:rPr>
            </w:pPr>
            <w:r>
              <w:rPr>
                <w:rFonts w:hint="eastAsia" w:ascii="宋体" w:hAnsi="宋体" w:cs="宋体"/>
                <w:kern w:val="0"/>
                <w:sz w:val="18"/>
                <w:szCs w:val="18"/>
              </w:rPr>
              <w:t>　</w:t>
            </w:r>
            <w:r>
              <w:rPr>
                <w:rFonts w:hint="eastAsia" w:ascii="仿宋_GB2312" w:hAnsi="宋体" w:eastAsia="仿宋_GB2312" w:cs="宋体"/>
                <w:kern w:val="0"/>
                <w:szCs w:val="21"/>
              </w:rPr>
              <w:t>每年春节前将劳模慰问金及时发放到每个劳模手中，把党和政府对他们的关怀和关心及时送到劳模心中，充分调动劳模和先进工作者的积极性和创造性；发挥劳动模范和先进工作者的模范带头作用；在全社会营造崇尚劳模、争当劳模的良好氛围</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补助人数701人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全州现有自治州劳动模范（先进工作者）、开发建设新疆奖章获得者共701人。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表彰2019年五一劳动奖章获得者100名　，人均奖励1000元</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人均奖励1000元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补助金发放率100%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通过银行卡形式发放和对年老体弱、身患重病、行动不便劳模采取现金形式入户慰问发放，发放率100%。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按时发放奖励金及慰问金</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截止2019年12月20日前完成发放工作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补助覆盖率95%</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因部分劳模长期在疆外或平凡更换联系方式，致使失联，补助覆盖率95%。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对自治州劳动模范（先进工作者）每人补助1000元。</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通过对劳模物质待遇补助，让劳模感受到党和政府的关怀与温暖，在全社会营造争当劳模、尊重劳模的良好氛围。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受益劳模满意度95%以上</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通过问卷调查形式，全州劳模满意和较满意的受益劳模占全部调查的95%。　</w:t>
            </w:r>
          </w:p>
        </w:tc>
      </w:tr>
    </w:tbl>
    <w:p>
      <w:pPr>
        <w:widowControl/>
        <w:spacing w:line="560" w:lineRule="exact"/>
        <w:ind w:firstLine="411" w:firstLineChars="196"/>
        <w:jc w:val="left"/>
      </w:pPr>
    </w:p>
    <w:tbl>
      <w:tblPr>
        <w:tblStyle w:val="5"/>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昌吉州总工会</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物价监督经费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新增执法（检测）设备数量</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新增的用于执法（检测）仪器设备数量1台</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实验室和检验机构资质认定数量(个)</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实验室和检验机构资质认定的数量1个</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抽查成果报告数100份</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形成的抽查成果报告100份</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全年开展业务检查1次</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对企业开展综合业务工作检查1次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抽查企业100家次</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检查企业工资集体协商工作是否依法合规</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检查单位覆盖率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抽查对象的数量占全部对象的70%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重大事故发生0次</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企业质量安全、食品安全、药品安全等重大事故发生0次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411" w:firstLineChars="196"/>
        <w:jc w:val="left"/>
      </w:pPr>
    </w:p>
    <w:p>
      <w:pPr>
        <w:widowControl/>
        <w:spacing w:line="560" w:lineRule="exact"/>
        <w:ind w:firstLine="411" w:firstLineChars="196"/>
        <w:jc w:val="left"/>
      </w:pPr>
    </w:p>
    <w:p>
      <w:pPr>
        <w:widowControl/>
        <w:spacing w:line="560" w:lineRule="exact"/>
        <w:ind w:firstLine="411" w:firstLineChars="196"/>
        <w:jc w:val="left"/>
      </w:pPr>
    </w:p>
    <w:p>
      <w:pPr>
        <w:widowControl/>
        <w:spacing w:line="560" w:lineRule="exact"/>
        <w:ind w:firstLine="411" w:firstLineChars="196"/>
        <w:jc w:val="left"/>
      </w:pPr>
    </w:p>
    <w:p>
      <w:pPr>
        <w:widowControl/>
        <w:spacing w:line="560" w:lineRule="exact"/>
        <w:ind w:firstLine="411" w:firstLineChars="196"/>
        <w:jc w:val="left"/>
      </w:pPr>
    </w:p>
    <w:p>
      <w:pPr>
        <w:widowControl/>
        <w:spacing w:line="560" w:lineRule="exact"/>
        <w:ind w:firstLine="411" w:firstLineChars="196"/>
        <w:jc w:val="left"/>
      </w:pPr>
    </w:p>
    <w:p>
      <w:pPr>
        <w:widowControl/>
        <w:spacing w:line="560" w:lineRule="exact"/>
        <w:jc w:val="left"/>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pPr>
        <w:widowControl/>
        <w:spacing w:line="560" w:lineRule="exact"/>
        <w:jc w:val="left"/>
        <w:rPr>
          <w:rFonts w:ascii="仿宋_GB2312" w:hAnsi="宋体" w:eastAsia="仿宋_GB2312" w:cs="宋体"/>
          <w:kern w:val="0"/>
          <w:sz w:val="32"/>
          <w:szCs w:val="32"/>
        </w:r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昌吉州总工会</w:t>
      </w:r>
    </w:p>
    <w:p>
      <w:pPr>
        <w:widowControl/>
        <w:spacing w:line="560" w:lineRule="exact"/>
        <w:ind w:firstLine="4000" w:firstLineChars="12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14</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1E5F72D"/>
    <w:multiLevelType w:val="singleLevel"/>
    <w:tmpl w:val="F1E5F72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5C20"/>
    <w:rsid w:val="0000357B"/>
    <w:rsid w:val="00053D7C"/>
    <w:rsid w:val="000F741D"/>
    <w:rsid w:val="00115CF9"/>
    <w:rsid w:val="001B25F2"/>
    <w:rsid w:val="001B5E7C"/>
    <w:rsid w:val="001E278D"/>
    <w:rsid w:val="002948A9"/>
    <w:rsid w:val="002B1AF8"/>
    <w:rsid w:val="00321F20"/>
    <w:rsid w:val="003C0485"/>
    <w:rsid w:val="003D5606"/>
    <w:rsid w:val="0051443B"/>
    <w:rsid w:val="0053646F"/>
    <w:rsid w:val="005B43E5"/>
    <w:rsid w:val="005D3E4F"/>
    <w:rsid w:val="00635ADC"/>
    <w:rsid w:val="006847DB"/>
    <w:rsid w:val="006B4FC6"/>
    <w:rsid w:val="007B6803"/>
    <w:rsid w:val="00823646"/>
    <w:rsid w:val="008D220A"/>
    <w:rsid w:val="008E314C"/>
    <w:rsid w:val="00910F37"/>
    <w:rsid w:val="009A6E99"/>
    <w:rsid w:val="00A35617"/>
    <w:rsid w:val="00A54132"/>
    <w:rsid w:val="00AA5C20"/>
    <w:rsid w:val="00AC00E9"/>
    <w:rsid w:val="00AD2007"/>
    <w:rsid w:val="00B720A5"/>
    <w:rsid w:val="00B80A41"/>
    <w:rsid w:val="00BD7A35"/>
    <w:rsid w:val="00D00233"/>
    <w:rsid w:val="00D217AB"/>
    <w:rsid w:val="00D4114A"/>
    <w:rsid w:val="00D463D8"/>
    <w:rsid w:val="00D8769D"/>
    <w:rsid w:val="00DD5853"/>
    <w:rsid w:val="00EB2AF8"/>
    <w:rsid w:val="00F514CA"/>
    <w:rsid w:val="0A4F5F05"/>
    <w:rsid w:val="0BAD489A"/>
    <w:rsid w:val="20E02272"/>
    <w:rsid w:val="28FD42DC"/>
    <w:rsid w:val="3A0B6596"/>
    <w:rsid w:val="587C3CF7"/>
    <w:rsid w:val="5E312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rFonts w:eastAsia="黑体"/>
      <w:snapToGrid w:val="0"/>
      <w:kern w:val="0"/>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rFonts w:cs="Times New Roman"/>
      <w:b/>
      <w:bCs/>
    </w:rPr>
  </w:style>
  <w:style w:type="character" w:customStyle="1" w:styleId="8">
    <w:name w:val="批注框文本 字符"/>
    <w:link w:val="2"/>
    <w:semiHidden/>
    <w:qFormat/>
    <w:uiPriority w:val="0"/>
    <w:rPr>
      <w:rFonts w:ascii="Times New Roman" w:hAnsi="Times New Roman" w:eastAsia="宋体" w:cs="Times New Roman"/>
      <w:sz w:val="18"/>
      <w:szCs w:val="18"/>
    </w:rPr>
  </w:style>
  <w:style w:type="character" w:customStyle="1" w:styleId="9">
    <w:name w:val="页脚 字符"/>
    <w:link w:val="3"/>
    <w:semiHidden/>
    <w:qFormat/>
    <w:uiPriority w:val="0"/>
    <w:rPr>
      <w:rFonts w:ascii="Times New Roman" w:hAnsi="Times New Roman" w:eastAsia="黑体" w:cs="Times New Roman"/>
      <w:snapToGrid w:val="0"/>
      <w:kern w:val="0"/>
      <w:sz w:val="18"/>
      <w:szCs w:val="18"/>
    </w:rPr>
  </w:style>
  <w:style w:type="character" w:customStyle="1" w:styleId="10">
    <w:name w:val="页眉 字符"/>
    <w:link w:val="4"/>
    <w:semiHidden/>
    <w:qFormat/>
    <w:uiPriority w:val="0"/>
    <w:rPr>
      <w:rFonts w:ascii="Times New Roman" w:hAnsi="Times New Roman" w:eastAsia="宋体" w:cs="Times New Roman"/>
      <w:sz w:val="18"/>
      <w:szCs w:val="18"/>
    </w:rPr>
  </w:style>
  <w:style w:type="character" w:customStyle="1" w:styleId="11">
    <w:name w:val="正文文本缩进 3 Char"/>
    <w:link w:val="12"/>
    <w:semiHidden/>
    <w:qFormat/>
    <w:uiPriority w:val="0"/>
    <w:rPr>
      <w:rFonts w:ascii="Times New Roman" w:hAnsi="Times New Roman" w:eastAsia="仿宋_GB2312" w:cs="Times New Roman"/>
      <w:sz w:val="32"/>
      <w:szCs w:val="24"/>
    </w:rPr>
  </w:style>
  <w:style w:type="paragraph" w:customStyle="1" w:styleId="12">
    <w:name w:val="正文文本缩进 31"/>
    <w:basedOn w:val="1"/>
    <w:link w:val="11"/>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普通(网站)1"/>
    <w:basedOn w:val="1"/>
    <w:qFormat/>
    <w:uiPriority w:val="0"/>
    <w:rPr>
      <w:rFonts w:ascii="Calibri" w:hAnsi="Calibri" w:cs="黑体"/>
      <w:sz w:val="24"/>
    </w:rPr>
  </w:style>
  <w:style w:type="paragraph" w:customStyle="1" w:styleId="1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普通(网站)21"/>
    <w:basedOn w:val="1"/>
    <w:qFormat/>
    <w:uiPriority w:val="0"/>
    <w:rPr>
      <w:rFonts w:ascii="Calibri" w:hAnsi="Calibri" w:cs="黑体"/>
      <w:sz w:val="24"/>
    </w:rPr>
  </w:style>
  <w:style w:type="paragraph" w:customStyle="1" w:styleId="18">
    <w:name w:val="普通(网站)3"/>
    <w:basedOn w:val="1"/>
    <w:qFormat/>
    <w:uiPriority w:val="0"/>
    <w:rPr>
      <w:rFonts w:ascii="Calibri" w:hAnsi="Calibri" w:cs="黑体"/>
      <w:sz w:val="24"/>
    </w:rPr>
  </w:style>
  <w:style w:type="character" w:customStyle="1" w:styleId="19">
    <w:name w:val="页码1"/>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1694</Words>
  <Characters>9662</Characters>
  <Lines>80</Lines>
  <Paragraphs>22</Paragraphs>
  <TotalTime>38</TotalTime>
  <ScaleCrop>false</ScaleCrop>
  <LinksUpToDate>false</LinksUpToDate>
  <CharactersWithSpaces>11334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2019-01-15T18:37:00Z</dcterms:created>
  <dc:creator>王怡</dc:creator>
  <cp:lastModifiedBy>Lenovo</cp:lastModifiedBy>
  <dcterms:modified xsi:type="dcterms:W3CDTF">2021-05-27T10:16:44Z</dcterms:modified>
  <dc:title>王怡</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