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昌吉州公路工程质量监督管理总站</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目录</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hint="eastAsia" w:ascii="宋体" w:hAnsi="宋体" w:cs="宋体"/>
          <w:b/>
          <w:bCs/>
          <w:sz w:val="30"/>
          <w:szCs w:val="30"/>
        </w:rPr>
        <w:t>昌吉州公路工程质量监督管理总站</w:t>
      </w:r>
      <w:r>
        <w:rPr>
          <w:rFonts w:hint="eastAsia" w:ascii="仿宋_GB2312" w:hAnsi="宋体" w:eastAsia="仿宋_GB2312"/>
          <w:b/>
          <w:kern w:val="0"/>
          <w:sz w:val="32"/>
          <w:szCs w:val="32"/>
        </w:rPr>
        <w:t>部门单位概况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第二部分2020年部门预算公开表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第三部分2020年部门预算情况说明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一、关于昌吉州公路工程质量监督管理总站部门2020年收支预算情况的总体说明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二、关于昌吉州公路工程质量监督管理总站部门2020年收入预算情况说明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三、关于昌吉州公路工程质量监督管理总站部门2020年支出预算情况说明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四、关于昌吉州公路工程质量监督管理总站部门2020年财政拨款收支预算情况的总体说明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五、关于昌吉州公路工程质量监督管理总站部门2020年一般公共预算当年拨款情况说明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六、关于昌吉州公路工程质量监督管理总站部门2020年一般公共预算基本支出情况说明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七、关于昌吉州公路工程质量监督管理总站部门2020年项目支出情况说明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八、关于昌吉州公路工程质量监督管理总站部门2020年一般公共预算“三公”经费预算情况说明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九、关于昌吉州公路工程质量监督管理总站部门2020年政府性基金预算拨款情况说明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第四部分名词解释</w:t>
      </w:r>
    </w:p>
    <w:p>
      <w:pPr>
        <w:rPr>
          <w:rFonts w:ascii="黑体" w:hAnsi="黑体" w:eastAsia="黑体"/>
          <w:kern w:val="0"/>
          <w:sz w:val="32"/>
          <w:szCs w:val="32"/>
        </w:rPr>
      </w:pPr>
      <w:r>
        <w:rPr>
          <w:rFonts w:hint="eastAsia" w:ascii="黑体" w:hAnsi="黑体" w:eastAsia="黑体"/>
          <w:kern w:val="0"/>
          <w:sz w:val="32"/>
          <w:szCs w:val="32"/>
        </w:rPr>
        <w:br w:type="page"/>
      </w:r>
    </w:p>
    <w:p>
      <w:pPr>
        <w:widowControl/>
        <w:jc w:val="center"/>
        <w:outlineLvl w:val="1"/>
        <w:rPr>
          <w:rFonts w:ascii="黑体" w:hAnsi="黑体" w:eastAsia="黑体" w:cs="黑体"/>
          <w:kern w:val="0"/>
          <w:sz w:val="32"/>
          <w:szCs w:val="32"/>
        </w:rPr>
      </w:pPr>
      <w:r>
        <w:rPr>
          <w:rFonts w:hint="eastAsia" w:ascii="黑体" w:hAnsi="黑体" w:eastAsia="黑体" w:cs="黑体"/>
          <w:kern w:val="0"/>
          <w:sz w:val="32"/>
          <w:szCs w:val="32"/>
        </w:rPr>
        <w:t xml:space="preserve">第一部分 </w:t>
      </w:r>
      <w:r>
        <w:rPr>
          <w:rFonts w:hint="eastAsia" w:ascii="黑体" w:hAnsi="黑体" w:eastAsia="黑体" w:cs="黑体"/>
          <w:sz w:val="32"/>
          <w:szCs w:val="32"/>
        </w:rPr>
        <w:t>昌吉州公路工程质量监督管理总站</w:t>
      </w:r>
      <w:r>
        <w:rPr>
          <w:rFonts w:hint="eastAsia" w:ascii="黑体" w:hAnsi="黑体" w:eastAsia="黑体" w:cs="黑体"/>
          <w:kern w:val="0"/>
          <w:sz w:val="32"/>
          <w:szCs w:val="32"/>
        </w:rPr>
        <w:t>部门单位概况</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hint="eastAsia" w:ascii="黑体" w:hAnsi="黑体" w:eastAsia="黑体" w:cs="宋体"/>
          <w:bCs/>
          <w:kern w:val="0"/>
          <w:sz w:val="32"/>
          <w:szCs w:val="32"/>
        </w:rPr>
        <w:t>一、主要职能</w:t>
      </w:r>
    </w:p>
    <w:p>
      <w:pPr>
        <w:widowControl/>
        <w:spacing w:line="560" w:lineRule="exact"/>
        <w:ind w:firstLine="320" w:firstLineChars="100"/>
        <w:outlineLvl w:val="1"/>
        <w:rPr>
          <w:rFonts w:ascii="宋体" w:hAnsi="宋体" w:cs="宋体"/>
          <w:sz w:val="32"/>
          <w:szCs w:val="32"/>
        </w:rPr>
      </w:pPr>
      <w:r>
        <w:rPr>
          <w:rFonts w:hint="eastAsia" w:ascii="仿宋_GB2312" w:hAnsi="宋体" w:eastAsia="仿宋_GB2312" w:cs="宋体"/>
          <w:kern w:val="0"/>
          <w:sz w:val="32"/>
          <w:szCs w:val="32"/>
        </w:rPr>
        <w:t>按照有关规定，接受授权或委托负责拟定昌吉州农村公路工程质量监督实施细则及各项规章制度；开展工程质量检查，定期发布质量动态；具体指导全州公路建设的质量监督和施工监理工作；组织开展工程交工前的质量检测，参加工程竣工验收等。</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hint="eastAsia" w:ascii="黑体" w:hAnsi="黑体" w:eastAsia="黑体" w:cs="宋体"/>
          <w:bCs/>
          <w:kern w:val="0"/>
          <w:sz w:val="32"/>
          <w:szCs w:val="32"/>
        </w:rPr>
        <w:t>二、机构设置及人员情况</w:t>
      </w:r>
    </w:p>
    <w:p>
      <w:pPr>
        <w:widowControl/>
        <w:spacing w:line="560" w:lineRule="exact"/>
        <w:ind w:firstLine="640" w:firstLineChars="200"/>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昌吉州公路工程质量监督管理总站单位无下属预算单位，下设0个科室。</w:t>
      </w:r>
    </w:p>
    <w:p>
      <w:pPr>
        <w:widowControl/>
        <w:spacing w:line="560" w:lineRule="exact"/>
        <w:ind w:firstLine="640" w:firstLineChars="200"/>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昌吉州公路工程质量监督管理总站单位编制数12人，实有人数11人，其中：在职10人，增加或减少0人；退休1人，增加或减少0人；离休0人，增加或减少0人。</w:t>
      </w:r>
    </w:p>
    <w:p>
      <w:pPr>
        <w:rPr>
          <w:rFonts w:ascii="黑体" w:hAnsi="黑体" w:eastAsia="黑体"/>
          <w:kern w:val="0"/>
          <w:sz w:val="32"/>
          <w:szCs w:val="32"/>
        </w:rPr>
      </w:pPr>
      <w:r>
        <w:rPr>
          <w:rFonts w:hint="eastAsia" w:ascii="黑体" w:hAnsi="黑体" w:eastAsia="黑体"/>
          <w:kern w:val="0"/>
          <w:sz w:val="32"/>
          <w:szCs w:val="32"/>
        </w:rPr>
        <w:br w:type="page"/>
      </w: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jc w:val="center"/>
        <w:outlineLvl w:val="1"/>
        <w:rPr>
          <w:rFonts w:ascii="仿宋_GB2312" w:hAnsi="宋体" w:eastAsia="仿宋_GB2312"/>
          <w:b/>
          <w:kern w:val="0"/>
          <w:sz w:val="32"/>
          <w:szCs w:val="32"/>
        </w:rPr>
      </w:pPr>
    </w:p>
    <w:p>
      <w:pPr>
        <w:widowControl/>
        <w:outlineLvl w:val="1"/>
        <w:rPr>
          <w:rFonts w:ascii="仿宋_GB2312" w:hAnsi="宋体" w:eastAsia="仿宋_GB2312"/>
          <w:kern w:val="0"/>
          <w:sz w:val="24"/>
        </w:rPr>
      </w:pPr>
      <w:r>
        <w:rPr>
          <w:rFonts w:hint="eastAsia" w:ascii="仿宋_GB2312" w:hAnsi="宋体" w:eastAsia="仿宋_GB2312"/>
          <w:kern w:val="0"/>
          <w:sz w:val="24"/>
        </w:rPr>
        <w:t xml:space="preserve">编制部门：昌吉回族自治州公路工程质量监督管理总站  </w:t>
      </w:r>
      <w:r>
        <w:rPr>
          <w:rFonts w:hint="eastAsia" w:ascii="宋体" w:hAnsi="宋体" w:cs="宋体"/>
          <w:b/>
          <w:bCs/>
          <w:sz w:val="18"/>
          <w:szCs w:val="18"/>
        </w:rPr>
        <w:t xml:space="preserve">                </w:t>
      </w:r>
      <w:r>
        <w:rPr>
          <w:rFonts w:hint="eastAsia" w:ascii="仿宋_GB2312" w:hAnsi="宋体" w:eastAsia="仿宋_GB2312"/>
          <w:kern w:val="0"/>
          <w:sz w:val="24"/>
        </w:rPr>
        <w:t>单位：万元</w:t>
      </w:r>
    </w:p>
    <w:tbl>
      <w:tblPr>
        <w:tblStyle w:val="8"/>
        <w:tblW w:w="8680" w:type="dxa"/>
        <w:tblInd w:w="93" w:type="dxa"/>
        <w:tblLayout w:type="fixed"/>
        <w:tblCellMar>
          <w:top w:w="0" w:type="dxa"/>
          <w:left w:w="108" w:type="dxa"/>
          <w:bottom w:w="0" w:type="dxa"/>
          <w:right w:w="108" w:type="dxa"/>
        </w:tblCellMar>
      </w:tblPr>
      <w:tblGrid>
        <w:gridCol w:w="2285"/>
        <w:gridCol w:w="1992"/>
        <w:gridCol w:w="2698"/>
        <w:gridCol w:w="1705"/>
      </w:tblGrid>
      <w:tr>
        <w:tblPrEx>
          <w:tblCellMar>
            <w:top w:w="0" w:type="dxa"/>
            <w:left w:w="108" w:type="dxa"/>
            <w:bottom w:w="0" w:type="dxa"/>
            <w:right w:w="108" w:type="dxa"/>
          </w:tblCellMar>
        </w:tblPrEx>
        <w:trPr>
          <w:trHeight w:val="365" w:hRule="atLeast"/>
        </w:trPr>
        <w:tc>
          <w:tcPr>
            <w:tcW w:w="4277"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收入</w:t>
            </w:r>
          </w:p>
        </w:tc>
        <w:tc>
          <w:tcPr>
            <w:tcW w:w="4403"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支出</w:t>
            </w: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项目</w:t>
            </w:r>
          </w:p>
        </w:tc>
        <w:tc>
          <w:tcPr>
            <w:tcW w:w="1992"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5"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92"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123.8</w:t>
            </w: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201一般公共服务支出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一般公共预算</w:t>
            </w:r>
          </w:p>
        </w:tc>
        <w:tc>
          <w:tcPr>
            <w:tcW w:w="1992"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123.8</w:t>
            </w: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202外交支出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政府性基金预算</w:t>
            </w:r>
          </w:p>
        </w:tc>
        <w:tc>
          <w:tcPr>
            <w:tcW w:w="1992"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203国防支出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92"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204公共安全支出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92"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205教育支出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92"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206科学技术支出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92"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207文化旅游体育与传媒支出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92"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208社会保障和就业支出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211节能环保支出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212城乡社区支出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213农林水支出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214交通运输支出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123.8</w:t>
            </w: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215资源勘探工业信息等支出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216商业服务业等支出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217金融支出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219援助其他地区支出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220自然资源海洋气象等支出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221住房保障支出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222粮油物资储备支出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227预备费</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229其他支出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231债务还本支出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232债务付息支出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92"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233债务发行费用支出</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08" w:hRule="exact"/>
        </w:trPr>
        <w:tc>
          <w:tcPr>
            <w:tcW w:w="2285"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小计</w:t>
            </w:r>
          </w:p>
        </w:tc>
        <w:tc>
          <w:tcPr>
            <w:tcW w:w="1992"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123.8</w:t>
            </w:r>
          </w:p>
        </w:tc>
        <w:tc>
          <w:tcPr>
            <w:tcW w:w="2698"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p>
        </w:tc>
        <w:tc>
          <w:tcPr>
            <w:tcW w:w="1705"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123.8</w:t>
            </w:r>
          </w:p>
        </w:tc>
      </w:tr>
      <w:tr>
        <w:tblPrEx>
          <w:tblCellMar>
            <w:top w:w="0" w:type="dxa"/>
            <w:left w:w="108" w:type="dxa"/>
            <w:bottom w:w="0" w:type="dxa"/>
            <w:right w:w="108" w:type="dxa"/>
          </w:tblCellMar>
        </w:tblPrEx>
        <w:trPr>
          <w:trHeight w:val="601" w:hRule="atLeast"/>
        </w:trPr>
        <w:tc>
          <w:tcPr>
            <w:tcW w:w="2285"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92"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8"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79" w:hRule="atLeast"/>
        </w:trPr>
        <w:tc>
          <w:tcPr>
            <w:tcW w:w="2285"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收入总计</w:t>
            </w:r>
          </w:p>
        </w:tc>
        <w:tc>
          <w:tcPr>
            <w:tcW w:w="1992"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123.8</w:t>
            </w:r>
          </w:p>
        </w:tc>
        <w:tc>
          <w:tcPr>
            <w:tcW w:w="2698"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支出合计</w:t>
            </w:r>
          </w:p>
        </w:tc>
        <w:tc>
          <w:tcPr>
            <w:tcW w:w="1705"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ind w:firstLine="360" w:firstLineChars="200"/>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123.8</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填报部门：昌吉回族自治州公路工程质量监督管理总站      单位：万元</w:t>
      </w:r>
    </w:p>
    <w:tbl>
      <w:tblPr>
        <w:tblStyle w:val="8"/>
        <w:tblW w:w="9654" w:type="dxa"/>
        <w:tblInd w:w="-450" w:type="dxa"/>
        <w:tblLayout w:type="fixed"/>
        <w:tblCellMar>
          <w:top w:w="0" w:type="dxa"/>
          <w:left w:w="108" w:type="dxa"/>
          <w:bottom w:w="0" w:type="dxa"/>
          <w:right w:w="108" w:type="dxa"/>
        </w:tblCellMar>
      </w:tblPr>
      <w:tblGrid>
        <w:gridCol w:w="417"/>
        <w:gridCol w:w="417"/>
        <w:gridCol w:w="417"/>
        <w:gridCol w:w="2145"/>
        <w:gridCol w:w="820"/>
        <w:gridCol w:w="680"/>
        <w:gridCol w:w="680"/>
        <w:gridCol w:w="680"/>
        <w:gridCol w:w="680"/>
        <w:gridCol w:w="680"/>
        <w:gridCol w:w="680"/>
        <w:gridCol w:w="680"/>
        <w:gridCol w:w="678"/>
      </w:tblGrid>
      <w:tr>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总计</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81"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214</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公路运输管理</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123.8</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123.8</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123.8</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123.8</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编制部门：昌吉回族自治州公路工程质量监督管理总站            单位：万元</w:t>
      </w:r>
    </w:p>
    <w:tbl>
      <w:tblPr>
        <w:tblStyle w:val="8"/>
        <w:tblW w:w="9420" w:type="dxa"/>
        <w:tblInd w:w="-240" w:type="dxa"/>
        <w:tblLayout w:type="fixed"/>
        <w:tblCellMar>
          <w:top w:w="0" w:type="dxa"/>
          <w:left w:w="108" w:type="dxa"/>
          <w:bottom w:w="0" w:type="dxa"/>
          <w:right w:w="108" w:type="dxa"/>
        </w:tblCellMar>
      </w:tblPr>
      <w:tblGrid>
        <w:gridCol w:w="499"/>
        <w:gridCol w:w="437"/>
        <w:gridCol w:w="436"/>
        <w:gridCol w:w="2433"/>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3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3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214</w:t>
            </w: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公路运输管理</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123.8</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123.8</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3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123.8</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123.8</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w:t>
      </w:r>
      <w:r>
        <w:rPr>
          <w:rFonts w:hint="eastAsia" w:ascii="宋体" w:hAnsi="宋体" w:cs="宋体"/>
          <w:b/>
          <w:bCs/>
          <w:sz w:val="18"/>
          <w:szCs w:val="18"/>
        </w:rPr>
        <w:t>吉回族自治州公路工程质量监督管理总站</w:t>
      </w:r>
      <w:r>
        <w:rPr>
          <w:rFonts w:hint="eastAsia" w:ascii="仿宋_GB2312" w:hAnsi="宋体" w:eastAsia="仿宋_GB2312"/>
          <w:kern w:val="0"/>
          <w:sz w:val="28"/>
          <w:szCs w:val="28"/>
        </w:rPr>
        <w:t>单位：万元</w:t>
      </w:r>
    </w:p>
    <w:tbl>
      <w:tblPr>
        <w:tblStyle w:val="8"/>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123.8</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123.8</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123.8</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123.8</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227预备费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收入总计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18"/>
                <w:szCs w:val="18"/>
              </w:rPr>
              <w:t>123.8</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支出总计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123.8</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123.8</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vAlign w:val="center"/>
          </w:tcPr>
          <w:p>
            <w:pPr>
              <w:widowControl/>
              <w:jc w:val="left"/>
              <w:rPr>
                <w:rFonts w:ascii="仿宋_GB2312" w:hAnsi="宋体"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w:t>
            </w:r>
            <w:r>
              <w:rPr>
                <w:rFonts w:hint="eastAsia" w:ascii="仿宋_GB2312" w:hAnsi="宋体" w:eastAsia="仿宋_GB2312" w:cs="宋体"/>
                <w:color w:val="000000"/>
                <w:kern w:val="0"/>
                <w:sz w:val="24"/>
              </w:rPr>
              <w:t>吉回族自治州公路工程质量监督管理总站</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214</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12</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公路运输管理</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123.8</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123.8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48"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123.8</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rPr>
          <w:rFonts w:ascii="仿宋_GB2312" w:hAnsi="宋体" w:eastAsia="仿宋_GB2312"/>
          <w:b/>
          <w:kern w:val="0"/>
          <w:sz w:val="32"/>
          <w:szCs w:val="32"/>
        </w:rPr>
      </w:pPr>
      <w:r>
        <w:rPr>
          <w:rFonts w:hint="eastAsia" w:ascii="仿宋_GB2312" w:hAnsi="宋体" w:eastAsia="仿宋_GB2312"/>
          <w:b/>
          <w:kern w:val="0"/>
          <w:sz w:val="32"/>
          <w:szCs w:val="32"/>
        </w:rPr>
        <w:br w:type="page"/>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8"/>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shd w:val="clear" w:color="auto" w:fill="auto"/>
            <w:vAlign w:val="center"/>
          </w:tcPr>
          <w:p>
            <w:pPr>
              <w:widowControl/>
              <w:jc w:val="left"/>
              <w:rPr>
                <w:rFonts w:ascii="仿宋_GB2312" w:hAnsi="宋体"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w:t>
            </w:r>
            <w:r>
              <w:rPr>
                <w:rFonts w:hint="eastAsia" w:ascii="仿宋_GB2312" w:hAnsi="宋体" w:eastAsia="仿宋_GB2312" w:cs="宋体"/>
                <w:color w:val="000000"/>
                <w:kern w:val="0"/>
                <w:sz w:val="24"/>
              </w:rPr>
              <w:t>吉回族自治州公路工程质量监督管理总站</w:t>
            </w:r>
          </w:p>
        </w:tc>
        <w:tc>
          <w:tcPr>
            <w:tcW w:w="995"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42.33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42.33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12.6</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绩效工资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25.27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25.27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11.27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11.27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 w:hAnsi="仿宋" w:eastAsia="仿宋" w:cs="仿宋"/>
                <w:color w:val="000000"/>
                <w:szCs w:val="21"/>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shd w:val="clear" w:color="auto" w:fill="auto"/>
            <w:vAlign w:val="center"/>
          </w:tcPr>
          <w:p>
            <w:pPr>
              <w:autoSpaceDN w:val="0"/>
              <w:jc w:val="center"/>
              <w:textAlignment w:val="center"/>
              <w:rPr>
                <w:rFonts w:ascii="仿宋_GB2312" w:hAnsi="宋体" w:eastAsia="仿宋_GB2312" w:cs="宋体"/>
                <w:color w:val="000000"/>
                <w:kern w:val="0"/>
                <w:szCs w:val="21"/>
              </w:rPr>
            </w:pPr>
            <w:r>
              <w:rPr>
                <w:rFonts w:hint="eastAsia" w:ascii="仿宋" w:hAnsi="仿宋" w:eastAsia="仿宋" w:cs="仿宋"/>
                <w:color w:val="000000"/>
                <w:szCs w:val="21"/>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8.46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8.46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autoSpaceDN w:val="0"/>
              <w:jc w:val="center"/>
              <w:textAlignment w:val="center"/>
              <w:rPr>
                <w:rFonts w:ascii="仿宋_GB2312" w:hAnsi="宋体" w:eastAsia="仿宋_GB2312" w:cs="宋体"/>
                <w:color w:val="000000"/>
                <w:kern w:val="0"/>
                <w:szCs w:val="21"/>
              </w:rPr>
            </w:pPr>
            <w:r>
              <w:rPr>
                <w:rFonts w:hint="eastAsia" w:ascii="仿宋" w:hAnsi="仿宋" w:eastAsia="仿宋" w:cs="仿宋"/>
                <w:color w:val="000000"/>
                <w:szCs w:val="21"/>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shd w:val="clear" w:color="auto" w:fill="auto"/>
            <w:vAlign w:val="center"/>
          </w:tcPr>
          <w:p>
            <w:pPr>
              <w:autoSpaceDN w:val="0"/>
              <w:jc w:val="center"/>
              <w:textAlignment w:val="center"/>
              <w:rPr>
                <w:rFonts w:ascii="仿宋_GB2312" w:hAnsi="宋体" w:eastAsia="仿宋_GB2312" w:cs="宋体"/>
                <w:color w:val="000000"/>
                <w:kern w:val="0"/>
                <w:szCs w:val="21"/>
              </w:rPr>
            </w:pPr>
            <w:r>
              <w:rPr>
                <w:rFonts w:hint="eastAsia" w:ascii="仿宋" w:hAnsi="仿宋" w:eastAsia="仿宋" w:cs="仿宋"/>
                <w:color w:val="000000"/>
                <w:szCs w:val="21"/>
              </w:rPr>
              <w:t>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pPr>
              <w:autoSpaceDN w:val="0"/>
              <w:jc w:val="center"/>
              <w:textAlignment w:val="center"/>
              <w:rPr>
                <w:rFonts w:ascii="仿宋_GB2312" w:hAnsi="宋体" w:eastAsia="仿宋_GB2312" w:cs="宋体"/>
                <w:color w:val="000000"/>
                <w:kern w:val="0"/>
                <w:szCs w:val="21"/>
              </w:rPr>
            </w:pPr>
            <w:r>
              <w:rPr>
                <w:rFonts w:hint="eastAsia" w:ascii="仿宋" w:hAnsi="仿宋" w:eastAsia="仿宋" w:cs="仿宋"/>
                <w:color w:val="000000"/>
                <w:szCs w:val="21"/>
              </w:rPr>
              <w:t>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autoSpaceDN w:val="0"/>
              <w:jc w:val="center"/>
              <w:textAlignment w:val="center"/>
              <w:rPr>
                <w:rFonts w:ascii="仿宋_GB2312" w:hAnsi="宋体" w:eastAsia="仿宋_GB2312" w:cs="宋体"/>
                <w:color w:val="000000"/>
                <w:kern w:val="0"/>
                <w:szCs w:val="21"/>
              </w:rPr>
            </w:pPr>
            <w:r>
              <w:rPr>
                <w:rFonts w:hint="eastAsia" w:ascii="仿宋" w:hAnsi="仿宋" w:eastAsia="仿宋" w:cs="仿宋"/>
                <w:color w:val="000000"/>
                <w:szCs w:val="21"/>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pPr>
              <w:autoSpaceDN w:val="0"/>
              <w:jc w:val="center"/>
              <w:textAlignment w:val="center"/>
              <w:rPr>
                <w:rFonts w:ascii="仿宋_GB2312" w:hAnsi="宋体" w:eastAsia="仿宋_GB2312" w:cs="宋体"/>
                <w:color w:val="000000"/>
                <w:kern w:val="0"/>
                <w:szCs w:val="21"/>
              </w:rPr>
            </w:pPr>
            <w:r>
              <w:rPr>
                <w:rFonts w:hint="eastAsia" w:ascii="仿宋" w:hAnsi="仿宋" w:eastAsia="仿宋" w:cs="仿宋"/>
                <w:color w:val="000000"/>
                <w:szCs w:val="21"/>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2891" w:type="dxa"/>
            <w:tcBorders>
              <w:top w:val="nil"/>
              <w:left w:val="nil"/>
              <w:bottom w:val="single" w:color="auto" w:sz="4" w:space="0"/>
              <w:right w:val="single" w:color="auto" w:sz="4" w:space="0"/>
            </w:tcBorders>
            <w:shd w:val="clear" w:color="auto" w:fill="auto"/>
            <w:vAlign w:val="center"/>
          </w:tcPr>
          <w:p>
            <w:pPr>
              <w:autoSpaceDN w:val="0"/>
              <w:jc w:val="center"/>
              <w:textAlignment w:val="center"/>
              <w:rPr>
                <w:rFonts w:ascii="仿宋_GB2312" w:hAnsi="宋体" w:eastAsia="仿宋_GB2312" w:cs="宋体"/>
                <w:color w:val="000000"/>
                <w:kern w:val="0"/>
                <w:szCs w:val="21"/>
              </w:rPr>
            </w:pPr>
            <w:r>
              <w:rPr>
                <w:rFonts w:hint="eastAsia" w:ascii="仿宋" w:hAnsi="仿宋" w:eastAsia="仿宋" w:cs="仿宋"/>
                <w:color w:val="000000"/>
                <w:szCs w:val="21"/>
              </w:rPr>
              <w:t>培训费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891" w:type="dxa"/>
            <w:tcBorders>
              <w:top w:val="nil"/>
              <w:left w:val="nil"/>
              <w:bottom w:val="single" w:color="auto" w:sz="4" w:space="0"/>
              <w:right w:val="single" w:color="auto" w:sz="4" w:space="0"/>
            </w:tcBorders>
            <w:shd w:val="clear" w:color="auto" w:fill="auto"/>
            <w:vAlign w:val="center"/>
          </w:tcPr>
          <w:p>
            <w:pPr>
              <w:autoSpaceDN w:val="0"/>
              <w:jc w:val="center"/>
              <w:textAlignment w:val="center"/>
              <w:rPr>
                <w:rFonts w:ascii="仿宋_GB2312" w:hAnsi="宋体" w:eastAsia="仿宋_GB2312" w:cs="宋体"/>
                <w:color w:val="000000"/>
                <w:kern w:val="0"/>
                <w:szCs w:val="21"/>
              </w:rPr>
            </w:pPr>
            <w:r>
              <w:rPr>
                <w:rFonts w:hint="eastAsia" w:ascii="仿宋" w:hAnsi="仿宋" w:eastAsia="仿宋" w:cs="仿宋"/>
                <w:color w:val="000000"/>
                <w:szCs w:val="21"/>
              </w:rPr>
              <w:t>公务招待费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shd w:val="clear" w:color="auto" w:fill="auto"/>
            <w:vAlign w:val="center"/>
          </w:tcPr>
          <w:p>
            <w:pPr>
              <w:autoSpaceDN w:val="0"/>
              <w:jc w:val="center"/>
              <w:textAlignment w:val="center"/>
              <w:rPr>
                <w:rFonts w:ascii="仿宋_GB2312" w:hAnsi="宋体" w:eastAsia="仿宋_GB2312" w:cs="宋体"/>
                <w:color w:val="000000"/>
                <w:kern w:val="0"/>
                <w:szCs w:val="21"/>
              </w:rPr>
            </w:pPr>
            <w:r>
              <w:rPr>
                <w:rFonts w:hint="eastAsia" w:ascii="仿宋" w:hAnsi="仿宋" w:eastAsia="仿宋" w:cs="仿宋"/>
                <w:color w:val="000000"/>
                <w:szCs w:val="21"/>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shd w:val="clear" w:color="auto" w:fill="auto"/>
            <w:vAlign w:val="center"/>
          </w:tcPr>
          <w:p>
            <w:pPr>
              <w:autoSpaceDN w:val="0"/>
              <w:jc w:val="center"/>
              <w:textAlignment w:val="center"/>
              <w:rPr>
                <w:rFonts w:ascii="仿宋_GB2312" w:hAnsi="宋体" w:eastAsia="仿宋_GB2312" w:cs="宋体"/>
                <w:color w:val="000000"/>
                <w:kern w:val="0"/>
                <w:szCs w:val="21"/>
              </w:rPr>
            </w:pPr>
            <w:r>
              <w:rPr>
                <w:rFonts w:hint="eastAsia" w:ascii="仿宋" w:hAnsi="仿宋" w:eastAsia="仿宋" w:cs="仿宋"/>
                <w:color w:val="000000"/>
                <w:szCs w:val="21"/>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shd w:val="clear" w:color="auto" w:fill="auto"/>
            <w:vAlign w:val="center"/>
          </w:tcPr>
          <w:p>
            <w:pPr>
              <w:autoSpaceDN w:val="0"/>
              <w:jc w:val="center"/>
              <w:textAlignment w:val="center"/>
              <w:rPr>
                <w:rFonts w:ascii="仿宋_GB2312" w:hAnsi="宋体" w:eastAsia="仿宋_GB2312" w:cs="宋体"/>
                <w:color w:val="000000"/>
                <w:kern w:val="0"/>
                <w:szCs w:val="21"/>
              </w:rPr>
            </w:pPr>
            <w:r>
              <w:rPr>
                <w:rFonts w:hint="eastAsia" w:ascii="仿宋" w:hAnsi="仿宋" w:eastAsia="仿宋" w:cs="仿宋"/>
                <w:color w:val="000000"/>
                <w:szCs w:val="21"/>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shd w:val="clear" w:color="auto" w:fill="auto"/>
            <w:vAlign w:val="center"/>
          </w:tcPr>
          <w:p>
            <w:pPr>
              <w:autoSpaceDN w:val="0"/>
              <w:jc w:val="center"/>
              <w:textAlignment w:val="center"/>
              <w:rPr>
                <w:rFonts w:ascii="仿宋_GB2312" w:hAnsi="宋体" w:eastAsia="仿宋_GB2312" w:cs="宋体"/>
                <w:color w:val="000000"/>
                <w:kern w:val="0"/>
                <w:szCs w:val="21"/>
              </w:rPr>
            </w:pPr>
            <w:r>
              <w:rPr>
                <w:rFonts w:hint="eastAsia" w:ascii="仿宋" w:hAnsi="仿宋" w:eastAsia="仿宋" w:cs="仿宋"/>
                <w:color w:val="000000"/>
                <w:szCs w:val="21"/>
              </w:rPr>
              <w:t>职工住宅取暖费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112.3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shd w:val="clear" w:color="auto" w:fill="auto"/>
            <w:vAlign w:val="center"/>
          </w:tcPr>
          <w:p>
            <w:pPr>
              <w:widowControl/>
              <w:jc w:val="left"/>
              <w:rPr>
                <w:rFonts w:ascii="仿宋_GB2312" w:hAnsi="宋体" w:cs="宋体"/>
                <w:color w:val="000000"/>
                <w:kern w:val="0"/>
                <w:sz w:val="24"/>
              </w:rPr>
            </w:pPr>
            <w:r>
              <w:rPr>
                <w:rFonts w:hint="eastAsia" w:ascii="仿宋_GB2312" w:hAnsi="宋体" w:eastAsia="仿宋_GB2312" w:cs="宋体"/>
                <w:color w:val="000000"/>
                <w:kern w:val="0"/>
                <w:sz w:val="24"/>
              </w:rPr>
              <w:t>编制部门：昌吉回族自治州公路工程质量监督管理总站</w:t>
            </w:r>
          </w:p>
        </w:tc>
        <w:tc>
          <w:tcPr>
            <w:tcW w:w="995"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科目编码</w:t>
            </w:r>
          </w:p>
        </w:tc>
        <w:tc>
          <w:tcPr>
            <w:tcW w:w="85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vAlign w:val="center"/>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vAlign w:val="center"/>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750" w:type="dxa"/>
            <w:shd w:val="clear" w:color="auto" w:fill="auto"/>
            <w:vAlign w:val="center"/>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vAlign w:val="center"/>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备注：本单位无项目支出。</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rPr>
          <w:rFonts w:ascii="仿宋_GB2312" w:hAnsi="宋体" w:eastAsia="仿宋_GB2312"/>
          <w:b/>
          <w:kern w:val="0"/>
          <w:sz w:val="32"/>
          <w:szCs w:val="32"/>
        </w:rPr>
      </w:pPr>
      <w:r>
        <w:rPr>
          <w:rFonts w:hint="eastAsia" w:ascii="仿宋_GB2312" w:hAnsi="宋体" w:eastAsia="仿宋_GB2312"/>
          <w:b/>
          <w:kern w:val="0"/>
          <w:sz w:val="32"/>
          <w:szCs w:val="32"/>
        </w:rPr>
        <w:br w:type="page"/>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编制单位：昌吉回族自治州州公路工程质量监督管理总站     单位：万元</w:t>
      </w:r>
    </w:p>
    <w:tbl>
      <w:tblPr>
        <w:tblStyle w:val="8"/>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0.12</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0.12</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w:t>
      </w:r>
      <w:r>
        <w:rPr>
          <w:rFonts w:hint="eastAsia" w:ascii="宋体" w:hAnsi="宋体" w:cs="宋体"/>
          <w:b/>
          <w:bCs/>
          <w:sz w:val="18"/>
          <w:szCs w:val="18"/>
        </w:rPr>
        <w:t>吉</w:t>
      </w:r>
      <w:r>
        <w:rPr>
          <w:rFonts w:hint="eastAsia" w:ascii="仿宋_GB2312" w:hAnsi="宋体" w:eastAsia="仿宋_GB2312"/>
          <w:kern w:val="0"/>
          <w:sz w:val="24"/>
        </w:rPr>
        <w:t>回族自治州公路工程质量监督管理总站    单位：万元</w:t>
      </w:r>
    </w:p>
    <w:tbl>
      <w:tblPr>
        <w:tblStyle w:val="8"/>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备注：本单位无政府性基金预算支出。</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关于昌吉州公路工程质量监督管理总站部门2020年收支预算情况的总体说明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color w:val="000000"/>
          <w:kern w:val="0"/>
          <w:sz w:val="32"/>
          <w:szCs w:val="32"/>
        </w:rPr>
        <w:t>昌吉州公路工程质量监督管理总站</w:t>
      </w:r>
      <w:r>
        <w:rPr>
          <w:rFonts w:hint="eastAsia" w:ascii="仿宋_GB2312" w:hAnsi="宋体" w:eastAsia="仿宋_GB2312" w:cs="宋体"/>
          <w:kern w:val="0"/>
          <w:sz w:val="32"/>
          <w:szCs w:val="32"/>
        </w:rPr>
        <w:t>2020年所有收入和支出均纳入部门预算管理。收支总预算123.8万元。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收入预算包括：一般公共预算123.8万元。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支出预算包括：交通运输支出123.8万元。</w:t>
      </w:r>
    </w:p>
    <w:p>
      <w:pPr>
        <w:spacing w:line="560" w:lineRule="exact"/>
        <w:ind w:firstLine="640" w:firstLineChars="200"/>
        <w:rPr>
          <w:rFonts w:ascii="黑体" w:hAnsi="黑体" w:eastAsia="黑体" w:cs="黑体"/>
          <w:kern w:val="0"/>
          <w:sz w:val="32"/>
          <w:szCs w:val="32"/>
        </w:rPr>
      </w:pPr>
      <w:r>
        <w:rPr>
          <w:rFonts w:hint="eastAsia" w:ascii="黑体" w:hAnsi="宋体" w:eastAsia="黑体" w:cs="宋体"/>
          <w:kern w:val="0"/>
          <w:sz w:val="32"/>
          <w:szCs w:val="32"/>
        </w:rPr>
        <w:t>二、</w:t>
      </w:r>
      <w:r>
        <w:rPr>
          <w:rFonts w:hint="eastAsia" w:ascii="黑体" w:hAnsi="黑体" w:eastAsia="黑体" w:cs="黑体"/>
          <w:kern w:val="0"/>
          <w:sz w:val="32"/>
          <w:szCs w:val="32"/>
        </w:rPr>
        <w:t>关于</w:t>
      </w:r>
      <w:r>
        <w:rPr>
          <w:rFonts w:hint="eastAsia" w:ascii="黑体" w:hAnsi="黑体" w:eastAsia="黑体" w:cs="黑体"/>
          <w:color w:val="000000"/>
          <w:kern w:val="0"/>
          <w:sz w:val="32"/>
          <w:szCs w:val="32"/>
        </w:rPr>
        <w:t>昌吉州公路工程质量监督管理总站</w:t>
      </w:r>
      <w:r>
        <w:rPr>
          <w:rFonts w:hint="eastAsia" w:ascii="黑体" w:hAnsi="黑体" w:eastAsia="黑体" w:cs="黑体"/>
          <w:kern w:val="0"/>
          <w:sz w:val="32"/>
          <w:szCs w:val="32"/>
        </w:rPr>
        <w:t>部门2020年收入预算情况说明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昌吉州公路工程质量监督管理总站收入预算123.8万元，其中：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一般公共预算123.8万元，占100%，比上年增加0.96万元，主要原因是人员经费的增长；</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政府性基金预算未安排</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财政专户管理资金预算未安排</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事业收入预算未安排</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事业单位经营收入预算未安排</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其他收入预算未安排</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用事业基金弥补收支差额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万元，占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%，比上年增加（减少）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单位上年结余（不包括国库集中支付额度结余）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万元，占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%，比上年增加（减少）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黑体" w:eastAsia="黑体" w:cs="黑体"/>
          <w:kern w:val="0"/>
          <w:sz w:val="32"/>
          <w:szCs w:val="32"/>
        </w:rPr>
      </w:pPr>
      <w:r>
        <w:rPr>
          <w:rFonts w:hint="eastAsia" w:ascii="黑体" w:hAnsi="宋体" w:eastAsia="黑体" w:cs="宋体"/>
          <w:kern w:val="0"/>
          <w:sz w:val="32"/>
          <w:szCs w:val="32"/>
        </w:rPr>
        <w:t>三、</w:t>
      </w:r>
      <w:r>
        <w:rPr>
          <w:rFonts w:hint="eastAsia" w:ascii="黑体" w:hAnsi="黑体" w:eastAsia="黑体" w:cs="黑体"/>
          <w:kern w:val="0"/>
          <w:sz w:val="32"/>
          <w:szCs w:val="32"/>
        </w:rPr>
        <w:t>关于</w:t>
      </w:r>
      <w:r>
        <w:rPr>
          <w:rFonts w:hint="eastAsia" w:ascii="黑体" w:hAnsi="黑体" w:eastAsia="黑体" w:cs="黑体"/>
          <w:color w:val="000000"/>
          <w:kern w:val="0"/>
          <w:sz w:val="32"/>
          <w:szCs w:val="32"/>
        </w:rPr>
        <w:t>昌吉州公路工程质量监督管理总站</w:t>
      </w:r>
      <w:r>
        <w:rPr>
          <w:rFonts w:hint="eastAsia" w:ascii="黑体" w:hAnsi="黑体" w:eastAsia="黑体" w:cs="黑体"/>
          <w:kern w:val="0"/>
          <w:sz w:val="32"/>
          <w:szCs w:val="32"/>
        </w:rPr>
        <w:t>部门单位2020年支出预算情况说明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昌吉州公路工程质量监督管理总站2020年支出预算123.8万元，其中：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基本支出123.8万元，占100%，比上年增加0.96万元，主要原因是人员经费的增长。</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项目支出0万元，占0%，比上年增加0万元，主要原因是无项目支出。</w:t>
      </w:r>
    </w:p>
    <w:p>
      <w:pPr>
        <w:spacing w:line="560" w:lineRule="exact"/>
        <w:ind w:firstLine="640" w:firstLineChars="200"/>
        <w:rPr>
          <w:rFonts w:ascii="黑体" w:hAnsi="黑体" w:eastAsia="黑体" w:cs="黑体"/>
          <w:bCs/>
          <w:kern w:val="0"/>
          <w:sz w:val="32"/>
          <w:szCs w:val="32"/>
        </w:rPr>
      </w:pPr>
      <w:r>
        <w:rPr>
          <w:rFonts w:hint="eastAsia" w:ascii="黑体" w:hAnsi="黑体" w:eastAsia="黑体" w:cs="黑体"/>
          <w:bCs/>
          <w:kern w:val="0"/>
          <w:sz w:val="32"/>
          <w:szCs w:val="32"/>
        </w:rPr>
        <w:t>四、关于</w:t>
      </w:r>
      <w:r>
        <w:rPr>
          <w:rFonts w:hint="eastAsia" w:ascii="黑体" w:hAnsi="黑体" w:eastAsia="黑体" w:cs="黑体"/>
          <w:color w:val="000000"/>
          <w:kern w:val="0"/>
          <w:sz w:val="32"/>
          <w:szCs w:val="32"/>
        </w:rPr>
        <w:t>昌吉州公路工程质量监督管理总站</w:t>
      </w:r>
      <w:r>
        <w:rPr>
          <w:rFonts w:hint="eastAsia" w:ascii="黑体" w:hAnsi="黑体" w:eastAsia="黑体" w:cs="黑体"/>
          <w:bCs/>
          <w:kern w:val="0"/>
          <w:sz w:val="32"/>
          <w:szCs w:val="32"/>
        </w:rPr>
        <w:t>部门2020年财政拨款收支预算情况的总体说明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2020年财政拨款收支总预算123.8万元。</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w:t>
      </w:r>
    </w:p>
    <w:p>
      <w:pPr>
        <w:spacing w:line="560" w:lineRule="exact"/>
        <w:ind w:firstLine="616" w:firstLineChars="200"/>
        <w:rPr>
          <w:rFonts w:hint="default" w:ascii="仿宋_GB2312" w:hAnsi="宋体" w:eastAsia="仿宋_GB2312" w:cs="宋体"/>
          <w:spacing w:val="-6"/>
          <w:kern w:val="0"/>
          <w:sz w:val="32"/>
          <w:szCs w:val="32"/>
          <w:highlight w:val="yellow"/>
          <w:lang w:val="en-US" w:eastAsia="zh-CN"/>
        </w:rPr>
      </w:pPr>
      <w:r>
        <w:rPr>
          <w:rFonts w:hint="eastAsia" w:ascii="仿宋_GB2312" w:hAnsi="宋体" w:eastAsia="仿宋_GB2312" w:cs="宋体"/>
          <w:spacing w:val="-6"/>
          <w:kern w:val="0"/>
          <w:sz w:val="32"/>
          <w:szCs w:val="32"/>
          <w:highlight w:val="none"/>
          <w:lang w:val="en-US" w:eastAsia="zh-CN"/>
        </w:rPr>
        <w:t>支出预算包括：一般公共服务支出123.8万元，主要用于交通运输支出。</w:t>
      </w:r>
    </w:p>
    <w:p>
      <w:pPr>
        <w:spacing w:line="560" w:lineRule="exact"/>
        <w:ind w:firstLine="640" w:firstLineChars="200"/>
        <w:rPr>
          <w:rFonts w:ascii="黑体" w:hAnsi="黑体" w:eastAsia="黑体" w:cs="黑体"/>
          <w:kern w:val="0"/>
          <w:sz w:val="32"/>
          <w:szCs w:val="32"/>
        </w:rPr>
      </w:pPr>
      <w:r>
        <w:rPr>
          <w:rFonts w:hint="eastAsia" w:ascii="黑体" w:hAnsi="宋体" w:eastAsia="黑体" w:cs="宋体"/>
          <w:kern w:val="0"/>
          <w:sz w:val="32"/>
          <w:szCs w:val="32"/>
        </w:rPr>
        <w:t>五、</w:t>
      </w:r>
      <w:r>
        <w:rPr>
          <w:rFonts w:hint="eastAsia" w:ascii="黑体" w:hAnsi="黑体" w:eastAsia="黑体" w:cs="黑体"/>
          <w:kern w:val="0"/>
          <w:sz w:val="32"/>
          <w:szCs w:val="32"/>
        </w:rPr>
        <w:t>关于</w:t>
      </w:r>
      <w:r>
        <w:rPr>
          <w:rFonts w:hint="eastAsia" w:ascii="黑体" w:hAnsi="黑体" w:eastAsia="黑体" w:cs="黑体"/>
          <w:color w:val="000000"/>
          <w:kern w:val="0"/>
          <w:sz w:val="32"/>
          <w:szCs w:val="32"/>
        </w:rPr>
        <w:t>昌吉州公路工程质量监督管理总站</w:t>
      </w:r>
      <w:r>
        <w:rPr>
          <w:rFonts w:hint="eastAsia" w:ascii="黑体" w:hAnsi="黑体" w:eastAsia="黑体" w:cs="黑体"/>
          <w:kern w:val="0"/>
          <w:sz w:val="32"/>
          <w:szCs w:val="32"/>
        </w:rPr>
        <w:t>部门2020年一般公共预算当年拨款情况说明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昌吉州公路工程质量监督管理总站2020年一般公共预算拨款基本支出123.8万元，比上年执行数增加0.96万元，增长0.78%。主要原因是：人员经费的增长。</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1.一般公共服务（类）</w:t>
      </w:r>
      <w:r>
        <w:rPr>
          <w:rFonts w:hint="eastAsia" w:ascii="宋体" w:hAnsi="宋体" w:cs="宋体"/>
          <w:bCs/>
          <w:sz w:val="32"/>
          <w:szCs w:val="32"/>
        </w:rPr>
        <w:t>123.8</w:t>
      </w:r>
      <w:r>
        <w:rPr>
          <w:rFonts w:hint="eastAsia" w:ascii="仿宋_GB2312" w:hAnsi="宋体" w:eastAsia="仿宋_GB2312" w:cs="宋体"/>
          <w:kern w:val="0"/>
          <w:sz w:val="32"/>
          <w:szCs w:val="32"/>
        </w:rPr>
        <w:t>万元，占100%。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214</w:t>
      </w:r>
      <w:r>
        <w:rPr>
          <w:rFonts w:hint="eastAsia" w:ascii="仿宋_GB2312" w:hAnsi="宋体" w:eastAsia="仿宋_GB2312" w:cs="宋体"/>
          <w:kern w:val="0"/>
          <w:sz w:val="32"/>
          <w:szCs w:val="32"/>
        </w:rPr>
        <w:t>公路运输</w:t>
      </w:r>
      <w:r>
        <w:rPr>
          <w:rFonts w:hint="eastAsia" w:ascii="仿宋_GB2312" w:hAnsi="宋体" w:eastAsia="仿宋_GB2312" w:cs="宋体"/>
          <w:kern w:val="0"/>
          <w:sz w:val="32"/>
          <w:szCs w:val="32"/>
          <w:lang w:eastAsia="zh-CN"/>
        </w:rPr>
        <w:t>支出（类）</w:t>
      </w:r>
      <w:r>
        <w:rPr>
          <w:rFonts w:hint="eastAsia" w:ascii="仿宋_GB2312" w:hAnsi="宋体" w:eastAsia="仿宋_GB2312" w:cs="宋体"/>
          <w:kern w:val="0"/>
          <w:sz w:val="32"/>
          <w:szCs w:val="32"/>
          <w:lang w:val="en-US" w:eastAsia="zh-CN"/>
        </w:rPr>
        <w:t>01公路水路运输（款</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12公路运输管理（项）</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123.8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比上年执行数增加0.96万元，增长0.78%，主要原因是：人员经费的增长。</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w:t>
      </w:r>
      <w:r>
        <w:rPr>
          <w:rFonts w:hint="eastAsia" w:ascii="黑体" w:hAnsi="黑体" w:eastAsia="黑体" w:cs="黑体"/>
          <w:kern w:val="0"/>
          <w:sz w:val="32"/>
          <w:szCs w:val="32"/>
        </w:rPr>
        <w:t>关于</w:t>
      </w:r>
      <w:r>
        <w:rPr>
          <w:rFonts w:hint="eastAsia" w:ascii="黑体" w:hAnsi="黑体" w:eastAsia="黑体" w:cs="黑体"/>
          <w:color w:val="000000"/>
          <w:kern w:val="0"/>
          <w:sz w:val="32"/>
          <w:szCs w:val="32"/>
        </w:rPr>
        <w:t>昌吉州公路工程质量监督管理总站</w:t>
      </w:r>
      <w:r>
        <w:rPr>
          <w:rFonts w:hint="eastAsia" w:ascii="黑体" w:hAnsi="黑体" w:eastAsia="黑体" w:cs="黑体"/>
          <w:kern w:val="0"/>
          <w:sz w:val="32"/>
          <w:szCs w:val="32"/>
        </w:rPr>
        <w:t>2020年一般公共预算基本支出情况说明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昌吉州公路工程质量监督管理总站2020年一般公共预算基本支出123.8万元，其中：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112.3万元，主要包括：基本工资42.33万元、奖金2.86万元、伙食补助费12.6万元、绩效工资25.27万元、机关事业单位基本养老保险缴费11.27万元、职工基本医疗保险缴费5.53万元、公务员医疗补助缴费2.33万元、其他社会保障缴费0.55万元、住房公积金8.46万元、职工住宅取暖费1.1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公用经费11.5万元，主要包括：办公费2.87万元、水费0.3万元、电费0.2万元、邮电费1万元、差旅费3万元、培训费0.2万元、公务接待费0.12万元、工会经费0.85万元、福利费1.95万元、其他商品和服务支出1.01万元。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七、关于</w:t>
      </w:r>
      <w:r>
        <w:rPr>
          <w:rFonts w:hint="eastAsia" w:ascii="黑体" w:hAnsi="黑体" w:eastAsia="黑体" w:cs="黑体"/>
          <w:color w:val="000000"/>
          <w:kern w:val="0"/>
          <w:sz w:val="32"/>
          <w:szCs w:val="32"/>
        </w:rPr>
        <w:t>昌吉州公路工程质量监督管理总站2020</w:t>
      </w:r>
      <w:r>
        <w:rPr>
          <w:rFonts w:hint="eastAsia" w:ascii="黑体" w:hAnsi="黑体" w:eastAsia="黑体" w:cs="黑体"/>
          <w:kern w:val="0"/>
          <w:sz w:val="32"/>
          <w:szCs w:val="32"/>
        </w:rPr>
        <w:t>年项目支出情况说明</w:t>
      </w:r>
    </w:p>
    <w:p>
      <w:pPr>
        <w:spacing w:line="560" w:lineRule="exact"/>
        <w:ind w:firstLine="640" w:firstLineChars="200"/>
        <w:rPr>
          <w:rFonts w:ascii="仿宋_GB2312" w:hAnsi="黑体" w:eastAsia="仿宋_GB2312"/>
          <w:b/>
          <w:sz w:val="32"/>
          <w:szCs w:val="32"/>
        </w:rPr>
      </w:pPr>
      <w:r>
        <w:rPr>
          <w:rFonts w:hint="eastAsia" w:ascii="仿宋_GB2312" w:hAnsi="宋体" w:eastAsia="仿宋_GB2312" w:cs="宋体"/>
          <w:color w:val="000000"/>
          <w:kern w:val="0"/>
          <w:sz w:val="32"/>
          <w:szCs w:val="32"/>
        </w:rPr>
        <w:t>昌吉州公路工程质量监督管理总站2020年无项目支出预算。</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八、关于</w:t>
      </w:r>
      <w:r>
        <w:rPr>
          <w:rFonts w:hint="eastAsia" w:ascii="黑体" w:hAnsi="黑体" w:eastAsia="黑体" w:cs="黑体"/>
          <w:color w:val="000000"/>
          <w:kern w:val="0"/>
          <w:sz w:val="32"/>
          <w:szCs w:val="32"/>
        </w:rPr>
        <w:t>昌吉州公路工程质量监督管理总站</w:t>
      </w:r>
      <w:r>
        <w:rPr>
          <w:rFonts w:hint="eastAsia" w:ascii="黑体" w:hAnsi="黑体" w:eastAsia="黑体" w:cs="黑体"/>
          <w:kern w:val="0"/>
          <w:sz w:val="32"/>
          <w:szCs w:val="32"/>
        </w:rPr>
        <w:t>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昌吉州公路工程质量监督管理总站2020年“三公”经费财政拨款预算数为0.12万元，其中：因公出国（境）费0万元，公务用车购置0万元，公务用车运行费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万元，公务接待费0.12万元。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2020年“三公”经费财政拨款预算比上年增加0万元，其中：因公出国（境）费增加0万元，主要原因是；公务用车购置费为0万元，未安排预算。公务用车运行费增加0万元，主要原因是</w:t>
      </w:r>
      <w:r>
        <w:rPr>
          <w:rFonts w:hint="eastAsia" w:ascii="仿宋_GB2312" w:hAnsi="宋体" w:eastAsia="仿宋_GB2312" w:cs="宋体"/>
          <w:kern w:val="0"/>
          <w:sz w:val="32"/>
          <w:szCs w:val="32"/>
          <w:lang w:eastAsia="zh-CN"/>
        </w:rPr>
        <w:t>未安排</w:t>
      </w:r>
      <w:bookmarkStart w:id="0" w:name="_GoBack"/>
      <w:bookmarkEnd w:id="0"/>
      <w:r>
        <w:rPr>
          <w:rFonts w:hint="eastAsia" w:ascii="仿宋_GB2312" w:hAnsi="宋体" w:eastAsia="仿宋_GB2312" w:cs="宋体"/>
          <w:kern w:val="0"/>
          <w:sz w:val="32"/>
          <w:szCs w:val="32"/>
        </w:rPr>
        <w:t>公务用车运行费；公务接待费增加0万元，主要原因是</w:t>
      </w:r>
      <w:r>
        <w:rPr>
          <w:rFonts w:hint="eastAsia" w:ascii="仿宋_GB2312" w:hAnsi="宋体" w:eastAsia="仿宋_GB2312" w:cs="宋体"/>
          <w:kern w:val="0"/>
          <w:sz w:val="32"/>
          <w:szCs w:val="32"/>
          <w:lang w:eastAsia="zh-CN"/>
        </w:rPr>
        <w:t>压缩</w:t>
      </w:r>
      <w:r>
        <w:rPr>
          <w:rFonts w:hint="eastAsia" w:ascii="仿宋_GB2312" w:hAnsi="宋体" w:eastAsia="仿宋_GB2312" w:cs="宋体"/>
          <w:kern w:val="0"/>
          <w:sz w:val="32"/>
          <w:szCs w:val="32"/>
        </w:rPr>
        <w:t>公务接待费。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黑体" w:eastAsia="黑体" w:cs="黑体"/>
          <w:color w:val="000000"/>
          <w:kern w:val="0"/>
          <w:sz w:val="32"/>
          <w:szCs w:val="32"/>
        </w:rPr>
        <w:t>昌吉州公路工程质量监督管理总站</w:t>
      </w:r>
      <w:r>
        <w:rPr>
          <w:rFonts w:hint="eastAsia" w:ascii="黑体" w:hAnsi="宋体" w:eastAsia="黑体" w:cs="宋体"/>
          <w:kern w:val="0"/>
          <w:sz w:val="32"/>
          <w:szCs w:val="32"/>
        </w:rPr>
        <w:t>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昌吉州公路工程质量监督管理总站2020年没有使用政府性基金预算拨款安排的支出，政府性基金预算支出情况表为空表。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2020年，昌吉州公路工程质量监督管理总站单位的机关运行经费财政拨款预算11.5万元，比上年预算减少0.75万元，下降6.12%。主要原因是进一步压减一般性支出。</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2020年，昌吉州公路工程质量监督管理总站单位政府采购预算330万元，其中：政府采购货物预算0万元，政府采购工程预算0万元，政府采购服务预算330万元。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截至2019年底，昌吉州公路工程质量监督管理总站部门占用使用国有资产总体情况为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2.车辆0辆，价值0万元；其中：一般公务用车0辆，价值0万元；执法执勤用车0辆，价值0万元；其他车辆0辆，价值0万元。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3.办公家具价值2.24万元。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2020年度，本年度实行绩效管理的项目0个，涉及预算金额0万元。具体情况见下表（按项目分别填报）：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425" w:num="1"/>
          <w:docGrid w:type="lines" w:linePitch="312" w:charSpace="0"/>
        </w:sectPr>
      </w:pPr>
    </w:p>
    <w:tbl>
      <w:tblPr>
        <w:tblStyle w:val="8"/>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项目支出绩效目标表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XX单位</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XXXXX</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昌吉州公路工程质量监督管理总站</w:t>
      </w:r>
    </w:p>
    <w:p>
      <w:pPr>
        <w:widowControl/>
        <w:spacing w:line="520" w:lineRule="exact"/>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Lucida Sans Unicode">
    <w:panose1 w:val="020B0602030504020204"/>
    <w:charset w:val="00"/>
    <w:family w:val="auto"/>
    <w:pitch w:val="default"/>
    <w:sig w:usb0="80001AFF" w:usb1="0000396B" w:usb2="00000000" w:usb3="00000000" w:csb0="0000003F" w:csb1="D7F7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宋体"/>
    <w:panose1 w:val="00000000000000000000"/>
    <w:charset w:val="86"/>
    <w:family w:val="script"/>
    <w:pitch w:val="default"/>
    <w:sig w:usb0="00000000" w:usb1="00000000" w:usb2="0000001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2855232"/>
    </w:sdtPr>
    <w:sdtContent>
      <w:p>
        <w:pPr>
          <w:pStyle w:val="4"/>
          <w:jc w:val="center"/>
        </w:pPr>
        <w:r>
          <w:fldChar w:fldCharType="begin"/>
        </w:r>
        <w:r>
          <w:instrText xml:space="preserve">PAGE   \* MERGEFORMAT</w:instrText>
        </w:r>
        <w:r>
          <w:fldChar w:fldCharType="separate"/>
        </w:r>
        <w:r>
          <w:t>- 1 -</w:t>
        </w:r>
        <w: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-12-</w:t>
    </w:r>
    <w:r>
      <w:rPr>
        <w:rFonts w:ascii="宋体" w:hAnsi="宋体" w:eastAsia="宋体"/>
        <w:sz w:val="28"/>
        <w:szCs w:val="28"/>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E59"/>
    <w:rsid w:val="00012120"/>
    <w:rsid w:val="00206E59"/>
    <w:rsid w:val="002A1A64"/>
    <w:rsid w:val="003E370E"/>
    <w:rsid w:val="0048560D"/>
    <w:rsid w:val="005618A6"/>
    <w:rsid w:val="00575B0A"/>
    <w:rsid w:val="00797F50"/>
    <w:rsid w:val="008D2FC6"/>
    <w:rsid w:val="008E3BBA"/>
    <w:rsid w:val="0091715F"/>
    <w:rsid w:val="00944B81"/>
    <w:rsid w:val="00C8617D"/>
    <w:rsid w:val="00CD2B3D"/>
    <w:rsid w:val="00D00CDC"/>
    <w:rsid w:val="00D85033"/>
    <w:rsid w:val="014059FB"/>
    <w:rsid w:val="02823B6D"/>
    <w:rsid w:val="043C7BDA"/>
    <w:rsid w:val="04B7370F"/>
    <w:rsid w:val="04FC72AE"/>
    <w:rsid w:val="050E3C05"/>
    <w:rsid w:val="06621F52"/>
    <w:rsid w:val="07250130"/>
    <w:rsid w:val="073903B6"/>
    <w:rsid w:val="09131C67"/>
    <w:rsid w:val="0CB4754B"/>
    <w:rsid w:val="114F2862"/>
    <w:rsid w:val="12497E13"/>
    <w:rsid w:val="12E42F93"/>
    <w:rsid w:val="130251B8"/>
    <w:rsid w:val="13456CBE"/>
    <w:rsid w:val="13915B03"/>
    <w:rsid w:val="14EC3D60"/>
    <w:rsid w:val="14F8199E"/>
    <w:rsid w:val="151A2F09"/>
    <w:rsid w:val="16153351"/>
    <w:rsid w:val="168E5533"/>
    <w:rsid w:val="169A7E13"/>
    <w:rsid w:val="17303F70"/>
    <w:rsid w:val="17B0568B"/>
    <w:rsid w:val="184623AC"/>
    <w:rsid w:val="1B490647"/>
    <w:rsid w:val="1D5C3A76"/>
    <w:rsid w:val="1F340C7A"/>
    <w:rsid w:val="1FB33288"/>
    <w:rsid w:val="204034A1"/>
    <w:rsid w:val="221923FE"/>
    <w:rsid w:val="227C4614"/>
    <w:rsid w:val="253837DF"/>
    <w:rsid w:val="25A1325C"/>
    <w:rsid w:val="26426592"/>
    <w:rsid w:val="264D41D2"/>
    <w:rsid w:val="27397BE2"/>
    <w:rsid w:val="291203F5"/>
    <w:rsid w:val="2AD012D6"/>
    <w:rsid w:val="2B3B51E2"/>
    <w:rsid w:val="2C150026"/>
    <w:rsid w:val="2C281CBB"/>
    <w:rsid w:val="2CE02045"/>
    <w:rsid w:val="2D0269DF"/>
    <w:rsid w:val="2EEF05EC"/>
    <w:rsid w:val="30C055D5"/>
    <w:rsid w:val="36701B94"/>
    <w:rsid w:val="38D238AA"/>
    <w:rsid w:val="39423655"/>
    <w:rsid w:val="39543612"/>
    <w:rsid w:val="3B095936"/>
    <w:rsid w:val="3B34704C"/>
    <w:rsid w:val="40BE55F3"/>
    <w:rsid w:val="40F958EF"/>
    <w:rsid w:val="41C468BD"/>
    <w:rsid w:val="42204FEA"/>
    <w:rsid w:val="427536A0"/>
    <w:rsid w:val="433D0840"/>
    <w:rsid w:val="443D66E0"/>
    <w:rsid w:val="46422344"/>
    <w:rsid w:val="486203F4"/>
    <w:rsid w:val="4C01372A"/>
    <w:rsid w:val="4C0177CD"/>
    <w:rsid w:val="4C3E1F17"/>
    <w:rsid w:val="4E0E7A16"/>
    <w:rsid w:val="4E7D3E42"/>
    <w:rsid w:val="50445887"/>
    <w:rsid w:val="510C7E21"/>
    <w:rsid w:val="510D2DFD"/>
    <w:rsid w:val="51DA241D"/>
    <w:rsid w:val="531B76AF"/>
    <w:rsid w:val="559025BD"/>
    <w:rsid w:val="56360505"/>
    <w:rsid w:val="565E3C70"/>
    <w:rsid w:val="570409F6"/>
    <w:rsid w:val="58D37FD9"/>
    <w:rsid w:val="58EA5BCE"/>
    <w:rsid w:val="592D550E"/>
    <w:rsid w:val="59FB6AA9"/>
    <w:rsid w:val="5B7F3376"/>
    <w:rsid w:val="5BAA7B02"/>
    <w:rsid w:val="5C5E1FC0"/>
    <w:rsid w:val="5E4429C2"/>
    <w:rsid w:val="5FB43019"/>
    <w:rsid w:val="60C167B4"/>
    <w:rsid w:val="60E45D0F"/>
    <w:rsid w:val="60E95CD4"/>
    <w:rsid w:val="610D6A7D"/>
    <w:rsid w:val="625F26E9"/>
    <w:rsid w:val="63EA1D88"/>
    <w:rsid w:val="647C756F"/>
    <w:rsid w:val="64E45400"/>
    <w:rsid w:val="662C071F"/>
    <w:rsid w:val="66BA79DA"/>
    <w:rsid w:val="676C1F61"/>
    <w:rsid w:val="6A2775E3"/>
    <w:rsid w:val="6A7479CF"/>
    <w:rsid w:val="6BBC5B63"/>
    <w:rsid w:val="6BD53511"/>
    <w:rsid w:val="6E3005D4"/>
    <w:rsid w:val="6EF302A3"/>
    <w:rsid w:val="6F764F91"/>
    <w:rsid w:val="72DD6EE3"/>
    <w:rsid w:val="738D46EB"/>
    <w:rsid w:val="73BE0016"/>
    <w:rsid w:val="769608F7"/>
    <w:rsid w:val="76D06716"/>
    <w:rsid w:val="76D8048E"/>
    <w:rsid w:val="7B7C35B1"/>
    <w:rsid w:val="7C4C4318"/>
    <w:rsid w:val="7E696511"/>
    <w:rsid w:val="7ECB3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semiHidden/>
    <w:qFormat/>
    <w:uiPriority w:val="0"/>
    <w:rPr>
      <w:sz w:val="18"/>
      <w:szCs w:val="18"/>
      <w:lang w:val="zh-CN"/>
    </w:rPr>
  </w:style>
  <w:style w:type="paragraph" w:styleId="4">
    <w:name w:val="footer"/>
    <w:basedOn w:val="1"/>
    <w:link w:val="13"/>
    <w:qFormat/>
    <w:uiPriority w:val="99"/>
    <w:pPr>
      <w:tabs>
        <w:tab w:val="center" w:pos="4153"/>
        <w:tab w:val="right" w:pos="8306"/>
      </w:tabs>
      <w:snapToGrid w:val="0"/>
      <w:jc w:val="left"/>
    </w:pPr>
    <w:rPr>
      <w:rFonts w:eastAsia="黑体"/>
      <w:snapToGrid w:val="0"/>
      <w:kern w:val="0"/>
      <w:sz w:val="18"/>
      <w:szCs w:val="18"/>
      <w:lang w:val="zh-CN"/>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lang w:val="zh-CN"/>
    </w:rPr>
  </w:style>
  <w:style w:type="paragraph" w:styleId="6">
    <w:name w:val="Body Text Indent 3"/>
    <w:basedOn w:val="1"/>
    <w:link w:val="17"/>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rFonts w:cs="Times New Roman"/>
      <w:b/>
      <w:bCs/>
    </w:rPr>
  </w:style>
  <w:style w:type="character" w:styleId="12">
    <w:name w:val="page number"/>
    <w:basedOn w:val="10"/>
    <w:qFormat/>
    <w:uiPriority w:val="0"/>
  </w:style>
  <w:style w:type="character" w:customStyle="1" w:styleId="13">
    <w:name w:val="页脚 字符"/>
    <w:basedOn w:val="10"/>
    <w:link w:val="4"/>
    <w:qFormat/>
    <w:uiPriority w:val="99"/>
    <w:rPr>
      <w:rFonts w:ascii="Times New Roman" w:hAnsi="Times New Roman" w:eastAsia="黑体" w:cs="Times New Roman"/>
      <w:snapToGrid w:val="0"/>
      <w:kern w:val="0"/>
      <w:sz w:val="18"/>
      <w:szCs w:val="18"/>
      <w:lang w:val="zh-CN" w:eastAsia="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10"/>
    <w:link w:val="3"/>
    <w:semiHidden/>
    <w:qFormat/>
    <w:uiPriority w:val="0"/>
    <w:rPr>
      <w:rFonts w:ascii="Times New Roman" w:hAnsi="Times New Roman" w:eastAsia="宋体" w:cs="Times New Roman"/>
      <w:sz w:val="18"/>
      <w:szCs w:val="18"/>
      <w:lang w:val="zh-CN" w:eastAsia="zh-CN"/>
    </w:rPr>
  </w:style>
  <w:style w:type="character" w:customStyle="1" w:styleId="16">
    <w:name w:val="页眉 字符"/>
    <w:basedOn w:val="10"/>
    <w:link w:val="5"/>
    <w:qFormat/>
    <w:uiPriority w:val="0"/>
    <w:rPr>
      <w:rFonts w:ascii="Times New Roman" w:hAnsi="Times New Roman" w:eastAsia="宋体" w:cs="Times New Roman"/>
      <w:sz w:val="18"/>
      <w:szCs w:val="18"/>
      <w:lang w:val="zh-CN" w:eastAsia="zh-CN"/>
    </w:rPr>
  </w:style>
  <w:style w:type="character" w:customStyle="1" w:styleId="17">
    <w:name w:val="正文文本缩进 3 字符"/>
    <w:basedOn w:val="10"/>
    <w:link w:val="6"/>
    <w:qFormat/>
    <w:uiPriority w:val="0"/>
    <w:rPr>
      <w:rFonts w:ascii="Times New Roman" w:hAnsi="Times New Roman" w:eastAsia="仿宋_GB2312" w:cs="Times New Roman"/>
      <w:sz w:val="32"/>
      <w:szCs w:val="24"/>
      <w:lang w:val="zh-CN" w:eastAsia="zh-CN"/>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1"/>
    <w:basedOn w:val="1"/>
    <w:qFormat/>
    <w:uiPriority w:val="0"/>
    <w:rPr>
      <w:rFonts w:ascii="Calibri" w:hAnsi="Calibri" w:cs="黑体"/>
      <w:sz w:val="24"/>
    </w:rPr>
  </w:style>
  <w:style w:type="paragraph" w:customStyle="1" w:styleId="20">
    <w:name w:val="普通(网站)2"/>
    <w:basedOn w:val="1"/>
    <w:qFormat/>
    <w:uiPriority w:val="0"/>
    <w:rPr>
      <w:rFonts w:ascii="Calibri" w:hAnsi="Calibri" w:cs="黑体"/>
      <w:sz w:val="24"/>
    </w:rPr>
  </w:style>
  <w:style w:type="paragraph" w:customStyle="1" w:styleId="21">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DD8194-5225-4301-84DC-567E46F5EE70}">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21</Pages>
  <Words>1191</Words>
  <Characters>6794</Characters>
  <Lines>56</Lines>
  <Paragraphs>15</Paragraphs>
  <TotalTime>7</TotalTime>
  <ScaleCrop>false</ScaleCrop>
  <LinksUpToDate>false</LinksUpToDate>
  <CharactersWithSpaces>7970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2020-01-09T07:32:00Z</dcterms:created>
  <dc:creator>闫超</dc:creator>
  <cp:lastModifiedBy>Administrator</cp:lastModifiedBy>
  <dcterms:modified xsi:type="dcterms:W3CDTF">2021-05-27T07:18:44Z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