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昌吉州住房和城乡建设局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第一部分昌吉州住房和城乡建设局单位概况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一、关于昌吉州住房和城乡建设局2020年收支预算情况的总体说明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二、关于昌吉州住房和城乡建设局2020年收入预算情况说明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三、关于昌吉州住房和城乡建设局2020年支出预算情况说明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昌吉州住房和城乡建设局2020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五、关于昌吉州住房和城乡建设局2020年一般公共预算当年拨款情况说明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六、关于昌吉州住房和城乡建设局2020年一般公共预算基本支出情况说明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七、关于昌吉州住房和城乡建设局2020年项目支出情况说明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八、关于昌吉州住房和城乡建设局2020年一般公共预算“三公”经费预算情况说明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九、关于昌吉州住房和城乡建设局2020年政府性基金预算拨款情况说明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widowControl/>
        <w:jc w:val="center"/>
        <w:outlineLvl w:val="1"/>
        <w:rPr>
          <w:rFonts w:ascii="黑体" w:hAnsi="黑体" w:eastAsia="黑体"/>
          <w:kern w:val="0"/>
          <w:sz w:val="32"/>
          <w:szCs w:val="32"/>
        </w:rPr>
      </w:pPr>
    </w:p>
    <w:p>
      <w:pPr>
        <w:rPr>
          <w:rFonts w:ascii="黑体" w:hAnsi="黑体" w:eastAsia="黑体"/>
          <w:kern w:val="0"/>
          <w:sz w:val="32"/>
          <w:szCs w:val="32"/>
        </w:rPr>
      </w:pPr>
      <w:r>
        <w:rPr>
          <w:rFonts w:hint="eastAsia" w:ascii="黑体" w:hAnsi="黑体" w:eastAsia="黑体"/>
          <w:kern w:val="0"/>
          <w:sz w:val="32"/>
          <w:szCs w:val="32"/>
        </w:rPr>
        <w:br w:type="page"/>
      </w:r>
    </w:p>
    <w:p>
      <w:pPr>
        <w:widowControl/>
        <w:jc w:val="center"/>
        <w:outlineLvl w:val="1"/>
        <w:rPr>
          <w:rFonts w:ascii="黑体" w:hAnsi="黑体" w:eastAsia="黑体"/>
          <w:b/>
          <w:kern w:val="0"/>
          <w:sz w:val="32"/>
          <w:szCs w:val="32"/>
        </w:rPr>
      </w:pPr>
      <w:r>
        <w:rPr>
          <w:rFonts w:hint="eastAsia" w:ascii="黑体" w:hAnsi="黑体" w:eastAsia="黑体"/>
          <w:kern w:val="0"/>
          <w:sz w:val="32"/>
          <w:szCs w:val="32"/>
        </w:rPr>
        <w:t>第一部分</w:t>
      </w:r>
      <w:r>
        <w:rPr>
          <w:rFonts w:hint="eastAsia" w:ascii="黑体" w:hAnsi="黑体" w:eastAsia="黑体" w:cs="黑体"/>
          <w:b/>
          <w:kern w:val="0"/>
          <w:sz w:val="32"/>
          <w:szCs w:val="32"/>
        </w:rPr>
        <w:t>昌吉州住房和城乡建设局</w:t>
      </w:r>
      <w:r>
        <w:rPr>
          <w:rFonts w:hint="eastAsia" w:ascii="黑体" w:hAnsi="黑体" w:eastAsia="黑体"/>
          <w:b/>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一、主要职能</w:t>
      </w:r>
    </w:p>
    <w:p>
      <w:pPr>
        <w:widowControl/>
        <w:spacing w:line="520" w:lineRule="exact"/>
        <w:ind w:left="-227" w:right="-227" w:firstLine="420"/>
        <w:jc w:val="left"/>
        <w:rPr>
          <w:rFonts w:ascii="楷体" w:hAnsi="楷体" w:eastAsia="楷体" w:cs="楷体"/>
          <w:b/>
          <w:bCs/>
          <w:color w:val="2B2B2B"/>
          <w:sz w:val="32"/>
          <w:szCs w:val="32"/>
        </w:rPr>
      </w:pPr>
      <w:r>
        <w:rPr>
          <w:rFonts w:hint="eastAsia" w:ascii="楷体" w:hAnsi="楷体" w:eastAsia="楷体" w:cs="楷体"/>
          <w:b/>
          <w:bCs/>
          <w:color w:val="2B2B2B"/>
          <w:kern w:val="0"/>
          <w:sz w:val="32"/>
          <w:szCs w:val="32"/>
          <w:lang w:bidi="ar"/>
        </w:rPr>
        <w:t>（一）主要职能</w:t>
      </w:r>
    </w:p>
    <w:p>
      <w:pPr>
        <w:widowControl/>
        <w:spacing w:line="520" w:lineRule="exact"/>
        <w:ind w:right="-227" w:firstLine="640" w:firstLineChars="200"/>
        <w:jc w:val="left"/>
        <w:rPr>
          <w:rFonts w:ascii="仿宋" w:hAnsi="仿宋" w:eastAsia="仿宋" w:cs="仿宋"/>
          <w:color w:val="2B2B2B"/>
          <w:sz w:val="32"/>
          <w:szCs w:val="32"/>
        </w:rPr>
      </w:pPr>
      <w:r>
        <w:rPr>
          <w:rFonts w:hint="eastAsia" w:ascii="仿宋" w:hAnsi="仿宋" w:eastAsia="仿宋" w:cs="仿宋"/>
          <w:color w:val="2B2B2B"/>
          <w:kern w:val="0"/>
          <w:sz w:val="32"/>
          <w:szCs w:val="32"/>
          <w:lang w:bidi="ar"/>
        </w:rPr>
        <w:t>承担保障城镇低收入家庭住房的责任。拟订全州住房保障相关政策并指导实施、承担推进住房制度改革的责任。承担规范住房和城乡建设管理秩序的责任、组织实施住房和城乡建设的国家标准、地方标准、全国统一定额和行业标准、承担规范房地产市场秩序、监督管理房地产市场的责任、监督管理自治州建筑市场，规范各方主体行为、承担建筑工程质量安全监管的责任、承担推进建筑节能、城镇减排的责任、拟订城市建设的政策并指导实施。负责市政公用事业特许经营；监督指导供水、供气、供热和市容环境卫生、园林绿化法律法规规章执行的执行；指导城市市政公用设施建设、安全和应急管理、承担规范和指导全州村镇建设的责任、负责对全州建设行业中介机构及从业人员的管理；指导和管理建设行业的职工培训和继续教育工作，负责建设系统的社团管理、承办自治州人民政府交办的其他事项。</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 w:hAnsi="仿宋" w:eastAsia="仿宋" w:cs="仿宋"/>
          <w:kern w:val="0"/>
          <w:sz w:val="32"/>
          <w:szCs w:val="32"/>
        </w:rPr>
        <w:t>昌吉州住房和城乡建设局无下属</w:t>
      </w:r>
      <w:r>
        <w:rPr>
          <w:rFonts w:hint="eastAsia" w:ascii="仿宋_GB2312" w:hAnsi="黑体" w:eastAsia="仿宋_GB2312" w:cs="宋体"/>
          <w:bCs/>
          <w:kern w:val="0"/>
          <w:sz w:val="32"/>
          <w:szCs w:val="32"/>
        </w:rPr>
        <w:t>预算单位，下设7个科室，分别是：</w:t>
      </w:r>
      <w:r>
        <w:rPr>
          <w:rFonts w:hint="eastAsia" w:ascii="仿宋_GB2312" w:hAnsi="黑体" w:eastAsia="仿宋_GB2312" w:cs="宋体"/>
          <w:bCs/>
          <w:kern w:val="0"/>
          <w:sz w:val="32"/>
          <w:szCs w:val="32"/>
          <w:lang w:val="en-US" w:eastAsia="zh-CN"/>
        </w:rPr>
        <w:t>办公室、</w:t>
      </w:r>
      <w:r>
        <w:rPr>
          <w:rFonts w:hint="eastAsia" w:ascii="仿宋" w:hAnsi="仿宋" w:eastAsia="仿宋" w:cs="仿宋"/>
          <w:color w:val="2B2B2B"/>
          <w:kern w:val="0"/>
          <w:sz w:val="32"/>
          <w:szCs w:val="32"/>
          <w:lang w:bidi="ar"/>
        </w:rPr>
        <w:t>住房保障和房地产业科、城建科、建筑业科、村镇科、质量安全科、组织人事科；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昌吉州住房和城乡建设局编制数24个，实有人数47人，其中：在职2</w:t>
      </w:r>
      <w:r>
        <w:rPr>
          <w:rFonts w:hint="eastAsia" w:ascii="仿宋_GB2312" w:hAnsi="宋体" w:eastAsia="仿宋_GB2312" w:cs="宋体"/>
          <w:kern w:val="0"/>
          <w:sz w:val="32"/>
          <w:szCs w:val="32"/>
          <w:highlight w:val="yellow"/>
          <w:lang w:val="en-US" w:eastAsia="zh-CN"/>
        </w:rPr>
        <w:t>3</w:t>
      </w:r>
      <w:r>
        <w:rPr>
          <w:rFonts w:hint="eastAsia" w:ascii="仿宋_GB2312" w:hAnsi="宋体" w:eastAsia="仿宋_GB2312" w:cs="宋体"/>
          <w:kern w:val="0"/>
          <w:sz w:val="32"/>
          <w:szCs w:val="32"/>
          <w:highlight w:val="yellow"/>
        </w:rPr>
        <w:t>人，增加1人；退休2</w:t>
      </w:r>
      <w:r>
        <w:rPr>
          <w:rFonts w:hint="eastAsia" w:ascii="仿宋_GB2312" w:hAnsi="宋体" w:eastAsia="仿宋_GB2312" w:cs="宋体"/>
          <w:kern w:val="0"/>
          <w:sz w:val="32"/>
          <w:szCs w:val="32"/>
          <w:highlight w:val="yellow"/>
          <w:lang w:val="en-US" w:eastAsia="zh-CN"/>
        </w:rPr>
        <w:t>2</w:t>
      </w:r>
      <w:r>
        <w:rPr>
          <w:rFonts w:hint="eastAsia" w:ascii="仿宋_GB2312" w:hAnsi="宋体" w:eastAsia="仿宋_GB2312" w:cs="宋体"/>
          <w:kern w:val="0"/>
          <w:sz w:val="32"/>
          <w:szCs w:val="32"/>
          <w:highlight w:val="yellow"/>
        </w:rPr>
        <w:t>人，增加1人；离休2人，</w:t>
      </w:r>
      <w:r>
        <w:rPr>
          <w:rFonts w:hint="eastAsia" w:ascii="仿宋_GB2312" w:hAnsi="宋体" w:eastAsia="仿宋_GB2312" w:cs="宋体"/>
          <w:kern w:val="0"/>
          <w:sz w:val="32"/>
          <w:szCs w:val="32"/>
        </w:rPr>
        <w:t>增加或减少</w:t>
      </w:r>
      <w:r>
        <w:rPr>
          <w:rFonts w:hint="eastAsia" w:ascii="仿宋_GB2312" w:hAnsi="宋体" w:eastAsia="仿宋_GB2312" w:cs="宋体"/>
          <w:kern w:val="0"/>
          <w:sz w:val="32"/>
          <w:szCs w:val="32"/>
          <w:highlight w:val="yellow"/>
        </w:rPr>
        <w:t>0人。</w:t>
      </w: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编制部门：昌吉州住房和城乡建设局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478.1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478.1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478.1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478.1</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478.1</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收入总计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478.1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支出合计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478.1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填报部门：昌吉州住房和城乡建设局                        单位：万元</w:t>
      </w:r>
    </w:p>
    <w:tbl>
      <w:tblPr>
        <w:tblStyle w:val="7"/>
        <w:tblW w:w="9662" w:type="dxa"/>
        <w:tblInd w:w="-450" w:type="dxa"/>
        <w:tblLayout w:type="fixed"/>
        <w:tblCellMar>
          <w:top w:w="0" w:type="dxa"/>
          <w:left w:w="108" w:type="dxa"/>
          <w:bottom w:w="0" w:type="dxa"/>
          <w:right w:w="108" w:type="dxa"/>
        </w:tblCellMar>
      </w:tblPr>
      <w:tblGrid>
        <w:gridCol w:w="594"/>
        <w:gridCol w:w="429"/>
        <w:gridCol w:w="450"/>
        <w:gridCol w:w="1923"/>
        <w:gridCol w:w="8"/>
        <w:gridCol w:w="812"/>
        <w:gridCol w:w="8"/>
        <w:gridCol w:w="672"/>
        <w:gridCol w:w="8"/>
        <w:gridCol w:w="672"/>
        <w:gridCol w:w="8"/>
        <w:gridCol w:w="672"/>
        <w:gridCol w:w="8"/>
        <w:gridCol w:w="672"/>
        <w:gridCol w:w="8"/>
        <w:gridCol w:w="672"/>
        <w:gridCol w:w="8"/>
        <w:gridCol w:w="672"/>
        <w:gridCol w:w="8"/>
        <w:gridCol w:w="672"/>
        <w:gridCol w:w="8"/>
        <w:gridCol w:w="670"/>
        <w:gridCol w:w="8"/>
      </w:tblGrid>
      <w:tr>
        <w:tblPrEx>
          <w:tblLayout w:type="fixed"/>
          <w:tblCellMar>
            <w:top w:w="0" w:type="dxa"/>
            <w:left w:w="108" w:type="dxa"/>
            <w:bottom w:w="0" w:type="dxa"/>
            <w:right w:w="108" w:type="dxa"/>
          </w:tblCellMar>
        </w:tblPrEx>
        <w:trPr>
          <w:gridAfter w:val="1"/>
          <w:wAfter w:w="8" w:type="dxa"/>
          <w:trHeight w:val="510" w:hRule="atLeast"/>
        </w:trPr>
        <w:tc>
          <w:tcPr>
            <w:tcW w:w="14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23"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总计</w:t>
            </w:r>
          </w:p>
        </w:tc>
        <w:tc>
          <w:tcPr>
            <w:tcW w:w="68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31"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gridSpan w:val="2"/>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212</w:t>
            </w: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82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403.1</w:t>
            </w:r>
          </w:p>
        </w:tc>
        <w:tc>
          <w:tcPr>
            <w:tcW w:w="68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403.1</w:t>
            </w:r>
          </w:p>
        </w:tc>
        <w:tc>
          <w:tcPr>
            <w:tcW w:w="68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212</w:t>
            </w: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住宅建设与房地产市场监管</w:t>
            </w: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75</w:t>
            </w: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75</w:t>
            </w: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478.1</w:t>
            </w: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478.1</w:t>
            </w: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编制部门：昌吉州住房和城乡建设局                                 单位：万元</w:t>
      </w:r>
    </w:p>
    <w:tbl>
      <w:tblPr>
        <w:tblStyle w:val="7"/>
        <w:tblW w:w="9420" w:type="dxa"/>
        <w:tblInd w:w="-240" w:type="dxa"/>
        <w:tblLayout w:type="fixed"/>
        <w:tblCellMar>
          <w:top w:w="0" w:type="dxa"/>
          <w:left w:w="108" w:type="dxa"/>
          <w:bottom w:w="0" w:type="dxa"/>
          <w:right w:w="108" w:type="dxa"/>
        </w:tblCellMar>
      </w:tblPr>
      <w:tblGrid>
        <w:gridCol w:w="558"/>
        <w:gridCol w:w="405"/>
        <w:gridCol w:w="435"/>
        <w:gridCol w:w="2407"/>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0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0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212</w:t>
            </w: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行政运行</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403.1</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403.1</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212</w:t>
            </w: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09</w:t>
            </w: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住宅建设与房地产市场监管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75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75</w:t>
            </w: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0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478.1</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403.1</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编制部门：昌吉州住房和城乡建设局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478.1</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478.1</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478.1</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478.1</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收入总计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478.1</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支出总计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478.1</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478.1</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212</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01</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403.1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403.1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212</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09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住宅建设与房地产市场监管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75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bCs/>
                <w:color w:val="000000"/>
                <w:kern w:val="0"/>
                <w:sz w:val="18"/>
                <w:szCs w:val="18"/>
              </w:rPr>
            </w:pPr>
            <w:r>
              <w:rPr>
                <w:rFonts w:hint="eastAsia" w:ascii="仿宋" w:hAnsi="仿宋" w:eastAsia="仿宋" w:cs="仿宋"/>
                <w:bCs/>
                <w:color w:val="000000"/>
                <w:kern w:val="0"/>
                <w:sz w:val="18"/>
                <w:szCs w:val="18"/>
              </w:rPr>
              <w:t>75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478.1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403.1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60" w:type="dxa"/>
        <w:tblInd w:w="93" w:type="dxa"/>
        <w:tblLayout w:type="fixed"/>
        <w:tblCellMar>
          <w:top w:w="0" w:type="dxa"/>
          <w:left w:w="108" w:type="dxa"/>
          <w:bottom w:w="0" w:type="dxa"/>
          <w:right w:w="108" w:type="dxa"/>
        </w:tblCellMar>
      </w:tblPr>
      <w:tblGrid>
        <w:gridCol w:w="531"/>
        <w:gridCol w:w="752"/>
        <w:gridCol w:w="2823"/>
        <w:gridCol w:w="1023"/>
        <w:gridCol w:w="726"/>
        <w:gridCol w:w="1008"/>
        <w:gridCol w:w="745"/>
        <w:gridCol w:w="1752"/>
      </w:tblGrid>
      <w:tr>
        <w:tblPrEx>
          <w:tblLayout w:type="fixed"/>
          <w:tblCellMar>
            <w:top w:w="0" w:type="dxa"/>
            <w:left w:w="108" w:type="dxa"/>
            <w:bottom w:w="0" w:type="dxa"/>
            <w:right w:w="108" w:type="dxa"/>
          </w:tblCellMar>
        </w:tblPrEx>
        <w:trPr>
          <w:trHeight w:val="912" w:hRule="atLeast"/>
        </w:trPr>
        <w:tc>
          <w:tcPr>
            <w:tcW w:w="9360"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41" w:hRule="atLeast"/>
        </w:trPr>
        <w:tc>
          <w:tcPr>
            <w:tcW w:w="410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1023"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734"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97"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30" w:hRule="atLeast"/>
        </w:trPr>
        <w:tc>
          <w:tcPr>
            <w:tcW w:w="410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25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629" w:hRule="atLeast"/>
        </w:trPr>
        <w:tc>
          <w:tcPr>
            <w:tcW w:w="128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2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经济分类科目名称</w:t>
            </w:r>
          </w:p>
        </w:tc>
        <w:tc>
          <w:tcPr>
            <w:tcW w:w="174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小计</w:t>
            </w:r>
          </w:p>
        </w:tc>
        <w:tc>
          <w:tcPr>
            <w:tcW w:w="175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人员经费</w:t>
            </w:r>
          </w:p>
        </w:tc>
        <w:tc>
          <w:tcPr>
            <w:tcW w:w="175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公用经费</w:t>
            </w:r>
          </w:p>
        </w:tc>
      </w:tr>
      <w:tr>
        <w:tblPrEx>
          <w:tblLayout w:type="fixed"/>
          <w:tblCellMar>
            <w:top w:w="0" w:type="dxa"/>
            <w:left w:w="108" w:type="dxa"/>
            <w:bottom w:w="0" w:type="dxa"/>
            <w:right w:w="108" w:type="dxa"/>
          </w:tblCellMar>
        </w:tblPrEx>
        <w:trPr>
          <w:trHeight w:val="315" w:hRule="atLeast"/>
        </w:trPr>
        <w:tc>
          <w:tcPr>
            <w:tcW w:w="53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5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2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32"/>
                <w:szCs w:val="32"/>
              </w:rPr>
            </w:pPr>
          </w:p>
        </w:tc>
        <w:tc>
          <w:tcPr>
            <w:tcW w:w="174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32"/>
                <w:szCs w:val="32"/>
              </w:rPr>
            </w:pPr>
          </w:p>
        </w:tc>
        <w:tc>
          <w:tcPr>
            <w:tcW w:w="175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32"/>
                <w:szCs w:val="32"/>
              </w:rPr>
            </w:pPr>
          </w:p>
        </w:tc>
        <w:tc>
          <w:tcPr>
            <w:tcW w:w="175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32"/>
                <w:szCs w:val="32"/>
              </w:rPr>
            </w:pP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01</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基本工资</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119</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119</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津贴补贴</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61.08</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61.08</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03</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奖金</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8.31</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8.31</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伙食补助费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28.98</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28.98</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08</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机关事业单位基本养老保险缴费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30.14</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30.14</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10</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职工基本医疗保险缴费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24.81</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24.81</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公务员医疗补助缴费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10.45</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10.45</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12</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其他社会保障缴费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0.64</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0.64</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13</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住房公积金</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22.61</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22.61</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99</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其他工资福利支出</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4.51</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4.51</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single" w:color="auto" w:sz="4" w:space="0"/>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01</w:t>
            </w:r>
          </w:p>
        </w:tc>
        <w:tc>
          <w:tcPr>
            <w:tcW w:w="2823"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办公费</w:t>
            </w:r>
          </w:p>
        </w:tc>
        <w:tc>
          <w:tcPr>
            <w:tcW w:w="1749"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2.45</w:t>
            </w:r>
          </w:p>
        </w:tc>
        <w:tc>
          <w:tcPr>
            <w:tcW w:w="1753"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2.45</w:t>
            </w:r>
          </w:p>
        </w:tc>
      </w:tr>
      <w:tr>
        <w:tblPrEx>
          <w:tblLayout w:type="fixed"/>
          <w:tblCellMar>
            <w:top w:w="0" w:type="dxa"/>
            <w:left w:w="108" w:type="dxa"/>
            <w:bottom w:w="0" w:type="dxa"/>
            <w:right w:w="108" w:type="dxa"/>
          </w:tblCellMar>
        </w:tblPrEx>
        <w:trPr>
          <w:trHeight w:val="228" w:hRule="atLeast"/>
        </w:trPr>
        <w:tc>
          <w:tcPr>
            <w:tcW w:w="531" w:type="dxa"/>
            <w:tcBorders>
              <w:top w:val="single" w:color="auto" w:sz="4" w:space="0"/>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c>
          <w:tcPr>
            <w:tcW w:w="2823"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印刷费</w:t>
            </w:r>
          </w:p>
        </w:tc>
        <w:tc>
          <w:tcPr>
            <w:tcW w:w="1749"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w:t>
            </w:r>
          </w:p>
        </w:tc>
        <w:tc>
          <w:tcPr>
            <w:tcW w:w="1753"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05</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水费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电费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1.8</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1.8</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07</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邮电费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0.5</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0.5</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08</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取暖费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11.26</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11.26</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09</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物业管理费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0.44</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0.44</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差旅费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5</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5</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13</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维修(护)费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16</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培训费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0.97</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0.97</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17</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公务招待费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0.7</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0.7</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26</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劳务费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委托业务费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28</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工会经费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2.38</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2.38</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29</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福利费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5.47</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5.47</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31</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公务车运行维护费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10.7</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10.7</w:t>
            </w:r>
          </w:p>
        </w:tc>
      </w:tr>
      <w:tr>
        <w:tblPrEx>
          <w:tblLayout w:type="fixed"/>
          <w:tblCellMar>
            <w:top w:w="0" w:type="dxa"/>
            <w:left w:w="108" w:type="dxa"/>
            <w:bottom w:w="0" w:type="dxa"/>
            <w:right w:w="108" w:type="dxa"/>
          </w:tblCellMar>
        </w:tblPrEx>
        <w:trPr>
          <w:trHeight w:val="427"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99</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其他商品和服务支出</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6.35</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6.35</w:t>
            </w:r>
          </w:p>
        </w:tc>
      </w:tr>
      <w:tr>
        <w:tblPrEx>
          <w:tblLayout w:type="fixed"/>
          <w:tblCellMar>
            <w:top w:w="0" w:type="dxa"/>
            <w:left w:w="108" w:type="dxa"/>
            <w:bottom w:w="0" w:type="dxa"/>
            <w:right w:w="108" w:type="dxa"/>
          </w:tblCellMar>
        </w:tblPrEx>
        <w:trPr>
          <w:trHeight w:val="427"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303</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01</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离休费</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27.29</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27.29</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303</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05</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生活补助</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2.76</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2.76</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303</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07</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医疗费补助</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303</w:t>
            </w:r>
          </w:p>
        </w:tc>
        <w:tc>
          <w:tcPr>
            <w:tcW w:w="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09</w:t>
            </w:r>
          </w:p>
        </w:tc>
        <w:tc>
          <w:tcPr>
            <w:tcW w:w="2823"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奖励金</w:t>
            </w:r>
          </w:p>
        </w:tc>
        <w:tc>
          <w:tcPr>
            <w:tcW w:w="174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w:t>
            </w:r>
          </w:p>
        </w:tc>
        <w:tc>
          <w:tcPr>
            <w:tcW w:w="1753"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w:t>
            </w:r>
          </w:p>
        </w:tc>
        <w:tc>
          <w:tcPr>
            <w:tcW w:w="175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28" w:hRule="atLeast"/>
        </w:trPr>
        <w:tc>
          <w:tcPr>
            <w:tcW w:w="531" w:type="dxa"/>
            <w:tcBorders>
              <w:top w:val="single" w:color="auto" w:sz="4" w:space="0"/>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303</w:t>
            </w:r>
          </w:p>
        </w:tc>
        <w:tc>
          <w:tcPr>
            <w:tcW w:w="752"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14</w:t>
            </w:r>
          </w:p>
        </w:tc>
        <w:tc>
          <w:tcPr>
            <w:tcW w:w="2823"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职工住宅取暖费</w:t>
            </w:r>
          </w:p>
        </w:tc>
        <w:tc>
          <w:tcPr>
            <w:tcW w:w="1749"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4.4</w:t>
            </w:r>
          </w:p>
        </w:tc>
        <w:tc>
          <w:tcPr>
            <w:tcW w:w="1753"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4.4</w:t>
            </w:r>
          </w:p>
        </w:tc>
        <w:tc>
          <w:tcPr>
            <w:tcW w:w="1752"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61" w:hRule="atLeast"/>
        </w:trPr>
        <w:tc>
          <w:tcPr>
            <w:tcW w:w="531" w:type="dxa"/>
            <w:tcBorders>
              <w:top w:val="nil"/>
              <w:left w:val="single" w:color="auto" w:sz="4" w:space="0"/>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52" w:type="dxa"/>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823" w:type="dxa"/>
            <w:tcBorders>
              <w:top w:val="nil"/>
              <w:left w:val="nil"/>
              <w:bottom w:val="single" w:color="auto" w:sz="4" w:space="0"/>
              <w:right w:val="single" w:color="auto" w:sz="4" w:space="0"/>
            </w:tcBorders>
            <w:vAlign w:val="center"/>
          </w:tcPr>
          <w:p>
            <w:pPr>
              <w:widowControl/>
              <w:spacing w:line="180" w:lineRule="exact"/>
              <w:jc w:val="center"/>
              <w:rPr>
                <w:rFonts w:ascii="仿宋" w:hAnsi="仿宋" w:eastAsia="仿宋" w:cs="仿宋"/>
                <w:color w:val="000000"/>
                <w:kern w:val="0"/>
                <w:sz w:val="20"/>
                <w:szCs w:val="20"/>
              </w:rPr>
            </w:pPr>
            <w:r>
              <w:rPr>
                <w:rFonts w:hint="eastAsia" w:ascii="仿宋" w:hAnsi="仿宋" w:eastAsia="仿宋" w:cs="仿宋"/>
                <w:b/>
                <w:bCs/>
                <w:color w:val="000000"/>
                <w:kern w:val="0"/>
                <w:sz w:val="20"/>
                <w:szCs w:val="20"/>
              </w:rPr>
              <w:t>合计</w:t>
            </w:r>
          </w:p>
        </w:tc>
        <w:tc>
          <w:tcPr>
            <w:tcW w:w="1749" w:type="dxa"/>
            <w:gridSpan w:val="2"/>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403.1</w:t>
            </w:r>
          </w:p>
        </w:tc>
        <w:tc>
          <w:tcPr>
            <w:tcW w:w="1753" w:type="dxa"/>
            <w:gridSpan w:val="2"/>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347.88</w:t>
            </w:r>
          </w:p>
        </w:tc>
        <w:tc>
          <w:tcPr>
            <w:tcW w:w="1752" w:type="dxa"/>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55.22</w:t>
            </w:r>
          </w:p>
        </w:tc>
      </w:tr>
    </w:tbl>
    <w:p>
      <w:pPr>
        <w:widowControl/>
        <w:spacing w:line="180" w:lineRule="exact"/>
        <w:jc w:val="left"/>
        <w:outlineLvl w:val="1"/>
        <w:rPr>
          <w:rFonts w:ascii="仿宋_GB2312" w:hAnsi="宋体" w:eastAsia="仿宋_GB2312"/>
          <w:b/>
          <w:kern w:val="0"/>
          <w:sz w:val="32"/>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1224"/>
        <w:gridCol w:w="1083"/>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1224"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83"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24"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08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212</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224"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住宅建设与房地产市场监管</w:t>
            </w:r>
          </w:p>
        </w:tc>
        <w:tc>
          <w:tcPr>
            <w:tcW w:w="1083"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建设工程消防验收</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212</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224"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住宅建设与房地产市场监管</w:t>
            </w:r>
          </w:p>
        </w:tc>
        <w:tc>
          <w:tcPr>
            <w:tcW w:w="1083"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农村安居工程质量监督专项监督检查费</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65</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75</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编制单位：昌吉州住房和城乡建设局单位：万元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10.7</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10.7</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编制单位：昌吉州住房和城乡建设局单位：万元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备注：本单位无政府性基金预算支出。</w:t>
      </w:r>
    </w:p>
    <w:p>
      <w:pPr>
        <w:widowControl/>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关于昌吉州住房和城乡建设局2020年收支预算情况的总体说明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按照全口径预算的原则，昌吉州住房和城乡建设局2020年所有收入和支出均纳入部门预算管理。收支总预算478.1万元。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收入预算包括：一般公共预算478.1万元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支出预算包括：城乡社区支出478.1万元。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二、关于昌吉州住房和城乡建设局2020年收入预算情况说明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昌吉州住房和城乡建设局收入预算478.1元，其中：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一般公共预算478.1万元，占100%，比上年增加90.94万元，主要原因是增加项目支出75万元，具体项目为：建设工程消防验收10万元；农村安居工程质量监督专项监督检查费65万元；工资增长增加15.94万元。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政府性基金预算未安排。主要原因是没有政府性基金。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43.22万元，占4.57%，比上年增加6.7万元，主要原是项目资金结转结余41.39万元，其中：安全生产专项结转33.39万元，四五房地产规划编制结转8万元。基本支出结转1.83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三、关于昌吉州住房和城乡建设局2020年支出预算情况说明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昌吉州住房和城乡建设局2020年支出预算478.1万元元，其中：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基本支出403.1万元，占84.31%，比上年增加15.94万元，主要原因是工资增加。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项目支出75万元，占</w:t>
      </w:r>
      <w:r>
        <w:rPr>
          <w:rFonts w:hint="eastAsia" w:ascii="仿宋_GB2312" w:hAnsi="宋体" w:eastAsia="仿宋_GB2312" w:cs="宋体"/>
          <w:kern w:val="0"/>
          <w:sz w:val="32"/>
          <w:szCs w:val="32"/>
          <w:highlight w:val="yellow"/>
          <w:lang w:val="en-US" w:eastAsia="zh-CN"/>
        </w:rPr>
        <w:t>15.69</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，比上年增加75万元，主要原因是增加了项目支出资金75万元，具体项目建设工程消防验收10万元；农村安居工程质量监督专项监督检查费65万元。</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highlight w:val="yellow"/>
        </w:rPr>
        <w:t>四、关于昌吉州住房和城乡建设局2020年财政拨款收支预算情况的总体说明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2020年财政拨款收支总预算478.1万元。</w:t>
      </w:r>
    </w:p>
    <w:p>
      <w:pPr>
        <w:spacing w:line="560" w:lineRule="exact"/>
        <w:ind w:left="638" w:leftChars="304" w:firstLine="0" w:firstLineChars="0"/>
        <w:rPr>
          <w:rFonts w:hint="eastAsia" w:ascii="仿宋_GB2312" w:hAnsi="宋体" w:eastAsia="仿宋_GB2312" w:cs="宋体"/>
          <w:kern w:val="0"/>
          <w:sz w:val="32"/>
          <w:szCs w:val="32"/>
        </w:rPr>
      </w:pPr>
      <w:r>
        <w:rPr>
          <w:rFonts w:hint="eastAsia" w:ascii="仿宋_GB2312" w:hAnsi="宋体" w:eastAsia="仿宋_GB2312" w:cs="宋体"/>
          <w:spacing w:val="-6"/>
          <w:kern w:val="0"/>
          <w:sz w:val="32"/>
          <w:szCs w:val="32"/>
        </w:rPr>
        <w:t>收入全部为一般公共预算拨款，无政府性基金预算拨款。</w:t>
      </w: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478.1</w:t>
      </w:r>
      <w:r>
        <w:rPr>
          <w:rFonts w:hint="eastAsia" w:ascii="仿宋_GB2312" w:hAnsi="宋体" w:eastAsia="仿宋_GB2312" w:cs="宋体"/>
          <w:kern w:val="0"/>
          <w:sz w:val="32"/>
          <w:szCs w:val="32"/>
        </w:rPr>
        <w:t>万元，主要用</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于</w:t>
      </w:r>
      <w:r>
        <w:rPr>
          <w:rFonts w:hint="eastAsia" w:ascii="仿宋_GB2312" w:hAnsi="宋体" w:eastAsia="仿宋_GB2312" w:cs="宋体"/>
          <w:kern w:val="0"/>
          <w:sz w:val="32"/>
          <w:szCs w:val="32"/>
          <w:lang w:val="en-US" w:eastAsia="zh-CN"/>
        </w:rPr>
        <w:t>工资及福利支出、商品服务支出、对个人和家庭的补助支出以及</w:t>
      </w:r>
      <w:r>
        <w:rPr>
          <w:rFonts w:hint="eastAsia" w:ascii="仿宋_GB2312" w:hAnsi="宋体" w:eastAsia="仿宋_GB2312" w:cs="宋体"/>
          <w:kern w:val="0"/>
          <w:sz w:val="32"/>
          <w:szCs w:val="32"/>
        </w:rPr>
        <w:t>建设工程消防验收</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农村安居工程质量监督专项监督检查费。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五、关于昌吉州住房和城乡建设局2020年一般公共预算当年拨款情况说明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2020年一般公共预算拨款基本支出403.1万元，比上年执行数增加15.94万元，增长1.87%。主要原因是：工资增长。一般公共预算拨款项目支出75万元，比上年执行数增加75万元，增长100%，主要原因是增加了项目支出资金75万元，具体项目建设工程消防验收10万元；农村安居工程质量监督专项监督检查费65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2120101</w:t>
      </w:r>
      <w:r>
        <w:rPr>
          <w:rFonts w:hint="eastAsia" w:ascii="仿宋_GB2312" w:eastAsia="仿宋_GB2312"/>
          <w:sz w:val="32"/>
          <w:szCs w:val="32"/>
        </w:rPr>
        <w:t>城乡社区支出</w:t>
      </w:r>
      <w:r>
        <w:rPr>
          <w:rFonts w:hint="eastAsia" w:ascii="仿宋_GB2312" w:eastAsia="仿宋_GB2312"/>
          <w:sz w:val="32"/>
          <w:szCs w:val="32"/>
          <w:lang w:val="en-US" w:eastAsia="zh-CN"/>
        </w:rPr>
        <w:t>403.1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84.31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2.2120109</w:t>
      </w:r>
      <w:r>
        <w:rPr>
          <w:rFonts w:hint="eastAsia" w:ascii="仿宋_GB2312" w:hAnsi="宋体" w:eastAsia="仿宋_GB2312" w:cs="宋体"/>
          <w:kern w:val="0"/>
          <w:sz w:val="32"/>
          <w:szCs w:val="32"/>
        </w:rPr>
        <w:t>住宅建设与房地产市场监督</w:t>
      </w:r>
      <w:r>
        <w:rPr>
          <w:rFonts w:hint="eastAsia" w:ascii="仿宋_GB2312" w:hAnsi="宋体" w:eastAsia="仿宋_GB2312" w:cs="宋体"/>
          <w:kern w:val="0"/>
          <w:sz w:val="32"/>
          <w:szCs w:val="32"/>
          <w:lang w:val="en-US" w:eastAsia="zh-CN"/>
        </w:rPr>
        <w:t>75万元，占15.69%。</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left="638" w:leftChars="304" w:firstLine="0" w:firstLineChars="0"/>
        <w:rPr>
          <w:rFonts w:ascii="仿宋_GB2312" w:hAnsi="宋体" w:eastAsia="仿宋_GB2312" w:cs="宋体"/>
          <w:kern w:val="0"/>
          <w:sz w:val="32"/>
          <w:szCs w:val="32"/>
          <w:highlight w:val="yellow"/>
        </w:rPr>
      </w:pPr>
      <w:r>
        <w:rPr>
          <w:rFonts w:ascii="仿宋_GB2312" w:hAnsi="宋体" w:eastAsia="仿宋_GB2312" w:cs="宋体"/>
          <w:kern w:val="0"/>
          <w:sz w:val="32"/>
          <w:szCs w:val="32"/>
        </w:rPr>
        <w:t>一般公共服务（类）财政事务（款）行政运行（项）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2120101</w:t>
      </w:r>
      <w:r>
        <w:rPr>
          <w:rFonts w:hint="eastAsia" w:ascii="仿宋_GB2312" w:hAnsi="宋体" w:eastAsia="仿宋_GB2312" w:cs="宋体"/>
          <w:kern w:val="0"/>
          <w:sz w:val="32"/>
          <w:szCs w:val="32"/>
        </w:rPr>
        <w:t>城乡社区支出</w:t>
      </w:r>
      <w:r>
        <w:rPr>
          <w:rFonts w:ascii="仿宋_GB2312" w:hAnsi="宋体" w:eastAsia="仿宋_GB2312" w:cs="宋体"/>
          <w:kern w:val="0"/>
          <w:sz w:val="32"/>
          <w:szCs w:val="32"/>
          <w:highlight w:val="yellow"/>
        </w:rPr>
        <w:t>（类）</w:t>
      </w:r>
      <w:r>
        <w:rPr>
          <w:rFonts w:hint="eastAsia" w:ascii="仿宋_GB2312" w:hAnsi="宋体" w:eastAsia="仿宋_GB2312" w:cs="宋体"/>
          <w:kern w:val="0"/>
          <w:sz w:val="32"/>
          <w:szCs w:val="32"/>
        </w:rPr>
        <w:t>城乡社区管理事务</w:t>
      </w:r>
      <w:r>
        <w:rPr>
          <w:rFonts w:ascii="仿宋_GB2312" w:hAnsi="宋体" w:eastAsia="仿宋_GB2312" w:cs="宋体"/>
          <w:kern w:val="0"/>
          <w:sz w:val="32"/>
          <w:szCs w:val="32"/>
          <w:highlight w:val="yellow"/>
        </w:rPr>
        <w:t>（款）</w:t>
      </w:r>
    </w:p>
    <w:p>
      <w:pPr>
        <w:spacing w:line="560" w:lineRule="exact"/>
        <w:rPr>
          <w:rFonts w:ascii="仿宋_GB2312" w:hAnsi="宋体" w:eastAsia="仿宋_GB2312" w:cs="宋体"/>
          <w:kern w:val="0"/>
          <w:sz w:val="32"/>
          <w:szCs w:val="32"/>
        </w:rPr>
      </w:pPr>
      <w:r>
        <w:rPr>
          <w:rFonts w:ascii="仿宋_GB2312" w:hAnsi="宋体" w:eastAsia="仿宋_GB2312" w:cs="宋体"/>
          <w:kern w:val="0"/>
          <w:sz w:val="32"/>
          <w:szCs w:val="32"/>
        </w:rPr>
        <w:t>行政运行</w:t>
      </w:r>
      <w:r>
        <w:rPr>
          <w:rFonts w:ascii="仿宋_GB2312" w:hAnsi="宋体" w:eastAsia="仿宋_GB2312" w:cs="宋体"/>
          <w:kern w:val="0"/>
          <w:sz w:val="32"/>
          <w:szCs w:val="32"/>
          <w:highlight w:val="yellow"/>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403.1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比上年执行数减少167.59万元，下降41.57%，主要原因是：2020年预算中将10名事业单位人员从行政运行中调整到工程建设管理项目（事业人员）中。</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楷体_GB2312" w:hAnsi="宋体" w:eastAsia="楷体_GB2312" w:cs="宋体"/>
          <w:kern w:val="0"/>
          <w:sz w:val="32"/>
          <w:szCs w:val="32"/>
          <w:lang w:val="en-US" w:eastAsia="zh-CN"/>
        </w:rPr>
        <w:t>2120199</w:t>
      </w:r>
      <w:r>
        <w:rPr>
          <w:rFonts w:hint="eastAsia" w:ascii="仿宋_GB2312" w:hAnsi="宋体" w:eastAsia="仿宋_GB2312" w:cs="宋体"/>
          <w:kern w:val="0"/>
          <w:sz w:val="32"/>
          <w:szCs w:val="32"/>
        </w:rPr>
        <w:t>城乡社区支出</w:t>
      </w:r>
      <w:r>
        <w:rPr>
          <w:rFonts w:ascii="仿宋_GB2312" w:hAnsi="宋体" w:eastAsia="仿宋_GB2312" w:cs="宋体"/>
          <w:kern w:val="0"/>
          <w:sz w:val="32"/>
          <w:szCs w:val="32"/>
          <w:highlight w:val="yellow"/>
        </w:rPr>
        <w:t>（类）</w:t>
      </w:r>
      <w:r>
        <w:rPr>
          <w:rFonts w:hint="eastAsia" w:ascii="仿宋_GB2312" w:hAnsi="宋体" w:eastAsia="仿宋_GB2312" w:cs="宋体"/>
          <w:kern w:val="0"/>
          <w:sz w:val="32"/>
          <w:szCs w:val="32"/>
        </w:rPr>
        <w:t>城乡社区管理事务</w:t>
      </w:r>
      <w:r>
        <w:rPr>
          <w:rFonts w:ascii="仿宋_GB2312" w:hAnsi="宋体" w:eastAsia="仿宋_GB2312" w:cs="宋体"/>
          <w:kern w:val="0"/>
          <w:sz w:val="32"/>
          <w:szCs w:val="32"/>
          <w:highlight w:val="yellow"/>
        </w:rPr>
        <w:t>（款）</w:t>
      </w:r>
      <w:r>
        <w:rPr>
          <w:rFonts w:hint="eastAsia" w:ascii="仿宋_GB2312" w:hAnsi="宋体" w:eastAsia="仿宋_GB2312" w:cs="宋体"/>
          <w:kern w:val="0"/>
          <w:sz w:val="32"/>
          <w:szCs w:val="32"/>
        </w:rPr>
        <w:t>住宅建设与房地产市场监督</w:t>
      </w:r>
      <w:r>
        <w:rPr>
          <w:rFonts w:hint="eastAsia" w:ascii="仿宋_GB2312" w:hAnsi="宋体" w:eastAsia="仿宋_GB2312" w:cs="宋体"/>
          <w:kern w:val="0"/>
          <w:sz w:val="32"/>
          <w:szCs w:val="32"/>
          <w:highlight w:val="yellow"/>
        </w:rPr>
        <w:t>（项）</w:t>
      </w:r>
      <w:r>
        <w:rPr>
          <w:rFonts w:hint="eastAsia" w:ascii="仿宋_GB2312" w:hAnsi="宋体" w:eastAsia="仿宋_GB2312" w:cs="宋体"/>
          <w:kern w:val="0"/>
          <w:sz w:val="32"/>
          <w:szCs w:val="32"/>
        </w:rPr>
        <w:t>：2020年预算数为75万元，比上年执行数增加75万元，增长100%，主要原因为增加项目两项，具体项目为：建设工程消防验收10万元；农村安居工程质量监督专项监督检查费65万元。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w:t>
      </w:r>
      <w:r>
        <w:rPr>
          <w:rFonts w:hint="eastAsia" w:ascii="黑体" w:hAnsi="宋体" w:eastAsia="黑体" w:cs="宋体"/>
          <w:kern w:val="0"/>
          <w:sz w:val="32"/>
          <w:szCs w:val="32"/>
          <w:highlight w:val="yellow"/>
        </w:rPr>
        <w:t>、关于昌吉州住房和城乡建设局2020年一般公共预算基本支出情况说明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昌吉州住房和城乡建设局2020年一般公共预算基本支出403.1万元，其中：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347.88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119</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61.08</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8.31</w:t>
      </w:r>
      <w:r>
        <w:rPr>
          <w:rFonts w:hint="eastAsia" w:ascii="仿宋_GB2312" w:hAnsi="宋体" w:eastAsia="仿宋_GB2312" w:cs="宋体"/>
          <w:kern w:val="0"/>
          <w:sz w:val="32"/>
          <w:szCs w:val="32"/>
        </w:rPr>
        <w:t>万元、伙食补助费</w:t>
      </w:r>
      <w:r>
        <w:rPr>
          <w:rFonts w:hint="eastAsia" w:ascii="仿宋_GB2312" w:hAnsi="宋体" w:eastAsia="仿宋_GB2312" w:cs="宋体"/>
          <w:kern w:val="0"/>
          <w:sz w:val="32"/>
          <w:szCs w:val="32"/>
          <w:lang w:val="en-US" w:eastAsia="zh-CN"/>
        </w:rPr>
        <w:t>28.98</w:t>
      </w:r>
      <w:r>
        <w:rPr>
          <w:rFonts w:hint="eastAsia" w:ascii="仿宋_GB2312" w:hAnsi="宋体" w:eastAsia="仿宋_GB2312" w:cs="宋体"/>
          <w:kern w:val="0"/>
          <w:sz w:val="32"/>
          <w:szCs w:val="32"/>
        </w:rPr>
        <w:t xml:space="preserve">   万元、机关事业单位基本养老保险缴费 </w:t>
      </w:r>
      <w:r>
        <w:rPr>
          <w:rFonts w:hint="eastAsia" w:ascii="仿宋_GB2312" w:hAnsi="宋体" w:eastAsia="仿宋_GB2312" w:cs="宋体"/>
          <w:kern w:val="0"/>
          <w:sz w:val="32"/>
          <w:szCs w:val="32"/>
          <w:lang w:val="en-US" w:eastAsia="zh-CN"/>
        </w:rPr>
        <w:t>30.14</w:t>
      </w:r>
      <w:r>
        <w:rPr>
          <w:rFonts w:hint="eastAsia" w:ascii="仿宋_GB2312" w:hAnsi="宋体" w:eastAsia="仿宋_GB2312" w:cs="宋体"/>
          <w:kern w:val="0"/>
          <w:sz w:val="32"/>
          <w:szCs w:val="32"/>
        </w:rPr>
        <w:t>万元、职工基本医疗保险缴费</w:t>
      </w:r>
      <w:r>
        <w:rPr>
          <w:rFonts w:hint="eastAsia" w:ascii="仿宋_GB2312" w:hAnsi="宋体" w:eastAsia="仿宋_GB2312" w:cs="宋体"/>
          <w:kern w:val="0"/>
          <w:sz w:val="32"/>
          <w:szCs w:val="32"/>
          <w:lang w:val="en-US" w:eastAsia="zh-CN"/>
        </w:rPr>
        <w:t>24.81</w:t>
      </w:r>
      <w:r>
        <w:rPr>
          <w:rFonts w:hint="eastAsia" w:ascii="仿宋_GB2312" w:hAnsi="宋体" w:eastAsia="仿宋_GB2312" w:cs="宋体"/>
          <w:kern w:val="0"/>
          <w:sz w:val="32"/>
          <w:szCs w:val="32"/>
        </w:rPr>
        <w:t>万元、公务员医疗补助缴费</w:t>
      </w:r>
      <w:r>
        <w:rPr>
          <w:rFonts w:hint="eastAsia" w:ascii="仿宋_GB2312" w:hAnsi="宋体" w:eastAsia="仿宋_GB2312" w:cs="宋体"/>
          <w:kern w:val="0"/>
          <w:sz w:val="32"/>
          <w:szCs w:val="32"/>
          <w:lang w:val="en-US" w:eastAsia="zh-CN"/>
        </w:rPr>
        <w:t>10.45</w:t>
      </w:r>
      <w:r>
        <w:rPr>
          <w:rFonts w:hint="eastAsia" w:ascii="仿宋_GB2312" w:hAnsi="宋体" w:eastAsia="仿宋_GB2312" w:cs="宋体"/>
          <w:kern w:val="0"/>
          <w:sz w:val="32"/>
          <w:szCs w:val="32"/>
        </w:rPr>
        <w:t>万元、其他社会保障缴费</w:t>
      </w:r>
      <w:r>
        <w:rPr>
          <w:rFonts w:hint="eastAsia" w:ascii="仿宋_GB2312" w:hAnsi="宋体" w:eastAsia="仿宋_GB2312" w:cs="宋体"/>
          <w:kern w:val="0"/>
          <w:sz w:val="32"/>
          <w:szCs w:val="32"/>
          <w:lang w:val="en-US" w:eastAsia="zh-CN"/>
        </w:rPr>
        <w:t>0.64</w:t>
      </w:r>
      <w:r>
        <w:rPr>
          <w:rFonts w:hint="eastAsia" w:ascii="仿宋_GB2312" w:hAnsi="宋体" w:eastAsia="仿宋_GB2312" w:cs="宋体"/>
          <w:kern w:val="0"/>
          <w:sz w:val="32"/>
          <w:szCs w:val="32"/>
        </w:rPr>
        <w:t>万元、住房公积金</w:t>
      </w:r>
      <w:r>
        <w:rPr>
          <w:rFonts w:hint="eastAsia" w:ascii="仿宋_GB2312" w:hAnsi="宋体" w:eastAsia="仿宋_GB2312" w:cs="宋体"/>
          <w:kern w:val="0"/>
          <w:sz w:val="32"/>
          <w:szCs w:val="32"/>
          <w:lang w:val="en-US" w:eastAsia="zh-CN"/>
        </w:rPr>
        <w:t>22.61</w:t>
      </w:r>
      <w:r>
        <w:rPr>
          <w:rFonts w:hint="eastAsia" w:ascii="仿宋_GB2312" w:hAnsi="宋体" w:eastAsia="仿宋_GB2312" w:cs="宋体"/>
          <w:kern w:val="0"/>
          <w:sz w:val="32"/>
          <w:szCs w:val="32"/>
        </w:rPr>
        <w:t>万元、其他工资福利支出</w:t>
      </w:r>
      <w:r>
        <w:rPr>
          <w:rFonts w:hint="eastAsia" w:ascii="仿宋_GB2312" w:hAnsi="宋体" w:eastAsia="仿宋_GB2312" w:cs="宋体"/>
          <w:kern w:val="0"/>
          <w:sz w:val="32"/>
          <w:szCs w:val="32"/>
          <w:lang w:val="en-US" w:eastAsia="zh-CN"/>
        </w:rPr>
        <w:t>4.51</w:t>
      </w:r>
      <w:r>
        <w:rPr>
          <w:rFonts w:hint="eastAsia" w:ascii="仿宋_GB2312" w:hAnsi="宋体" w:eastAsia="仿宋_GB2312" w:cs="宋体"/>
          <w:kern w:val="0"/>
          <w:sz w:val="32"/>
          <w:szCs w:val="32"/>
        </w:rPr>
        <w:t>万元、离休费</w:t>
      </w:r>
      <w:r>
        <w:rPr>
          <w:rFonts w:hint="eastAsia" w:ascii="仿宋_GB2312" w:hAnsi="宋体" w:eastAsia="仿宋_GB2312" w:cs="宋体"/>
          <w:kern w:val="0"/>
          <w:sz w:val="32"/>
          <w:szCs w:val="32"/>
          <w:lang w:val="en-US" w:eastAsia="zh-CN"/>
        </w:rPr>
        <w:t>27.29</w:t>
      </w:r>
      <w:r>
        <w:rPr>
          <w:rFonts w:hint="eastAsia" w:ascii="仿宋_GB2312" w:hAnsi="宋体" w:eastAsia="仿宋_GB2312" w:cs="宋体"/>
          <w:kern w:val="0"/>
          <w:sz w:val="32"/>
          <w:szCs w:val="32"/>
        </w:rPr>
        <w:t>万元、生活补助</w:t>
      </w:r>
      <w:r>
        <w:rPr>
          <w:rFonts w:hint="eastAsia" w:ascii="仿宋_GB2312" w:hAnsi="宋体" w:eastAsia="仿宋_GB2312" w:cs="宋体"/>
          <w:kern w:val="0"/>
          <w:sz w:val="32"/>
          <w:szCs w:val="32"/>
          <w:lang w:val="en-US" w:eastAsia="zh-CN"/>
        </w:rPr>
        <w:t>2.76</w:t>
      </w:r>
      <w:r>
        <w:rPr>
          <w:rFonts w:hint="eastAsia" w:ascii="仿宋_GB2312" w:hAnsi="宋体" w:eastAsia="仿宋_GB2312" w:cs="宋体"/>
          <w:kern w:val="0"/>
          <w:sz w:val="32"/>
          <w:szCs w:val="32"/>
        </w:rPr>
        <w:t>万元、医疗费补助</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万元、奖励金</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职工住宅取暖费4.4万元</w:t>
      </w:r>
      <w:r>
        <w:rPr>
          <w:rFonts w:hint="eastAsia" w:ascii="仿宋_GB2312" w:hAnsi="宋体" w:eastAsia="仿宋_GB2312" w:cs="宋体"/>
          <w:kern w:val="0"/>
          <w:sz w:val="32"/>
          <w:szCs w:val="32"/>
        </w:rPr>
        <w:t>等。</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公用经费55.22万元，主要包括：办公费2.45万元、印刷费1万元、水费0.2万元、电费1.8万元、邮电费0.5万元、取暖费11.26万元、物业管理费0.44万元、差旅费5万元、维修（护）费3万元、培训费0.97万元、公务接待费0.7万元、劳务费1万元、委托业务费2万元、工会经费2.38万元、福利费5.47万元、公务用车运行维护费10.7万元、其他商品和服务支出6.35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七、关于昌吉州住房和城乡建设局2020年项目支出情况说明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：建设工程消防验收</w:t>
      </w:r>
    </w:p>
    <w:p>
      <w:pPr>
        <w:spacing w:line="560" w:lineRule="exact"/>
        <w:ind w:firstLine="640" w:firstLineChars="200"/>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宋体" w:hAnsi="宋体"/>
          <w:sz w:val="32"/>
          <w:szCs w:val="32"/>
        </w:rPr>
        <w:t>《</w:t>
      </w:r>
      <w:r>
        <w:rPr>
          <w:rFonts w:hint="eastAsia" w:ascii="仿宋" w:hAnsi="仿宋" w:eastAsia="仿宋" w:cs="仿宋"/>
          <w:sz w:val="32"/>
          <w:szCs w:val="32"/>
        </w:rPr>
        <w:t>中华人民共和国消防法》、住建部应急管理部《关于做好移交承接建设工程消防设计审查验收职责的通知》，明确建设工程消防设计审核以及消防验收、备案和抽查职责正式移交住房和城乡建设部门，住房和城乡建设主管部门承接的是原公安部指导建设工程消防设计审查验收职责。</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年度预算资金10万元；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：昌吉州住房和城乡建设局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聘请专家对15项大型商业综合体和特殊工程进行消防验收</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：2020年3月1日至12月31日</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：农村安居工程质量监督专项监督检查费</w:t>
      </w:r>
    </w:p>
    <w:p>
      <w:pPr>
        <w:spacing w:line="560" w:lineRule="exact"/>
        <w:ind w:firstLine="640" w:firstLineChars="200"/>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sz w:val="32"/>
          <w:szCs w:val="32"/>
        </w:rPr>
        <w:t>根据《关于全面推进自治区安居富民工程建设的实施意见》（新政发[2012]42号）文件要求，各级安居富民办公室要加强对农村安居工程建设的技术指导与监督管理，州住建局通过聘请专业监理对全州6517户农村安居工程进行工程质量安全监督。</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sz w:val="32"/>
          <w:szCs w:val="32"/>
        </w:rPr>
        <w:t>预算安排规模：</w:t>
      </w:r>
      <w:r>
        <w:rPr>
          <w:rFonts w:hint="eastAsia" w:ascii="仿宋" w:hAnsi="仿宋" w:eastAsia="仿宋" w:cs="仿宋"/>
          <w:kern w:val="0"/>
          <w:sz w:val="32"/>
          <w:szCs w:val="32"/>
        </w:rPr>
        <w:t>年度预算资金65万元；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：昌吉州住房和城乡建设局</w:t>
      </w:r>
    </w:p>
    <w:p>
      <w:pPr>
        <w:spacing w:line="560" w:lineRule="exact"/>
        <w:ind w:firstLine="640" w:firstLineChars="200"/>
        <w:rPr>
          <w:rFonts w:ascii="仿宋_GB2312" w:hAnsi="仿宋_GB2312" w:eastAsia="仿宋_GB2312" w:cs="仿宋_GB2312"/>
          <w:color w:val="00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color w:val="000000"/>
          <w:sz w:val="32"/>
          <w:szCs w:val="32"/>
        </w:rPr>
        <w:t>计划聘请10名专业监理长期下沉基层一线，对全州6517户农村安居工程的工程进度、质量安全、档案管理等实施全过程监督。</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：2020年3月10日至6月30日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八、关于昌吉州住房和城乡建设局2020年一般公共预算“三公”经费预算情况说明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昌吉州住房和城乡建设局2020年“三公”经费财政拨款预算数为11.4万元，其中：因公出国（境）费0万元，公务用车购置0万元，公务用车运行费10.7万元，公务接待费0.7万元。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2020年“三公”经费财政拨款预算比上年减少0.22万元，其中：因公出国（境）费增加（减少）</w:t>
      </w:r>
      <w:r>
        <w:rPr>
          <w:rFonts w:hint="eastAsia" w:ascii="仿宋_GB2312" w:hAnsi="宋体" w:eastAsia="仿宋_GB2312" w:cs="宋体"/>
          <w:kern w:val="0"/>
          <w:sz w:val="32"/>
          <w:szCs w:val="32"/>
          <w:highlight w:val="yellow"/>
        </w:rPr>
        <w:t>0</w:t>
      </w:r>
      <w:r>
        <w:rPr>
          <w:rFonts w:hint="eastAsia" w:ascii="仿宋_GB2312" w:hAnsi="宋体" w:eastAsia="仿宋_GB2312" w:cs="宋体"/>
          <w:kern w:val="0"/>
          <w:sz w:val="32"/>
          <w:szCs w:val="32"/>
        </w:rPr>
        <w:t>万元，主要原因是无因公出国（境）费用；公务用车购置费为0，未安排预算。公务用车运行费减少0.09万元，主要原因是加强对公务用车的管理，降低车辆费用；公务接待费减少0.13万元，主要原因是严</w:t>
      </w:r>
      <w:bookmarkStart w:id="0" w:name="_GoBack"/>
      <w:bookmarkEnd w:id="0"/>
      <w:r>
        <w:rPr>
          <w:rFonts w:hint="eastAsia" w:ascii="仿宋_GB2312" w:hAnsi="宋体" w:eastAsia="仿宋_GB2312" w:cs="宋体"/>
          <w:kern w:val="0"/>
          <w:sz w:val="32"/>
          <w:szCs w:val="32"/>
        </w:rPr>
        <w:t>格执行中央八项及区州十项规定，节约开支。</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九、关于昌吉州住房和城乡建设局2020年政府性基金预算拨款情况说明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2020年，昌吉州住房和城乡建设局的机关运行经费财政拨款预算55.22万元，比上年预算减少1.58万元，下降15.7%。主要原因是压减公用经费，节约开支，降低费用。</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2020年，昌吉州住房和城乡建设局政府采购预算266.52万元，其中：政府采购货物预算210.02万元，政府采购工程预算26万元，政府采购服务预算30.5万元。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2020年度本部门面向中小企业预留政府采购项目预算金额万元，其中：面向小微企业预留政府采购项目预算金额万元。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截至2019年底，昌吉州住房和城乡建设局部门及下属各预算单位占用使用国有资产总体情况为：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1.房屋534.1平方米，价值54.54万元。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2.车辆5辆，价值135.37万元；其中：一般公务用车5辆，价值135.37万元；执法执勤用车0辆，价值0万元；其他车辆0辆，价值0万元。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3.办公家具价值47.56万元。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4.其他资产价值39.28万元。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2020年度，本年度实行绩效管理的项目2个，涉及预算金额75万元。具体情况见下表（按项目分别填报）：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昌吉州住房和城乡建设局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建设工程消防验收</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本部门负责建筑行业质量安全监管、房地产市场调控管理、基础设施建设管理、全州建筑工程消防验收。目标一、通过聘请专家对大型商业综合体以及化工等特殊工程项目开展建设工程消防验收工作，确保工程消防合格；目标二、进一步提升昌吉州住建局对大型商业综合体以及化工等特殊项目验收人员的整体素质，提高把控隐患的专业技术能力，熟悉掌握各项法律法规以及验收标准，规范监督程序和行为，强化监督管理；目标三、有效提升群众消防安全意识，确保人民生命财产安全。</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投入聘请专家验收大型商业及特殊工程消防资金额（万元）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进行消防验收及时率（%）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jc w:val="center"/>
            </w:pPr>
            <w:r>
              <w:rPr>
                <w:rFonts w:hint="eastAsia"/>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大型商业综合体及化工等特殊项目消防验收数量（项）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聘请专家人数（人）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45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开展消防验收需要的天数（天）</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60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形成消防验收报告数量（份）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验收已竣工大型商业及化工等特殊工程覆盖率（%）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确保消防合格，有效保障人民生命财产安全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有效保障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有效提升群众消防安全意识</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有效提升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社会公众满意率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8669" w:type="dxa"/>
        <w:tblInd w:w="93" w:type="dxa"/>
        <w:tblLayout w:type="fixed"/>
        <w:tblCellMar>
          <w:top w:w="0" w:type="dxa"/>
          <w:left w:w="108" w:type="dxa"/>
          <w:bottom w:w="0" w:type="dxa"/>
          <w:right w:w="108" w:type="dxa"/>
        </w:tblCellMar>
      </w:tblPr>
      <w:tblGrid>
        <w:gridCol w:w="1549"/>
        <w:gridCol w:w="1569"/>
        <w:gridCol w:w="236"/>
        <w:gridCol w:w="378"/>
        <w:gridCol w:w="535"/>
        <w:gridCol w:w="388"/>
        <w:gridCol w:w="24"/>
        <w:gridCol w:w="123"/>
        <w:gridCol w:w="740"/>
        <w:gridCol w:w="24"/>
        <w:gridCol w:w="123"/>
        <w:gridCol w:w="420"/>
        <w:gridCol w:w="147"/>
        <w:gridCol w:w="694"/>
        <w:gridCol w:w="427"/>
        <w:gridCol w:w="640"/>
        <w:gridCol w:w="505"/>
        <w:gridCol w:w="24"/>
        <w:gridCol w:w="123"/>
      </w:tblGrid>
      <w:tr>
        <w:tblPrEx>
          <w:tblLayout w:type="fixed"/>
          <w:tblCellMar>
            <w:top w:w="0" w:type="dxa"/>
            <w:left w:w="108" w:type="dxa"/>
            <w:bottom w:w="0" w:type="dxa"/>
            <w:right w:w="108" w:type="dxa"/>
          </w:tblCellMar>
        </w:tblPrEx>
        <w:trPr>
          <w:gridAfter w:val="2"/>
          <w:wAfter w:w="147" w:type="dxa"/>
          <w:trHeight w:val="406" w:hRule="atLeast"/>
        </w:trPr>
        <w:tc>
          <w:tcPr>
            <w:tcW w:w="8522" w:type="dxa"/>
            <w:gridSpan w:val="17"/>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blPrEx>
          <w:tblLayout w:type="fixed"/>
          <w:tblCellMar>
            <w:top w:w="0" w:type="dxa"/>
            <w:left w:w="108" w:type="dxa"/>
            <w:bottom w:w="0" w:type="dxa"/>
            <w:right w:w="108" w:type="dxa"/>
          </w:tblCellMar>
        </w:tblPrEx>
        <w:trPr>
          <w:trHeight w:val="271" w:hRule="atLeast"/>
        </w:trPr>
        <w:tc>
          <w:tcPr>
            <w:tcW w:w="15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56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78"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53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53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887"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567"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121"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640"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652"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gridAfter w:val="2"/>
          <w:wAfter w:w="147" w:type="dxa"/>
          <w:trHeight w:val="271" w:hRule="atLeast"/>
        </w:trPr>
        <w:tc>
          <w:tcPr>
            <w:tcW w:w="15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10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昌吉州住房和城乡建设局</w:t>
            </w:r>
          </w:p>
        </w:tc>
        <w:tc>
          <w:tcPr>
            <w:tcW w:w="88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980" w:type="dxa"/>
            <w:gridSpan w:val="8"/>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农村安居工程质量监督专项监督检查费</w:t>
            </w:r>
          </w:p>
        </w:tc>
      </w:tr>
      <w:tr>
        <w:tblPrEx>
          <w:tblLayout w:type="fixed"/>
          <w:tblCellMar>
            <w:top w:w="0" w:type="dxa"/>
            <w:left w:w="108" w:type="dxa"/>
            <w:bottom w:w="0" w:type="dxa"/>
            <w:right w:w="108" w:type="dxa"/>
          </w:tblCellMar>
        </w:tblPrEx>
        <w:trPr>
          <w:gridAfter w:val="1"/>
          <w:wAfter w:w="123" w:type="dxa"/>
          <w:trHeight w:val="451" w:hRule="atLeast"/>
        </w:trPr>
        <w:tc>
          <w:tcPr>
            <w:tcW w:w="15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65</w:t>
            </w:r>
          </w:p>
        </w:tc>
        <w:tc>
          <w:tcPr>
            <w:tcW w:w="1325"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87"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65</w:t>
            </w:r>
          </w:p>
        </w:tc>
        <w:tc>
          <w:tcPr>
            <w:tcW w:w="1384"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96"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gridAfter w:val="2"/>
          <w:wAfter w:w="147" w:type="dxa"/>
          <w:trHeight w:val="401" w:hRule="atLeast"/>
        </w:trPr>
        <w:tc>
          <w:tcPr>
            <w:tcW w:w="154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973" w:type="dxa"/>
            <w:gridSpan w:val="16"/>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本部门负责建筑行业质量安全监管、房地产市场调控管理、基础设施建设管理、全州建筑工程消防验收。目标一、通过聘请14名专业监理，对全州农村安居工程建设过程的监督管理，定期开展农村安居工程质量监督检查、现场技术服务和指导，确保农村安居工程项目质量合格；目标二：有效改善农村居民住房条件，保障居民住房安全。</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9"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56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投入质量安全监督金额（万元）　</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65　</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农村安居工程竣工率（%）</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对农村安居工程进行工程质量安全监督的户数（户）</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6517　</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聘请监理工程师的人数（人）</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　</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对农村安居工程进行工程监督检查覆盖率（%）</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聘请监理工程师的每户价格（元）</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农村安居工程工程量完成率（%）</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农村安居工程质量安全达标率（%）</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2"/>
          <w:wAfter w:w="147" w:type="dxa"/>
          <w:trHeight w:val="283" w:hRule="atLeast"/>
        </w:trPr>
        <w:tc>
          <w:tcPr>
            <w:tcW w:w="1549"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ind w:firstLine="220" w:firstLineChars="100"/>
              <w:jc w:val="left"/>
              <w:textAlignment w:val="center"/>
              <w:rPr>
                <w:rFonts w:ascii="宋体" w:hAnsi="宋体" w:cs="宋体"/>
                <w:kern w:val="0"/>
                <w:sz w:val="18"/>
                <w:szCs w:val="18"/>
              </w:rPr>
            </w:pPr>
            <w:r>
              <w:rPr>
                <w:rFonts w:hint="eastAsia" w:ascii="宋体" w:hAnsi="宋体" w:cs="宋体"/>
                <w:color w:val="000000"/>
                <w:kern w:val="0"/>
                <w:sz w:val="22"/>
                <w:szCs w:val="22"/>
                <w:lang w:bidi="ar"/>
              </w:rPr>
              <w:t>有效改善农村居民住房条件</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有效改善　</w:t>
            </w:r>
          </w:p>
        </w:tc>
      </w:tr>
      <w:tr>
        <w:tblPrEx>
          <w:tblLayout w:type="fixed"/>
          <w:tblCellMar>
            <w:top w:w="0" w:type="dxa"/>
            <w:left w:w="108" w:type="dxa"/>
            <w:bottom w:w="0" w:type="dxa"/>
            <w:right w:w="108" w:type="dxa"/>
          </w:tblCellMar>
        </w:tblPrEx>
        <w:trPr>
          <w:gridAfter w:val="2"/>
          <w:wAfter w:w="147" w:type="dxa"/>
          <w:trHeight w:val="283" w:hRule="atLeast"/>
        </w:trPr>
        <w:tc>
          <w:tcPr>
            <w:tcW w:w="1549"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6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ind w:firstLine="220" w:firstLineChars="100"/>
              <w:jc w:val="left"/>
              <w:textAlignment w:val="center"/>
              <w:rPr>
                <w:rFonts w:ascii="宋体" w:hAnsi="宋体" w:cs="宋体"/>
                <w:kern w:val="0"/>
                <w:sz w:val="18"/>
                <w:szCs w:val="18"/>
              </w:rPr>
            </w:pPr>
            <w:r>
              <w:rPr>
                <w:rFonts w:hint="eastAsia" w:ascii="宋体" w:hAnsi="宋体" w:cs="宋体"/>
                <w:color w:val="000000"/>
                <w:kern w:val="0"/>
                <w:sz w:val="22"/>
                <w:szCs w:val="22"/>
                <w:lang w:bidi="ar"/>
              </w:rPr>
              <w:t>有效保障农村居民住房安全</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有效保障</w:t>
            </w:r>
          </w:p>
        </w:tc>
      </w:tr>
      <w:tr>
        <w:tblPrEx>
          <w:tblLayout w:type="fixed"/>
          <w:tblCellMar>
            <w:top w:w="0" w:type="dxa"/>
            <w:left w:w="108" w:type="dxa"/>
            <w:bottom w:w="0" w:type="dxa"/>
            <w:right w:w="108" w:type="dxa"/>
          </w:tblCellMar>
        </w:tblPrEx>
        <w:trPr>
          <w:gridAfter w:val="2"/>
          <w:wAfter w:w="147" w:type="dxa"/>
          <w:trHeight w:val="271" w:hRule="atLeast"/>
        </w:trPr>
        <w:tc>
          <w:tcPr>
            <w:tcW w:w="154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56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991" w:type="dxa"/>
            <w:gridSpan w:val="10"/>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社会公众满意率</w:t>
            </w:r>
          </w:p>
        </w:tc>
        <w:tc>
          <w:tcPr>
            <w:tcW w:w="241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bl>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w:t>
      </w:r>
    </w:p>
    <w:p>
      <w:pPr>
        <w:widowControl/>
        <w:spacing w:line="520" w:lineRule="exact"/>
        <w:jc w:val="cente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Dialog">
    <w:altName w:val="Times New Roman"/>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t>35</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-12-</w:t>
    </w:r>
    <w:r>
      <w:rPr>
        <w:rFonts w:ascii="宋体" w:hAnsi="宋体" w:eastAsia="宋体"/>
        <w:sz w:val="28"/>
        <w:szCs w:val="28"/>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206E59"/>
    <w:rsid w:val="002A1A64"/>
    <w:rsid w:val="002D25AF"/>
    <w:rsid w:val="003E370E"/>
    <w:rsid w:val="00553884"/>
    <w:rsid w:val="005618A6"/>
    <w:rsid w:val="00575B0A"/>
    <w:rsid w:val="007D1D40"/>
    <w:rsid w:val="00882832"/>
    <w:rsid w:val="008869A9"/>
    <w:rsid w:val="0091715F"/>
    <w:rsid w:val="00944B81"/>
    <w:rsid w:val="00955479"/>
    <w:rsid w:val="00B3138D"/>
    <w:rsid w:val="00BE73A5"/>
    <w:rsid w:val="00C8617D"/>
    <w:rsid w:val="00D00CDC"/>
    <w:rsid w:val="00D85033"/>
    <w:rsid w:val="00EA110E"/>
    <w:rsid w:val="024A6D8E"/>
    <w:rsid w:val="0890501B"/>
    <w:rsid w:val="0E3E3832"/>
    <w:rsid w:val="10CB586F"/>
    <w:rsid w:val="14793A95"/>
    <w:rsid w:val="16BD575F"/>
    <w:rsid w:val="1FB93EF3"/>
    <w:rsid w:val="202D587C"/>
    <w:rsid w:val="22C91F74"/>
    <w:rsid w:val="23FD0F21"/>
    <w:rsid w:val="25B8396A"/>
    <w:rsid w:val="270F13A4"/>
    <w:rsid w:val="27C83206"/>
    <w:rsid w:val="28503978"/>
    <w:rsid w:val="2A314030"/>
    <w:rsid w:val="2D481D80"/>
    <w:rsid w:val="2E4C4F4B"/>
    <w:rsid w:val="345C4FCF"/>
    <w:rsid w:val="3494258B"/>
    <w:rsid w:val="350569DD"/>
    <w:rsid w:val="37F67EA5"/>
    <w:rsid w:val="387A32C3"/>
    <w:rsid w:val="3A1F2884"/>
    <w:rsid w:val="3BEE32A5"/>
    <w:rsid w:val="3CB15D23"/>
    <w:rsid w:val="3E2171F8"/>
    <w:rsid w:val="3EC0323A"/>
    <w:rsid w:val="433A3757"/>
    <w:rsid w:val="44140E58"/>
    <w:rsid w:val="46A112A5"/>
    <w:rsid w:val="46CE79E5"/>
    <w:rsid w:val="49E348FB"/>
    <w:rsid w:val="4AD823CF"/>
    <w:rsid w:val="4D710704"/>
    <w:rsid w:val="4EC916D1"/>
    <w:rsid w:val="4EF672B4"/>
    <w:rsid w:val="4F4F00A8"/>
    <w:rsid w:val="50794D78"/>
    <w:rsid w:val="55DE4898"/>
    <w:rsid w:val="55F50500"/>
    <w:rsid w:val="56E1772B"/>
    <w:rsid w:val="56EE0304"/>
    <w:rsid w:val="570A6878"/>
    <w:rsid w:val="58692BB2"/>
    <w:rsid w:val="5A1E4FEE"/>
    <w:rsid w:val="5D454DEE"/>
    <w:rsid w:val="60DF0911"/>
    <w:rsid w:val="60FD2E19"/>
    <w:rsid w:val="6384569F"/>
    <w:rsid w:val="63F0543A"/>
    <w:rsid w:val="63FC7DF3"/>
    <w:rsid w:val="67842731"/>
    <w:rsid w:val="6C074EA2"/>
    <w:rsid w:val="6C9D6DCE"/>
    <w:rsid w:val="6DB2551B"/>
    <w:rsid w:val="6F057F24"/>
    <w:rsid w:val="732563C0"/>
    <w:rsid w:val="73CC0742"/>
    <w:rsid w:val="741A69A8"/>
    <w:rsid w:val="771C19BD"/>
    <w:rsid w:val="7B3540BE"/>
    <w:rsid w:val="7C9C1E7F"/>
    <w:rsid w:val="7D703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字符"/>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字符"/>
    <w:basedOn w:val="9"/>
    <w:link w:val="5"/>
    <w:qFormat/>
    <w:uiPriority w:val="0"/>
    <w:rPr>
      <w:rFonts w:ascii="Times New Roman" w:hAnsi="Times New Roman" w:eastAsia="仿宋_GB2312" w:cs="Times New Roman"/>
      <w:sz w:val="32"/>
      <w:szCs w:val="24"/>
      <w:lang w:val="zh-CN" w:eastAsia="zh-CN"/>
    </w:rPr>
  </w:style>
  <w:style w:type="paragraph" w:customStyle="1" w:styleId="17">
    <w:name w:val="列出段落1"/>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 w:type="character" w:customStyle="1" w:styleId="21">
    <w:name w:val="font11"/>
    <w:basedOn w:val="9"/>
    <w:qFormat/>
    <w:uiPriority w:val="0"/>
    <w:rPr>
      <w:rFonts w:ascii="Dialog" w:hAnsi="Dialog" w:eastAsia="Dialog" w:cs="Dialog"/>
      <w:color w:val="000000"/>
      <w:sz w:val="20"/>
      <w:szCs w:val="20"/>
      <w:u w:val="none"/>
    </w:rPr>
  </w:style>
  <w:style w:type="character" w:customStyle="1" w:styleId="22">
    <w:name w:val="font2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1E1C0-793D-4D5D-A67D-E21EA1F2D2C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1591</Words>
  <Characters>9069</Characters>
  <Lines>75</Lines>
  <Paragraphs>21</Paragraphs>
  <TotalTime>0</TotalTime>
  <ScaleCrop>false</ScaleCrop>
  <LinksUpToDate>false</LinksUpToDate>
  <CharactersWithSpaces>10639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cw01</cp:lastModifiedBy>
  <cp:lastPrinted>2021-05-28T03:59:17Z</cp:lastPrinted>
  <dcterms:modified xsi:type="dcterms:W3CDTF">2021-05-28T04:07:25Z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