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昌吉州交通运输局2020年部门预算公开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第一部分昌吉州交通运输局部门单位概况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一、关于昌吉州交通运输局部门2020年收支预算情况的总体说明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二、关于昌吉州交通运输局部门2020年收入预算情况说明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三、关于昌吉州交通运输局部门2020年支出预算情况说明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昌吉州交通运输局</w:t>
      </w:r>
      <w:r>
        <w:rPr>
          <w:rFonts w:hint="eastAsia" w:ascii="仿宋_GB2312" w:hAnsi="宋体" w:eastAsia="仿宋_GB2312"/>
          <w:bCs/>
          <w:kern w:val="0"/>
          <w:sz w:val="32"/>
          <w:szCs w:val="32"/>
        </w:rPr>
        <w:t>部门</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五、关于昌吉州交通运输局部门2020年一般公共预算当年拨款情况说明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六、关于昌吉州交通运输局部门2020年一般公共预算基本支出情况说明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七、关于昌吉州交通运输局部门2020年项目支出情况说明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八、关于昌吉州交通运输局部门2020年一般公共预算“三公”经费预算情况说明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九、关于昌吉州交通运输局部门2020年政府性基金预算拨款情况说明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widowControl/>
        <w:jc w:val="center"/>
        <w:outlineLvl w:val="1"/>
        <w:rPr>
          <w:rFonts w:ascii="黑体" w:hAnsi="黑体" w:eastAsia="黑体"/>
          <w:kern w:val="0"/>
          <w:sz w:val="32"/>
          <w:szCs w:val="32"/>
        </w:rPr>
      </w:pPr>
    </w:p>
    <w:p>
      <w:pPr>
        <w:rPr>
          <w:rFonts w:ascii="黑体" w:hAnsi="黑体" w:eastAsia="黑体"/>
          <w:kern w:val="0"/>
          <w:sz w:val="32"/>
          <w:szCs w:val="32"/>
        </w:rPr>
      </w:pPr>
      <w:r>
        <w:rPr>
          <w:rFonts w:hint="eastAsia" w:ascii="黑体" w:hAnsi="黑体" w:eastAsia="黑体"/>
          <w:kern w:val="0"/>
          <w:sz w:val="32"/>
          <w:szCs w:val="32"/>
        </w:rPr>
        <w:br w:type="page"/>
      </w:r>
    </w:p>
    <w:p>
      <w:pPr>
        <w:widowControl/>
        <w:spacing w:line="360" w:lineRule="auto"/>
        <w:jc w:val="center"/>
        <w:outlineLvl w:val="1"/>
        <w:rPr>
          <w:rFonts w:ascii="黑体" w:hAnsi="黑体" w:eastAsia="黑体"/>
          <w:kern w:val="0"/>
          <w:sz w:val="32"/>
          <w:szCs w:val="32"/>
        </w:rPr>
      </w:pPr>
      <w:r>
        <w:rPr>
          <w:rFonts w:hint="eastAsia" w:ascii="黑体" w:hAnsi="黑体" w:eastAsia="黑体"/>
          <w:kern w:val="0"/>
          <w:sz w:val="32"/>
          <w:szCs w:val="32"/>
        </w:rPr>
        <w:t>第一部分昌吉州交通运输局部门单位概况</w:t>
      </w:r>
    </w:p>
    <w:p>
      <w:pPr>
        <w:widowControl/>
        <w:spacing w:line="360" w:lineRule="auto"/>
        <w:ind w:firstLine="640" w:firstLineChars="200"/>
        <w:jc w:val="left"/>
        <w:outlineLvl w:val="1"/>
        <w:rPr>
          <w:rFonts w:ascii="黑体" w:hAnsi="黑体" w:eastAsia="黑体"/>
          <w:kern w:val="0"/>
          <w:sz w:val="32"/>
          <w:szCs w:val="32"/>
        </w:rPr>
      </w:pPr>
      <w:r>
        <w:rPr>
          <w:rFonts w:hint="eastAsia" w:ascii="黑体" w:hAnsi="黑体" w:eastAsia="黑体"/>
          <w:kern w:val="0"/>
          <w:sz w:val="32"/>
          <w:szCs w:val="32"/>
        </w:rPr>
        <w:t>一、主要职能</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（一）贯彻落实国家和自治区有关公路交通运输行业的方针、政策、法规，并组织实施和监督检查；起草有关地方性法规、政府规章草案和政策措施，并监督实施。</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（二）拟订自治州农村公路交通运输发展规划、计划，并监督实施；参与拟订自治州运输物流业发展战略与规划。</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（三）组织自治州道路运输管理工作。指导城乡交通运输协调发展和城乡交通运输一体化，负责城市公交、出租汽车行业管理工作；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承担农村公路建设市场监管工作。承担管辖农村公路建设项目的招投标监督管理、市场准入、竣工验收和质量监督工作。监督实施公路工程建设相关政策、制度和技术标准，组织协调自治州公路重点工程建设和工程质量、安全生产监督管理工作，维护交通基础设施建设秩序。</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（五）承担自治州农村公路养护管理责任。</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（六）负责并指导自治州交通行业财务、审计、统计工作；会同有关部门拟定交通运输行业价格。</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（七）指导交通运输行业体制改革。</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（八）负责交通运输行业安全生产的监督管理。</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贯彻执行交通行业科技政策、技术标准和规范；指导自治州交通运输行业职业教育、培训、职工队伍建设和精神文明建设工作，指导自治州交通运输行业环境保护和节能减排工作。组织交通运输行业统计、运行分析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（十）指导自治州交通运输行业开展国际经济技术合作与交流及利用外资工作，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（十一）监督指导交通运输综合行政执法工作‘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（十二）负责自治州交通战备工作。</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（十三）完成自治州党委、自治州人民政府交办的其他任务。</w:t>
      </w: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从预算单位构成看，</w:t>
      </w:r>
      <w:r>
        <w:rPr>
          <w:rFonts w:hint="eastAsia" w:ascii="仿宋_GB2312" w:hAnsi="宋体" w:eastAsia="仿宋_GB2312"/>
          <w:kern w:val="0"/>
          <w:sz w:val="32"/>
          <w:szCs w:val="32"/>
        </w:rPr>
        <w:t>昌吉州交通运输局</w:t>
      </w:r>
      <w:r>
        <w:rPr>
          <w:rFonts w:hint="eastAsia" w:ascii="仿宋_GB2312" w:hAnsi="宋体" w:eastAsia="仿宋_GB2312" w:cs="宋体"/>
          <w:kern w:val="0"/>
          <w:sz w:val="32"/>
          <w:szCs w:val="32"/>
        </w:rPr>
        <w:t>部门预算包括：</w:t>
      </w:r>
      <w:r>
        <w:rPr>
          <w:rFonts w:hint="eastAsia" w:ascii="仿宋_GB2312" w:hAnsi="宋体" w:eastAsia="仿宋_GB2312"/>
          <w:kern w:val="0"/>
          <w:sz w:val="32"/>
          <w:szCs w:val="32"/>
        </w:rPr>
        <w:t>昌吉州交通运输局</w:t>
      </w:r>
      <w:r>
        <w:rPr>
          <w:rFonts w:hint="eastAsia" w:ascii="仿宋_GB2312" w:hAnsi="宋体" w:eastAsia="仿宋_GB2312" w:cs="宋体"/>
          <w:kern w:val="0"/>
          <w:sz w:val="32"/>
          <w:szCs w:val="32"/>
        </w:rPr>
        <w:t xml:space="preserve">本级预算及下属 </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 家预算单位在内的汇总预算。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kern w:val="0"/>
          <w:sz w:val="32"/>
          <w:szCs w:val="32"/>
        </w:rPr>
        <w:t>交通运输局</w:t>
      </w:r>
      <w:r>
        <w:rPr>
          <w:rFonts w:hint="eastAsia" w:ascii="仿宋_GB2312" w:hAnsi="宋体" w:eastAsia="仿宋_GB2312" w:cs="宋体"/>
          <w:kern w:val="0"/>
          <w:sz w:val="32"/>
          <w:szCs w:val="32"/>
        </w:rPr>
        <w:t>部门本级</w:t>
      </w:r>
      <w:r>
        <w:rPr>
          <w:rFonts w:hint="eastAsia" w:ascii="仿宋_GB2312" w:hAnsi="黑体" w:eastAsia="仿宋_GB2312" w:cs="宋体"/>
          <w:bCs/>
          <w:kern w:val="0"/>
          <w:sz w:val="32"/>
          <w:szCs w:val="32"/>
        </w:rPr>
        <w:t xml:space="preserve">下设  </w:t>
      </w:r>
      <w:r>
        <w:rPr>
          <w:rFonts w:hint="eastAsia" w:ascii="仿宋_GB2312" w:hAnsi="黑体" w:eastAsia="仿宋_GB2312" w:cs="宋体"/>
          <w:bCs/>
          <w:kern w:val="0"/>
          <w:sz w:val="32"/>
          <w:szCs w:val="32"/>
          <w:lang w:val="en-US" w:eastAsia="zh-CN"/>
        </w:rPr>
        <w:t>6</w:t>
      </w:r>
      <w:r>
        <w:rPr>
          <w:rFonts w:hint="eastAsia" w:ascii="仿宋_GB2312" w:hAnsi="黑体" w:eastAsia="仿宋_GB2312" w:cs="宋体"/>
          <w:bCs/>
          <w:kern w:val="0"/>
          <w:sz w:val="32"/>
          <w:szCs w:val="32"/>
        </w:rPr>
        <w:t xml:space="preserve"> 个科室，分别是：</w:t>
      </w:r>
      <w:r>
        <w:rPr>
          <w:rFonts w:hint="eastAsia" w:ascii="仿宋_GB2312" w:hAnsi="宋体" w:eastAsia="仿宋_GB2312"/>
          <w:kern w:val="0"/>
          <w:sz w:val="32"/>
          <w:szCs w:val="32"/>
        </w:rPr>
        <w:t>办公室（组织人事科）、法规科（安全</w:t>
      </w:r>
      <w:r>
        <w:rPr>
          <w:rFonts w:hint="eastAsia" w:ascii="仿宋_GB2312" w:hAnsi="宋体" w:eastAsia="仿宋_GB2312"/>
          <w:kern w:val="0"/>
          <w:sz w:val="32"/>
          <w:szCs w:val="32"/>
          <w:lang w:eastAsia="zh-CN"/>
        </w:rPr>
        <w:t>生产</w:t>
      </w:r>
      <w:r>
        <w:rPr>
          <w:rFonts w:hint="eastAsia" w:ascii="仿宋_GB2312" w:hAnsi="宋体" w:eastAsia="仿宋_GB2312"/>
          <w:kern w:val="0"/>
          <w:sz w:val="32"/>
          <w:szCs w:val="32"/>
        </w:rPr>
        <w:t>监督科）、综合规划科（交通战备办公室、行政审批科）、公路管理科、运输管理科、财务审计科</w:t>
      </w:r>
      <w:r>
        <w:rPr>
          <w:rFonts w:hint="eastAsia" w:ascii="仿宋_GB2312" w:hAnsi="宋体" w:eastAsia="仿宋_GB2312" w:cs="宋体"/>
          <w:kern w:val="0"/>
          <w:sz w:val="32"/>
          <w:szCs w:val="32"/>
        </w:rPr>
        <w:t>。</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本部门中，行政单位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家，参公管理事业单位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家,事业单位 </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 家，纳入</w:t>
      </w:r>
      <w:r>
        <w:rPr>
          <w:rFonts w:hint="eastAsia" w:ascii="仿宋_GB2312" w:hAnsi="宋体" w:eastAsia="仿宋_GB2312" w:cs="宋体"/>
          <w:kern w:val="0"/>
          <w:sz w:val="32"/>
          <w:szCs w:val="32"/>
          <w:lang w:eastAsia="zh-CN"/>
        </w:rPr>
        <w:t>交通运输局</w:t>
      </w:r>
      <w:r>
        <w:rPr>
          <w:rFonts w:hint="eastAsia" w:ascii="仿宋_GB2312" w:hAnsi="宋体" w:eastAsia="仿宋_GB2312" w:cs="宋体"/>
          <w:kern w:val="0"/>
          <w:sz w:val="32"/>
          <w:szCs w:val="32"/>
        </w:rPr>
        <w:t>部门2020年部门预算编制范围的二级预算单位包括：</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1.昌吉州民航铁路服务中心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2.昌吉州城乡客运服务中心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昌吉州交通运输执法支队（参公管理事业单位）</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highlight w:val="none"/>
        </w:rPr>
        <w:t>昌吉州交通运输局编制数36人，实有人数50人，其中：在职31人，减少1人；退休19人，</w:t>
      </w:r>
      <w:r>
        <w:rPr>
          <w:rFonts w:hint="eastAsia" w:ascii="仿宋_GB2312" w:hAnsi="宋体" w:eastAsia="仿宋_GB2312" w:cs="宋体"/>
          <w:kern w:val="0"/>
          <w:sz w:val="32"/>
          <w:szCs w:val="32"/>
          <w:highlight w:val="none"/>
        </w:rPr>
        <w:t xml:space="preserve">增加或减少 </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 xml:space="preserve"> 人</w:t>
      </w:r>
      <w:r>
        <w:rPr>
          <w:rFonts w:hint="eastAsia" w:ascii="仿宋_GB2312" w:hAnsi="宋体" w:eastAsia="仿宋_GB2312"/>
          <w:kern w:val="0"/>
          <w:sz w:val="32"/>
          <w:szCs w:val="32"/>
          <w:highlight w:val="none"/>
        </w:rPr>
        <w:t>；离休0人。</w:t>
      </w:r>
    </w:p>
    <w:p>
      <w:pPr>
        <w:rPr>
          <w:rFonts w:ascii="黑体" w:hAnsi="黑体" w:eastAsia="黑体"/>
          <w:kern w:val="0"/>
          <w:sz w:val="32"/>
          <w:szCs w:val="32"/>
        </w:rPr>
      </w:pPr>
      <w:r>
        <w:rPr>
          <w:rFonts w:hint="eastAsia" w:ascii="黑体" w:hAnsi="黑体" w:eastAsia="黑体"/>
          <w:kern w:val="0"/>
          <w:sz w:val="32"/>
          <w:szCs w:val="32"/>
        </w:rPr>
        <w:br w:type="page"/>
      </w: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编制部门：昌吉州交通运输局单位：万元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591.39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591.39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591.39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591.39</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591.39</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591.39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591.39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填报部门：昌吉州交通运输局单位：万元</w:t>
      </w:r>
    </w:p>
    <w:tbl>
      <w:tblPr>
        <w:tblStyle w:val="7"/>
        <w:tblW w:w="9654" w:type="dxa"/>
        <w:tblInd w:w="-450" w:type="dxa"/>
        <w:tblLayout w:type="fixed"/>
        <w:tblCellMar>
          <w:top w:w="0" w:type="dxa"/>
          <w:left w:w="108" w:type="dxa"/>
          <w:bottom w:w="0" w:type="dxa"/>
          <w:right w:w="108" w:type="dxa"/>
        </w:tblCellMar>
      </w:tblPr>
      <w:tblGrid>
        <w:gridCol w:w="417"/>
        <w:gridCol w:w="417"/>
        <w:gridCol w:w="417"/>
        <w:gridCol w:w="2145"/>
        <w:gridCol w:w="820"/>
        <w:gridCol w:w="797"/>
        <w:gridCol w:w="563"/>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7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214</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465.39</w:t>
            </w:r>
          </w:p>
        </w:tc>
        <w:tc>
          <w:tcPr>
            <w:tcW w:w="79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465.39</w:t>
            </w:r>
          </w:p>
        </w:tc>
        <w:tc>
          <w:tcPr>
            <w:tcW w:w="56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214</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126</w:t>
            </w: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126</w:t>
            </w: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591.39</w:t>
            </w:r>
          </w:p>
        </w:tc>
        <w:tc>
          <w:tcPr>
            <w:tcW w:w="79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591.39</w:t>
            </w:r>
          </w:p>
        </w:tc>
        <w:tc>
          <w:tcPr>
            <w:tcW w:w="56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kern w:val="0"/>
          <w:sz w:val="24"/>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编制部门：昌吉州交通运输局单位：万元</w:t>
      </w:r>
    </w:p>
    <w:tbl>
      <w:tblPr>
        <w:tblStyle w:val="7"/>
        <w:tblW w:w="9432" w:type="dxa"/>
        <w:tblInd w:w="-240" w:type="dxa"/>
        <w:tblLayout w:type="fixed"/>
        <w:tblCellMar>
          <w:top w:w="0" w:type="dxa"/>
          <w:left w:w="108" w:type="dxa"/>
          <w:bottom w:w="0" w:type="dxa"/>
          <w:right w:w="108" w:type="dxa"/>
        </w:tblCellMar>
      </w:tblPr>
      <w:tblGrid>
        <w:gridCol w:w="554"/>
        <w:gridCol w:w="423"/>
        <w:gridCol w:w="397"/>
        <w:gridCol w:w="2431"/>
        <w:gridCol w:w="12"/>
        <w:gridCol w:w="1843"/>
        <w:gridCol w:w="12"/>
        <w:gridCol w:w="1844"/>
        <w:gridCol w:w="12"/>
        <w:gridCol w:w="1892"/>
        <w:gridCol w:w="12"/>
      </w:tblGrid>
      <w:tr>
        <w:tblPrEx>
          <w:tblCellMar>
            <w:top w:w="0" w:type="dxa"/>
            <w:left w:w="108" w:type="dxa"/>
            <w:bottom w:w="0" w:type="dxa"/>
            <w:right w:w="108" w:type="dxa"/>
          </w:tblCellMar>
        </w:tblPrEx>
        <w:trPr>
          <w:gridAfter w:val="1"/>
          <w:wAfter w:w="12"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gridAfter w:val="1"/>
          <w:wAfter w:w="12" w:type="dxa"/>
          <w:trHeight w:val="480" w:hRule="atLeast"/>
        </w:trPr>
        <w:tc>
          <w:tcPr>
            <w:tcW w:w="137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3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43"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行政运行</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w:t>
            </w: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一般行政管理事务</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39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44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591.39</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w:t>
      </w:r>
      <w:r>
        <w:rPr>
          <w:rFonts w:hint="eastAsia" w:ascii="仿宋_GB2312" w:hAnsi="宋体" w:eastAsia="仿宋_GB2312"/>
          <w:kern w:val="0"/>
          <w:sz w:val="24"/>
        </w:rPr>
        <w:t>州交通运输局</w:t>
      </w:r>
      <w:r>
        <w:rPr>
          <w:rFonts w:hint="eastAsia" w:ascii="仿宋_GB2312" w:hAnsi="宋体" w:eastAsia="仿宋_GB2312"/>
          <w:kern w:val="0"/>
          <w:sz w:val="28"/>
          <w:szCs w:val="28"/>
        </w:rPr>
        <w:t>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591.39</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591.39</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591.39</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591.39</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591.39</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支出总计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591.39</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591.39</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编制部门：昌吉州交通运输局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一般行政管理事务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591.39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00" w:type="dxa"/>
        <w:tblInd w:w="-147" w:type="dxa"/>
        <w:tblLayout w:type="fixed"/>
        <w:tblCellMar>
          <w:top w:w="0" w:type="dxa"/>
          <w:left w:w="108" w:type="dxa"/>
          <w:bottom w:w="0" w:type="dxa"/>
          <w:right w:w="108" w:type="dxa"/>
        </w:tblCellMar>
      </w:tblPr>
      <w:tblGrid>
        <w:gridCol w:w="763"/>
        <w:gridCol w:w="582"/>
        <w:gridCol w:w="2912"/>
        <w:gridCol w:w="1003"/>
        <w:gridCol w:w="711"/>
        <w:gridCol w:w="985"/>
        <w:gridCol w:w="728"/>
        <w:gridCol w:w="1716"/>
      </w:tblGrid>
      <w:tr>
        <w:tblPrEx>
          <w:tblCellMar>
            <w:top w:w="0" w:type="dxa"/>
            <w:left w:w="108" w:type="dxa"/>
            <w:bottom w:w="0" w:type="dxa"/>
            <w:right w:w="108" w:type="dxa"/>
          </w:tblCellMar>
        </w:tblPrEx>
        <w:trPr>
          <w:trHeight w:val="444" w:hRule="atLeast"/>
        </w:trPr>
        <w:tc>
          <w:tcPr>
            <w:tcW w:w="9400"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33" w:hRule="atLeast"/>
        </w:trPr>
        <w:tc>
          <w:tcPr>
            <w:tcW w:w="4257"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编制部门：昌吉州交通运输局</w:t>
            </w:r>
          </w:p>
        </w:tc>
        <w:tc>
          <w:tcPr>
            <w:tcW w:w="1003"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96"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44"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44" w:hRule="atLeast"/>
        </w:trPr>
        <w:tc>
          <w:tcPr>
            <w:tcW w:w="425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4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636" w:hRule="atLeast"/>
        </w:trPr>
        <w:tc>
          <w:tcPr>
            <w:tcW w:w="1345"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1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1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13"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329"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1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1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基本工资</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154.5</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154.5</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津贴补贴</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57.74</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57.74</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奖金</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10.67</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10.67</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伙食补助费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40.32</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40.32</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绩效工资</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27.83</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27.83</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40.12</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40.12</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28.2</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28.2</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11.87</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11.87</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其他社会保障缴费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1.17</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1.17</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30.09</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30.09</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其他工资福利支出</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w:t>
            </w: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办公费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7.64</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7.64</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咨询费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tblPrEx>
          <w:tblCellMar>
            <w:top w:w="0" w:type="dxa"/>
            <w:left w:w="108" w:type="dxa"/>
            <w:bottom w:w="0" w:type="dxa"/>
            <w:right w:w="108" w:type="dxa"/>
          </w:tblCellMar>
        </w:tblPrEx>
        <w:trPr>
          <w:trHeight w:val="403"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水费</w:t>
            </w:r>
          </w:p>
        </w:tc>
        <w:tc>
          <w:tcPr>
            <w:tcW w:w="1714" w:type="dxa"/>
            <w:gridSpan w:val="2"/>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p>
            <w:pPr>
              <w:widowControl/>
              <w:jc w:val="center"/>
              <w:rPr>
                <w:rFonts w:ascii="仿宋_GB2312" w:hAnsi="宋体" w:eastAsia="仿宋_GB2312" w:cs="宋体"/>
                <w:color w:val="000000"/>
                <w:kern w:val="0"/>
                <w:sz w:val="18"/>
                <w:szCs w:val="18"/>
              </w:rPr>
            </w:pPr>
          </w:p>
        </w:tc>
        <w:tc>
          <w:tcPr>
            <w:tcW w:w="1713" w:type="dxa"/>
            <w:gridSpan w:val="2"/>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电费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邮电费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取暖费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差旅费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维修(护)费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培训费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0.96</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0.96</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公务招待费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0.45</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0.45</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工会经费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3.09</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3.09</w:t>
            </w:r>
          </w:p>
        </w:tc>
      </w:tr>
      <w:tr>
        <w:tblPrEx>
          <w:tblCellMar>
            <w:top w:w="0" w:type="dxa"/>
            <w:left w:w="108" w:type="dxa"/>
            <w:bottom w:w="0" w:type="dxa"/>
            <w:right w:w="108" w:type="dxa"/>
          </w:tblCellMar>
        </w:tblPrEx>
        <w:trPr>
          <w:trHeight w:val="301" w:hRule="atLeast"/>
        </w:trPr>
        <w:tc>
          <w:tcPr>
            <w:tcW w:w="7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9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福利费</w:t>
            </w:r>
          </w:p>
        </w:tc>
        <w:tc>
          <w:tcPr>
            <w:tcW w:w="171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7.11</w:t>
            </w:r>
          </w:p>
        </w:tc>
        <w:tc>
          <w:tcPr>
            <w:tcW w:w="1713"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7.11</w:t>
            </w:r>
          </w:p>
        </w:tc>
      </w:tr>
      <w:tr>
        <w:tblPrEx>
          <w:tblCellMar>
            <w:top w:w="0" w:type="dxa"/>
            <w:left w:w="108" w:type="dxa"/>
            <w:bottom w:w="0" w:type="dxa"/>
            <w:right w:w="108" w:type="dxa"/>
          </w:tblCellMar>
        </w:tblPrEx>
        <w:trPr>
          <w:trHeight w:val="301" w:hRule="atLeast"/>
        </w:trPr>
        <w:tc>
          <w:tcPr>
            <w:tcW w:w="763"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公务车运行维护费</w:t>
            </w:r>
          </w:p>
        </w:tc>
        <w:tc>
          <w:tcPr>
            <w:tcW w:w="1714"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c>
          <w:tcPr>
            <w:tcW w:w="1713"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p>
        </w:tc>
        <w:tc>
          <w:tcPr>
            <w:tcW w:w="1716"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r>
      <w:tr>
        <w:tblPrEx>
          <w:tblCellMar>
            <w:top w:w="0" w:type="dxa"/>
            <w:left w:w="108" w:type="dxa"/>
            <w:bottom w:w="0" w:type="dxa"/>
            <w:right w:w="108" w:type="dxa"/>
          </w:tblCellMar>
        </w:tblPrEx>
        <w:trPr>
          <w:trHeight w:val="301" w:hRule="atLeast"/>
        </w:trPr>
        <w:tc>
          <w:tcPr>
            <w:tcW w:w="763"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2"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其他商品和服务支出</w:t>
            </w:r>
          </w:p>
        </w:tc>
        <w:tc>
          <w:tcPr>
            <w:tcW w:w="1714"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6.13</w:t>
            </w:r>
          </w:p>
        </w:tc>
        <w:tc>
          <w:tcPr>
            <w:tcW w:w="1713"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p>
        </w:tc>
        <w:tc>
          <w:tcPr>
            <w:tcW w:w="1716"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6.13</w:t>
            </w:r>
          </w:p>
        </w:tc>
      </w:tr>
      <w:tr>
        <w:tblPrEx>
          <w:tblCellMar>
            <w:top w:w="0" w:type="dxa"/>
            <w:left w:w="108" w:type="dxa"/>
            <w:bottom w:w="0" w:type="dxa"/>
            <w:right w:w="108" w:type="dxa"/>
          </w:tblCellMar>
        </w:tblPrEx>
        <w:trPr>
          <w:trHeight w:val="301" w:hRule="atLeast"/>
        </w:trPr>
        <w:tc>
          <w:tcPr>
            <w:tcW w:w="763"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2"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奖励金</w:t>
            </w:r>
          </w:p>
        </w:tc>
        <w:tc>
          <w:tcPr>
            <w:tcW w:w="1714"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w:t>
            </w:r>
          </w:p>
        </w:tc>
        <w:tc>
          <w:tcPr>
            <w:tcW w:w="1713"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w:t>
            </w:r>
          </w:p>
        </w:tc>
        <w:tc>
          <w:tcPr>
            <w:tcW w:w="1716"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01" w:hRule="atLeast"/>
        </w:trPr>
        <w:tc>
          <w:tcPr>
            <w:tcW w:w="763"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2"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职工住宅取暖费</w:t>
            </w:r>
          </w:p>
        </w:tc>
        <w:tc>
          <w:tcPr>
            <w:tcW w:w="1714"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13"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16"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53" w:hRule="atLeast"/>
        </w:trPr>
        <w:tc>
          <w:tcPr>
            <w:tcW w:w="763"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p>
        </w:tc>
        <w:tc>
          <w:tcPr>
            <w:tcW w:w="582"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p>
        </w:tc>
        <w:tc>
          <w:tcPr>
            <w:tcW w:w="29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714"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465.39</w:t>
            </w:r>
          </w:p>
        </w:tc>
        <w:tc>
          <w:tcPr>
            <w:tcW w:w="1713" w:type="dxa"/>
            <w:gridSpan w:val="2"/>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411.15</w:t>
            </w:r>
          </w:p>
        </w:tc>
        <w:tc>
          <w:tcPr>
            <w:tcW w:w="1716" w:type="dxa"/>
            <w:tcBorders>
              <w:top w:val="single" w:color="auto" w:sz="4" w:space="0"/>
              <w:left w:val="single" w:color="auto" w:sz="4" w:space="0"/>
              <w:bottom w:val="single" w:color="auto" w:sz="4" w:space="0"/>
              <w:right w:val="single" w:color="auto" w:sz="4" w:space="0"/>
            </w:tcBorders>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54.24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8" w:type="dxa"/>
        <w:tblInd w:w="-360" w:type="dxa"/>
        <w:tblLayout w:type="fixed"/>
        <w:tblCellMar>
          <w:top w:w="0" w:type="dxa"/>
          <w:left w:w="108" w:type="dxa"/>
          <w:bottom w:w="0" w:type="dxa"/>
          <w:right w:w="108" w:type="dxa"/>
        </w:tblCellMar>
      </w:tblPr>
      <w:tblGrid>
        <w:gridCol w:w="8"/>
        <w:gridCol w:w="505"/>
        <w:gridCol w:w="450"/>
        <w:gridCol w:w="660"/>
        <w:gridCol w:w="780"/>
        <w:gridCol w:w="1245"/>
        <w:gridCol w:w="600"/>
        <w:gridCol w:w="8"/>
        <w:gridCol w:w="102"/>
        <w:gridCol w:w="459"/>
        <w:gridCol w:w="8"/>
        <w:gridCol w:w="528"/>
        <w:gridCol w:w="8"/>
        <w:gridCol w:w="644"/>
        <w:gridCol w:w="8"/>
        <w:gridCol w:w="644"/>
        <w:gridCol w:w="8"/>
        <w:gridCol w:w="370"/>
        <w:gridCol w:w="200"/>
        <w:gridCol w:w="8"/>
        <w:gridCol w:w="411"/>
        <w:gridCol w:w="8"/>
        <w:gridCol w:w="570"/>
        <w:gridCol w:w="8"/>
        <w:gridCol w:w="412"/>
        <w:gridCol w:w="8"/>
        <w:gridCol w:w="412"/>
        <w:gridCol w:w="8"/>
        <w:gridCol w:w="381"/>
        <w:gridCol w:w="79"/>
        <w:gridCol w:w="8"/>
      </w:tblGrid>
      <w:tr>
        <w:tblPrEx>
          <w:tblCellMar>
            <w:top w:w="0" w:type="dxa"/>
            <w:left w:w="108" w:type="dxa"/>
            <w:bottom w:w="0" w:type="dxa"/>
            <w:right w:w="108" w:type="dxa"/>
          </w:tblCellMar>
        </w:tblPrEx>
        <w:trPr>
          <w:gridBefore w:val="1"/>
          <w:gridAfter w:val="2"/>
          <w:wBefore w:w="8" w:type="dxa"/>
          <w:wAfter w:w="87" w:type="dxa"/>
          <w:trHeight w:val="375" w:hRule="atLeast"/>
        </w:trPr>
        <w:tc>
          <w:tcPr>
            <w:tcW w:w="9453" w:type="dxa"/>
            <w:gridSpan w:val="2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2"/>
          <w:wBefore w:w="8" w:type="dxa"/>
          <w:wAfter w:w="87" w:type="dxa"/>
          <w:trHeight w:val="405" w:hRule="atLeast"/>
        </w:trPr>
        <w:tc>
          <w:tcPr>
            <w:tcW w:w="4350" w:type="dxa"/>
            <w:gridSpan w:val="8"/>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编制部门：昌吉州交通运输局</w:t>
            </w:r>
          </w:p>
        </w:tc>
        <w:tc>
          <w:tcPr>
            <w:tcW w:w="995"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11"/>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30" w:hRule="atLeast"/>
        </w:trPr>
        <w:tc>
          <w:tcPr>
            <w:tcW w:w="1623"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780"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45" w:type="dxa"/>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600"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3"/>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3"/>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gridSpan w:val="2"/>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3"/>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3"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66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8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245" w:type="dxa"/>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08"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3"/>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3"/>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gridSpan w:val="2"/>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3"/>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214</w:t>
            </w:r>
          </w:p>
        </w:tc>
        <w:tc>
          <w:tcPr>
            <w:tcW w:w="4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66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78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245"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《昌吉州临空经济发展战略研究报告》课题研究编制费</w:t>
            </w:r>
          </w:p>
        </w:tc>
        <w:tc>
          <w:tcPr>
            <w:tcW w:w="608"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120</w:t>
            </w: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120</w:t>
            </w: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214</w:t>
            </w:r>
          </w:p>
        </w:tc>
        <w:tc>
          <w:tcPr>
            <w:tcW w:w="4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66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78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245"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交通战备经费</w:t>
            </w:r>
          </w:p>
        </w:tc>
        <w:tc>
          <w:tcPr>
            <w:tcW w:w="608"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vAlign w:val="center"/>
          </w:tcPr>
          <w:p>
            <w:pPr>
              <w:widowControl/>
              <w:jc w:val="center"/>
              <w:outlineLvl w:val="1"/>
              <w:rPr>
                <w:rFonts w:ascii="仿宋_GB2312" w:hAnsi="宋体" w:eastAsia="仿宋_GB2312"/>
                <w:kern w:val="0"/>
                <w:sz w:val="18"/>
                <w:szCs w:val="18"/>
              </w:rPr>
            </w:pPr>
          </w:p>
        </w:tc>
        <w:tc>
          <w:tcPr>
            <w:tcW w:w="608"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tcPr>
          <w:p>
            <w:pPr>
              <w:widowControl/>
              <w:jc w:val="center"/>
              <w:outlineLvl w:val="1"/>
              <w:rPr>
                <w:rFonts w:ascii="仿宋_GB2312" w:hAnsi="宋体" w:eastAsia="仿宋_GB2312"/>
                <w:kern w:val="0"/>
                <w:sz w:val="18"/>
                <w:szCs w:val="18"/>
              </w:rPr>
            </w:pPr>
          </w:p>
        </w:tc>
        <w:tc>
          <w:tcPr>
            <w:tcW w:w="608" w:type="dxa"/>
            <w:gridSpan w:val="2"/>
            <w:shd w:val="clear" w:color="auto" w:fill="auto"/>
          </w:tcPr>
          <w:p>
            <w:pPr>
              <w:widowControl/>
              <w:jc w:val="center"/>
              <w:outlineLvl w:val="1"/>
              <w:rPr>
                <w:rFonts w:ascii="仿宋_GB2312" w:hAnsi="宋体" w:eastAsia="仿宋_GB2312"/>
                <w:kern w:val="0"/>
                <w:sz w:val="18"/>
                <w:szCs w:val="18"/>
              </w:rPr>
            </w:pP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shd w:val="clear" w:color="auto" w:fill="auto"/>
          </w:tcPr>
          <w:p>
            <w:pPr>
              <w:widowControl/>
              <w:jc w:val="center"/>
              <w:outlineLvl w:val="1"/>
              <w:rPr>
                <w:rFonts w:ascii="仿宋_GB2312" w:hAnsi="宋体" w:eastAsia="仿宋_GB2312"/>
                <w:kern w:val="0"/>
                <w:sz w:val="18"/>
                <w:szCs w:val="18"/>
              </w:rPr>
            </w:pPr>
          </w:p>
        </w:tc>
        <w:tc>
          <w:tcPr>
            <w:tcW w:w="450" w:type="dxa"/>
            <w:shd w:val="clear" w:color="auto" w:fill="auto"/>
          </w:tcPr>
          <w:p>
            <w:pPr>
              <w:widowControl/>
              <w:jc w:val="center"/>
              <w:outlineLvl w:val="1"/>
              <w:rPr>
                <w:rFonts w:ascii="仿宋_GB2312" w:hAnsi="宋体" w:eastAsia="仿宋_GB2312"/>
                <w:kern w:val="0"/>
                <w:sz w:val="18"/>
                <w:szCs w:val="18"/>
              </w:rPr>
            </w:pPr>
          </w:p>
        </w:tc>
        <w:tc>
          <w:tcPr>
            <w:tcW w:w="660" w:type="dxa"/>
            <w:shd w:val="clear" w:color="auto" w:fill="auto"/>
          </w:tcPr>
          <w:p>
            <w:pPr>
              <w:widowControl/>
              <w:jc w:val="center"/>
              <w:outlineLvl w:val="1"/>
              <w:rPr>
                <w:rFonts w:ascii="仿宋_GB2312" w:hAnsi="宋体" w:eastAsia="仿宋_GB2312"/>
                <w:kern w:val="0"/>
                <w:sz w:val="18"/>
                <w:szCs w:val="18"/>
              </w:rPr>
            </w:pPr>
          </w:p>
        </w:tc>
        <w:tc>
          <w:tcPr>
            <w:tcW w:w="780" w:type="dxa"/>
            <w:shd w:val="clear" w:color="auto" w:fill="auto"/>
          </w:tcPr>
          <w:p>
            <w:pPr>
              <w:widowControl/>
              <w:jc w:val="center"/>
              <w:outlineLvl w:val="1"/>
              <w:rPr>
                <w:rFonts w:ascii="仿宋_GB2312" w:hAnsi="宋体" w:eastAsia="仿宋_GB2312"/>
                <w:kern w:val="0"/>
                <w:sz w:val="18"/>
                <w:szCs w:val="18"/>
              </w:rPr>
            </w:pPr>
          </w:p>
        </w:tc>
        <w:tc>
          <w:tcPr>
            <w:tcW w:w="1245"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608"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126</w:t>
            </w:r>
          </w:p>
        </w:tc>
        <w:tc>
          <w:tcPr>
            <w:tcW w:w="569" w:type="dxa"/>
            <w:gridSpan w:val="3"/>
            <w:shd w:val="clear" w:color="auto" w:fill="auto"/>
          </w:tcPr>
          <w:p>
            <w:pPr>
              <w:widowControl/>
              <w:jc w:val="center"/>
              <w:outlineLvl w:val="1"/>
              <w:rPr>
                <w:rFonts w:ascii="仿宋_GB2312" w:hAnsi="宋体" w:eastAsia="仿宋_GB2312"/>
                <w:kern w:val="0"/>
                <w:sz w:val="18"/>
                <w:szCs w:val="18"/>
              </w:rPr>
            </w:pPr>
          </w:p>
        </w:tc>
        <w:tc>
          <w:tcPr>
            <w:tcW w:w="536"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126</w:t>
            </w: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652"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3"/>
            <w:shd w:val="clear" w:color="auto" w:fill="auto"/>
          </w:tcPr>
          <w:p>
            <w:pPr>
              <w:widowControl/>
              <w:jc w:val="center"/>
              <w:outlineLvl w:val="1"/>
              <w:rPr>
                <w:rFonts w:ascii="仿宋_GB2312" w:hAnsi="宋体" w:eastAsia="仿宋_GB2312"/>
                <w:kern w:val="0"/>
                <w:sz w:val="18"/>
                <w:szCs w:val="18"/>
              </w:rPr>
            </w:pPr>
          </w:p>
        </w:tc>
        <w:tc>
          <w:tcPr>
            <w:tcW w:w="419" w:type="dxa"/>
            <w:gridSpan w:val="2"/>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20" w:type="dxa"/>
            <w:gridSpan w:val="2"/>
            <w:shd w:val="clear" w:color="auto" w:fill="auto"/>
          </w:tcPr>
          <w:p>
            <w:pPr>
              <w:widowControl/>
              <w:jc w:val="center"/>
              <w:outlineLvl w:val="1"/>
              <w:rPr>
                <w:rFonts w:ascii="仿宋_GB2312" w:hAnsi="宋体" w:eastAsia="仿宋_GB2312"/>
                <w:kern w:val="0"/>
                <w:sz w:val="18"/>
                <w:szCs w:val="18"/>
              </w:rPr>
            </w:pPr>
          </w:p>
        </w:tc>
        <w:tc>
          <w:tcPr>
            <w:tcW w:w="468" w:type="dxa"/>
            <w:gridSpan w:val="3"/>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编制单位：昌吉州交通运输局单位：万元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4.81</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rPr>
          <w:rFonts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编制单位：昌吉州交通运输局单位：万元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备注：我单位无政府性基金预算支出。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关于昌吉州交通运输局部门2020年收支预算情况的总体说明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按照全口径预算的原则，昌吉州交通运输局部门2020年所有收入和支出均纳入部门预算管理。收支总预算591.39万元。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收入预算包括：一般公共预算591.39万元。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支出预算包括：交通运输支出591.39万元。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二、关于部门2020年收入预算情况说明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昌吉州交通运输局部门收入预算591.39万元，其中：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一般公共预算591.39万元，占100%，比上年增加101.95万元，主要原因是项目支出经费的增加；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0"/>
          <w:szCs w:val="30"/>
        </w:rPr>
        <w:t>昌吉州交通运输局</w:t>
      </w:r>
      <w:r>
        <w:rPr>
          <w:rFonts w:hint="eastAsia" w:ascii="黑体" w:hAnsi="宋体" w:eastAsia="黑体" w:cs="宋体"/>
          <w:kern w:val="0"/>
          <w:sz w:val="32"/>
          <w:szCs w:val="32"/>
        </w:rPr>
        <w:t>部门单位2020年支出预算情况说明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昌吉州交通运输局部门单位2020年支出预算591.39万元，其中：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基本支出465.39万元，占78.69%，比上年减少18.05万元，主要原因是人员减少。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项目支出126万元，占21.31%，比上年增加120万元，主要原因是项目及经费的增加。</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rPr>
        <w:t>昌吉州交通运输局</w:t>
      </w:r>
      <w:r>
        <w:rPr>
          <w:rFonts w:hint="eastAsia" w:ascii="黑体" w:hAnsi="黑体" w:eastAsia="黑体" w:cs="宋体"/>
          <w:bCs/>
          <w:kern w:val="0"/>
          <w:sz w:val="32"/>
          <w:szCs w:val="32"/>
          <w:highlight w:val="none"/>
        </w:rPr>
        <w:t>部门2020年财政拨款收支预算情况的总体说明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2020年财政拨款收支总预算591.39万元。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0"/>
          <w:szCs w:val="30"/>
        </w:rPr>
        <w:t>昌吉州交通运输局</w:t>
      </w:r>
      <w:r>
        <w:rPr>
          <w:rFonts w:hint="eastAsia" w:ascii="黑体" w:hAnsi="宋体" w:eastAsia="黑体" w:cs="宋体"/>
          <w:kern w:val="0"/>
          <w:sz w:val="32"/>
          <w:szCs w:val="32"/>
        </w:rPr>
        <w:t>部门2020年一般公共预算拨款情况说明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w:t>
      </w:r>
      <w:r>
        <w:rPr>
          <w:rFonts w:hint="eastAsia" w:ascii="楷体_GB2312" w:hAnsi="宋体" w:eastAsia="楷体_GB2312" w:cs="宋体"/>
          <w:b/>
          <w:kern w:val="0"/>
          <w:sz w:val="32"/>
          <w:szCs w:val="32"/>
          <w:lang w:eastAsia="zh-CN"/>
        </w:rPr>
        <w:t>共</w:t>
      </w:r>
      <w:r>
        <w:rPr>
          <w:rFonts w:hint="eastAsia" w:ascii="楷体_GB2312" w:hAnsi="宋体" w:eastAsia="楷体_GB2312" w:cs="宋体"/>
          <w:b/>
          <w:kern w:val="0"/>
          <w:sz w:val="32"/>
          <w:szCs w:val="32"/>
        </w:rPr>
        <w:t>预算当年拨款规模变化情况</w:t>
      </w:r>
      <w:bookmarkStart w:id="0" w:name="_GoBack"/>
      <w:bookmarkEnd w:id="0"/>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昌吉州交通运输局部门2020年一般公共预算拨款基本支出465.39万元，比上年执行数减少18.05万元，下降3.73%。主要原因是：人员减少。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default" w:ascii="仿宋_GB2312" w:hAnsi="宋体" w:eastAsia="仿宋_GB2312" w:cs="宋体"/>
          <w:color w:val="0000FF"/>
          <w:kern w:val="0"/>
          <w:sz w:val="32"/>
          <w:szCs w:val="32"/>
          <w:lang w:val="en-US" w:eastAsia="zh-CN"/>
        </w:rPr>
      </w:pPr>
      <w:r>
        <w:rPr>
          <w:rFonts w:hint="eastAsia" w:ascii="仿宋_GB2312" w:eastAsia="仿宋_GB2312"/>
          <w:sz w:val="32"/>
          <w:szCs w:val="32"/>
        </w:rPr>
        <w:t>一般公共服务（</w:t>
      </w:r>
      <w:r>
        <w:rPr>
          <w:rFonts w:hint="eastAsia" w:ascii="仿宋_GB2312" w:eastAsia="仿宋_GB2312"/>
          <w:sz w:val="32"/>
          <w:szCs w:val="32"/>
          <w:lang w:val="en-US" w:eastAsia="zh-CN"/>
        </w:rPr>
        <w:t>201</w:t>
      </w:r>
      <w:r>
        <w:rPr>
          <w:rFonts w:hint="eastAsia" w:ascii="仿宋_GB2312" w:eastAsia="仿宋_GB2312"/>
          <w:sz w:val="32"/>
          <w:szCs w:val="32"/>
        </w:rPr>
        <w:t>）</w:t>
      </w:r>
      <w:r>
        <w:rPr>
          <w:rFonts w:hint="eastAsia" w:ascii="仿宋_GB2312" w:eastAsia="仿宋_GB2312"/>
          <w:sz w:val="32"/>
          <w:szCs w:val="32"/>
          <w:lang w:val="en-US" w:eastAsia="zh-CN"/>
        </w:rPr>
        <w:t>591.39</w:t>
      </w:r>
      <w:r>
        <w:rPr>
          <w:rFonts w:hint="eastAsia" w:ascii="楷体_GB2312" w:eastAsia="楷体_GB2312"/>
          <w:b/>
          <w:sz w:val="32"/>
          <w:szCs w:val="32"/>
        </w:rPr>
        <w:t xml:space="preserve"> </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其中：行政运行</w:t>
      </w:r>
      <w:r>
        <w:rPr>
          <w:rFonts w:hint="eastAsia" w:ascii="仿宋_GB2312" w:hAnsi="宋体" w:eastAsia="仿宋_GB2312" w:cs="宋体"/>
          <w:kern w:val="0"/>
          <w:sz w:val="32"/>
          <w:szCs w:val="32"/>
          <w:lang w:val="en-US" w:eastAsia="zh-CN"/>
        </w:rPr>
        <w:t>465.39万元；</w:t>
      </w:r>
      <w:r>
        <w:rPr>
          <w:rFonts w:hint="eastAsia" w:ascii="仿宋_GB2312" w:eastAsia="仿宋_GB2312"/>
          <w:sz w:val="32"/>
          <w:szCs w:val="32"/>
          <w:highlight w:val="none"/>
        </w:rPr>
        <w:t>一般行政管理</w:t>
      </w:r>
      <w:r>
        <w:rPr>
          <w:rFonts w:hint="eastAsia" w:ascii="仿宋_GB2312" w:eastAsia="仿宋_GB2312"/>
          <w:sz w:val="32"/>
          <w:szCs w:val="32"/>
          <w:highlight w:val="none"/>
          <w:lang w:eastAsia="zh-CN"/>
        </w:rPr>
        <w:t>事务</w:t>
      </w:r>
      <w:r>
        <w:rPr>
          <w:rFonts w:hint="eastAsia" w:ascii="仿宋_GB2312" w:eastAsia="仿宋_GB2312"/>
          <w:sz w:val="32"/>
          <w:szCs w:val="32"/>
          <w:highlight w:val="none"/>
          <w:lang w:val="en-US" w:eastAsia="zh-CN"/>
        </w:rPr>
        <w:t>126万元。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eastAsia="zh-CN"/>
        </w:rPr>
        <w:t>一般公共服务</w:t>
      </w:r>
      <w:r>
        <w:rPr>
          <w:rFonts w:hint="eastAsia" w:ascii="仿宋_GB2312" w:hAnsi="宋体" w:eastAsia="仿宋_GB2312" w:cs="宋体"/>
          <w:kern w:val="0"/>
          <w:sz w:val="32"/>
          <w:szCs w:val="32"/>
          <w:lang w:val="en-US" w:eastAsia="zh-CN"/>
        </w:rPr>
        <w:t>214</w:t>
      </w:r>
      <w:r>
        <w:rPr>
          <w:rFonts w:hint="eastAsia" w:ascii="仿宋_GB2312" w:eastAsia="仿宋_GB2312"/>
          <w:sz w:val="32"/>
          <w:szCs w:val="32"/>
        </w:rPr>
        <w:t>交通运输支出</w:t>
      </w:r>
      <w:r>
        <w:rPr>
          <w:rFonts w:hint="eastAsia" w:ascii="仿宋_GB2312" w:eastAsia="仿宋_GB2312"/>
          <w:sz w:val="32"/>
          <w:szCs w:val="32"/>
          <w:highlight w:val="none"/>
          <w:lang w:val="en-US" w:eastAsia="zh-CN"/>
        </w:rPr>
        <w:t>01</w:t>
      </w:r>
      <w:r>
        <w:rPr>
          <w:rFonts w:hint="eastAsia" w:ascii="仿宋_GB2312" w:eastAsia="仿宋_GB2312"/>
          <w:sz w:val="32"/>
          <w:szCs w:val="32"/>
          <w:highlight w:val="none"/>
        </w:rPr>
        <w:t>公路水路运输</w:t>
      </w:r>
      <w:r>
        <w:rPr>
          <w:rFonts w:hint="eastAsia" w:ascii="仿宋_GB2312" w:eastAsia="仿宋_GB2312"/>
          <w:sz w:val="32"/>
          <w:szCs w:val="32"/>
          <w:highlight w:val="none"/>
          <w:lang w:val="en-US" w:eastAsia="zh-CN"/>
        </w:rPr>
        <w:t>01</w:t>
      </w:r>
      <w:r>
        <w:rPr>
          <w:rFonts w:hint="eastAsia" w:ascii="仿宋_GB2312" w:eastAsia="仿宋_GB2312"/>
          <w:sz w:val="32"/>
          <w:szCs w:val="32"/>
          <w:highlight w:val="none"/>
        </w:rPr>
        <w:t>行政运行</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465.39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比上年执行数减少18.05万元，下降3.73%，主要原因是：人员减少。</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highlight w:val="none"/>
        </w:rPr>
        <w:t>2.</w:t>
      </w:r>
      <w:r>
        <w:rPr>
          <w:rFonts w:hint="eastAsia" w:ascii="楷体_GB2312" w:hAnsi="宋体" w:eastAsia="楷体_GB2312" w:cs="宋体"/>
          <w:kern w:val="0"/>
          <w:sz w:val="32"/>
          <w:szCs w:val="32"/>
          <w:highlight w:val="none"/>
          <w:lang w:eastAsia="zh-CN"/>
        </w:rPr>
        <w:t>一般公共服务</w:t>
      </w:r>
      <w:r>
        <w:rPr>
          <w:rFonts w:hint="eastAsia" w:ascii="楷体_GB2312" w:hAnsi="宋体" w:eastAsia="楷体_GB2312" w:cs="宋体"/>
          <w:kern w:val="0"/>
          <w:sz w:val="32"/>
          <w:szCs w:val="32"/>
          <w:highlight w:val="none"/>
          <w:lang w:val="en-US" w:eastAsia="zh-CN"/>
        </w:rPr>
        <w:t>214</w:t>
      </w:r>
      <w:r>
        <w:rPr>
          <w:rFonts w:hint="eastAsia" w:ascii="仿宋_GB2312" w:eastAsia="仿宋_GB2312"/>
          <w:sz w:val="32"/>
          <w:szCs w:val="32"/>
          <w:highlight w:val="none"/>
        </w:rPr>
        <w:t>交通运输支出</w:t>
      </w:r>
      <w:r>
        <w:rPr>
          <w:rFonts w:hint="eastAsia" w:ascii="仿宋_GB2312" w:eastAsia="仿宋_GB2312"/>
          <w:sz w:val="32"/>
          <w:szCs w:val="32"/>
          <w:highlight w:val="none"/>
          <w:lang w:val="en-US" w:eastAsia="zh-CN"/>
        </w:rPr>
        <w:t>01</w:t>
      </w:r>
      <w:r>
        <w:rPr>
          <w:rFonts w:hint="eastAsia" w:ascii="仿宋_GB2312" w:eastAsia="仿宋_GB2312"/>
          <w:sz w:val="32"/>
          <w:szCs w:val="32"/>
          <w:highlight w:val="none"/>
        </w:rPr>
        <w:t>公路水路运输</w:t>
      </w:r>
      <w:r>
        <w:rPr>
          <w:rFonts w:hint="eastAsia" w:ascii="仿宋_GB2312" w:eastAsia="仿宋_GB2312"/>
          <w:sz w:val="32"/>
          <w:szCs w:val="32"/>
          <w:highlight w:val="none"/>
          <w:lang w:val="en-US" w:eastAsia="zh-CN"/>
        </w:rPr>
        <w:t>02</w:t>
      </w:r>
      <w:r>
        <w:rPr>
          <w:rFonts w:hint="eastAsia" w:ascii="仿宋_GB2312" w:eastAsia="仿宋_GB2312"/>
          <w:sz w:val="32"/>
          <w:szCs w:val="32"/>
          <w:highlight w:val="none"/>
        </w:rPr>
        <w:t>一般行政管理事务</w:t>
      </w:r>
      <w:r>
        <w:rPr>
          <w:rFonts w:hint="eastAsia" w:ascii="仿宋_GB2312" w:hAnsi="宋体" w:eastAsia="仿宋_GB2312" w:cs="宋体"/>
          <w:kern w:val="0"/>
          <w:sz w:val="32"/>
          <w:szCs w:val="32"/>
          <w:highlight w:val="none"/>
        </w:rPr>
        <w:t>：2020</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126</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比上年执行数增加120万元，增长2</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00%，主要原因是：项目及</w:t>
      </w:r>
      <w:r>
        <w:rPr>
          <w:rFonts w:hint="eastAsia" w:ascii="仿宋_GB2312" w:hAnsi="宋体" w:eastAsia="仿宋_GB2312" w:cs="宋体"/>
          <w:kern w:val="0"/>
          <w:sz w:val="32"/>
          <w:szCs w:val="32"/>
        </w:rPr>
        <w:t>经费的增加。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六、关于昌吉州交通运输局部门2020年一般公共预算基本支出情况说明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昌吉州交通运输局部门2020年一般公共预算基本支出465.39万元，其中：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411.15万元，主要包括：基本工资154.5万元、津贴补贴57.74万元、奖金10.67万元、伙食补助费40.32万元、绩效工资27.83万元、机关事业单位基本养老保险缴费40.12万元、职工基本医疗保险缴费28.2万元、公务员医疗补助缴费11.87万元、其他社会保障缴费1.17万元、住房公积金30.09万元、其他工资福利支出2.33万元、奖励金1.31万元、其他对个人和家庭的补助5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54.24万元，主要包括：办公费7.64万元、印刷费0.8万元、水费1万元、电费1万元、邮电费4万元、取暖费3.3万元、物业管理费4万元、差旅费10万元、维修（护）费0.4万元、培训费0.96万元、公务接待费0.45万元、工会经费3.09万元、福利费7.11万元、公务用车运行维护费4.36万元、其他商品和服务支出6.13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0"/>
          <w:szCs w:val="30"/>
        </w:rPr>
        <w:t>昌吉州交通运输局</w:t>
      </w:r>
      <w:r>
        <w:rPr>
          <w:rFonts w:hint="eastAsia" w:ascii="黑体" w:hAnsi="宋体" w:eastAsia="黑体" w:cs="宋体"/>
          <w:kern w:val="0"/>
          <w:sz w:val="32"/>
          <w:szCs w:val="32"/>
        </w:rPr>
        <w:t>部门2020年项目支出情况说明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：《昌吉州临空经济发展战略研究报告》课题研究编制费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：根据《昌吉州临空经济发展战略研究工作说明书》</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：昌吉州民航铁路服务中心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：编制《昌吉州临空经济发展战略研究报告》课题研究费120万元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交通战备经费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设立的政策依据：中共昌吉回族自治州委员会昌吉回族自治州人民政府昌吉军分区关于大力加强国防动员办事机构建设的若干规定（昌州党发[2008]17号）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自治州交通战备办公室</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交通战备人员及工作经费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八、关于昌吉州交通运输局部门2020年一般公共预算“三公”经费预算情况说明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昌吉州交通运输局部门2020年“三公”经费财政拨款预算数为4.81万元，其中：因公出国（境）费0万元，公务用车购置0万元，公务用车运行费4.36万元，公务接待费0.45万元。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2020年“三公”经费财政拨款预算比上年增加0万元，其中：因公出国（境）</w:t>
      </w:r>
      <w:r>
        <w:rPr>
          <w:rFonts w:hint="eastAsia" w:ascii="仿宋_GB2312" w:hAnsi="宋体" w:eastAsia="仿宋_GB2312" w:cs="宋体"/>
          <w:kern w:val="0"/>
          <w:sz w:val="32"/>
          <w:szCs w:val="32"/>
          <w:highlight w:val="none"/>
        </w:rPr>
        <w:t>费增加0万元，主要原因是</w:t>
      </w:r>
      <w:r>
        <w:rPr>
          <w:rFonts w:hint="eastAsia" w:ascii="仿宋_GB2312" w:hAnsi="宋体" w:eastAsia="仿宋_GB2312" w:cs="宋体"/>
          <w:kern w:val="0"/>
          <w:sz w:val="32"/>
          <w:szCs w:val="32"/>
          <w:highlight w:val="none"/>
          <w:lang w:eastAsia="zh-CN"/>
        </w:rPr>
        <w:t>没有安排</w:t>
      </w:r>
      <w:r>
        <w:rPr>
          <w:rFonts w:hint="eastAsia" w:ascii="仿宋_GB2312" w:hAnsi="宋体" w:eastAsia="仿宋_GB2312" w:cs="宋体"/>
          <w:kern w:val="0"/>
          <w:sz w:val="32"/>
          <w:szCs w:val="32"/>
          <w:highlight w:val="none"/>
        </w:rPr>
        <w:t>公出国（境）费；公务用车购置费为0万元，未安排预算。公务用车运行费0万元，主要原因是厉行勤俭节约原则，严控公务用车运行费增加；公务接待费增加0万元，主要原因是厉行勤俭节约原则，严控接待费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九、关于昌吉州交通运输局部门2020年政府性基金预算拨款情况说明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昌吉州交通运输局部门2020年没有使用政府性基金预算拨款安排的支出，政府性基金预算支出情况表为空表。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2020年，昌吉州交通运输局单位的机关运行经费财政拨款预算54.24万元，比上年预算减少5.51万元，下降9.22%。主要原因是继续压减一般性支出。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2020年，昌吉州交通运输局单位政府采购预算667.55万元，其中：政府采购货物预算57.55万元，政府采购工程预算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万元，政府采购服务预算610万元。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截至2019年底，昌吉州交通运输局部门占用使用国有资产总体情况为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1.房屋2271.69平方米，价值281.62万元。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2.车辆7辆，价值223.06万元；其中：一般公务用车5辆，价值173.12万元；执法执勤用车2辆，价值49.94万元；其他车辆0辆，价值0万元。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3.办公家具价值33.5万元。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4.其他资产价值346.45万元。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rPr>
          <w:rFonts w:ascii="楷体_GB2312" w:hAnsi="宋体" w:eastAsia="楷体_GB2312" w:cs="宋体"/>
          <w:b/>
          <w:kern w:val="0"/>
          <w:sz w:val="32"/>
          <w:szCs w:val="32"/>
        </w:rPr>
      </w:pPr>
      <w:r>
        <w:rPr>
          <w:rFonts w:hint="eastAsia" w:ascii="楷体_GB2312" w:hAnsi="宋体" w:eastAsia="楷体_GB2312" w:cs="宋体"/>
          <w:b/>
          <w:kern w:val="0"/>
          <w:sz w:val="32"/>
          <w:szCs w:val="32"/>
        </w:rPr>
        <w:br w:type="page"/>
      </w: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2020年度，本年度实行绩效管理的项目2个，涉及预算金额126万元。具体情况见下表（按项目分别填报）：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CellMar>
            <w:top w:w="0" w:type="dxa"/>
            <w:left w:w="108" w:type="dxa"/>
            <w:bottom w:w="0" w:type="dxa"/>
            <w:right w:w="108" w:type="dxa"/>
          </w:tblCellMar>
        </w:tblPrEx>
        <w:trPr>
          <w:trHeight w:val="222"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昌吉州交通运输局单位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《昌吉州临空经济发展战略研究报告》课题研究编制费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120万元</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120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支出项目经费　（万元）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150万元。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研究结果按时结题率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完成专题研究报告数量（个）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1个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研究成果评审合格率（%）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达100%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建设项目适应未来一定时期内交通枢纽需求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适应未来5年发展需要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全州综合运输枢纽服务水平提升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有效提升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符合高效、绿色、民航产业发展（%）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bl>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昌吉州交通运输局单位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交通战备经费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控制应急演练成本（万元）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应急演练费用不超过6万元</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本年度完成应急演练时限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10月前</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开展应急演练（次）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开展应急演练（1次）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应急演练达标率（%）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应急演练达标率达（100%）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社会对突发事件的认知有所提高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有所提升</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交通运输系统处理突发应急事件的能力有所加强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有所加强</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服务对象满意度（%）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服务对象满意度100%</w:t>
            </w:r>
          </w:p>
        </w:tc>
      </w:tr>
    </w:tbl>
    <w:p>
      <w:pPr>
        <w:widowControl/>
        <w:spacing w:line="560" w:lineRule="exact"/>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jc w:val="left"/>
        <w:rPr>
          <w:rFonts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昌吉州交通运输局</w:t>
      </w: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宋体"/>
    <w:panose1 w:val="00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35</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-12-</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086340"/>
    <w:rsid w:val="001B1CE4"/>
    <w:rsid w:val="002058BF"/>
    <w:rsid w:val="00206E59"/>
    <w:rsid w:val="00220671"/>
    <w:rsid w:val="002A1A64"/>
    <w:rsid w:val="00332CFC"/>
    <w:rsid w:val="003E370E"/>
    <w:rsid w:val="005618A6"/>
    <w:rsid w:val="00575B0A"/>
    <w:rsid w:val="00577362"/>
    <w:rsid w:val="0059604A"/>
    <w:rsid w:val="00784DE8"/>
    <w:rsid w:val="00815888"/>
    <w:rsid w:val="0091715F"/>
    <w:rsid w:val="00920FAA"/>
    <w:rsid w:val="00944B81"/>
    <w:rsid w:val="009B2B2F"/>
    <w:rsid w:val="00C8617D"/>
    <w:rsid w:val="00D00CDC"/>
    <w:rsid w:val="00D85033"/>
    <w:rsid w:val="00E502B9"/>
    <w:rsid w:val="00F0720A"/>
    <w:rsid w:val="019D4C4A"/>
    <w:rsid w:val="02187140"/>
    <w:rsid w:val="02463C09"/>
    <w:rsid w:val="02823B6D"/>
    <w:rsid w:val="02C76054"/>
    <w:rsid w:val="02D66A9F"/>
    <w:rsid w:val="02DE3217"/>
    <w:rsid w:val="034603CE"/>
    <w:rsid w:val="04376857"/>
    <w:rsid w:val="043C7BDA"/>
    <w:rsid w:val="06621F52"/>
    <w:rsid w:val="07250130"/>
    <w:rsid w:val="073903B6"/>
    <w:rsid w:val="074A3FB1"/>
    <w:rsid w:val="084E6080"/>
    <w:rsid w:val="089B44ED"/>
    <w:rsid w:val="0A563378"/>
    <w:rsid w:val="0C1254E0"/>
    <w:rsid w:val="0C6168D9"/>
    <w:rsid w:val="0CB4754B"/>
    <w:rsid w:val="0CBB4078"/>
    <w:rsid w:val="0CC7112A"/>
    <w:rsid w:val="0D767965"/>
    <w:rsid w:val="0E9368A3"/>
    <w:rsid w:val="0EA86F25"/>
    <w:rsid w:val="0EB05A59"/>
    <w:rsid w:val="0F9E2F7D"/>
    <w:rsid w:val="0F9F1EDF"/>
    <w:rsid w:val="104B60D1"/>
    <w:rsid w:val="11346B9E"/>
    <w:rsid w:val="12A67677"/>
    <w:rsid w:val="12E6458C"/>
    <w:rsid w:val="13E96B07"/>
    <w:rsid w:val="157D5662"/>
    <w:rsid w:val="16153351"/>
    <w:rsid w:val="16575837"/>
    <w:rsid w:val="17303F70"/>
    <w:rsid w:val="17956095"/>
    <w:rsid w:val="17B0568B"/>
    <w:rsid w:val="17B66469"/>
    <w:rsid w:val="184623AC"/>
    <w:rsid w:val="18ED1213"/>
    <w:rsid w:val="1A522E8B"/>
    <w:rsid w:val="1AD44C2B"/>
    <w:rsid w:val="1B490647"/>
    <w:rsid w:val="1BD47621"/>
    <w:rsid w:val="1C4B3F34"/>
    <w:rsid w:val="1C6E46EE"/>
    <w:rsid w:val="1C8A58F8"/>
    <w:rsid w:val="1CB7733D"/>
    <w:rsid w:val="1D483BF3"/>
    <w:rsid w:val="1D715076"/>
    <w:rsid w:val="1E041976"/>
    <w:rsid w:val="1E094A79"/>
    <w:rsid w:val="1E0D7261"/>
    <w:rsid w:val="1E8C3D2E"/>
    <w:rsid w:val="1F405D0C"/>
    <w:rsid w:val="201159DD"/>
    <w:rsid w:val="206613C5"/>
    <w:rsid w:val="20FD5EE2"/>
    <w:rsid w:val="21840749"/>
    <w:rsid w:val="228C63B4"/>
    <w:rsid w:val="236B1C21"/>
    <w:rsid w:val="23E76A91"/>
    <w:rsid w:val="253837DF"/>
    <w:rsid w:val="259D0C43"/>
    <w:rsid w:val="26515794"/>
    <w:rsid w:val="268D1F34"/>
    <w:rsid w:val="275643C6"/>
    <w:rsid w:val="278341C9"/>
    <w:rsid w:val="27AB1A7F"/>
    <w:rsid w:val="288B68C1"/>
    <w:rsid w:val="2891171A"/>
    <w:rsid w:val="2A5738C9"/>
    <w:rsid w:val="2A5E3FEF"/>
    <w:rsid w:val="2B977695"/>
    <w:rsid w:val="2BCA1312"/>
    <w:rsid w:val="2D0269DF"/>
    <w:rsid w:val="2D1A13F5"/>
    <w:rsid w:val="2D6A7BAB"/>
    <w:rsid w:val="2DDE2C5B"/>
    <w:rsid w:val="2E2E51EB"/>
    <w:rsid w:val="2E5045D8"/>
    <w:rsid w:val="2EEF05EC"/>
    <w:rsid w:val="2F2A2E12"/>
    <w:rsid w:val="2F3E0F53"/>
    <w:rsid w:val="2F555A77"/>
    <w:rsid w:val="2F9640D3"/>
    <w:rsid w:val="30B50457"/>
    <w:rsid w:val="30C055D5"/>
    <w:rsid w:val="31DE53AA"/>
    <w:rsid w:val="32104147"/>
    <w:rsid w:val="32124669"/>
    <w:rsid w:val="32533DF1"/>
    <w:rsid w:val="32AF16C8"/>
    <w:rsid w:val="33191FA6"/>
    <w:rsid w:val="335831F1"/>
    <w:rsid w:val="34A13F42"/>
    <w:rsid w:val="36B90393"/>
    <w:rsid w:val="37886270"/>
    <w:rsid w:val="37EC77D0"/>
    <w:rsid w:val="38B746CB"/>
    <w:rsid w:val="39250ACC"/>
    <w:rsid w:val="39543612"/>
    <w:rsid w:val="397E1909"/>
    <w:rsid w:val="39990077"/>
    <w:rsid w:val="39AA50DC"/>
    <w:rsid w:val="3A22792B"/>
    <w:rsid w:val="3A2A2870"/>
    <w:rsid w:val="3B5E5ED4"/>
    <w:rsid w:val="3B69795F"/>
    <w:rsid w:val="3BB85A87"/>
    <w:rsid w:val="3BE47929"/>
    <w:rsid w:val="3C1F2E2D"/>
    <w:rsid w:val="3C345AE0"/>
    <w:rsid w:val="3C3D2078"/>
    <w:rsid w:val="3DB30968"/>
    <w:rsid w:val="3DCC4761"/>
    <w:rsid w:val="3DE74C0C"/>
    <w:rsid w:val="3F0E5EE6"/>
    <w:rsid w:val="3F5213EF"/>
    <w:rsid w:val="3F8B2A89"/>
    <w:rsid w:val="3FDB1430"/>
    <w:rsid w:val="40602371"/>
    <w:rsid w:val="40A97E2F"/>
    <w:rsid w:val="40BE55F3"/>
    <w:rsid w:val="412962FF"/>
    <w:rsid w:val="41C468BD"/>
    <w:rsid w:val="4258157C"/>
    <w:rsid w:val="428D2D55"/>
    <w:rsid w:val="42D85E3B"/>
    <w:rsid w:val="42EE1767"/>
    <w:rsid w:val="431D1141"/>
    <w:rsid w:val="45C775E2"/>
    <w:rsid w:val="4663263A"/>
    <w:rsid w:val="47904E06"/>
    <w:rsid w:val="47AD369A"/>
    <w:rsid w:val="496A4793"/>
    <w:rsid w:val="4AE94B6F"/>
    <w:rsid w:val="4AF96A69"/>
    <w:rsid w:val="4B501F11"/>
    <w:rsid w:val="4B795914"/>
    <w:rsid w:val="4CFE4E3B"/>
    <w:rsid w:val="4DF07613"/>
    <w:rsid w:val="4E396AC1"/>
    <w:rsid w:val="4E3A67F7"/>
    <w:rsid w:val="4ED96FE2"/>
    <w:rsid w:val="4EEB45A8"/>
    <w:rsid w:val="4F842311"/>
    <w:rsid w:val="4FF83FD6"/>
    <w:rsid w:val="50000AE8"/>
    <w:rsid w:val="50A026A2"/>
    <w:rsid w:val="510C7E21"/>
    <w:rsid w:val="510D2DFD"/>
    <w:rsid w:val="51CB686A"/>
    <w:rsid w:val="51DA241D"/>
    <w:rsid w:val="53A5230A"/>
    <w:rsid w:val="53AD3DAC"/>
    <w:rsid w:val="55C76C7F"/>
    <w:rsid w:val="56360505"/>
    <w:rsid w:val="566008FE"/>
    <w:rsid w:val="56FA6B6D"/>
    <w:rsid w:val="58477F9C"/>
    <w:rsid w:val="587D72D2"/>
    <w:rsid w:val="58D30F1B"/>
    <w:rsid w:val="58EA5BCE"/>
    <w:rsid w:val="5954164B"/>
    <w:rsid w:val="5AF125E9"/>
    <w:rsid w:val="5B7F3376"/>
    <w:rsid w:val="5BA52F16"/>
    <w:rsid w:val="5BCE35B8"/>
    <w:rsid w:val="5BE27AD6"/>
    <w:rsid w:val="5C073D9F"/>
    <w:rsid w:val="5C147B1F"/>
    <w:rsid w:val="5C174276"/>
    <w:rsid w:val="5C9F30C4"/>
    <w:rsid w:val="5D784FB0"/>
    <w:rsid w:val="5F950AC2"/>
    <w:rsid w:val="60632377"/>
    <w:rsid w:val="60C167B4"/>
    <w:rsid w:val="60E95CD4"/>
    <w:rsid w:val="61743529"/>
    <w:rsid w:val="61DC470C"/>
    <w:rsid w:val="62883FFC"/>
    <w:rsid w:val="62A87E5C"/>
    <w:rsid w:val="62DE5107"/>
    <w:rsid w:val="63676EFE"/>
    <w:rsid w:val="637D717A"/>
    <w:rsid w:val="63990E63"/>
    <w:rsid w:val="648F34D1"/>
    <w:rsid w:val="64A94AB6"/>
    <w:rsid w:val="65487950"/>
    <w:rsid w:val="6670444A"/>
    <w:rsid w:val="669E749B"/>
    <w:rsid w:val="6757671E"/>
    <w:rsid w:val="67FA62DB"/>
    <w:rsid w:val="68606B09"/>
    <w:rsid w:val="689E1979"/>
    <w:rsid w:val="6934698C"/>
    <w:rsid w:val="6A7479CF"/>
    <w:rsid w:val="6C135BC1"/>
    <w:rsid w:val="6C38323A"/>
    <w:rsid w:val="6C5560AA"/>
    <w:rsid w:val="6D7C7E69"/>
    <w:rsid w:val="6E3005D4"/>
    <w:rsid w:val="6F975458"/>
    <w:rsid w:val="701127BF"/>
    <w:rsid w:val="70654B90"/>
    <w:rsid w:val="70707C52"/>
    <w:rsid w:val="714559EE"/>
    <w:rsid w:val="727A0550"/>
    <w:rsid w:val="72894B70"/>
    <w:rsid w:val="73346F8D"/>
    <w:rsid w:val="73BE0016"/>
    <w:rsid w:val="74161F6B"/>
    <w:rsid w:val="7553479E"/>
    <w:rsid w:val="76D8048E"/>
    <w:rsid w:val="7721136E"/>
    <w:rsid w:val="77287E03"/>
    <w:rsid w:val="779F7D96"/>
    <w:rsid w:val="78146ECE"/>
    <w:rsid w:val="78550501"/>
    <w:rsid w:val="7A1E2641"/>
    <w:rsid w:val="7BC84D55"/>
    <w:rsid w:val="7C2E3E8A"/>
    <w:rsid w:val="7C8D6F5E"/>
    <w:rsid w:val="7CB74C05"/>
    <w:rsid w:val="7D637E46"/>
    <w:rsid w:val="7DF04054"/>
    <w:rsid w:val="7E080B49"/>
    <w:rsid w:val="7F12066C"/>
    <w:rsid w:val="7F265037"/>
    <w:rsid w:val="7F2D6CAA"/>
    <w:rsid w:val="7F625386"/>
    <w:rsid w:val="7F8552E8"/>
    <w:rsid w:val="7FCC0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字符"/>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字符"/>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46ACAD-D9BF-49CC-BF8C-9A1F243F68C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1444</Words>
  <Characters>8235</Characters>
  <Lines>68</Lines>
  <Paragraphs>19</Paragraphs>
  <TotalTime>220</TotalTime>
  <ScaleCrop>false</ScaleCrop>
  <LinksUpToDate>false</LinksUpToDate>
  <CharactersWithSpaces>9660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dcterms:modified xsi:type="dcterms:W3CDTF">2021-05-28T09:43:22Z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