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spacing w:line="540" w:lineRule="exact"/>
        <w:jc w:val="center"/>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昌吉州公路工程质量监督管理总站2019年</w:t>
      </w:r>
    </w:p>
    <w:p>
      <w:pPr>
        <w:spacing w:line="540" w:lineRule="exact"/>
        <w:jc w:val="center"/>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spacing w:line="540" w:lineRule="exact"/>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宋体" w:hAnsi="宋体" w:cs="宋体"/>
          <w:b/>
          <w:bCs/>
          <w:sz w:val="30"/>
          <w:szCs w:val="30"/>
        </w:rPr>
        <w:t>昌吉州公路工程质量监督管理总站</w:t>
      </w:r>
      <w:r>
        <w:rPr>
          <w:rFonts w:hint="eastAsia" w:ascii="仿宋_GB2312" w:hAnsi="宋体" w:eastAsia="仿宋_GB2312"/>
          <w:b/>
          <w:kern w:val="0"/>
          <w:sz w:val="32"/>
          <w:szCs w:val="32"/>
        </w:rPr>
        <w:t>单位概况</w:t>
      </w:r>
    </w:p>
    <w:p>
      <w:pPr>
        <w:widowControl/>
        <w:numPr>
          <w:ilvl w:val="0"/>
          <w:numId w:val="1"/>
        </w:numPr>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主要职能   </w:t>
      </w:r>
    </w:p>
    <w:p>
      <w:pPr>
        <w:widowControl/>
        <w:numPr>
          <w:ilvl w:val="0"/>
          <w:numId w:val="2"/>
        </w:numPr>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kern w:val="0"/>
          <w:sz w:val="32"/>
          <w:szCs w:val="32"/>
        </w:rPr>
        <w:t>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宋体" w:hAnsi="宋体" w:cs="宋体"/>
          <w:b/>
          <w:kern w:val="0"/>
          <w:sz w:val="32"/>
          <w:szCs w:val="32"/>
        </w:rPr>
      </w:pPr>
      <w:r>
        <w:rPr>
          <w:rFonts w:hint="eastAsia" w:ascii="黑体" w:hAnsi="黑体" w:eastAsia="黑体"/>
          <w:kern w:val="0"/>
          <w:sz w:val="32"/>
          <w:szCs w:val="32"/>
        </w:rPr>
        <w:t xml:space="preserve">第一部分 </w:t>
      </w:r>
      <w:r>
        <w:rPr>
          <w:rFonts w:hint="eastAsia" w:ascii="宋体" w:hAnsi="宋体" w:cs="宋体"/>
          <w:b/>
          <w:kern w:val="0"/>
          <w:sz w:val="32"/>
          <w:szCs w:val="32"/>
        </w:rPr>
        <w:t>昌吉州公路工程质量监督管理总站</w:t>
      </w:r>
    </w:p>
    <w:p>
      <w:pPr>
        <w:widowControl/>
        <w:jc w:val="center"/>
        <w:outlineLvl w:val="1"/>
        <w:rPr>
          <w:rFonts w:ascii="宋体" w:hAnsi="宋体" w:cs="宋体"/>
          <w:b/>
          <w:kern w:val="0"/>
          <w:sz w:val="32"/>
          <w:szCs w:val="32"/>
        </w:rPr>
      </w:pPr>
      <w:r>
        <w:rPr>
          <w:rFonts w:hint="eastAsia" w:ascii="宋体" w:hAnsi="宋体" w:cs="宋体"/>
          <w:b/>
          <w:kern w:val="0"/>
          <w:sz w:val="32"/>
          <w:szCs w:val="32"/>
        </w:rPr>
        <w:t>2019年部门单位概况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 xml:space="preserve"> </w:t>
      </w:r>
      <w:r>
        <w:rPr>
          <w:rFonts w:hint="eastAsia" w:ascii="仿宋_GB2312" w:hAnsi="宋体" w:eastAsia="仿宋_GB2312" w:cs="宋体"/>
          <w:kern w:val="0"/>
          <w:sz w:val="32"/>
          <w:szCs w:val="32"/>
        </w:rPr>
        <w:t>按照有关规定，接受授权或委托负责拟定昌吉州农村公路工程质量监督实施细则及各项规章制度；开展工程质量检查，定期发布质量动态；具体指导全州公路建设的质量监督和施工监理工作；组织开展工程交工前的质量检测，参加工程竣工验收等。</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昌吉州公路工程质量监督管理总站单位无下属预算单位，下设0个处室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昌吉州公路工程质量监督管理总站</w:t>
      </w:r>
      <w:r>
        <w:rPr>
          <w:rFonts w:hint="eastAsia" w:ascii="仿宋_GB2312" w:hAnsi="宋体" w:eastAsia="仿宋_GB2312" w:cs="宋体"/>
          <w:kern w:val="0"/>
          <w:sz w:val="32"/>
          <w:szCs w:val="32"/>
        </w:rPr>
        <w:t>单位编制数12人，实有人数,11人，其中：在职10人，减少1人； 退休1人，增加或减少0人；离休0人，增加或减少0人。</w:t>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jc w:val="center"/>
        <w:outlineLvl w:val="1"/>
        <w:rPr>
          <w:rFonts w:ascii="黑体" w:hAnsi="黑体" w:eastAsia="黑体"/>
          <w:kern w:val="0"/>
          <w:sz w:val="32"/>
          <w:szCs w:val="32"/>
        </w:rPr>
      </w:pPr>
    </w:p>
    <w:p>
      <w:pPr>
        <w:widowControl/>
        <w:jc w:val="left"/>
        <w:outlineLvl w:val="1"/>
        <w:rPr>
          <w:rFonts w:ascii="宋体" w:hAnsi="宋体" w:cs="宋体"/>
          <w:bCs/>
          <w:kern w:val="0"/>
          <w:sz w:val="24"/>
        </w:rPr>
      </w:pPr>
      <w:r>
        <w:rPr>
          <w:rFonts w:hint="eastAsia" w:ascii="宋体" w:hAnsi="宋体" w:cs="宋体"/>
          <w:bCs/>
          <w:kern w:val="0"/>
          <w:sz w:val="24"/>
        </w:rPr>
        <w:t>表一：</w:t>
      </w:r>
    </w:p>
    <w:p>
      <w:pPr>
        <w:widowControl/>
        <w:jc w:val="left"/>
        <w:outlineLvl w:val="1"/>
        <w:rPr>
          <w:rFonts w:ascii="宋体" w:hAnsi="宋体" w:cs="宋体"/>
          <w:bCs/>
          <w:kern w:val="0"/>
          <w:sz w:val="24"/>
        </w:rPr>
      </w:pPr>
    </w:p>
    <w:p>
      <w:pPr>
        <w:widowControl/>
        <w:jc w:val="left"/>
        <w:outlineLvl w:val="1"/>
        <w:rPr>
          <w:rFonts w:ascii="宋体" w:hAnsi="宋体" w:cs="宋体"/>
          <w:kern w:val="0"/>
          <w:sz w:val="24"/>
        </w:rPr>
      </w:pPr>
      <w:r>
        <w:rPr>
          <w:rFonts w:hint="eastAsia" w:ascii="宋体" w:hAnsi="宋体" w:cs="宋体"/>
          <w:bCs/>
          <w:kern w:val="0"/>
          <w:sz w:val="24"/>
        </w:rPr>
        <w:t xml:space="preserve">编制部门：昌吉州公路工程质量监督管理总站 </w:t>
      </w:r>
      <w:r>
        <w:rPr>
          <w:rFonts w:hint="eastAsia" w:ascii="宋体" w:hAnsi="宋体" w:cs="宋体"/>
          <w:kern w:val="0"/>
          <w:sz w:val="24"/>
        </w:rPr>
        <w:t xml:space="preserve">             单位：万元                              </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122.84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122.84</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122.84</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122.84　</w:t>
            </w:r>
          </w:p>
        </w:tc>
      </w:tr>
    </w:tbl>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460"/>
        <w:gridCol w:w="365"/>
        <w:gridCol w:w="451"/>
        <w:gridCol w:w="732"/>
        <w:gridCol w:w="609"/>
        <w:gridCol w:w="638"/>
        <w:gridCol w:w="657"/>
        <w:gridCol w:w="563"/>
        <w:gridCol w:w="506"/>
        <w:gridCol w:w="544"/>
        <w:gridCol w:w="694"/>
        <w:gridCol w:w="919"/>
        <w:gridCol w:w="17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5" w:hRule="atLeast"/>
        </w:trPr>
        <w:tc>
          <w:tcPr>
            <w:tcW w:w="8930" w:type="dxa"/>
            <w:gridSpan w:val="13"/>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32"/>
                <w:szCs w:val="32"/>
              </w:rPr>
              <w:t>表二: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5" w:hRule="atLeast"/>
        </w:trPr>
        <w:tc>
          <w:tcPr>
            <w:tcW w:w="8930" w:type="dxa"/>
            <w:gridSpan w:val="1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32"/>
                <w:szCs w:val="32"/>
              </w:rPr>
              <w:t>部门收入总体情况表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276"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填报部门</w:t>
            </w:r>
          </w:p>
        </w:tc>
        <w:tc>
          <w:tcPr>
            <w:tcW w:w="5862" w:type="dxa"/>
            <w:gridSpan w:val="9"/>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1792"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276"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功能分类科目编码</w:t>
            </w:r>
          </w:p>
        </w:tc>
        <w:tc>
          <w:tcPr>
            <w:tcW w:w="732"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功能分类科目名称</w:t>
            </w:r>
          </w:p>
        </w:tc>
        <w:tc>
          <w:tcPr>
            <w:tcW w:w="60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总计</w:t>
            </w:r>
          </w:p>
        </w:tc>
        <w:tc>
          <w:tcPr>
            <w:tcW w:w="63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一般公共预算拨款</w:t>
            </w:r>
          </w:p>
        </w:tc>
        <w:tc>
          <w:tcPr>
            <w:tcW w:w="657"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政府性基金预算拨款</w:t>
            </w:r>
          </w:p>
        </w:tc>
        <w:tc>
          <w:tcPr>
            <w:tcW w:w="563"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财政专户管理资金</w:t>
            </w:r>
          </w:p>
        </w:tc>
        <w:tc>
          <w:tcPr>
            <w:tcW w:w="506"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事业收入</w:t>
            </w:r>
          </w:p>
        </w:tc>
        <w:tc>
          <w:tcPr>
            <w:tcW w:w="544"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事业单位经营收入</w:t>
            </w:r>
          </w:p>
        </w:tc>
        <w:tc>
          <w:tcPr>
            <w:tcW w:w="694"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其他收入</w:t>
            </w:r>
          </w:p>
        </w:tc>
        <w:tc>
          <w:tcPr>
            <w:tcW w:w="91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用事业基金弥补收支差额</w:t>
            </w:r>
          </w:p>
        </w:tc>
        <w:tc>
          <w:tcPr>
            <w:tcW w:w="1792"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单位上年结余（不包括国库集中支付额度结余）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46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类</w:t>
            </w:r>
          </w:p>
        </w:tc>
        <w:tc>
          <w:tcPr>
            <w:tcW w:w="365"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款</w:t>
            </w:r>
          </w:p>
        </w:tc>
        <w:tc>
          <w:tcPr>
            <w:tcW w:w="451"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w:t>
            </w:r>
          </w:p>
        </w:tc>
        <w:tc>
          <w:tcPr>
            <w:tcW w:w="732" w:type="dxa"/>
            <w:vMerge w:val="continue"/>
            <w:tcBorders>
              <w:tl2br w:val="nil"/>
              <w:tr2bl w:val="nil"/>
            </w:tcBorders>
            <w:vAlign w:val="center"/>
          </w:tcPr>
          <w:p>
            <w:pPr>
              <w:rPr>
                <w:rFonts w:ascii="仿宋" w:hAnsi="仿宋" w:eastAsia="仿宋" w:cs="仿宋"/>
                <w:sz w:val="24"/>
              </w:rPr>
            </w:pPr>
          </w:p>
        </w:tc>
        <w:tc>
          <w:tcPr>
            <w:tcW w:w="609" w:type="dxa"/>
            <w:vMerge w:val="continue"/>
            <w:tcBorders>
              <w:tl2br w:val="nil"/>
              <w:tr2bl w:val="nil"/>
            </w:tcBorders>
            <w:vAlign w:val="center"/>
          </w:tcPr>
          <w:p>
            <w:pPr>
              <w:rPr>
                <w:rFonts w:ascii="仿宋" w:hAnsi="仿宋" w:eastAsia="仿宋" w:cs="仿宋"/>
                <w:sz w:val="24"/>
              </w:rPr>
            </w:pPr>
          </w:p>
        </w:tc>
        <w:tc>
          <w:tcPr>
            <w:tcW w:w="638" w:type="dxa"/>
            <w:vMerge w:val="continue"/>
            <w:tcBorders>
              <w:tl2br w:val="nil"/>
              <w:tr2bl w:val="nil"/>
            </w:tcBorders>
            <w:vAlign w:val="center"/>
          </w:tcPr>
          <w:p>
            <w:pPr>
              <w:rPr>
                <w:rFonts w:ascii="仿宋" w:hAnsi="仿宋" w:eastAsia="仿宋" w:cs="仿宋"/>
                <w:sz w:val="24"/>
              </w:rPr>
            </w:pPr>
          </w:p>
        </w:tc>
        <w:tc>
          <w:tcPr>
            <w:tcW w:w="657" w:type="dxa"/>
            <w:vMerge w:val="continue"/>
            <w:tcBorders>
              <w:tl2br w:val="nil"/>
              <w:tr2bl w:val="nil"/>
            </w:tcBorders>
            <w:vAlign w:val="center"/>
          </w:tcPr>
          <w:p>
            <w:pPr>
              <w:rPr>
                <w:rFonts w:ascii="仿宋" w:hAnsi="仿宋" w:eastAsia="仿宋" w:cs="仿宋"/>
                <w:sz w:val="24"/>
              </w:rPr>
            </w:pPr>
          </w:p>
        </w:tc>
        <w:tc>
          <w:tcPr>
            <w:tcW w:w="563" w:type="dxa"/>
            <w:vMerge w:val="continue"/>
            <w:tcBorders>
              <w:tl2br w:val="nil"/>
              <w:tr2bl w:val="nil"/>
            </w:tcBorders>
            <w:vAlign w:val="center"/>
          </w:tcPr>
          <w:p>
            <w:pPr>
              <w:rPr>
                <w:rFonts w:ascii="仿宋" w:hAnsi="仿宋" w:eastAsia="仿宋" w:cs="仿宋"/>
                <w:sz w:val="24"/>
              </w:rPr>
            </w:pPr>
          </w:p>
        </w:tc>
        <w:tc>
          <w:tcPr>
            <w:tcW w:w="506" w:type="dxa"/>
            <w:vMerge w:val="continue"/>
            <w:tcBorders>
              <w:tl2br w:val="nil"/>
              <w:tr2bl w:val="nil"/>
            </w:tcBorders>
            <w:vAlign w:val="center"/>
          </w:tcPr>
          <w:p>
            <w:pPr>
              <w:rPr>
                <w:rFonts w:ascii="仿宋" w:hAnsi="仿宋" w:eastAsia="仿宋" w:cs="仿宋"/>
                <w:sz w:val="24"/>
              </w:rPr>
            </w:pPr>
          </w:p>
        </w:tc>
        <w:tc>
          <w:tcPr>
            <w:tcW w:w="544" w:type="dxa"/>
            <w:vMerge w:val="continue"/>
            <w:tcBorders>
              <w:tl2br w:val="nil"/>
              <w:tr2bl w:val="nil"/>
            </w:tcBorders>
            <w:vAlign w:val="center"/>
          </w:tcPr>
          <w:p>
            <w:pPr>
              <w:rPr>
                <w:rFonts w:ascii="仿宋" w:hAnsi="仿宋" w:eastAsia="仿宋" w:cs="仿宋"/>
                <w:sz w:val="24"/>
              </w:rPr>
            </w:pPr>
          </w:p>
        </w:tc>
        <w:tc>
          <w:tcPr>
            <w:tcW w:w="694" w:type="dxa"/>
            <w:vMerge w:val="continue"/>
            <w:tcBorders>
              <w:tl2br w:val="nil"/>
              <w:tr2bl w:val="nil"/>
            </w:tcBorders>
            <w:vAlign w:val="center"/>
          </w:tcPr>
          <w:p>
            <w:pPr>
              <w:rPr>
                <w:rFonts w:ascii="仿宋" w:hAnsi="仿宋" w:eastAsia="仿宋" w:cs="仿宋"/>
                <w:sz w:val="24"/>
              </w:rPr>
            </w:pPr>
          </w:p>
        </w:tc>
        <w:tc>
          <w:tcPr>
            <w:tcW w:w="919" w:type="dxa"/>
            <w:vMerge w:val="continue"/>
            <w:tcBorders>
              <w:tl2br w:val="nil"/>
              <w:tr2bl w:val="nil"/>
            </w:tcBorders>
            <w:vAlign w:val="center"/>
          </w:tcPr>
          <w:p>
            <w:pPr>
              <w:rPr>
                <w:rFonts w:ascii="仿宋" w:hAnsi="仿宋" w:eastAsia="仿宋" w:cs="仿宋"/>
                <w:sz w:val="24"/>
              </w:rPr>
            </w:pPr>
          </w:p>
        </w:tc>
        <w:tc>
          <w:tcPr>
            <w:tcW w:w="1792" w:type="dxa"/>
            <w:vMerge w:val="continue"/>
            <w:tcBorders>
              <w:tl2br w:val="nil"/>
              <w:tr2bl w:val="nil"/>
            </w:tcBorders>
            <w:vAlign w:val="center"/>
          </w:tcPr>
          <w:p>
            <w:pP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trPr>
        <w:tc>
          <w:tcPr>
            <w:tcW w:w="460"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365"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451"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732"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609"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63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657"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63"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0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44"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694"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91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792"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46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214</w:t>
            </w:r>
          </w:p>
        </w:tc>
        <w:tc>
          <w:tcPr>
            <w:tcW w:w="365"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01</w:t>
            </w:r>
          </w:p>
        </w:tc>
        <w:tc>
          <w:tcPr>
            <w:tcW w:w="451"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w:t>
            </w:r>
          </w:p>
        </w:tc>
        <w:tc>
          <w:tcPr>
            <w:tcW w:w="732"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公路运输管理</w:t>
            </w:r>
          </w:p>
        </w:tc>
        <w:tc>
          <w:tcPr>
            <w:tcW w:w="609"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63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657"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63"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0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544"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694"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91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792" w:type="dxa"/>
            <w:tcBorders>
              <w:tl2br w:val="nil"/>
              <w:tr2bl w:val="nil"/>
            </w:tcBorders>
            <w:vAlign w:val="center"/>
          </w:tcPr>
          <w:p>
            <w:pPr>
              <w:autoSpaceDN w:val="0"/>
              <w:jc w:val="right"/>
              <w:textAlignment w:val="center"/>
              <w:rPr>
                <w:rFonts w:ascii="仿宋" w:hAnsi="仿宋" w:eastAsia="仿宋" w:cs="仿宋"/>
                <w:color w:val="000000"/>
                <w:sz w:val="24"/>
              </w:rPr>
            </w:pPr>
          </w:p>
        </w:tc>
      </w:tr>
    </w:tbl>
    <w:p>
      <w:pPr>
        <w:widowControl/>
        <w:jc w:val="left"/>
        <w:outlineLvl w:val="1"/>
        <w:rPr>
          <w:rFonts w:ascii="宋体" w:hAnsi="宋体" w:cs="宋体"/>
          <w:bCs/>
          <w:kern w:val="0"/>
          <w:sz w:val="32"/>
          <w:szCs w:val="32"/>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宋体" w:hAnsi="宋体" w:cs="宋体"/>
          <w:bCs/>
          <w:kern w:val="0"/>
          <w:szCs w:val="21"/>
        </w:rPr>
        <w:t>昌吉州公路工程质量监督管理总站</w:t>
      </w:r>
      <w:r>
        <w:rPr>
          <w:rFonts w:hint="eastAsia" w:ascii="仿宋_GB2312" w:hAnsi="宋体" w:eastAsia="仿宋_GB2312"/>
          <w:kern w:val="0"/>
          <w:sz w:val="24"/>
        </w:rPr>
        <w:t xml:space="preserve">                        单位：万元        </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12</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公路运输管理</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122.84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122.84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2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122.84</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122.84</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156"/>
        <w:gridCol w:w="1186"/>
        <w:gridCol w:w="2353"/>
        <w:gridCol w:w="870"/>
        <w:gridCol w:w="1500"/>
        <w:gridCol w:w="18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trPr>
        <w:tc>
          <w:tcPr>
            <w:tcW w:w="8930" w:type="dxa"/>
            <w:gridSpan w:val="6"/>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32"/>
                <w:szCs w:val="32"/>
              </w:rPr>
              <w:t>表四: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trPr>
        <w:tc>
          <w:tcPr>
            <w:tcW w:w="8930" w:type="dxa"/>
            <w:gridSpan w:val="6"/>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32"/>
                <w:szCs w:val="32"/>
              </w:rPr>
              <w:t>财政拨款收支预算总体情况表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编制部门：</w:t>
            </w:r>
          </w:p>
        </w:tc>
        <w:tc>
          <w:tcPr>
            <w:tcW w:w="5909" w:type="dxa"/>
            <w:gridSpan w:val="4"/>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 xml:space="preserve"> 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2342" w:type="dxa"/>
            <w:gridSpan w:val="2"/>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财政拨款收入</w:t>
            </w:r>
          </w:p>
        </w:tc>
        <w:tc>
          <w:tcPr>
            <w:tcW w:w="6588" w:type="dxa"/>
            <w:gridSpan w:val="4"/>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财政拨款支出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w:t>
            </w:r>
          </w:p>
        </w:tc>
        <w:tc>
          <w:tcPr>
            <w:tcW w:w="1186"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2353"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w:t>
            </w:r>
          </w:p>
        </w:tc>
        <w:tc>
          <w:tcPr>
            <w:tcW w:w="87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50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一般公共预算</w:t>
            </w:r>
          </w:p>
        </w:tc>
        <w:tc>
          <w:tcPr>
            <w:tcW w:w="1865"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政府性基金预算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财政拨款（补助）</w:t>
            </w: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201 一般公共服务支出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 xml:space="preserve">        一般公共预算</w:t>
            </w: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202 外交支出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 xml:space="preserve">        政府性基金预算</w:t>
            </w: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203 国防支出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204 公共安全支出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205 教育支出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206 科学技术支出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207 文化旅游体育与传媒支出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208 社会保障和就业支出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209 社会保险基金支出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210卫生健康支出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211 节能环保支出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212 城乡社区支出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213 农林水支出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214 交通运输支出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215 资源勘探信息等支出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216 商业服务业等支出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217 金融支出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219 援助其他地区支出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220自然资源海洋气象等支出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221 住房保障支出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222 粮油物资储备支出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223 国有资本经营预算支出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224 灾害防治及应急管理支出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227 预备费</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229 其他支出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231 债务还本支出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232 债务付息支出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233 债务发行费用支出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小           计</w:t>
            </w: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小           计</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75" w:hRule="atLeast"/>
        </w:trPr>
        <w:tc>
          <w:tcPr>
            <w:tcW w:w="1156" w:type="dxa"/>
            <w:tcBorders>
              <w:tl2br w:val="nil"/>
              <w:tr2bl w:val="nil"/>
            </w:tcBorders>
            <w:vAlign w:val="center"/>
          </w:tcPr>
          <w:p>
            <w:pPr>
              <w:autoSpaceDN w:val="0"/>
              <w:jc w:val="center"/>
              <w:textAlignment w:val="center"/>
              <w:rPr>
                <w:rFonts w:ascii="仿宋" w:hAnsi="仿宋" w:eastAsia="仿宋" w:cs="仿宋"/>
                <w:color w:val="000000"/>
                <w:sz w:val="24"/>
              </w:rPr>
            </w:pP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230 转移性支出</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156"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收  入  总  计</w:t>
            </w:r>
          </w:p>
        </w:tc>
        <w:tc>
          <w:tcPr>
            <w:tcW w:w="1186"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235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支  出  合  计</w:t>
            </w:r>
          </w:p>
        </w:tc>
        <w:tc>
          <w:tcPr>
            <w:tcW w:w="87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50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865" w:type="dxa"/>
            <w:tcBorders>
              <w:tl2br w:val="nil"/>
              <w:tr2bl w:val="nil"/>
            </w:tcBorders>
            <w:vAlign w:val="center"/>
          </w:tcPr>
          <w:p>
            <w:pPr>
              <w:autoSpaceDN w:val="0"/>
              <w:jc w:val="right"/>
              <w:textAlignment w:val="center"/>
              <w:rPr>
                <w:rFonts w:ascii="仿宋" w:hAnsi="仿宋" w:eastAsia="仿宋" w:cs="仿宋"/>
                <w:color w:val="000000"/>
                <w:sz w:val="24"/>
              </w:rPr>
            </w:pP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57"/>
        <w:gridCol w:w="1152"/>
        <w:gridCol w:w="1047"/>
        <w:gridCol w:w="1780"/>
        <w:gridCol w:w="1295"/>
        <w:gridCol w:w="1885"/>
        <w:gridCol w:w="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trPr>
        <w:tc>
          <w:tcPr>
            <w:tcW w:w="8930" w:type="dxa"/>
            <w:gridSpan w:val="7"/>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32"/>
                <w:szCs w:val="32"/>
              </w:rPr>
              <w:t>表五: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trPr>
        <w:tc>
          <w:tcPr>
            <w:tcW w:w="8930" w:type="dxa"/>
            <w:gridSpan w:val="7"/>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宋体" w:hAnsi="宋体" w:cs="宋体"/>
                <w:color w:val="000000"/>
                <w:sz w:val="32"/>
                <w:szCs w:val="32"/>
              </w:rPr>
              <w:t>一般公共预算支出情况表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5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编制部门：</w:t>
            </w:r>
          </w:p>
        </w:tc>
        <w:tc>
          <w:tcPr>
            <w:tcW w:w="7159" w:type="dxa"/>
            <w:gridSpan w:val="5"/>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714"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 xml:space="preserve"> 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5036" w:type="dxa"/>
            <w:gridSpan w:val="4"/>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w:t>
            </w:r>
          </w:p>
        </w:tc>
        <w:tc>
          <w:tcPr>
            <w:tcW w:w="3894"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一般公共预算支出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3256"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功能分类科目编码</w:t>
            </w:r>
          </w:p>
        </w:tc>
        <w:tc>
          <w:tcPr>
            <w:tcW w:w="1780"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功能分类科目名称</w:t>
            </w:r>
          </w:p>
        </w:tc>
        <w:tc>
          <w:tcPr>
            <w:tcW w:w="129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小计</w:t>
            </w:r>
          </w:p>
        </w:tc>
        <w:tc>
          <w:tcPr>
            <w:tcW w:w="188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基本支出</w:t>
            </w:r>
          </w:p>
        </w:tc>
        <w:tc>
          <w:tcPr>
            <w:tcW w:w="714"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5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类</w:t>
            </w:r>
          </w:p>
        </w:tc>
        <w:tc>
          <w:tcPr>
            <w:tcW w:w="1152"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款</w:t>
            </w:r>
          </w:p>
        </w:tc>
        <w:tc>
          <w:tcPr>
            <w:tcW w:w="104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w:t>
            </w:r>
          </w:p>
        </w:tc>
        <w:tc>
          <w:tcPr>
            <w:tcW w:w="1780" w:type="dxa"/>
            <w:vMerge w:val="continue"/>
            <w:tcBorders>
              <w:tl2br w:val="nil"/>
              <w:tr2bl w:val="nil"/>
            </w:tcBorders>
            <w:vAlign w:val="center"/>
          </w:tcPr>
          <w:p>
            <w:pPr>
              <w:rPr>
                <w:rFonts w:ascii="仿宋" w:hAnsi="仿宋" w:eastAsia="仿宋" w:cs="仿宋"/>
                <w:sz w:val="24"/>
              </w:rPr>
            </w:pPr>
          </w:p>
        </w:tc>
        <w:tc>
          <w:tcPr>
            <w:tcW w:w="1295" w:type="dxa"/>
            <w:vMerge w:val="continue"/>
            <w:tcBorders>
              <w:tl2br w:val="nil"/>
              <w:tr2bl w:val="nil"/>
            </w:tcBorders>
            <w:vAlign w:val="center"/>
          </w:tcPr>
          <w:p>
            <w:pPr>
              <w:rPr>
                <w:rFonts w:ascii="仿宋" w:hAnsi="仿宋" w:eastAsia="仿宋" w:cs="仿宋"/>
                <w:sz w:val="24"/>
              </w:rPr>
            </w:pPr>
          </w:p>
        </w:tc>
        <w:tc>
          <w:tcPr>
            <w:tcW w:w="1885" w:type="dxa"/>
            <w:vMerge w:val="continue"/>
            <w:tcBorders>
              <w:tl2br w:val="nil"/>
              <w:tr2bl w:val="nil"/>
            </w:tcBorders>
            <w:vAlign w:val="center"/>
          </w:tcPr>
          <w:p>
            <w:pPr>
              <w:rPr>
                <w:rFonts w:ascii="仿宋" w:hAnsi="仿宋" w:eastAsia="仿宋" w:cs="仿宋"/>
                <w:sz w:val="24"/>
              </w:rPr>
            </w:pPr>
          </w:p>
        </w:tc>
        <w:tc>
          <w:tcPr>
            <w:tcW w:w="714" w:type="dxa"/>
            <w:vMerge w:val="continue"/>
            <w:tcBorders>
              <w:tl2br w:val="nil"/>
              <w:tr2bl w:val="nil"/>
            </w:tcBorders>
            <w:vAlign w:val="center"/>
          </w:tcPr>
          <w:p>
            <w:pP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57"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52"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047"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780"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29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88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714"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5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214</w:t>
            </w:r>
          </w:p>
        </w:tc>
        <w:tc>
          <w:tcPr>
            <w:tcW w:w="1152"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01</w:t>
            </w:r>
          </w:p>
        </w:tc>
        <w:tc>
          <w:tcPr>
            <w:tcW w:w="104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w:t>
            </w:r>
          </w:p>
        </w:tc>
        <w:tc>
          <w:tcPr>
            <w:tcW w:w="1780"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公路运输管理</w:t>
            </w:r>
          </w:p>
        </w:tc>
        <w:tc>
          <w:tcPr>
            <w:tcW w:w="129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188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714"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73"/>
        <w:gridCol w:w="1169"/>
        <w:gridCol w:w="2271"/>
        <w:gridCol w:w="1315"/>
        <w:gridCol w:w="2377"/>
        <w:gridCol w:w="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5" w:hRule="atLeast"/>
        </w:trPr>
        <w:tc>
          <w:tcPr>
            <w:tcW w:w="8930" w:type="dxa"/>
            <w:gridSpan w:val="6"/>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宋体" w:hAnsi="宋体" w:cs="宋体"/>
                <w:color w:val="000000"/>
                <w:sz w:val="24"/>
              </w:rPr>
              <w:t>表六: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trPr>
        <w:tc>
          <w:tcPr>
            <w:tcW w:w="8930" w:type="dxa"/>
            <w:gridSpan w:val="6"/>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32"/>
                <w:szCs w:val="32"/>
              </w:rPr>
              <w:t>一般公共预算基本支出情况表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73"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编制部门：</w:t>
            </w:r>
          </w:p>
        </w:tc>
        <w:tc>
          <w:tcPr>
            <w:tcW w:w="7132" w:type="dxa"/>
            <w:gridSpan w:val="4"/>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725"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 xml:space="preserve"> 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4513"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w:t>
            </w:r>
          </w:p>
        </w:tc>
        <w:tc>
          <w:tcPr>
            <w:tcW w:w="4417"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一般公共预算基本支出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2242" w:type="dxa"/>
            <w:gridSpan w:val="2"/>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经济分类科目编码</w:t>
            </w:r>
          </w:p>
        </w:tc>
        <w:tc>
          <w:tcPr>
            <w:tcW w:w="2271"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经济分类科目名称</w:t>
            </w:r>
          </w:p>
        </w:tc>
        <w:tc>
          <w:tcPr>
            <w:tcW w:w="131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小计</w:t>
            </w:r>
          </w:p>
        </w:tc>
        <w:tc>
          <w:tcPr>
            <w:tcW w:w="2377"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人员经费</w:t>
            </w:r>
          </w:p>
        </w:tc>
        <w:tc>
          <w:tcPr>
            <w:tcW w:w="72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73"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类</w:t>
            </w:r>
          </w:p>
        </w:tc>
        <w:tc>
          <w:tcPr>
            <w:tcW w:w="1169"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款</w:t>
            </w:r>
          </w:p>
        </w:tc>
        <w:tc>
          <w:tcPr>
            <w:tcW w:w="2271" w:type="dxa"/>
            <w:vMerge w:val="continue"/>
            <w:tcBorders>
              <w:tl2br w:val="nil"/>
              <w:tr2bl w:val="nil"/>
            </w:tcBorders>
            <w:vAlign w:val="center"/>
          </w:tcPr>
          <w:p>
            <w:pPr>
              <w:rPr>
                <w:rFonts w:ascii="仿宋" w:hAnsi="仿宋" w:eastAsia="仿宋" w:cs="仿宋"/>
                <w:sz w:val="24"/>
              </w:rPr>
            </w:pPr>
          </w:p>
        </w:tc>
        <w:tc>
          <w:tcPr>
            <w:tcW w:w="1315" w:type="dxa"/>
            <w:vMerge w:val="continue"/>
            <w:tcBorders>
              <w:tl2br w:val="nil"/>
              <w:tr2bl w:val="nil"/>
            </w:tcBorders>
            <w:vAlign w:val="center"/>
          </w:tcPr>
          <w:p>
            <w:pPr>
              <w:rPr>
                <w:rFonts w:ascii="仿宋" w:hAnsi="仿宋" w:eastAsia="仿宋" w:cs="仿宋"/>
                <w:sz w:val="24"/>
              </w:rPr>
            </w:pPr>
          </w:p>
        </w:tc>
        <w:tc>
          <w:tcPr>
            <w:tcW w:w="2377" w:type="dxa"/>
            <w:vMerge w:val="continue"/>
            <w:tcBorders>
              <w:tl2br w:val="nil"/>
              <w:tr2bl w:val="nil"/>
            </w:tcBorders>
            <w:vAlign w:val="center"/>
          </w:tcPr>
          <w:p>
            <w:pPr>
              <w:rPr>
                <w:rFonts w:ascii="仿宋" w:hAnsi="仿宋" w:eastAsia="仿宋" w:cs="仿宋"/>
                <w:sz w:val="24"/>
              </w:rPr>
            </w:pPr>
          </w:p>
        </w:tc>
        <w:tc>
          <w:tcPr>
            <w:tcW w:w="725" w:type="dxa"/>
            <w:vMerge w:val="continue"/>
            <w:tcBorders>
              <w:tl2br w:val="nil"/>
              <w:tr2bl w:val="nil"/>
            </w:tcBorders>
            <w:vAlign w:val="center"/>
          </w:tcPr>
          <w:p>
            <w:pP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122.84</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110.59</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01</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基本工资</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36.96</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36.96</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03</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奖金</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2.43</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2.43</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06</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伙食补助费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12.6</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12.6</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07</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绩效工资</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25.01</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25.01</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08</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机关事业单位基本养老保险缴费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12.88</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12.88</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10</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职工基本医疗保险缴费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6.41</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6.41</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11</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公务员医疗补助缴费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4.99</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4.99</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12</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其他社会保障缴费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0.48</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0.48</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301</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13</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住房公积金</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7.73</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7.73</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01</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办公费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1.47</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05</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水费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0.2</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06</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电费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0.3</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07</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邮电费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11</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差旅费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6.4</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16</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培训费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0.43</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17</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公务招待费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0.12</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28</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工会经费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0.74</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29</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福利费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1.3</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302</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99</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其他商品和服务支出</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0.89</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73"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303</w:t>
            </w:r>
          </w:p>
        </w:tc>
        <w:tc>
          <w:tcPr>
            <w:tcW w:w="1169"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14</w:t>
            </w:r>
          </w:p>
        </w:tc>
        <w:tc>
          <w:tcPr>
            <w:tcW w:w="2271"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职工住宅取暖费</w:t>
            </w:r>
          </w:p>
        </w:tc>
        <w:tc>
          <w:tcPr>
            <w:tcW w:w="131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1.1</w:t>
            </w:r>
          </w:p>
        </w:tc>
        <w:tc>
          <w:tcPr>
            <w:tcW w:w="2377"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1.1</w:t>
            </w:r>
          </w:p>
        </w:tc>
        <w:tc>
          <w:tcPr>
            <w:tcW w:w="72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613"/>
        <w:gridCol w:w="458"/>
        <w:gridCol w:w="607"/>
        <w:gridCol w:w="459"/>
        <w:gridCol w:w="953"/>
        <w:gridCol w:w="1251"/>
        <w:gridCol w:w="458"/>
        <w:gridCol w:w="459"/>
        <w:gridCol w:w="458"/>
        <w:gridCol w:w="458"/>
        <w:gridCol w:w="458"/>
        <w:gridCol w:w="459"/>
        <w:gridCol w:w="458"/>
        <w:gridCol w:w="458"/>
        <w:gridCol w:w="459"/>
        <w:gridCol w:w="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5" w:hRule="atLeast"/>
        </w:trPr>
        <w:tc>
          <w:tcPr>
            <w:tcW w:w="8930" w:type="dxa"/>
            <w:gridSpan w:val="16"/>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宋体" w:hAnsi="宋体" w:cs="宋体"/>
                <w:color w:val="000000"/>
                <w:sz w:val="30"/>
                <w:szCs w:val="30"/>
              </w:rPr>
              <w:t>表七: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5" w:hRule="atLeast"/>
        </w:trPr>
        <w:tc>
          <w:tcPr>
            <w:tcW w:w="8930" w:type="dxa"/>
            <w:gridSpan w:val="16"/>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宋体" w:hAnsi="宋体" w:cs="宋体"/>
                <w:color w:val="000000"/>
                <w:sz w:val="32"/>
                <w:szCs w:val="32"/>
              </w:rPr>
              <w:t>项目支出情况表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5" w:hRule="atLeast"/>
        </w:trPr>
        <w:tc>
          <w:tcPr>
            <w:tcW w:w="613"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编制部门：</w:t>
            </w:r>
          </w:p>
        </w:tc>
        <w:tc>
          <w:tcPr>
            <w:tcW w:w="7853" w:type="dxa"/>
            <w:gridSpan w:val="14"/>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464"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5" w:hRule="atLeast"/>
        </w:trPr>
        <w:tc>
          <w:tcPr>
            <w:tcW w:w="1678"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科 目 编 码</w:t>
            </w:r>
          </w:p>
        </w:tc>
        <w:tc>
          <w:tcPr>
            <w:tcW w:w="45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科目</w:t>
            </w:r>
          </w:p>
        </w:tc>
        <w:tc>
          <w:tcPr>
            <w:tcW w:w="953"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项目名称</w:t>
            </w:r>
          </w:p>
        </w:tc>
        <w:tc>
          <w:tcPr>
            <w:tcW w:w="1251"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项目支出合计</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工资福利支出</w:t>
            </w:r>
          </w:p>
        </w:tc>
        <w:tc>
          <w:tcPr>
            <w:tcW w:w="45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商品和服务支出</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对个人和家庭的补助</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债务利息及费用支出</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资本性支出（基本建设）</w:t>
            </w:r>
          </w:p>
        </w:tc>
        <w:tc>
          <w:tcPr>
            <w:tcW w:w="45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资本性支出</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对企业补助（基本建设）</w:t>
            </w:r>
          </w:p>
        </w:tc>
        <w:tc>
          <w:tcPr>
            <w:tcW w:w="458"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对企业补助</w:t>
            </w:r>
          </w:p>
        </w:tc>
        <w:tc>
          <w:tcPr>
            <w:tcW w:w="459"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对社会保障基金补助</w:t>
            </w:r>
          </w:p>
        </w:tc>
        <w:tc>
          <w:tcPr>
            <w:tcW w:w="464"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其他支出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5" w:hRule="atLeast"/>
        </w:trPr>
        <w:tc>
          <w:tcPr>
            <w:tcW w:w="613"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类</w:t>
            </w:r>
          </w:p>
        </w:tc>
        <w:tc>
          <w:tcPr>
            <w:tcW w:w="458"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款</w:t>
            </w:r>
          </w:p>
        </w:tc>
        <w:tc>
          <w:tcPr>
            <w:tcW w:w="60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w:t>
            </w:r>
          </w:p>
        </w:tc>
        <w:tc>
          <w:tcPr>
            <w:tcW w:w="459" w:type="dxa"/>
            <w:vMerge w:val="continue"/>
            <w:tcBorders>
              <w:tl2br w:val="nil"/>
              <w:tr2bl w:val="nil"/>
            </w:tcBorders>
            <w:vAlign w:val="center"/>
          </w:tcPr>
          <w:p>
            <w:pPr>
              <w:rPr>
                <w:rFonts w:ascii="仿宋" w:hAnsi="仿宋" w:eastAsia="仿宋" w:cs="仿宋"/>
                <w:sz w:val="24"/>
              </w:rPr>
            </w:pPr>
          </w:p>
        </w:tc>
        <w:tc>
          <w:tcPr>
            <w:tcW w:w="953" w:type="dxa"/>
            <w:vMerge w:val="continue"/>
            <w:tcBorders>
              <w:tl2br w:val="nil"/>
              <w:tr2bl w:val="nil"/>
            </w:tcBorders>
            <w:vAlign w:val="center"/>
          </w:tcPr>
          <w:p>
            <w:pPr>
              <w:rPr>
                <w:rFonts w:ascii="仿宋" w:hAnsi="仿宋" w:eastAsia="仿宋" w:cs="仿宋"/>
                <w:sz w:val="24"/>
              </w:rPr>
            </w:pPr>
          </w:p>
        </w:tc>
        <w:tc>
          <w:tcPr>
            <w:tcW w:w="1251"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9"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9"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8" w:type="dxa"/>
            <w:vMerge w:val="continue"/>
            <w:tcBorders>
              <w:tl2br w:val="nil"/>
              <w:tr2bl w:val="nil"/>
            </w:tcBorders>
            <w:vAlign w:val="center"/>
          </w:tcPr>
          <w:p>
            <w:pPr>
              <w:rPr>
                <w:rFonts w:ascii="仿宋" w:hAnsi="仿宋" w:eastAsia="仿宋" w:cs="仿宋"/>
                <w:sz w:val="24"/>
              </w:rPr>
            </w:pPr>
          </w:p>
        </w:tc>
        <w:tc>
          <w:tcPr>
            <w:tcW w:w="459" w:type="dxa"/>
            <w:vMerge w:val="continue"/>
            <w:tcBorders>
              <w:tl2br w:val="nil"/>
              <w:tr2bl w:val="nil"/>
            </w:tcBorders>
            <w:vAlign w:val="center"/>
          </w:tcPr>
          <w:p>
            <w:pPr>
              <w:rPr>
                <w:rFonts w:ascii="仿宋" w:hAnsi="仿宋" w:eastAsia="仿宋" w:cs="仿宋"/>
                <w:sz w:val="24"/>
              </w:rPr>
            </w:pPr>
          </w:p>
        </w:tc>
        <w:tc>
          <w:tcPr>
            <w:tcW w:w="464" w:type="dxa"/>
            <w:vMerge w:val="continue"/>
            <w:tcBorders>
              <w:tl2br w:val="nil"/>
              <w:tr2bl w:val="nil"/>
            </w:tcBorders>
            <w:vAlign w:val="center"/>
          </w:tcPr>
          <w:p>
            <w:pP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3090" w:type="dxa"/>
            <w:gridSpan w:val="5"/>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251"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464"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613"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607"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953"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1251"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8"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59" w:type="dxa"/>
            <w:tcBorders>
              <w:tl2br w:val="nil"/>
              <w:tr2bl w:val="nil"/>
            </w:tcBorders>
            <w:vAlign w:val="center"/>
          </w:tcPr>
          <w:p>
            <w:pPr>
              <w:autoSpaceDN w:val="0"/>
              <w:jc w:val="right"/>
              <w:textAlignment w:val="center"/>
              <w:rPr>
                <w:rFonts w:ascii="仿宋" w:hAnsi="仿宋" w:eastAsia="仿宋" w:cs="仿宋"/>
                <w:color w:val="000000"/>
                <w:sz w:val="24"/>
              </w:rPr>
            </w:pPr>
          </w:p>
        </w:tc>
        <w:tc>
          <w:tcPr>
            <w:tcW w:w="464" w:type="dxa"/>
            <w:tcBorders>
              <w:tl2br w:val="nil"/>
              <w:tr2bl w:val="nil"/>
            </w:tcBorders>
            <w:vAlign w:val="center"/>
          </w:tcPr>
          <w:p>
            <w:pPr>
              <w:autoSpaceDN w:val="0"/>
              <w:jc w:val="right"/>
              <w:textAlignment w:val="center"/>
              <w:rPr>
                <w:rFonts w:ascii="仿宋" w:hAnsi="仿宋" w:eastAsia="仿宋" w:cs="仿宋"/>
                <w:color w:val="000000"/>
                <w:sz w:val="24"/>
              </w:rPr>
            </w:pPr>
          </w:p>
        </w:tc>
      </w:tr>
    </w:tbl>
    <w:p>
      <w:pPr>
        <w:rPr>
          <w:vanish/>
        </w:rPr>
      </w:pPr>
    </w:p>
    <w:tbl>
      <w:tblPr>
        <w:tblStyle w:val="4"/>
        <w:tblpPr w:leftFromText="180" w:rightFromText="180" w:vertAnchor="text" w:horzAnchor="page" w:tblpX="1693" w:tblpY="311"/>
        <w:tblOverlap w:val="never"/>
        <w:tblW w:w="85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2115"/>
        <w:gridCol w:w="1110"/>
        <w:gridCol w:w="1110"/>
        <w:gridCol w:w="1110"/>
        <w:gridCol w:w="1110"/>
        <w:gridCol w:w="20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trPr>
        <w:tc>
          <w:tcPr>
            <w:tcW w:w="8595" w:type="dxa"/>
            <w:gridSpan w:val="6"/>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宋体" w:hAnsi="宋体" w:cs="宋体"/>
                <w:color w:val="000000"/>
                <w:sz w:val="32"/>
                <w:szCs w:val="32"/>
              </w:rPr>
              <w:t>表八: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trPr>
        <w:tc>
          <w:tcPr>
            <w:tcW w:w="8595" w:type="dxa"/>
            <w:gridSpan w:val="6"/>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32"/>
                <w:szCs w:val="32"/>
              </w:rPr>
              <w:t>一般公共预算“三公”经费支出情况表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10" w:hRule="atLeast"/>
        </w:trPr>
        <w:tc>
          <w:tcPr>
            <w:tcW w:w="2115"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 xml:space="preserve">编制单位： </w:t>
            </w:r>
          </w:p>
        </w:tc>
        <w:tc>
          <w:tcPr>
            <w:tcW w:w="4440" w:type="dxa"/>
            <w:gridSpan w:val="4"/>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204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10" w:hRule="atLeast"/>
        </w:trPr>
        <w:tc>
          <w:tcPr>
            <w:tcW w:w="211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110"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因公出国（境）费</w:t>
            </w:r>
          </w:p>
        </w:tc>
        <w:tc>
          <w:tcPr>
            <w:tcW w:w="3330"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公务用车购置及运行费</w:t>
            </w:r>
          </w:p>
        </w:tc>
        <w:tc>
          <w:tcPr>
            <w:tcW w:w="2040"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公务接待费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10" w:hRule="atLeast"/>
        </w:trPr>
        <w:tc>
          <w:tcPr>
            <w:tcW w:w="2115" w:type="dxa"/>
            <w:vMerge w:val="continue"/>
            <w:tcBorders>
              <w:tl2br w:val="nil"/>
              <w:tr2bl w:val="nil"/>
            </w:tcBorders>
            <w:vAlign w:val="center"/>
          </w:tcPr>
          <w:p>
            <w:pPr>
              <w:rPr>
                <w:rFonts w:ascii="仿宋" w:hAnsi="仿宋" w:eastAsia="仿宋" w:cs="仿宋"/>
                <w:sz w:val="24"/>
              </w:rPr>
            </w:pPr>
          </w:p>
        </w:tc>
        <w:tc>
          <w:tcPr>
            <w:tcW w:w="1110" w:type="dxa"/>
            <w:vMerge w:val="continue"/>
            <w:tcBorders>
              <w:tl2br w:val="nil"/>
              <w:tr2bl w:val="nil"/>
            </w:tcBorders>
            <w:vAlign w:val="center"/>
          </w:tcPr>
          <w:p>
            <w:pPr>
              <w:autoSpaceDN w:val="0"/>
              <w:rPr>
                <w:rFonts w:ascii="仿宋" w:hAnsi="仿宋" w:eastAsia="仿宋" w:cs="仿宋"/>
                <w:sz w:val="24"/>
              </w:rPr>
            </w:pPr>
          </w:p>
        </w:tc>
        <w:tc>
          <w:tcPr>
            <w:tcW w:w="111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小计</w:t>
            </w:r>
          </w:p>
        </w:tc>
        <w:tc>
          <w:tcPr>
            <w:tcW w:w="111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公务用车购置费</w:t>
            </w:r>
          </w:p>
        </w:tc>
        <w:tc>
          <w:tcPr>
            <w:tcW w:w="1110"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公务用车运行费</w:t>
            </w:r>
          </w:p>
        </w:tc>
        <w:tc>
          <w:tcPr>
            <w:tcW w:w="2040" w:type="dxa"/>
            <w:vMerge w:val="continue"/>
            <w:tcBorders>
              <w:tl2br w:val="nil"/>
              <w:tr2bl w:val="nil"/>
            </w:tcBorders>
            <w:vAlign w:val="center"/>
          </w:tcPr>
          <w:p>
            <w:pPr>
              <w:autoSpaceDN w:val="0"/>
              <w:jc w:val="center"/>
              <w:textAlignment w:val="cente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2115"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0.12</w:t>
            </w:r>
          </w:p>
        </w:tc>
        <w:tc>
          <w:tcPr>
            <w:tcW w:w="111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111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111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111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040"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0.12</w:t>
            </w: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tbl>
      <w:tblPr>
        <w:tblStyle w:val="4"/>
        <w:tblW w:w="89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57"/>
        <w:gridCol w:w="1152"/>
        <w:gridCol w:w="1047"/>
        <w:gridCol w:w="1780"/>
        <w:gridCol w:w="1295"/>
        <w:gridCol w:w="1885"/>
        <w:gridCol w:w="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trPr>
        <w:tc>
          <w:tcPr>
            <w:tcW w:w="8930" w:type="dxa"/>
            <w:gridSpan w:val="7"/>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宋体" w:hAnsi="宋体" w:cs="宋体"/>
                <w:color w:val="000000"/>
                <w:sz w:val="32"/>
                <w:szCs w:val="32"/>
              </w:rPr>
              <w:t>表九: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trPr>
        <w:tc>
          <w:tcPr>
            <w:tcW w:w="8930" w:type="dxa"/>
            <w:gridSpan w:val="7"/>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32"/>
                <w:szCs w:val="32"/>
              </w:rPr>
              <w:t>政府性基金预算支出情况表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5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编制部门：</w:t>
            </w:r>
          </w:p>
        </w:tc>
        <w:tc>
          <w:tcPr>
            <w:tcW w:w="7159" w:type="dxa"/>
            <w:gridSpan w:val="5"/>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昌吉回族自治州公路工程质量监督管理总站</w:t>
            </w:r>
          </w:p>
        </w:tc>
        <w:tc>
          <w:tcPr>
            <w:tcW w:w="714" w:type="dxa"/>
            <w:tcBorders>
              <w:tl2br w:val="nil"/>
              <w:tr2bl w:val="nil"/>
            </w:tcBorders>
            <w:vAlign w:val="center"/>
          </w:tcPr>
          <w:p>
            <w:pPr>
              <w:autoSpaceDN w:val="0"/>
              <w:jc w:val="right"/>
              <w:textAlignment w:val="center"/>
              <w:rPr>
                <w:rFonts w:ascii="仿宋" w:hAnsi="仿宋" w:eastAsia="仿宋" w:cs="仿宋"/>
                <w:color w:val="000000"/>
                <w:sz w:val="24"/>
              </w:rPr>
            </w:pPr>
            <w:r>
              <w:rPr>
                <w:rFonts w:hint="eastAsia" w:ascii="仿宋" w:hAnsi="仿宋" w:eastAsia="仿宋" w:cs="仿宋"/>
                <w:color w:val="000000"/>
                <w:sz w:val="24"/>
              </w:rPr>
              <w:t xml:space="preserve"> 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5036" w:type="dxa"/>
            <w:gridSpan w:val="4"/>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w:t>
            </w:r>
          </w:p>
        </w:tc>
        <w:tc>
          <w:tcPr>
            <w:tcW w:w="3894"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政府性基金预算支出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3256" w:type="dxa"/>
            <w:gridSpan w:val="3"/>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功能分类科目编码</w:t>
            </w:r>
          </w:p>
        </w:tc>
        <w:tc>
          <w:tcPr>
            <w:tcW w:w="1780"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功能分类科目名称</w:t>
            </w:r>
          </w:p>
        </w:tc>
        <w:tc>
          <w:tcPr>
            <w:tcW w:w="129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小计</w:t>
            </w:r>
          </w:p>
        </w:tc>
        <w:tc>
          <w:tcPr>
            <w:tcW w:w="1885"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基本支出</w:t>
            </w:r>
          </w:p>
        </w:tc>
        <w:tc>
          <w:tcPr>
            <w:tcW w:w="714" w:type="dxa"/>
            <w:vMerge w:val="restart"/>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trPr>
        <w:tc>
          <w:tcPr>
            <w:tcW w:w="105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类</w:t>
            </w:r>
          </w:p>
        </w:tc>
        <w:tc>
          <w:tcPr>
            <w:tcW w:w="1152"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款</w:t>
            </w:r>
          </w:p>
        </w:tc>
        <w:tc>
          <w:tcPr>
            <w:tcW w:w="1047" w:type="dxa"/>
            <w:tcBorders>
              <w:tl2br w:val="nil"/>
              <w:tr2bl w:val="nil"/>
            </w:tcBorders>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项</w:t>
            </w:r>
          </w:p>
        </w:tc>
        <w:tc>
          <w:tcPr>
            <w:tcW w:w="1780" w:type="dxa"/>
            <w:vMerge w:val="continue"/>
            <w:tcBorders>
              <w:tl2br w:val="nil"/>
              <w:tr2bl w:val="nil"/>
            </w:tcBorders>
            <w:vAlign w:val="center"/>
          </w:tcPr>
          <w:p>
            <w:pPr>
              <w:rPr>
                <w:rFonts w:ascii="仿宋" w:hAnsi="仿宋" w:eastAsia="仿宋" w:cs="仿宋"/>
                <w:sz w:val="24"/>
              </w:rPr>
            </w:pPr>
          </w:p>
        </w:tc>
        <w:tc>
          <w:tcPr>
            <w:tcW w:w="1295" w:type="dxa"/>
            <w:vMerge w:val="continue"/>
            <w:tcBorders>
              <w:tl2br w:val="nil"/>
              <w:tr2bl w:val="nil"/>
            </w:tcBorders>
            <w:vAlign w:val="center"/>
          </w:tcPr>
          <w:p>
            <w:pPr>
              <w:rPr>
                <w:rFonts w:ascii="仿宋" w:hAnsi="仿宋" w:eastAsia="仿宋" w:cs="仿宋"/>
                <w:sz w:val="24"/>
              </w:rPr>
            </w:pPr>
          </w:p>
        </w:tc>
        <w:tc>
          <w:tcPr>
            <w:tcW w:w="1885" w:type="dxa"/>
            <w:vMerge w:val="continue"/>
            <w:tcBorders>
              <w:tl2br w:val="nil"/>
              <w:tr2bl w:val="nil"/>
            </w:tcBorders>
            <w:vAlign w:val="center"/>
          </w:tcPr>
          <w:p>
            <w:pPr>
              <w:rPr>
                <w:rFonts w:ascii="仿宋" w:hAnsi="仿宋" w:eastAsia="仿宋" w:cs="仿宋"/>
                <w:sz w:val="24"/>
              </w:rPr>
            </w:pPr>
          </w:p>
        </w:tc>
        <w:tc>
          <w:tcPr>
            <w:tcW w:w="714" w:type="dxa"/>
            <w:vMerge w:val="continue"/>
            <w:tcBorders>
              <w:tl2br w:val="nil"/>
              <w:tr2bl w:val="nil"/>
            </w:tcBorders>
            <w:vAlign w:val="center"/>
          </w:tcPr>
          <w:p>
            <w:pP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trPr>
        <w:tc>
          <w:tcPr>
            <w:tcW w:w="1057"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152"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047"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780"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合计</w:t>
            </w:r>
          </w:p>
        </w:tc>
        <w:tc>
          <w:tcPr>
            <w:tcW w:w="1295" w:type="dxa"/>
            <w:tcBorders>
              <w:tl2br w:val="nil"/>
              <w:tr2bl w:val="nil"/>
            </w:tcBorders>
            <w:vAlign w:val="center"/>
          </w:tcPr>
          <w:p>
            <w:pPr>
              <w:autoSpaceDN w:val="0"/>
              <w:jc w:val="left"/>
              <w:textAlignment w:val="center"/>
              <w:rPr>
                <w:rFonts w:ascii="仿宋" w:hAnsi="仿宋" w:eastAsia="仿宋" w:cs="仿宋"/>
                <w:color w:val="000000"/>
                <w:sz w:val="24"/>
              </w:rPr>
            </w:pPr>
          </w:p>
        </w:tc>
        <w:tc>
          <w:tcPr>
            <w:tcW w:w="1885"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714" w:type="dxa"/>
            <w:tcBorders>
              <w:tl2br w:val="nil"/>
              <w:tr2bl w:val="nil"/>
            </w:tcBorders>
            <w:vAlign w:val="center"/>
          </w:tcPr>
          <w:p>
            <w:pPr>
              <w:autoSpaceDN w:val="0"/>
              <w:jc w:val="left"/>
              <w:textAlignment w:val="center"/>
              <w:rPr>
                <w:rFonts w:ascii="仿宋" w:hAnsi="仿宋" w:eastAsia="仿宋" w:cs="仿宋"/>
                <w:color w:val="000000"/>
                <w:sz w:val="24"/>
              </w:rPr>
            </w:pPr>
            <w:r>
              <w:rPr>
                <w:rFonts w:hint="eastAsia" w:ascii="仿宋" w:hAnsi="仿宋" w:eastAsia="仿宋" w:cs="仿宋"/>
                <w:color w:val="000000"/>
                <w:sz w:val="24"/>
              </w:rPr>
              <w:t>0</w:t>
            </w:r>
          </w:p>
        </w:tc>
      </w:tr>
    </w:tbl>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r>
        <w:rPr>
          <w:rFonts w:hint="eastAsia" w:ascii="宋体" w:hAnsi="宋体" w:cs="宋体"/>
          <w:bCs/>
          <w:kern w:val="0"/>
          <w:sz w:val="24"/>
        </w:rPr>
        <w:t>备注：</w:t>
      </w:r>
      <w:r>
        <w:rPr>
          <w:rFonts w:hint="eastAsia" w:ascii="仿宋" w:hAnsi="仿宋" w:eastAsia="仿宋" w:cs="仿宋"/>
          <w:color w:val="000000"/>
          <w:sz w:val="24"/>
        </w:rPr>
        <w:t>昌吉回族自治州公路工程质量监督管理总站无政府性基金预算。</w:t>
      </w: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jc w:val="left"/>
        <w:outlineLvl w:val="1"/>
        <w:rPr>
          <w:rFonts w:ascii="宋体" w:hAnsi="宋体" w:cs="宋体"/>
          <w:bCs/>
          <w:kern w:val="0"/>
          <w:sz w:val="24"/>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宋体" w:hAnsi="宋体" w:cs="宋体"/>
          <w:b/>
          <w:bCs/>
          <w:kern w:val="0"/>
          <w:sz w:val="32"/>
          <w:szCs w:val="32"/>
        </w:rPr>
      </w:pPr>
      <w:r>
        <w:rPr>
          <w:rFonts w:hint="eastAsia" w:ascii="黑体" w:hAnsi="黑体" w:eastAsia="黑体" w:cs="宋体"/>
          <w:bCs/>
          <w:kern w:val="0"/>
          <w:sz w:val="32"/>
          <w:szCs w:val="32"/>
        </w:rPr>
        <w:t>一、</w:t>
      </w:r>
      <w:r>
        <w:rPr>
          <w:rFonts w:hint="eastAsia" w:ascii="宋体" w:hAnsi="宋体" w:cs="宋体"/>
          <w:b/>
          <w:bCs/>
          <w:kern w:val="0"/>
          <w:sz w:val="32"/>
          <w:szCs w:val="32"/>
        </w:rPr>
        <w:t>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部门2019年所有收入和支出均纳入部门预算管理。收支总预算 122.84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支出预算包括：交通运输支出</w:t>
      </w:r>
    </w:p>
    <w:p>
      <w:pPr>
        <w:widowControl/>
        <w:spacing w:line="580" w:lineRule="exact"/>
        <w:ind w:firstLine="640"/>
        <w:jc w:val="left"/>
        <w:rPr>
          <w:rFonts w:ascii="宋体" w:hAnsi="宋体" w:cs="宋体"/>
          <w:b/>
          <w:bCs/>
          <w:kern w:val="0"/>
          <w:sz w:val="32"/>
          <w:szCs w:val="32"/>
        </w:rPr>
      </w:pPr>
      <w:r>
        <w:rPr>
          <w:rFonts w:hint="eastAsia" w:ascii="黑体" w:hAnsi="宋体" w:eastAsia="黑体" w:cs="宋体"/>
          <w:b/>
          <w:bCs/>
          <w:kern w:val="0"/>
          <w:sz w:val="32"/>
          <w:szCs w:val="32"/>
        </w:rPr>
        <w:t>二、</w:t>
      </w:r>
      <w:r>
        <w:rPr>
          <w:rFonts w:hint="eastAsia" w:ascii="宋体" w:hAnsi="宋体" w:cs="宋体"/>
          <w:b/>
          <w:bCs/>
          <w:kern w:val="0"/>
          <w:sz w:val="32"/>
          <w:szCs w:val="32"/>
        </w:rPr>
        <w:t>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部门收入预算122.84万元，其中：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一般公共预算122.84万元，占100%，比上年减少9.88万元，主要原因是一人调出经费减少 ；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宋体" w:hAnsi="宋体" w:cs="宋体"/>
          <w:b/>
          <w:bCs/>
          <w:kern w:val="0"/>
          <w:sz w:val="32"/>
          <w:szCs w:val="32"/>
        </w:rPr>
      </w:pPr>
      <w:r>
        <w:rPr>
          <w:rFonts w:hint="eastAsia" w:ascii="宋体" w:hAnsi="宋体" w:cs="宋体"/>
          <w:b/>
          <w:bCs/>
          <w:kern w:val="0"/>
          <w:sz w:val="32"/>
          <w:szCs w:val="32"/>
        </w:rPr>
        <w:t>三、关于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部门单位2019年支出预算  122.84 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基本支出122.84 万元，占100%，比上年减少9.88万元，主要原因是 一人调出经费减少。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 0 %，与上年无变化。</w:t>
      </w:r>
    </w:p>
    <w:p>
      <w:pPr>
        <w:widowControl/>
        <w:spacing w:line="580" w:lineRule="exact"/>
        <w:ind w:firstLine="640"/>
        <w:jc w:val="left"/>
        <w:rPr>
          <w:rFonts w:ascii="宋体" w:hAnsi="宋体" w:cs="宋体"/>
          <w:b/>
          <w:kern w:val="0"/>
          <w:sz w:val="32"/>
          <w:szCs w:val="32"/>
        </w:rPr>
      </w:pPr>
      <w:r>
        <w:rPr>
          <w:rFonts w:hint="eastAsia" w:ascii="宋体" w:hAnsi="宋体" w:cs="宋体"/>
          <w:b/>
          <w:kern w:val="0"/>
          <w:sz w:val="32"/>
          <w:szCs w:val="32"/>
        </w:rPr>
        <w:t>四、关于</w:t>
      </w:r>
      <w:r>
        <w:rPr>
          <w:rFonts w:hint="eastAsia" w:ascii="宋体" w:hAnsi="宋体" w:cs="宋体"/>
          <w:b/>
          <w:color w:val="000000"/>
          <w:kern w:val="0"/>
          <w:sz w:val="32"/>
          <w:szCs w:val="32"/>
        </w:rPr>
        <w:t>昌吉州公路工程质量监督管理总站</w:t>
      </w:r>
      <w:r>
        <w:rPr>
          <w:rFonts w:hint="eastAsia" w:ascii="宋体" w:hAnsi="宋体" w:cs="宋体"/>
          <w:b/>
          <w:kern w:val="0"/>
          <w:sz w:val="32"/>
          <w:szCs w:val="32"/>
        </w:rPr>
        <w:t>部门2019年财政拨款收支预算情况的总体说明</w:t>
      </w:r>
    </w:p>
    <w:p>
      <w:pPr>
        <w:spacing w:line="580" w:lineRule="exact"/>
        <w:ind w:firstLine="64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2019年财政拨款收支总预算 122.84 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收入全部为一般公共预算拨款122.84万元，无政府性基金预算拨款。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支出预算包括：交通运输支出122.84  万元，主要用于 人员经费及公用经费 。</w:t>
      </w:r>
    </w:p>
    <w:p>
      <w:pPr>
        <w:widowControl/>
        <w:spacing w:line="580" w:lineRule="exact"/>
        <w:ind w:firstLine="640"/>
        <w:jc w:val="left"/>
        <w:rPr>
          <w:rFonts w:ascii="宋体" w:hAnsi="宋体" w:cs="宋体"/>
          <w:b/>
          <w:bCs/>
          <w:kern w:val="0"/>
          <w:sz w:val="32"/>
          <w:szCs w:val="32"/>
        </w:rPr>
      </w:pPr>
      <w:r>
        <w:rPr>
          <w:rFonts w:hint="eastAsia" w:ascii="宋体" w:hAnsi="宋体" w:cs="宋体"/>
          <w:b/>
          <w:bCs/>
          <w:kern w:val="0"/>
          <w:sz w:val="32"/>
          <w:szCs w:val="32"/>
        </w:rPr>
        <w:t>五、关于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 xml:space="preserve">部门2019年一般公共预算拨款基本支出 122.84 万元，比上年执行数减少 9.88万元，下降7.44 %。主要原因是：一人调出经费减少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1.一般公共服务（类）</w:t>
      </w:r>
      <w:r>
        <w:rPr>
          <w:rFonts w:hint="eastAsia" w:ascii="仿宋_GB2312" w:hAnsi="宋体" w:eastAsia="仿宋_GB2312" w:cs="宋体"/>
          <w:kern w:val="0"/>
          <w:sz w:val="32"/>
          <w:szCs w:val="32"/>
          <w:highlight w:val="none"/>
        </w:rPr>
        <w:t xml:space="preserve"> 122.84  万元，占100 %。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214</w:t>
      </w:r>
      <w:r>
        <w:rPr>
          <w:rFonts w:hint="eastAsia" w:ascii="仿宋_GB2312" w:hAnsi="宋体" w:eastAsia="仿宋_GB2312" w:cs="宋体"/>
          <w:kern w:val="0"/>
          <w:sz w:val="32"/>
          <w:szCs w:val="32"/>
        </w:rPr>
        <w:t>公路运输</w:t>
      </w:r>
      <w:r>
        <w:rPr>
          <w:rFonts w:hint="eastAsia" w:ascii="仿宋_GB2312" w:hAnsi="宋体" w:eastAsia="仿宋_GB2312" w:cs="宋体"/>
          <w:kern w:val="0"/>
          <w:sz w:val="32"/>
          <w:szCs w:val="32"/>
          <w:lang w:eastAsia="zh-CN"/>
        </w:rPr>
        <w:t>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01公路水路运输</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12公路运输管理）</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122.84 </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 9.88 万元，下降 7.44  %，主要原因是： 一人调出经费减少    </w:t>
      </w:r>
    </w:p>
    <w:p>
      <w:pPr>
        <w:widowControl/>
        <w:spacing w:line="580" w:lineRule="exact"/>
        <w:ind w:firstLine="640"/>
        <w:jc w:val="left"/>
        <w:rPr>
          <w:rFonts w:ascii="宋体" w:hAnsi="宋体" w:cs="宋体"/>
          <w:b/>
          <w:bCs/>
          <w:kern w:val="0"/>
          <w:sz w:val="32"/>
          <w:szCs w:val="32"/>
        </w:rPr>
      </w:pPr>
      <w:r>
        <w:rPr>
          <w:rFonts w:hint="eastAsia" w:ascii="宋体" w:hAnsi="宋体" w:cs="宋体"/>
          <w:b/>
          <w:bCs/>
          <w:kern w:val="0"/>
          <w:sz w:val="32"/>
          <w:szCs w:val="32"/>
        </w:rPr>
        <w:t>六、关于昌吉州公路工程质量监督管理总站部门2019年一般公共预算基本支出情况说明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部门2019年一般公共预算基本支出 122.84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人员经费110.59 万元，主要包括：基本工资、津贴补贴、奖金、伙食补助费、绩效工资、机关事业单位基本养老保险缴费、职业年金缴费、职工基本医疗保险缴费、公务员医疗补助缴费、其他社会保障缴费、住房公积金、医疗费、其他工资福利支出、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公用经费12.25 万元，主要包括：办公费、水费、电费、邮电费、差旅费、培训费、公务接待费、工会经费、福利费、其他商品和服务支出。</w:t>
      </w:r>
    </w:p>
    <w:p>
      <w:pPr>
        <w:widowControl/>
        <w:spacing w:line="580" w:lineRule="exact"/>
        <w:ind w:firstLine="640"/>
        <w:jc w:val="left"/>
        <w:rPr>
          <w:rFonts w:ascii="仿宋_GB2312" w:hAnsi="黑体" w:eastAsia="仿宋_GB2312"/>
          <w:b/>
          <w:sz w:val="32"/>
          <w:szCs w:val="32"/>
        </w:rPr>
      </w:pPr>
      <w:r>
        <w:rPr>
          <w:rFonts w:hint="eastAsia" w:ascii="黑体" w:hAnsi="宋体" w:eastAsia="黑体" w:cs="宋体"/>
          <w:kern w:val="0"/>
          <w:sz w:val="32"/>
          <w:szCs w:val="32"/>
        </w:rPr>
        <w:t>七、</w:t>
      </w:r>
      <w:r>
        <w:rPr>
          <w:rFonts w:hint="eastAsia" w:ascii="宋体" w:hAnsi="宋体" w:cs="宋体"/>
          <w:b/>
          <w:bCs/>
          <w:kern w:val="0"/>
          <w:sz w:val="32"/>
          <w:szCs w:val="32"/>
        </w:rPr>
        <w:t>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昌吉州公路工程质量监督管理总站2019年无项目支出预算。</w:t>
      </w:r>
    </w:p>
    <w:p>
      <w:pPr>
        <w:widowControl/>
        <w:spacing w:line="580" w:lineRule="exact"/>
        <w:ind w:firstLine="642"/>
        <w:jc w:val="left"/>
        <w:rPr>
          <w:rFonts w:ascii="宋体" w:hAnsi="宋体" w:cs="宋体"/>
          <w:b/>
          <w:bCs/>
          <w:kern w:val="0"/>
          <w:sz w:val="32"/>
          <w:szCs w:val="32"/>
        </w:rPr>
      </w:pPr>
      <w:r>
        <w:rPr>
          <w:rFonts w:hint="eastAsia" w:ascii="黑体" w:hAnsi="宋体" w:eastAsia="黑体" w:cs="宋体"/>
          <w:kern w:val="0"/>
          <w:sz w:val="32"/>
          <w:szCs w:val="32"/>
        </w:rPr>
        <w:t>八、</w:t>
      </w:r>
      <w:r>
        <w:rPr>
          <w:rFonts w:hint="eastAsia" w:ascii="宋体" w:hAnsi="宋体" w:cs="宋体"/>
          <w:b/>
          <w:bCs/>
          <w:kern w:val="0"/>
          <w:sz w:val="32"/>
          <w:szCs w:val="32"/>
        </w:rPr>
        <w:t>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部门2019年“三公”经费财政拨款预算数为 0.12 万元，其中：因公出国（境）费 0万元，公务用车购置0万元，公务用车运行费 0万元，公务接待费0.12万元。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无变化，其中：因公出国（境）费增加（减少）0万元，主要原因是无；公务用车购置费为0，未安排预算。；公务用车运行费增加（减少）0万元，主要原因是无；公务接待费无变化。</w:t>
      </w:r>
    </w:p>
    <w:p>
      <w:pPr>
        <w:widowControl/>
        <w:numPr>
          <w:ilvl w:val="0"/>
          <w:numId w:val="3"/>
        </w:numPr>
        <w:spacing w:line="580" w:lineRule="exact"/>
        <w:ind w:firstLine="642"/>
        <w:jc w:val="left"/>
        <w:rPr>
          <w:rFonts w:ascii="仿宋_GB2312" w:hAnsi="宋体" w:eastAsia="仿宋_GB2312" w:cs="宋体"/>
          <w:kern w:val="0"/>
          <w:sz w:val="32"/>
          <w:szCs w:val="32"/>
        </w:rPr>
      </w:pPr>
      <w:r>
        <w:rPr>
          <w:rFonts w:hint="eastAsia" w:ascii="宋体" w:hAnsi="宋体" w:cs="宋体"/>
          <w:b/>
          <w:bCs/>
          <w:kern w:val="0"/>
          <w:sz w:val="32"/>
          <w:szCs w:val="32"/>
        </w:rPr>
        <w:t>关于</w:t>
      </w:r>
      <w:r>
        <w:rPr>
          <w:rFonts w:hint="eastAsia" w:ascii="宋体" w:hAnsi="宋体" w:cs="宋体"/>
          <w:b/>
          <w:bCs/>
          <w:color w:val="000000"/>
          <w:kern w:val="0"/>
          <w:sz w:val="32"/>
          <w:szCs w:val="32"/>
        </w:rPr>
        <w:t>昌吉州公路工程质量监督管理总站</w:t>
      </w:r>
      <w:r>
        <w:rPr>
          <w:rFonts w:hint="eastAsia" w:ascii="宋体" w:hAnsi="宋体" w:cs="宋体"/>
          <w:b/>
          <w:bCs/>
          <w:kern w:val="0"/>
          <w:sz w:val="32"/>
          <w:szCs w:val="32"/>
        </w:rPr>
        <w:t>部门2019年政府性基金预算拨款情况说明</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昌吉州公路工程质量监督管理总站2019年</w:t>
      </w:r>
      <w:r>
        <w:rPr>
          <w:rFonts w:hint="eastAsia" w:ascii="仿宋_GB2312" w:hAnsi="宋体" w:eastAsia="仿宋_GB2312" w:cs="宋体"/>
          <w:kern w:val="0"/>
          <w:sz w:val="32"/>
          <w:szCs w:val="32"/>
        </w:rPr>
        <w:t>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2019年，</w:t>
      </w: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本级机关运行经费财政拨款预算 122.84 万元，比上年预算减少 9.88 万元，下降7.44 %。主要原因是人员减少，经费减少</w:t>
      </w:r>
      <w:r>
        <w:rPr>
          <w:rFonts w:hint="eastAsia" w:ascii="仿宋_GB2312" w:hAnsi="宋体" w:eastAsia="仿宋_GB2312" w:cs="宋体"/>
          <w:kern w:val="0"/>
          <w:sz w:val="32"/>
          <w:szCs w:val="32"/>
          <w:lang w:val="en-US" w:eastAsia="zh-CN"/>
        </w:rPr>
        <w:t>.</w:t>
      </w:r>
      <w:bookmarkStart w:id="0" w:name="_GoBack"/>
      <w:bookmarkEnd w:id="0"/>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color w:val="000000"/>
          <w:kern w:val="0"/>
          <w:sz w:val="32"/>
          <w:szCs w:val="32"/>
        </w:rPr>
        <w:t>昌吉州公路工程质量监督管理总站</w:t>
      </w:r>
      <w:r>
        <w:rPr>
          <w:rFonts w:hint="eastAsia" w:ascii="仿宋_GB2312" w:hAnsi="宋体" w:eastAsia="仿宋_GB2312" w:cs="宋体"/>
          <w:kern w:val="0"/>
          <w:sz w:val="32"/>
          <w:szCs w:val="32"/>
        </w:rPr>
        <w:t>部门及下属单位政府采购预算0万元，其中：政府采购货物预算0万元，政府采购工程预算0万元，政府采购服务预算0万元。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截至2018年底，昌吉州公路工程质量监督管理总站占用使用国有资产总体情况为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3.办公家具价值2.24万元。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0 个，涉及预算金额   0  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昌吉州公路工程质量监督管理总站</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script"/>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20</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1"/>
      <w:numFmt w:val="chineseCounting"/>
      <w:suff w:val="nothing"/>
      <w:lvlText w:val="%1、"/>
      <w:lvlJc w:val="left"/>
    </w:lvl>
  </w:abstractNum>
  <w:abstractNum w:abstractNumId="1">
    <w:nsid w:val="0000000A"/>
    <w:multiLevelType w:val="singleLevel"/>
    <w:tmpl w:val="0000000A"/>
    <w:lvl w:ilvl="0" w:tentative="0">
      <w:start w:val="2"/>
      <w:numFmt w:val="chineseCounting"/>
      <w:suff w:val="nothing"/>
      <w:lvlText w:val="%1、"/>
      <w:lvlJc w:val="left"/>
    </w:lvl>
  </w:abstractNum>
  <w:abstractNum w:abstractNumId="2">
    <w:nsid w:val="0000000C"/>
    <w:multiLevelType w:val="singleLevel"/>
    <w:tmpl w:val="0000000C"/>
    <w:lvl w:ilvl="0" w:tentative="0">
      <w:start w:val="9"/>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60BE"/>
    <w:rsid w:val="0007108B"/>
    <w:rsid w:val="002D01C6"/>
    <w:rsid w:val="004B67EC"/>
    <w:rsid w:val="00601053"/>
    <w:rsid w:val="006560BE"/>
    <w:rsid w:val="006A6198"/>
    <w:rsid w:val="00DF569B"/>
    <w:rsid w:val="00F001EE"/>
    <w:rsid w:val="0258097C"/>
    <w:rsid w:val="05407E6B"/>
    <w:rsid w:val="52D11454"/>
    <w:rsid w:val="578A003E"/>
    <w:rsid w:val="621E6C86"/>
    <w:rsid w:val="7E1C6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字符"/>
    <w:link w:val="2"/>
    <w:semiHidden/>
    <w:qFormat/>
    <w:uiPriority w:val="0"/>
    <w:rPr>
      <w:rFonts w:ascii="Times New Roman" w:hAnsi="Times New Roman" w:eastAsia="黑体" w:cs="Times New Roman"/>
      <w:snapToGrid w:val="0"/>
      <w:kern w:val="0"/>
      <w:sz w:val="18"/>
      <w:szCs w:val="18"/>
    </w:rPr>
  </w:style>
  <w:style w:type="character" w:customStyle="1" w:styleId="8">
    <w:name w:val="页眉 字符"/>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8"/>
    <w:qFormat/>
    <w:uiPriority w:val="0"/>
    <w:rPr>
      <w:sz w:val="18"/>
      <w:szCs w:val="18"/>
    </w:rPr>
  </w:style>
  <w:style w:type="paragraph" w:customStyle="1" w:styleId="12">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uiPriority w:val="0"/>
    <w:pPr>
      <w:ind w:firstLine="420" w:firstLineChars="200"/>
    </w:pPr>
    <w:rPr>
      <w:rFonts w:ascii="Calibri" w:hAnsi="Calibri"/>
      <w:szCs w:val="22"/>
    </w:rPr>
  </w:style>
  <w:style w:type="paragraph" w:customStyle="1" w:styleId="14">
    <w:name w:val="普通(网站)1"/>
    <w:basedOn w:val="1"/>
    <w:uiPriority w:val="0"/>
    <w:rPr>
      <w:rFonts w:ascii="Calibri" w:hAnsi="Calibri" w:cs="黑体"/>
      <w:sz w:val="24"/>
    </w:rPr>
  </w:style>
  <w:style w:type="paragraph" w:customStyle="1" w:styleId="15">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16">
    <w:name w:val="普通(网站)21"/>
    <w:basedOn w:val="1"/>
    <w:uiPriority w:val="0"/>
    <w:rPr>
      <w:rFonts w:ascii="Calibri" w:hAnsi="Calibri" w:cs="黑体"/>
      <w:sz w:val="24"/>
    </w:rPr>
  </w:style>
  <w:style w:type="paragraph" w:customStyle="1" w:styleId="17">
    <w:name w:val="普通(网站)3"/>
    <w:basedOn w:val="1"/>
    <w:uiPriority w:val="0"/>
    <w:rPr>
      <w:rFonts w:ascii="Calibri" w:hAnsi="Calibri" w:cs="黑体"/>
      <w:sz w:val="24"/>
    </w:rPr>
  </w:style>
  <w:style w:type="character" w:customStyle="1" w:styleId="18">
    <w:name w:val="批注框文本 Char Char Char Char"/>
    <w:link w:val="11"/>
    <w:semiHidden/>
    <w:uiPriority w:val="0"/>
    <w:rPr>
      <w:rFonts w:ascii="Times New Roman" w:hAnsi="Times New Roman" w:eastAsia="宋体" w:cs="Times New Roman"/>
      <w:sz w:val="18"/>
      <w:szCs w:val="18"/>
    </w:rPr>
  </w:style>
  <w:style w:type="character" w:customStyle="1" w:styleId="19">
    <w:name w:val="页码1"/>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1187</Words>
  <Characters>6766</Characters>
  <Lines>56</Lines>
  <Paragraphs>15</Paragraphs>
  <TotalTime>17</TotalTime>
  <ScaleCrop>false</ScaleCrop>
  <LinksUpToDate>false</LinksUpToDate>
  <CharactersWithSpaces>7938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2019-01-17T02:37:00Z</dcterms:created>
  <dc:creator>王怡</dc:creator>
  <cp:lastModifiedBy>Administrator</cp:lastModifiedBy>
  <cp:lastPrinted>2021-05-27T06:08:00Z</cp:lastPrinted>
  <dcterms:modified xsi:type="dcterms:W3CDTF">2021-05-28T03:22:16Z</dcterms:modified>
  <dc:title>王怡</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