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highlight w:val="none"/>
        </w:rPr>
      </w:pPr>
      <w:r>
        <w:rPr>
          <w:rFonts w:hint="eastAsia" w:ascii="黑体" w:hAnsi="黑体" w:eastAsia="黑体"/>
          <w:sz w:val="32"/>
          <w:szCs w:val="32"/>
          <w:highlight w:val="none"/>
        </w:rPr>
        <w:t>附件：</w:t>
      </w:r>
    </w:p>
    <w:p>
      <w:pPr>
        <w:rPr>
          <w:highlight w:val="none"/>
        </w:rPr>
      </w:pPr>
    </w:p>
    <w:p>
      <w:pPr>
        <w:rPr>
          <w:highlight w:val="none"/>
        </w:rPr>
      </w:pPr>
    </w:p>
    <w:p>
      <w:pPr>
        <w:widowControl/>
        <w:spacing w:before="100" w:beforeAutospacing="1" w:after="100" w:afterAutospacing="1"/>
        <w:outlineLvl w:val="1"/>
        <w:rPr>
          <w:rFonts w:ascii="黑体" w:hAnsi="黑体" w:eastAsia="黑体" w:cs="宋体"/>
          <w:kern w:val="0"/>
          <w:sz w:val="32"/>
          <w:szCs w:val="32"/>
          <w:highlight w:val="none"/>
        </w:rPr>
      </w:pPr>
    </w:p>
    <w:p>
      <w:pPr>
        <w:widowControl/>
        <w:spacing w:before="100" w:beforeAutospacing="1" w:after="100" w:afterAutospacing="1"/>
        <w:outlineLvl w:val="1"/>
        <w:rPr>
          <w:rFonts w:ascii="黑体" w:hAnsi="黑体" w:eastAsia="黑体" w:cs="宋体"/>
          <w:kern w:val="0"/>
          <w:sz w:val="32"/>
          <w:szCs w:val="32"/>
          <w:highlight w:val="none"/>
        </w:rPr>
      </w:pPr>
    </w:p>
    <w:p>
      <w:pPr>
        <w:widowControl/>
        <w:spacing w:before="100" w:beforeAutospacing="1" w:after="100" w:afterAutospacing="1"/>
        <w:outlineLvl w:val="1"/>
        <w:rPr>
          <w:rFonts w:ascii="宋体" w:cs="宋体"/>
          <w:b/>
          <w:bCs/>
          <w:kern w:val="0"/>
          <w:sz w:val="44"/>
          <w:szCs w:val="44"/>
          <w:highlight w:val="none"/>
        </w:rPr>
      </w:pPr>
    </w:p>
    <w:p>
      <w:pPr>
        <w:widowControl/>
        <w:spacing w:before="100" w:beforeAutospacing="1" w:after="100" w:afterAutospacing="1"/>
        <w:jc w:val="center"/>
        <w:outlineLvl w:val="1"/>
        <w:rPr>
          <w:rFonts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rPr>
        <w:t>昌吉州疾病预防控制中心</w:t>
      </w:r>
      <w:r>
        <w:rPr>
          <w:rFonts w:ascii="方正小标宋_GBK" w:hAnsi="宋体" w:eastAsia="方正小标宋_GBK"/>
          <w:kern w:val="0"/>
          <w:sz w:val="44"/>
          <w:szCs w:val="44"/>
          <w:highlight w:val="none"/>
        </w:rPr>
        <w:t>2019</w:t>
      </w:r>
      <w:r>
        <w:rPr>
          <w:rFonts w:hint="eastAsia" w:ascii="方正小标宋_GBK" w:hAnsi="宋体" w:eastAsia="方正小标宋_GBK"/>
          <w:kern w:val="0"/>
          <w:sz w:val="44"/>
          <w:szCs w:val="44"/>
          <w:highlight w:val="none"/>
        </w:rPr>
        <w:t>年部门</w:t>
      </w:r>
    </w:p>
    <w:p>
      <w:pPr>
        <w:widowControl/>
        <w:spacing w:before="100" w:beforeAutospacing="1" w:after="100" w:afterAutospacing="1"/>
        <w:jc w:val="center"/>
        <w:outlineLvl w:val="1"/>
        <w:rPr>
          <w:rFonts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rPr>
        <w:t>预算公开</w:t>
      </w:r>
    </w:p>
    <w:p>
      <w:pPr>
        <w:widowControl/>
        <w:spacing w:before="100" w:beforeAutospacing="1" w:after="100" w:afterAutospacing="1"/>
        <w:jc w:val="center"/>
        <w:outlineLvl w:val="1"/>
        <w:rPr>
          <w:rFonts w:ascii="宋体"/>
          <w:b/>
          <w:kern w:val="0"/>
          <w:sz w:val="44"/>
          <w:szCs w:val="44"/>
          <w:highlight w:val="none"/>
        </w:rPr>
      </w:pPr>
    </w:p>
    <w:p>
      <w:pPr>
        <w:widowControl/>
        <w:spacing w:before="100" w:beforeAutospacing="1" w:after="100" w:afterAutospacing="1"/>
        <w:jc w:val="center"/>
        <w:outlineLvl w:val="1"/>
        <w:rPr>
          <w:rFonts w:ascii="宋体"/>
          <w:b/>
          <w:kern w:val="0"/>
          <w:sz w:val="44"/>
          <w:szCs w:val="44"/>
          <w:highlight w:val="none"/>
        </w:rPr>
      </w:pPr>
    </w:p>
    <w:p>
      <w:pPr>
        <w:widowControl/>
        <w:spacing w:before="100" w:beforeAutospacing="1" w:after="100" w:afterAutospacing="1"/>
        <w:jc w:val="center"/>
        <w:outlineLvl w:val="1"/>
        <w:rPr>
          <w:rFonts w:ascii="宋体"/>
          <w:b/>
          <w:kern w:val="0"/>
          <w:sz w:val="44"/>
          <w:szCs w:val="44"/>
          <w:highlight w:val="none"/>
        </w:rPr>
      </w:pPr>
    </w:p>
    <w:p>
      <w:pPr>
        <w:widowControl/>
        <w:spacing w:before="100" w:beforeAutospacing="1" w:after="100" w:afterAutospacing="1"/>
        <w:jc w:val="center"/>
        <w:outlineLvl w:val="1"/>
        <w:rPr>
          <w:rFonts w:ascii="宋体"/>
          <w:b/>
          <w:kern w:val="0"/>
          <w:sz w:val="44"/>
          <w:szCs w:val="44"/>
          <w:highlight w:val="none"/>
        </w:rPr>
      </w:pPr>
    </w:p>
    <w:p>
      <w:pPr>
        <w:widowControl/>
        <w:spacing w:before="100" w:beforeAutospacing="1" w:after="100" w:afterAutospacing="1"/>
        <w:jc w:val="center"/>
        <w:outlineLvl w:val="1"/>
        <w:rPr>
          <w:rFonts w:ascii="宋体"/>
          <w:b/>
          <w:kern w:val="0"/>
          <w:sz w:val="44"/>
          <w:szCs w:val="44"/>
          <w:highlight w:val="none"/>
        </w:rPr>
      </w:pPr>
    </w:p>
    <w:p>
      <w:pPr>
        <w:widowControl/>
        <w:spacing w:before="100" w:beforeAutospacing="1" w:after="100" w:afterAutospacing="1"/>
        <w:jc w:val="center"/>
        <w:outlineLvl w:val="1"/>
        <w:rPr>
          <w:rFonts w:ascii="宋体"/>
          <w:b/>
          <w:kern w:val="0"/>
          <w:sz w:val="44"/>
          <w:szCs w:val="44"/>
          <w:highlight w:val="none"/>
        </w:rPr>
      </w:pPr>
    </w:p>
    <w:p>
      <w:pPr>
        <w:widowControl/>
        <w:spacing w:before="100" w:beforeAutospacing="1" w:after="100" w:afterAutospacing="1"/>
        <w:jc w:val="center"/>
        <w:outlineLvl w:val="1"/>
        <w:rPr>
          <w:rFonts w:ascii="宋体"/>
          <w:b/>
          <w:kern w:val="0"/>
          <w:sz w:val="44"/>
          <w:szCs w:val="44"/>
          <w:highlight w:val="none"/>
        </w:rPr>
      </w:pPr>
    </w:p>
    <w:p>
      <w:pPr>
        <w:widowControl/>
        <w:spacing w:before="100" w:beforeAutospacing="1" w:after="100" w:afterAutospacing="1"/>
        <w:jc w:val="center"/>
        <w:outlineLvl w:val="1"/>
        <w:rPr>
          <w:rFonts w:ascii="宋体"/>
          <w:b/>
          <w:kern w:val="0"/>
          <w:sz w:val="44"/>
          <w:szCs w:val="44"/>
          <w:highlight w:val="none"/>
        </w:rPr>
      </w:pPr>
    </w:p>
    <w:p>
      <w:pPr>
        <w:widowControl/>
        <w:spacing w:before="100" w:beforeAutospacing="1" w:after="100" w:afterAutospacing="1"/>
        <w:jc w:val="center"/>
        <w:outlineLvl w:val="1"/>
        <w:rPr>
          <w:rFonts w:ascii="宋体"/>
          <w:b/>
          <w:kern w:val="0"/>
          <w:sz w:val="44"/>
          <w:szCs w:val="44"/>
          <w:highlight w:val="none"/>
        </w:rPr>
      </w:pPr>
    </w:p>
    <w:p>
      <w:pPr>
        <w:widowControl/>
        <w:spacing w:line="500" w:lineRule="exact"/>
        <w:jc w:val="center"/>
        <w:outlineLvl w:val="1"/>
        <w:rPr>
          <w:rFonts w:ascii="黑体" w:hAnsi="黑体" w:eastAsia="黑体"/>
          <w:kern w:val="0"/>
          <w:sz w:val="44"/>
          <w:szCs w:val="44"/>
          <w:highlight w:val="none"/>
        </w:rPr>
      </w:pPr>
      <w:r>
        <w:rPr>
          <w:rFonts w:hint="eastAsia" w:ascii="黑体" w:hAnsi="黑体" w:eastAsia="黑体"/>
          <w:kern w:val="0"/>
          <w:sz w:val="44"/>
          <w:szCs w:val="44"/>
          <w:highlight w:val="none"/>
        </w:rPr>
        <w:t>目录</w:t>
      </w:r>
    </w:p>
    <w:p>
      <w:pPr>
        <w:widowControl/>
        <w:spacing w:line="500" w:lineRule="exact"/>
        <w:jc w:val="center"/>
        <w:outlineLvl w:val="1"/>
        <w:rPr>
          <w:rFonts w:ascii="宋体"/>
          <w:b/>
          <w:kern w:val="0"/>
          <w:sz w:val="44"/>
          <w:szCs w:val="44"/>
          <w:highlight w:val="none"/>
        </w:rPr>
      </w:pPr>
    </w:p>
    <w:p>
      <w:pPr>
        <w:widowControl/>
        <w:spacing w:line="46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第一部分</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昌吉州疾病预防控制中心部门单位概况</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一、主要职能</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二、机构设置及人员情况</w:t>
      </w:r>
    </w:p>
    <w:p>
      <w:pPr>
        <w:widowControl/>
        <w:spacing w:line="46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第二部分</w:t>
      </w:r>
      <w:r>
        <w:rPr>
          <w:rFonts w:ascii="仿宋_GB2312" w:hAnsi="宋体" w:eastAsia="仿宋_GB2312"/>
          <w:b/>
          <w:kern w:val="0"/>
          <w:sz w:val="32"/>
          <w:szCs w:val="32"/>
          <w:highlight w:val="none"/>
        </w:rPr>
        <w:t xml:space="preserve">  </w:t>
      </w:r>
      <w:r>
        <w:rPr>
          <w:rFonts w:ascii="宋体" w:hAnsi="宋体" w:eastAsia="仿宋_GB2312"/>
          <w:b/>
          <w:kern w:val="0"/>
          <w:sz w:val="32"/>
          <w:szCs w:val="32"/>
          <w:highlight w:val="none"/>
        </w:rPr>
        <w:t>2019</w:t>
      </w:r>
      <w:r>
        <w:rPr>
          <w:rFonts w:hint="eastAsia" w:ascii="仿宋_GB2312" w:hAnsi="宋体" w:eastAsia="仿宋_GB2312"/>
          <w:b/>
          <w:kern w:val="0"/>
          <w:sz w:val="32"/>
          <w:szCs w:val="32"/>
          <w:highlight w:val="none"/>
        </w:rPr>
        <w:t>年部门预算公开表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一、部门收支总体情况表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二、部门收入总体情况表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三、部门支出总体情况表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四、财政拨款收支总体情况表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五、一般公共预算支出情况表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六、一般公共预算基本支出情况表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七、</w:t>
      </w:r>
      <w:r>
        <w:rPr>
          <w:rFonts w:hint="eastAsia" w:ascii="仿宋_GB2312" w:hAnsi="宋体" w:eastAsia="仿宋_GB2312"/>
          <w:bCs/>
          <w:kern w:val="0"/>
          <w:sz w:val="32"/>
          <w:szCs w:val="32"/>
          <w:highlight w:val="none"/>
        </w:rPr>
        <w:t>项目支出情况表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八、一般公共预算“三公”经费支出情况表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九、政府性基金预算支出情况表</w:t>
      </w:r>
    </w:p>
    <w:p>
      <w:pPr>
        <w:widowControl/>
        <w:spacing w:line="46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第三部分</w:t>
      </w:r>
      <w:r>
        <w:rPr>
          <w:rFonts w:ascii="仿宋_GB2312" w:hAnsi="宋体" w:eastAsia="仿宋_GB2312"/>
          <w:b/>
          <w:kern w:val="0"/>
          <w:sz w:val="32"/>
          <w:szCs w:val="32"/>
          <w:highlight w:val="none"/>
        </w:rPr>
        <w:t xml:space="preserve">  </w:t>
      </w:r>
      <w:r>
        <w:rPr>
          <w:rFonts w:ascii="宋体" w:hAnsi="宋体" w:eastAsia="仿宋_GB2312"/>
          <w:b/>
          <w:kern w:val="0"/>
          <w:sz w:val="32"/>
          <w:szCs w:val="32"/>
          <w:highlight w:val="none"/>
        </w:rPr>
        <w:t>2019</w:t>
      </w:r>
      <w:r>
        <w:rPr>
          <w:rFonts w:hint="eastAsia" w:ascii="仿宋_GB2312" w:hAnsi="宋体" w:eastAsia="仿宋_GB2312"/>
          <w:b/>
          <w:kern w:val="0"/>
          <w:sz w:val="32"/>
          <w:szCs w:val="32"/>
          <w:highlight w:val="none"/>
        </w:rPr>
        <w:t>年部门预算情况说明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一、关于昌吉州疾病预防控制中心部门</w:t>
      </w:r>
      <w:r>
        <w:rPr>
          <w:rFonts w:ascii="仿宋_GB2312" w:hAnsi="宋体" w:eastAsia="仿宋_GB2312"/>
          <w:kern w:val="0"/>
          <w:sz w:val="32"/>
          <w:szCs w:val="32"/>
          <w:highlight w:val="none"/>
        </w:rPr>
        <w:t>2019</w:t>
      </w:r>
      <w:r>
        <w:rPr>
          <w:rFonts w:hint="eastAsia" w:ascii="仿宋_GB2312" w:hAnsi="宋体" w:eastAsia="仿宋_GB2312"/>
          <w:kern w:val="0"/>
          <w:sz w:val="32"/>
          <w:szCs w:val="32"/>
          <w:highlight w:val="none"/>
        </w:rPr>
        <w:t>年收支预算情况的总体说明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二、关于昌吉州疾病预防控制中心部门</w:t>
      </w:r>
      <w:r>
        <w:rPr>
          <w:rFonts w:ascii="仿宋_GB2312" w:hAnsi="宋体" w:eastAsia="仿宋_GB2312"/>
          <w:kern w:val="0"/>
          <w:sz w:val="32"/>
          <w:szCs w:val="32"/>
          <w:highlight w:val="none"/>
        </w:rPr>
        <w:t>2019</w:t>
      </w:r>
      <w:r>
        <w:rPr>
          <w:rFonts w:hint="eastAsia" w:ascii="仿宋_GB2312" w:hAnsi="宋体" w:eastAsia="仿宋_GB2312"/>
          <w:kern w:val="0"/>
          <w:sz w:val="32"/>
          <w:szCs w:val="32"/>
          <w:highlight w:val="none"/>
        </w:rPr>
        <w:t>年收入预算情况说明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三、关于昌吉州疾病预防控制中心部门</w:t>
      </w:r>
      <w:r>
        <w:rPr>
          <w:rFonts w:ascii="仿宋_GB2312" w:hAnsi="宋体" w:eastAsia="仿宋_GB2312"/>
          <w:kern w:val="0"/>
          <w:sz w:val="32"/>
          <w:szCs w:val="32"/>
          <w:highlight w:val="none"/>
        </w:rPr>
        <w:t>2019</w:t>
      </w:r>
      <w:r>
        <w:rPr>
          <w:rFonts w:hint="eastAsia" w:ascii="仿宋_GB2312" w:hAnsi="宋体" w:eastAsia="仿宋_GB2312"/>
          <w:kern w:val="0"/>
          <w:sz w:val="32"/>
          <w:szCs w:val="32"/>
          <w:highlight w:val="none"/>
        </w:rPr>
        <w:t>年支出预算情况说明</w:t>
      </w:r>
    </w:p>
    <w:p>
      <w:pPr>
        <w:widowControl/>
        <w:spacing w:line="460" w:lineRule="exact"/>
        <w:outlineLvl w:val="1"/>
        <w:rPr>
          <w:rFonts w:ascii="仿宋_GB2312" w:hAnsi="宋体" w:eastAsia="仿宋_GB2312"/>
          <w:bCs/>
          <w:kern w:val="0"/>
          <w:sz w:val="32"/>
          <w:szCs w:val="32"/>
          <w:highlight w:val="none"/>
        </w:rPr>
      </w:pPr>
      <w:r>
        <w:rPr>
          <w:rFonts w:hint="eastAsia" w:ascii="仿宋_GB2312" w:hAnsi="宋体" w:eastAsia="仿宋_GB2312"/>
          <w:bCs/>
          <w:kern w:val="0"/>
          <w:sz w:val="32"/>
          <w:szCs w:val="32"/>
          <w:highlight w:val="none"/>
        </w:rPr>
        <w:t>四、关于</w:t>
      </w:r>
      <w:r>
        <w:rPr>
          <w:rFonts w:hint="eastAsia" w:ascii="仿宋_GB2312" w:hAnsi="宋体" w:eastAsia="仿宋_GB2312"/>
          <w:kern w:val="0"/>
          <w:sz w:val="32"/>
          <w:szCs w:val="32"/>
          <w:highlight w:val="none"/>
        </w:rPr>
        <w:t>昌吉州疾病预防控制中心</w:t>
      </w:r>
      <w:r>
        <w:rPr>
          <w:rFonts w:hint="eastAsia" w:ascii="仿宋_GB2312" w:hAnsi="宋体" w:eastAsia="仿宋_GB2312"/>
          <w:bCs/>
          <w:kern w:val="0"/>
          <w:sz w:val="32"/>
          <w:szCs w:val="32"/>
          <w:highlight w:val="none"/>
        </w:rPr>
        <w:t>部门</w:t>
      </w:r>
      <w:r>
        <w:rPr>
          <w:rFonts w:ascii="仿宋_GB2312" w:hAnsi="宋体" w:eastAsia="仿宋_GB2312"/>
          <w:kern w:val="0"/>
          <w:sz w:val="32"/>
          <w:szCs w:val="32"/>
          <w:highlight w:val="none"/>
        </w:rPr>
        <w:t>2019</w:t>
      </w:r>
      <w:r>
        <w:rPr>
          <w:rFonts w:hint="eastAsia" w:ascii="仿宋_GB2312" w:hAnsi="宋体" w:eastAsia="仿宋_GB2312"/>
          <w:bCs/>
          <w:kern w:val="0"/>
          <w:sz w:val="32"/>
          <w:szCs w:val="32"/>
          <w:highlight w:val="none"/>
        </w:rPr>
        <w:t>年财政拨款收支预算情况的总体说明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五、关于昌吉州疾病预防控制中心部门</w:t>
      </w:r>
      <w:r>
        <w:rPr>
          <w:rFonts w:ascii="仿宋_GB2312" w:hAnsi="宋体" w:eastAsia="仿宋_GB2312"/>
          <w:kern w:val="0"/>
          <w:sz w:val="32"/>
          <w:szCs w:val="32"/>
          <w:highlight w:val="none"/>
        </w:rPr>
        <w:t>2019</w:t>
      </w:r>
      <w:r>
        <w:rPr>
          <w:rFonts w:hint="eastAsia" w:ascii="仿宋_GB2312" w:hAnsi="宋体" w:eastAsia="仿宋_GB2312"/>
          <w:kern w:val="0"/>
          <w:sz w:val="32"/>
          <w:szCs w:val="32"/>
          <w:highlight w:val="none"/>
        </w:rPr>
        <w:t>年一般公共预算当年拨款情况说明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六、关于昌吉州疾病预防控制中心部门</w:t>
      </w:r>
      <w:r>
        <w:rPr>
          <w:rFonts w:ascii="仿宋_GB2312" w:hAnsi="宋体" w:eastAsia="仿宋_GB2312"/>
          <w:kern w:val="0"/>
          <w:sz w:val="32"/>
          <w:szCs w:val="32"/>
          <w:highlight w:val="none"/>
        </w:rPr>
        <w:t>2019</w:t>
      </w:r>
      <w:r>
        <w:rPr>
          <w:rFonts w:hint="eastAsia" w:ascii="仿宋_GB2312" w:hAnsi="宋体" w:eastAsia="仿宋_GB2312"/>
          <w:kern w:val="0"/>
          <w:sz w:val="32"/>
          <w:szCs w:val="32"/>
          <w:highlight w:val="none"/>
        </w:rPr>
        <w:t>年一般公共预算基本支出情况说明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七、关于昌吉州疾病预防控制中心部门</w:t>
      </w:r>
      <w:r>
        <w:rPr>
          <w:rFonts w:ascii="仿宋_GB2312" w:hAnsi="宋体" w:eastAsia="仿宋_GB2312"/>
          <w:kern w:val="0"/>
          <w:sz w:val="32"/>
          <w:szCs w:val="32"/>
          <w:highlight w:val="none"/>
        </w:rPr>
        <w:t>2019</w:t>
      </w:r>
      <w:r>
        <w:rPr>
          <w:rFonts w:hint="eastAsia" w:ascii="仿宋_GB2312" w:hAnsi="宋体" w:eastAsia="仿宋_GB2312"/>
          <w:kern w:val="0"/>
          <w:sz w:val="32"/>
          <w:szCs w:val="32"/>
          <w:highlight w:val="none"/>
        </w:rPr>
        <w:t>年项目支出情况说明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八、关于昌吉州疾病预防控制中心部门</w:t>
      </w:r>
      <w:r>
        <w:rPr>
          <w:rFonts w:ascii="仿宋_GB2312" w:hAnsi="宋体" w:eastAsia="仿宋_GB2312"/>
          <w:kern w:val="0"/>
          <w:sz w:val="32"/>
          <w:szCs w:val="32"/>
          <w:highlight w:val="none"/>
        </w:rPr>
        <w:t>2019</w:t>
      </w:r>
      <w:r>
        <w:rPr>
          <w:rFonts w:hint="eastAsia" w:ascii="仿宋_GB2312" w:hAnsi="宋体" w:eastAsia="仿宋_GB2312"/>
          <w:kern w:val="0"/>
          <w:sz w:val="32"/>
          <w:szCs w:val="32"/>
          <w:highlight w:val="none"/>
        </w:rPr>
        <w:t>年一般公共预算“三公”经费预算情况说明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九、关于昌吉州疾病预防控制中心部门</w:t>
      </w:r>
      <w:r>
        <w:rPr>
          <w:rFonts w:ascii="仿宋_GB2312" w:hAnsi="宋体" w:eastAsia="仿宋_GB2312"/>
          <w:kern w:val="0"/>
          <w:sz w:val="32"/>
          <w:szCs w:val="32"/>
          <w:highlight w:val="none"/>
        </w:rPr>
        <w:t>2019</w:t>
      </w:r>
      <w:r>
        <w:rPr>
          <w:rFonts w:hint="eastAsia" w:ascii="仿宋_GB2312" w:hAnsi="宋体" w:eastAsia="仿宋_GB2312"/>
          <w:kern w:val="0"/>
          <w:sz w:val="32"/>
          <w:szCs w:val="32"/>
          <w:highlight w:val="none"/>
        </w:rPr>
        <w:t>年政府性基金预算拨款情况说明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十、其他重要事项的情况说明</w:t>
      </w:r>
    </w:p>
    <w:p>
      <w:pPr>
        <w:widowControl/>
        <w:spacing w:line="46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第四部分</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名词解释</w:t>
      </w: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第一部分</w:t>
      </w:r>
      <w:r>
        <w:rPr>
          <w:rFonts w:ascii="黑体" w:hAnsi="黑体" w:eastAsia="黑体"/>
          <w:kern w:val="0"/>
          <w:sz w:val="32"/>
          <w:szCs w:val="32"/>
          <w:highlight w:val="none"/>
        </w:rPr>
        <w:t xml:space="preserve">   </w:t>
      </w:r>
      <w:r>
        <w:rPr>
          <w:rFonts w:hint="eastAsia" w:ascii="黑体" w:hAnsi="黑体" w:eastAsia="黑体"/>
          <w:kern w:val="0"/>
          <w:sz w:val="32"/>
          <w:szCs w:val="32"/>
          <w:highlight w:val="none"/>
        </w:rPr>
        <w:t>昌吉州疾病预防控制中心部门单位概况</w:t>
      </w:r>
    </w:p>
    <w:p>
      <w:pPr>
        <w:widowControl/>
        <w:jc w:val="center"/>
        <w:outlineLvl w:val="1"/>
        <w:rPr>
          <w:rFonts w:ascii="宋体"/>
          <w:b/>
          <w:kern w:val="0"/>
          <w:sz w:val="32"/>
          <w:szCs w:val="32"/>
          <w:highlight w:val="none"/>
        </w:rPr>
      </w:pPr>
    </w:p>
    <w:p>
      <w:pPr>
        <w:widowControl/>
        <w:spacing w:line="560" w:lineRule="exact"/>
        <w:jc w:val="left"/>
        <w:rPr>
          <w:rFonts w:ascii="黑体" w:hAnsi="黑体" w:eastAsia="黑体" w:cs="宋体"/>
          <w:bCs/>
          <w:kern w:val="0"/>
          <w:sz w:val="32"/>
          <w:szCs w:val="32"/>
          <w:highlight w:val="none"/>
        </w:rPr>
      </w:pPr>
      <w:r>
        <w:rPr>
          <w:rFonts w:hint="eastAsia" w:ascii="仿宋_GB2312" w:hAnsi="宋体" w:eastAsia="仿宋_GB2312" w:cs="宋体"/>
          <w:kern w:val="0"/>
          <w:sz w:val="32"/>
          <w:szCs w:val="32"/>
          <w:highlight w:val="none"/>
        </w:rPr>
        <w:t>　</w:t>
      </w:r>
      <w:r>
        <w:rPr>
          <w:rFonts w:ascii="仿宋_GB2312" w:hAnsi="宋体" w:eastAsia="仿宋_GB2312" w:cs="宋体"/>
          <w:kern w:val="0"/>
          <w:sz w:val="32"/>
          <w:szCs w:val="32"/>
          <w:highlight w:val="none"/>
        </w:rPr>
        <w:t xml:space="preserve">  </w:t>
      </w:r>
      <w:r>
        <w:rPr>
          <w:rFonts w:hint="eastAsia" w:ascii="黑体" w:hAnsi="黑体" w:eastAsia="黑体" w:cs="宋体"/>
          <w:bCs/>
          <w:kern w:val="0"/>
          <w:sz w:val="32"/>
          <w:szCs w:val="32"/>
          <w:highlight w:val="none"/>
        </w:rPr>
        <w:t>一、主要职能</w:t>
      </w:r>
    </w:p>
    <w:p>
      <w:pPr>
        <w:widowControl/>
        <w:spacing w:line="560" w:lineRule="exact"/>
        <w:jc w:val="left"/>
        <w:rPr>
          <w:rFonts w:ascii="仿宋_GB2312" w:hAnsi="宋体" w:eastAsia="仿宋_GB2312" w:cs="宋体"/>
          <w:bCs/>
          <w:kern w:val="0"/>
          <w:sz w:val="32"/>
          <w:szCs w:val="32"/>
          <w:highlight w:val="none"/>
        </w:rPr>
      </w:pPr>
      <w:r>
        <w:rPr>
          <w:rFonts w:ascii="黑体" w:hAnsi="黑体" w:eastAsia="黑体" w:cs="宋体"/>
          <w:bCs/>
          <w:kern w:val="0"/>
          <w:sz w:val="32"/>
          <w:szCs w:val="32"/>
          <w:highlight w:val="none"/>
        </w:rPr>
        <w:t xml:space="preserve">   </w:t>
      </w:r>
      <w:r>
        <w:rPr>
          <w:rFonts w:ascii="仿宋_GB2312" w:hAnsi="黑体" w:eastAsia="仿宋_GB2312" w:cs="宋体"/>
          <w:bCs/>
          <w:kern w:val="0"/>
          <w:sz w:val="32"/>
          <w:szCs w:val="32"/>
          <w:highlight w:val="none"/>
        </w:rPr>
        <w:t xml:space="preserve"> </w:t>
      </w:r>
      <w:r>
        <w:rPr>
          <w:rFonts w:hint="eastAsia" w:ascii="仿宋_GB2312" w:hAnsi="宋体" w:eastAsia="仿宋_GB2312" w:cs="宋体"/>
          <w:bCs/>
          <w:kern w:val="0"/>
          <w:sz w:val="32"/>
          <w:szCs w:val="32"/>
          <w:highlight w:val="none"/>
        </w:rPr>
        <w:t>承担疾病预防与控制、突发公共卫生事件应急处置、疫情报告及健康相关因素信息管理、健康危害因素监测与干预、实验室检测分析与评价、健康教育与健康促进、技术管理与应用研究指导等工作。</w:t>
      </w:r>
      <w:r>
        <w:rPr>
          <w:rFonts w:ascii="仿宋_GB2312" w:hAnsi="宋体" w:eastAsia="仿宋_GB2312" w:cs="宋体"/>
          <w:bCs/>
          <w:kern w:val="0"/>
          <w:sz w:val="32"/>
          <w:szCs w:val="32"/>
          <w:highlight w:val="none"/>
        </w:rPr>
        <w:t xml:space="preserve"> </w:t>
      </w:r>
    </w:p>
    <w:p>
      <w:pPr>
        <w:widowControl/>
        <w:spacing w:line="560" w:lineRule="exact"/>
        <w:jc w:val="left"/>
        <w:rPr>
          <w:rFonts w:ascii="黑体" w:hAnsi="黑体" w:eastAsia="黑体" w:cs="宋体"/>
          <w:bCs/>
          <w:kern w:val="0"/>
          <w:sz w:val="32"/>
          <w:szCs w:val="32"/>
          <w:highlight w:val="none"/>
        </w:rPr>
      </w:pPr>
      <w:r>
        <w:rPr>
          <w:rFonts w:hint="eastAsia" w:ascii="仿宋_GB2312" w:hAnsi="宋体" w:eastAsia="仿宋_GB2312" w:cs="宋体"/>
          <w:kern w:val="0"/>
          <w:sz w:val="32"/>
          <w:szCs w:val="32"/>
          <w:highlight w:val="none"/>
        </w:rPr>
        <w:t>　</w:t>
      </w:r>
      <w:r>
        <w:rPr>
          <w:rFonts w:ascii="仿宋_GB2312" w:hAnsi="宋体" w:eastAsia="仿宋_GB2312" w:cs="宋体"/>
          <w:kern w:val="0"/>
          <w:sz w:val="32"/>
          <w:szCs w:val="32"/>
          <w:highlight w:val="none"/>
        </w:rPr>
        <w:t xml:space="preserve">  </w:t>
      </w:r>
      <w:r>
        <w:rPr>
          <w:rFonts w:hint="eastAsia" w:ascii="黑体" w:hAnsi="黑体" w:eastAsia="黑体" w:cs="宋体"/>
          <w:bCs/>
          <w:kern w:val="0"/>
          <w:sz w:val="32"/>
          <w:szCs w:val="32"/>
          <w:highlight w:val="none"/>
        </w:rPr>
        <w:t>二、机构设置及人员情况</w:t>
      </w:r>
    </w:p>
    <w:p>
      <w:pPr>
        <w:widowControl/>
        <w:spacing w:line="56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cs="宋体"/>
          <w:bCs/>
          <w:kern w:val="0"/>
          <w:sz w:val="32"/>
          <w:szCs w:val="32"/>
          <w:highlight w:val="none"/>
        </w:rPr>
        <w:t>昌吉州疾病预防控制中心单位无下属预算单位，下设</w:t>
      </w:r>
      <w:r>
        <w:rPr>
          <w:rFonts w:ascii="仿宋_GB2312" w:hAnsi="黑体" w:eastAsia="仿宋_GB2312" w:cs="宋体"/>
          <w:bCs/>
          <w:kern w:val="0"/>
          <w:sz w:val="32"/>
          <w:szCs w:val="32"/>
          <w:highlight w:val="none"/>
        </w:rPr>
        <w:t>16</w:t>
      </w:r>
      <w:r>
        <w:rPr>
          <w:rFonts w:hint="eastAsia" w:ascii="仿宋_GB2312" w:hAnsi="黑体" w:eastAsia="仿宋_GB2312" w:cs="宋体"/>
          <w:bCs/>
          <w:kern w:val="0"/>
          <w:sz w:val="32"/>
          <w:szCs w:val="32"/>
          <w:highlight w:val="none"/>
        </w:rPr>
        <w:t>个处室，分别是：</w:t>
      </w:r>
      <w:r>
        <w:rPr>
          <w:rFonts w:hint="eastAsia" w:ascii="仿宋_GB2312" w:hAnsi="宋体" w:eastAsia="仿宋_GB2312" w:cs="宋体"/>
          <w:kern w:val="0"/>
          <w:sz w:val="32"/>
          <w:szCs w:val="32"/>
          <w:highlight w:val="none"/>
        </w:rPr>
        <w:t>办公室、总务保卫科、计划财务科、质量管理科</w:t>
      </w:r>
    </w:p>
    <w:p>
      <w:pPr>
        <w:widowControl/>
        <w:spacing w:line="560" w:lineRule="exact"/>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、老干部管理科、职业卫生科、疾病预防控制科、免疫规划科、健康教育信息科、地方病防治科、性病艾滋病预防控制科、结核病预防控制科、慢性病防治科、检验科、病媒微生物防治科、预防医学门诊部。</w:t>
      </w:r>
    </w:p>
    <w:p>
      <w:pPr>
        <w:widowControl/>
        <w:spacing w:line="56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昌吉州疾病预防控制中心单位编制数</w:t>
      </w:r>
      <w:r>
        <w:rPr>
          <w:rFonts w:ascii="仿宋_GB2312" w:hAnsi="宋体" w:eastAsia="仿宋_GB2312" w:cs="宋体"/>
          <w:kern w:val="0"/>
          <w:sz w:val="32"/>
          <w:szCs w:val="32"/>
          <w:highlight w:val="none"/>
        </w:rPr>
        <w:t>89</w:t>
      </w:r>
      <w:r>
        <w:rPr>
          <w:rFonts w:hint="eastAsia" w:ascii="仿宋_GB2312" w:hAnsi="宋体" w:eastAsia="仿宋_GB2312" w:cs="宋体"/>
          <w:kern w:val="0"/>
          <w:sz w:val="32"/>
          <w:szCs w:val="32"/>
          <w:highlight w:val="none"/>
        </w:rPr>
        <w:t>人，实有人数156人，其中：在职</w:t>
      </w:r>
      <w:r>
        <w:rPr>
          <w:rFonts w:ascii="仿宋_GB2312" w:hAnsi="宋体" w:eastAsia="仿宋_GB2312" w:cs="宋体"/>
          <w:kern w:val="0"/>
          <w:sz w:val="32"/>
          <w:szCs w:val="32"/>
          <w:highlight w:val="none"/>
        </w:rPr>
        <w:t>85</w:t>
      </w:r>
      <w:r>
        <w:rPr>
          <w:rFonts w:hint="eastAsia" w:ascii="仿宋_GB2312" w:hAnsi="宋体" w:eastAsia="仿宋_GB2312" w:cs="宋体"/>
          <w:kern w:val="0"/>
          <w:sz w:val="32"/>
          <w:szCs w:val="32"/>
          <w:highlight w:val="none"/>
        </w:rPr>
        <w:t>人，减少</w:t>
      </w:r>
      <w:r>
        <w:rPr>
          <w:rFonts w:ascii="仿宋_GB2312" w:hAnsi="宋体" w:eastAsia="仿宋_GB2312" w:cs="宋体"/>
          <w:kern w:val="0"/>
          <w:sz w:val="32"/>
          <w:szCs w:val="32"/>
          <w:highlight w:val="none"/>
        </w:rPr>
        <w:t>8</w:t>
      </w:r>
      <w:r>
        <w:rPr>
          <w:rFonts w:hint="eastAsia" w:ascii="仿宋_GB2312" w:hAnsi="宋体" w:eastAsia="仿宋_GB2312" w:cs="宋体"/>
          <w:kern w:val="0"/>
          <w:sz w:val="32"/>
          <w:szCs w:val="32"/>
          <w:highlight w:val="none"/>
        </w:rPr>
        <w:t>人；退休</w:t>
      </w:r>
      <w:r>
        <w:rPr>
          <w:rFonts w:ascii="仿宋_GB2312" w:hAnsi="宋体" w:eastAsia="仿宋_GB2312" w:cs="宋体"/>
          <w:kern w:val="0"/>
          <w:sz w:val="32"/>
          <w:szCs w:val="32"/>
          <w:highlight w:val="none"/>
        </w:rPr>
        <w:t>70</w:t>
      </w:r>
      <w:r>
        <w:rPr>
          <w:rFonts w:hint="eastAsia" w:ascii="仿宋_GB2312" w:hAnsi="宋体" w:eastAsia="仿宋_GB2312" w:cs="宋体"/>
          <w:kern w:val="0"/>
          <w:sz w:val="32"/>
          <w:szCs w:val="32"/>
          <w:highlight w:val="none"/>
        </w:rPr>
        <w:t>人，增加</w:t>
      </w: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rPr>
        <w:t>人；离休</w:t>
      </w: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rPr>
        <w:t>人，增加0人。</w:t>
      </w:r>
    </w:p>
    <w:p>
      <w:pPr>
        <w:widowControl/>
        <w:spacing w:line="560" w:lineRule="exact"/>
        <w:jc w:val="left"/>
        <w:rPr>
          <w:rFonts w:ascii="仿宋_GB2312" w:hAnsi="宋体" w:eastAsia="仿宋_GB2312" w:cs="宋体"/>
          <w:kern w:val="0"/>
          <w:sz w:val="32"/>
          <w:szCs w:val="32"/>
          <w:highlight w:val="none"/>
        </w:rPr>
      </w:pPr>
    </w:p>
    <w:p>
      <w:pPr>
        <w:widowControl/>
        <w:spacing w:line="560" w:lineRule="exact"/>
        <w:jc w:val="left"/>
        <w:rPr>
          <w:rFonts w:ascii="仿宋_GB2312" w:hAnsi="宋体" w:eastAsia="仿宋_GB2312" w:cs="宋体"/>
          <w:kern w:val="0"/>
          <w:sz w:val="32"/>
          <w:szCs w:val="32"/>
          <w:highlight w:val="none"/>
        </w:rPr>
      </w:pPr>
    </w:p>
    <w:p>
      <w:pPr>
        <w:widowControl/>
        <w:spacing w:beforeLines="50"/>
        <w:jc w:val="center"/>
        <w:outlineLvl w:val="1"/>
        <w:rPr>
          <w:rFonts w:ascii="黑体" w:hAnsi="黑体" w:eastAsia="黑体"/>
          <w:kern w:val="0"/>
          <w:sz w:val="32"/>
          <w:szCs w:val="32"/>
          <w:highlight w:val="none"/>
        </w:rPr>
      </w:pPr>
    </w:p>
    <w:p>
      <w:pPr>
        <w:widowControl/>
        <w:spacing w:beforeLines="50"/>
        <w:jc w:val="center"/>
        <w:outlineLvl w:val="1"/>
        <w:rPr>
          <w:rFonts w:ascii="黑体" w:hAnsi="黑体" w:eastAsia="黑体"/>
          <w:kern w:val="0"/>
          <w:sz w:val="32"/>
          <w:szCs w:val="32"/>
          <w:highlight w:val="none"/>
        </w:rPr>
      </w:pPr>
    </w:p>
    <w:p>
      <w:pPr>
        <w:widowControl/>
        <w:spacing w:beforeLines="50"/>
        <w:jc w:val="center"/>
        <w:outlineLvl w:val="1"/>
        <w:rPr>
          <w:rFonts w:ascii="黑体" w:hAnsi="黑体" w:eastAsia="黑体"/>
          <w:kern w:val="0"/>
          <w:sz w:val="32"/>
          <w:szCs w:val="32"/>
          <w:highlight w:val="none"/>
        </w:rPr>
      </w:pPr>
    </w:p>
    <w:p>
      <w:pPr>
        <w:widowControl/>
        <w:spacing w:beforeLines="50"/>
        <w:jc w:val="center"/>
        <w:outlineLvl w:val="1"/>
        <w:rPr>
          <w:rFonts w:ascii="黑体" w:hAnsi="黑体" w:eastAsia="黑体"/>
          <w:kern w:val="0"/>
          <w:sz w:val="32"/>
          <w:szCs w:val="32"/>
          <w:highlight w:val="none"/>
        </w:rPr>
      </w:pPr>
    </w:p>
    <w:p>
      <w:pPr>
        <w:widowControl/>
        <w:spacing w:beforeLines="50"/>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第二部分</w:t>
      </w:r>
      <w:r>
        <w:rPr>
          <w:rFonts w:ascii="黑体" w:hAnsi="黑体" w:eastAsia="黑体"/>
          <w:kern w:val="0"/>
          <w:sz w:val="32"/>
          <w:szCs w:val="32"/>
          <w:highlight w:val="none"/>
        </w:rPr>
        <w:t xml:space="preserve">  2019</w:t>
      </w:r>
      <w:r>
        <w:rPr>
          <w:rFonts w:hint="eastAsia" w:ascii="黑体" w:hAnsi="黑体" w:eastAsia="黑体"/>
          <w:kern w:val="0"/>
          <w:sz w:val="32"/>
          <w:szCs w:val="32"/>
          <w:highlight w:val="none"/>
        </w:rPr>
        <w:t>年部门预算公开表</w:t>
      </w:r>
    </w:p>
    <w:p>
      <w:pPr>
        <w:widowControl/>
        <w:spacing w:beforeLines="5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表一：</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部门收支总体情况表</w:t>
      </w:r>
    </w:p>
    <w:p>
      <w:pPr>
        <w:widowControl/>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编制部门：昌吉州疾病预防控制中心</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rPr>
        <w:t>单位：万元</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收</w:t>
            </w:r>
            <w:r>
              <w:rPr>
                <w:rFonts w:ascii="仿宋_GB2312" w:hAnsi="宋体" w:eastAsia="仿宋_GB2312" w:cs="宋体"/>
                <w:b/>
                <w:bCs/>
                <w:kern w:val="0"/>
                <w:sz w:val="24"/>
                <w:highlight w:val="none"/>
              </w:rPr>
              <w:t xml:space="preserve">     </w:t>
            </w:r>
            <w:r>
              <w:rPr>
                <w:rFonts w:hint="eastAsia" w:ascii="仿宋_GB2312" w:hAnsi="宋体" w:eastAsia="仿宋_GB2312" w:cs="宋体"/>
                <w:b/>
                <w:bCs/>
                <w:kern w:val="0"/>
                <w:sz w:val="24"/>
                <w:highlight w:val="none"/>
              </w:rPr>
              <w:t>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支</w:t>
            </w:r>
            <w:r>
              <w:rPr>
                <w:rFonts w:ascii="仿宋_GB2312" w:hAnsi="宋体" w:eastAsia="仿宋_GB2312" w:cs="宋体"/>
                <w:b/>
                <w:bCs/>
                <w:kern w:val="0"/>
                <w:sz w:val="24"/>
                <w:highlight w:val="none"/>
              </w:rPr>
              <w:t xml:space="preserve">     </w:t>
            </w:r>
            <w:r>
              <w:rPr>
                <w:rFonts w:hint="eastAsia" w:ascii="仿宋_GB2312" w:hAnsi="宋体" w:eastAsia="仿宋_GB2312" w:cs="宋体"/>
                <w:b/>
                <w:bCs/>
                <w:kern w:val="0"/>
                <w:sz w:val="24"/>
                <w:highlight w:val="none"/>
              </w:rPr>
              <w:t>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w:t>
            </w:r>
            <w:r>
              <w:rPr>
                <w:rFonts w:ascii="仿宋_GB2312" w:hAnsi="宋体" w:eastAsia="仿宋_GB2312" w:cs="宋体"/>
                <w:b/>
                <w:kern w:val="0"/>
                <w:sz w:val="20"/>
                <w:szCs w:val="20"/>
                <w:highlight w:val="none"/>
              </w:rPr>
              <w:t xml:space="preserve">     </w:t>
            </w:r>
            <w:r>
              <w:rPr>
                <w:rFonts w:hint="eastAsia" w:ascii="仿宋_GB2312" w:hAnsi="宋体" w:eastAsia="仿宋_GB2312" w:cs="宋体"/>
                <w:b/>
                <w:kern w:val="0"/>
                <w:sz w:val="20"/>
                <w:szCs w:val="20"/>
                <w:highlight w:val="none"/>
              </w:rPr>
              <w:t>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1446.66</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201 </w:t>
            </w:r>
            <w:r>
              <w:rPr>
                <w:rFonts w:hint="eastAsia" w:ascii="仿宋_GB2312" w:hAnsi="宋体" w:eastAsia="仿宋_GB2312" w:cs="宋体"/>
                <w:kern w:val="0"/>
                <w:sz w:val="18"/>
                <w:szCs w:val="18"/>
                <w:highlight w:val="none"/>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    </w:t>
            </w:r>
            <w:r>
              <w:rPr>
                <w:rFonts w:hint="eastAsia" w:ascii="仿宋_GB2312" w:hAnsi="宋体" w:eastAsia="仿宋_GB2312" w:cs="宋体"/>
                <w:kern w:val="0"/>
                <w:sz w:val="18"/>
                <w:szCs w:val="18"/>
                <w:highlight w:val="none"/>
              </w:rPr>
              <w:t>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1446.66</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202 </w:t>
            </w:r>
            <w:r>
              <w:rPr>
                <w:rFonts w:hint="eastAsia" w:ascii="仿宋_GB2312" w:hAnsi="宋体" w:eastAsia="仿宋_GB2312" w:cs="宋体"/>
                <w:kern w:val="0"/>
                <w:sz w:val="18"/>
                <w:szCs w:val="18"/>
                <w:highlight w:val="none"/>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    </w:t>
            </w:r>
            <w:r>
              <w:rPr>
                <w:rFonts w:hint="eastAsia" w:ascii="仿宋_GB2312" w:hAnsi="宋体" w:eastAsia="仿宋_GB2312" w:cs="宋体"/>
                <w:kern w:val="0"/>
                <w:sz w:val="18"/>
                <w:szCs w:val="18"/>
                <w:highlight w:val="none"/>
              </w:rPr>
              <w:t>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203 </w:t>
            </w:r>
            <w:r>
              <w:rPr>
                <w:rFonts w:hint="eastAsia" w:ascii="仿宋_GB2312" w:hAnsi="宋体" w:eastAsia="仿宋_GB2312" w:cs="宋体"/>
                <w:kern w:val="0"/>
                <w:sz w:val="18"/>
                <w:szCs w:val="18"/>
                <w:highlight w:val="none"/>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204 </w:t>
            </w:r>
            <w:r>
              <w:rPr>
                <w:rFonts w:hint="eastAsia" w:ascii="仿宋_GB2312" w:hAnsi="宋体" w:eastAsia="仿宋_GB2312" w:cs="宋体"/>
                <w:kern w:val="0"/>
                <w:sz w:val="18"/>
                <w:szCs w:val="18"/>
                <w:highlight w:val="none"/>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205 </w:t>
            </w:r>
            <w:r>
              <w:rPr>
                <w:rFonts w:hint="eastAsia" w:ascii="仿宋_GB2312" w:hAnsi="宋体" w:eastAsia="仿宋_GB2312" w:cs="宋体"/>
                <w:kern w:val="0"/>
                <w:sz w:val="18"/>
                <w:szCs w:val="18"/>
                <w:highlight w:val="none"/>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206 </w:t>
            </w:r>
            <w:r>
              <w:rPr>
                <w:rFonts w:hint="eastAsia" w:ascii="仿宋_GB2312" w:hAnsi="宋体" w:eastAsia="仿宋_GB2312" w:cs="宋体"/>
                <w:kern w:val="0"/>
                <w:sz w:val="18"/>
                <w:szCs w:val="18"/>
                <w:highlight w:val="none"/>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207 </w:t>
            </w:r>
            <w:r>
              <w:rPr>
                <w:rFonts w:hint="eastAsia" w:ascii="仿宋_GB2312" w:hAnsi="宋体" w:eastAsia="仿宋_GB2312" w:cs="宋体"/>
                <w:kern w:val="0"/>
                <w:sz w:val="18"/>
                <w:szCs w:val="18"/>
                <w:highlight w:val="none"/>
              </w:rPr>
              <w:t>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208 </w:t>
            </w:r>
            <w:r>
              <w:rPr>
                <w:rFonts w:hint="eastAsia" w:ascii="仿宋_GB2312" w:hAnsi="宋体" w:eastAsia="仿宋_GB2312" w:cs="宋体"/>
                <w:kern w:val="0"/>
                <w:sz w:val="18"/>
                <w:szCs w:val="18"/>
                <w:highlight w:val="none"/>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209 </w:t>
            </w:r>
            <w:r>
              <w:rPr>
                <w:rFonts w:hint="eastAsia" w:ascii="仿宋_GB2312" w:hAnsi="宋体" w:eastAsia="仿宋_GB2312" w:cs="宋体"/>
                <w:kern w:val="0"/>
                <w:sz w:val="18"/>
                <w:szCs w:val="18"/>
                <w:highlight w:val="none"/>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210 </w:t>
            </w:r>
            <w:r>
              <w:rPr>
                <w:rFonts w:hint="eastAsia" w:ascii="仿宋_GB2312" w:hAnsi="宋体" w:eastAsia="仿宋_GB2312" w:cs="宋体"/>
                <w:kern w:val="0"/>
                <w:sz w:val="18"/>
                <w:szCs w:val="18"/>
                <w:highlight w:val="none"/>
              </w:rPr>
              <w:t>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1446.66</w:t>
            </w: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211 </w:t>
            </w:r>
            <w:r>
              <w:rPr>
                <w:rFonts w:hint="eastAsia" w:ascii="仿宋_GB2312" w:hAnsi="宋体" w:eastAsia="仿宋_GB2312" w:cs="宋体"/>
                <w:kern w:val="0"/>
                <w:sz w:val="18"/>
                <w:szCs w:val="18"/>
                <w:highlight w:val="none"/>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212 </w:t>
            </w:r>
            <w:r>
              <w:rPr>
                <w:rFonts w:hint="eastAsia" w:ascii="仿宋_GB2312" w:hAnsi="宋体" w:eastAsia="仿宋_GB2312" w:cs="宋体"/>
                <w:kern w:val="0"/>
                <w:sz w:val="18"/>
                <w:szCs w:val="18"/>
                <w:highlight w:val="none"/>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213 </w:t>
            </w:r>
            <w:r>
              <w:rPr>
                <w:rFonts w:hint="eastAsia" w:ascii="仿宋_GB2312" w:hAnsi="宋体" w:eastAsia="仿宋_GB2312" w:cs="宋体"/>
                <w:kern w:val="0"/>
                <w:sz w:val="18"/>
                <w:szCs w:val="18"/>
                <w:highlight w:val="none"/>
              </w:rPr>
              <w:t>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214 </w:t>
            </w:r>
            <w:r>
              <w:rPr>
                <w:rFonts w:hint="eastAsia" w:ascii="仿宋_GB2312" w:hAnsi="宋体" w:eastAsia="仿宋_GB2312" w:cs="宋体"/>
                <w:kern w:val="0"/>
                <w:sz w:val="18"/>
                <w:szCs w:val="18"/>
                <w:highlight w:val="none"/>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215 </w:t>
            </w:r>
            <w:r>
              <w:rPr>
                <w:rFonts w:hint="eastAsia" w:ascii="仿宋_GB2312" w:hAnsi="宋体" w:eastAsia="仿宋_GB2312" w:cs="宋体"/>
                <w:kern w:val="0"/>
                <w:sz w:val="18"/>
                <w:szCs w:val="18"/>
                <w:highlight w:val="none"/>
              </w:rPr>
              <w:t>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216 </w:t>
            </w:r>
            <w:r>
              <w:rPr>
                <w:rFonts w:hint="eastAsia" w:ascii="仿宋_GB2312" w:hAnsi="宋体" w:eastAsia="仿宋_GB2312" w:cs="宋体"/>
                <w:kern w:val="0"/>
                <w:sz w:val="18"/>
                <w:szCs w:val="18"/>
                <w:highlight w:val="none"/>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217 </w:t>
            </w:r>
            <w:r>
              <w:rPr>
                <w:rFonts w:hint="eastAsia" w:ascii="仿宋_GB2312" w:hAnsi="宋体" w:eastAsia="仿宋_GB2312" w:cs="宋体"/>
                <w:kern w:val="0"/>
                <w:sz w:val="18"/>
                <w:szCs w:val="18"/>
                <w:highlight w:val="none"/>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219 </w:t>
            </w:r>
            <w:r>
              <w:rPr>
                <w:rFonts w:hint="eastAsia" w:ascii="仿宋_GB2312" w:hAnsi="宋体" w:eastAsia="仿宋_GB2312" w:cs="宋体"/>
                <w:kern w:val="0"/>
                <w:sz w:val="18"/>
                <w:szCs w:val="18"/>
                <w:highlight w:val="none"/>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220 </w:t>
            </w:r>
            <w:r>
              <w:rPr>
                <w:rFonts w:hint="eastAsia" w:ascii="仿宋_GB2312" w:hAnsi="宋体" w:eastAsia="仿宋_GB2312" w:cs="宋体"/>
                <w:kern w:val="0"/>
                <w:sz w:val="18"/>
                <w:szCs w:val="18"/>
                <w:highlight w:val="none"/>
              </w:rPr>
              <w:t>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221 </w:t>
            </w:r>
            <w:r>
              <w:rPr>
                <w:rFonts w:hint="eastAsia" w:ascii="仿宋_GB2312" w:hAnsi="宋体" w:eastAsia="仿宋_GB2312" w:cs="宋体"/>
                <w:kern w:val="0"/>
                <w:sz w:val="18"/>
                <w:szCs w:val="18"/>
                <w:highlight w:val="none"/>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222 </w:t>
            </w:r>
            <w:r>
              <w:rPr>
                <w:rFonts w:hint="eastAsia" w:ascii="仿宋_GB2312" w:hAnsi="宋体" w:eastAsia="仿宋_GB2312" w:cs="宋体"/>
                <w:kern w:val="0"/>
                <w:sz w:val="18"/>
                <w:szCs w:val="18"/>
                <w:highlight w:val="none"/>
              </w:rPr>
              <w:t>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223 </w:t>
            </w:r>
            <w:r>
              <w:rPr>
                <w:rFonts w:hint="eastAsia" w:ascii="仿宋_GB2312" w:hAnsi="宋体" w:eastAsia="仿宋_GB2312" w:cs="宋体"/>
                <w:kern w:val="0"/>
                <w:sz w:val="18"/>
                <w:szCs w:val="18"/>
                <w:highlight w:val="none"/>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227 </w:t>
            </w:r>
            <w:r>
              <w:rPr>
                <w:rFonts w:hint="eastAsia" w:ascii="仿宋_GB2312" w:hAnsi="宋体" w:eastAsia="仿宋_GB2312" w:cs="宋体"/>
                <w:kern w:val="0"/>
                <w:sz w:val="18"/>
                <w:szCs w:val="18"/>
                <w:highlight w:val="none"/>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229 </w:t>
            </w:r>
            <w:r>
              <w:rPr>
                <w:rFonts w:hint="eastAsia" w:ascii="仿宋_GB2312" w:hAnsi="宋体" w:eastAsia="仿宋_GB2312" w:cs="宋体"/>
                <w:kern w:val="0"/>
                <w:sz w:val="18"/>
                <w:szCs w:val="18"/>
                <w:highlight w:val="none"/>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231 </w:t>
            </w:r>
            <w:r>
              <w:rPr>
                <w:rFonts w:hint="eastAsia" w:ascii="仿宋_GB2312" w:hAnsi="宋体" w:eastAsia="仿宋_GB2312" w:cs="宋体"/>
                <w:kern w:val="0"/>
                <w:sz w:val="18"/>
                <w:szCs w:val="18"/>
                <w:highlight w:val="none"/>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232 </w:t>
            </w:r>
            <w:r>
              <w:rPr>
                <w:rFonts w:hint="eastAsia" w:ascii="仿宋_GB2312" w:hAnsi="宋体" w:eastAsia="仿宋_GB2312" w:cs="宋体"/>
                <w:kern w:val="0"/>
                <w:sz w:val="18"/>
                <w:szCs w:val="18"/>
                <w:highlight w:val="none"/>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233 </w:t>
            </w:r>
            <w:r>
              <w:rPr>
                <w:rFonts w:hint="eastAsia" w:ascii="仿宋_GB2312" w:hAnsi="宋体" w:eastAsia="仿宋_GB2312" w:cs="宋体"/>
                <w:kern w:val="0"/>
                <w:sz w:val="18"/>
                <w:szCs w:val="18"/>
                <w:highlight w:val="none"/>
              </w:rPr>
              <w:t>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小</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1446.66</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小</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701"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r>
              <w:rPr>
                <w:rFonts w:ascii="仿宋_GB2312" w:hAnsi="宋体" w:eastAsia="仿宋_GB2312" w:cs="宋体"/>
                <w:kern w:val="0"/>
                <w:sz w:val="18"/>
                <w:szCs w:val="18"/>
                <w:highlight w:val="none"/>
              </w:rPr>
              <w:t>1446.66</w:t>
            </w:r>
          </w:p>
        </w:tc>
      </w:tr>
      <w:tr>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highlight w:val="none"/>
              </w:rPr>
            </w:pPr>
            <w:r>
              <w:rPr>
                <w:rFonts w:hint="eastAsia" w:ascii="仿宋_GB2312" w:hAnsi="宋体" w:eastAsia="仿宋_GB2312" w:cs="宋体"/>
                <w:kern w:val="0"/>
                <w:sz w:val="18"/>
                <w:szCs w:val="18"/>
                <w:highlight w:val="none"/>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highlight w:val="none"/>
              </w:rPr>
            </w:pPr>
            <w:r>
              <w:rPr>
                <w:rFonts w:ascii="仿宋_GB2312" w:hAnsi="宋体" w:eastAsia="仿宋_GB2312" w:cs="宋体"/>
                <w:kern w:val="0"/>
                <w:sz w:val="20"/>
                <w:szCs w:val="20"/>
                <w:highlight w:val="none"/>
              </w:rPr>
              <w:t xml:space="preserve">230 </w:t>
            </w:r>
            <w:r>
              <w:rPr>
                <w:rFonts w:hint="eastAsia" w:ascii="仿宋_GB2312" w:hAnsi="宋体" w:eastAsia="仿宋_GB2312" w:cs="宋体"/>
                <w:kern w:val="0"/>
                <w:sz w:val="20"/>
                <w:szCs w:val="20"/>
                <w:highlight w:val="none"/>
              </w:rPr>
              <w:t>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收</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入</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总</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1446.66</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出</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合</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1446.66</w:t>
            </w:r>
            <w:r>
              <w:rPr>
                <w:rFonts w:hint="eastAsia" w:ascii="仿宋_GB2312" w:hAnsi="宋体" w:eastAsia="仿宋_GB2312" w:cs="宋体"/>
                <w:kern w:val="0"/>
                <w:sz w:val="18"/>
                <w:szCs w:val="18"/>
                <w:highlight w:val="none"/>
              </w:rPr>
              <w:t>　</w:t>
            </w:r>
          </w:p>
        </w:tc>
      </w:tr>
    </w:tbl>
    <w:p>
      <w:pPr>
        <w:widowControl/>
        <w:jc w:val="left"/>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表二：</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部门收入总体情况表</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填报部门：昌吉州疾病预防控制中心</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rPr>
        <w:t>单位：万元</w:t>
      </w:r>
    </w:p>
    <w:tbl>
      <w:tblPr>
        <w:tblStyle w:val="4"/>
        <w:tblW w:w="9654" w:type="dxa"/>
        <w:tblInd w:w="93" w:type="dxa"/>
        <w:tblLayout w:type="fixed"/>
        <w:tblCellMar>
          <w:top w:w="0" w:type="dxa"/>
          <w:left w:w="108" w:type="dxa"/>
          <w:bottom w:w="0" w:type="dxa"/>
          <w:right w:w="108" w:type="dxa"/>
        </w:tblCellMar>
      </w:tblPr>
      <w:tblGrid>
        <w:gridCol w:w="525"/>
        <w:gridCol w:w="465"/>
        <w:gridCol w:w="420"/>
        <w:gridCol w:w="1830"/>
        <w:gridCol w:w="976"/>
        <w:gridCol w:w="974"/>
        <w:gridCol w:w="450"/>
        <w:gridCol w:w="616"/>
        <w:gridCol w:w="680"/>
        <w:gridCol w:w="680"/>
        <w:gridCol w:w="680"/>
        <w:gridCol w:w="680"/>
        <w:gridCol w:w="678"/>
      </w:tblGrid>
      <w:tr>
        <w:tblPrEx>
          <w:tblCellMar>
            <w:top w:w="0" w:type="dxa"/>
            <w:left w:w="108" w:type="dxa"/>
            <w:bottom w:w="0" w:type="dxa"/>
            <w:right w:w="108" w:type="dxa"/>
          </w:tblCellMar>
        </w:tblPrEx>
        <w:trPr>
          <w:trHeight w:val="510" w:hRule="atLeast"/>
        </w:trPr>
        <w:tc>
          <w:tcPr>
            <w:tcW w:w="141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功能分类科目编码</w:t>
            </w:r>
          </w:p>
        </w:tc>
        <w:tc>
          <w:tcPr>
            <w:tcW w:w="183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功能分类科目名称</w:t>
            </w:r>
          </w:p>
        </w:tc>
        <w:tc>
          <w:tcPr>
            <w:tcW w:w="97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总</w:t>
            </w:r>
            <w:r>
              <w:rPr>
                <w:rFonts w:ascii="仿宋_GB2312" w:eastAsia="仿宋_GB2312"/>
                <w:b/>
                <w:color w:val="000000"/>
                <w:sz w:val="20"/>
                <w:szCs w:val="20"/>
                <w:highlight w:val="none"/>
              </w:rPr>
              <w:t xml:space="preserve">  </w:t>
            </w:r>
            <w:r>
              <w:rPr>
                <w:rFonts w:hint="eastAsia" w:ascii="仿宋_GB2312" w:eastAsia="仿宋_GB2312"/>
                <w:b/>
                <w:color w:val="000000"/>
                <w:sz w:val="20"/>
                <w:szCs w:val="20"/>
                <w:highlight w:val="none"/>
              </w:rPr>
              <w:t>计</w:t>
            </w:r>
          </w:p>
        </w:tc>
        <w:tc>
          <w:tcPr>
            <w:tcW w:w="97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一般公共预算拨款</w:t>
            </w:r>
          </w:p>
        </w:tc>
        <w:tc>
          <w:tcPr>
            <w:tcW w:w="4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61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highlight w:val="none"/>
              </w:rPr>
            </w:pPr>
            <w:r>
              <w:rPr>
                <w:rFonts w:hint="eastAsia" w:ascii="仿宋_GB2312" w:eastAsia="仿宋_GB2312"/>
                <w:b/>
                <w:color w:val="000000"/>
                <w:sz w:val="18"/>
                <w:szCs w:val="18"/>
                <w:highlight w:val="none"/>
              </w:rPr>
              <w:t>单位上年结余（不包括国库集中支付额度结余）</w:t>
            </w:r>
          </w:p>
        </w:tc>
      </w:tr>
      <w:tr>
        <w:tblPrEx>
          <w:tblCellMar>
            <w:top w:w="0" w:type="dxa"/>
            <w:left w:w="108" w:type="dxa"/>
            <w:bottom w:w="0" w:type="dxa"/>
            <w:right w:w="108" w:type="dxa"/>
          </w:tblCellMar>
        </w:tblPrEx>
        <w:trPr>
          <w:trHeight w:val="1870" w:hRule="atLeast"/>
        </w:trPr>
        <w:tc>
          <w:tcPr>
            <w:tcW w:w="52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类</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款</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项</w:t>
            </w:r>
          </w:p>
        </w:tc>
        <w:tc>
          <w:tcPr>
            <w:tcW w:w="183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97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97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4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1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r>
      <w:tr>
        <w:tblPrEx>
          <w:tblCellMar>
            <w:top w:w="0" w:type="dxa"/>
            <w:left w:w="108" w:type="dxa"/>
            <w:bottom w:w="0" w:type="dxa"/>
            <w:right w:w="108" w:type="dxa"/>
          </w:tblCellMar>
        </w:tblPrEx>
        <w:trPr>
          <w:trHeight w:val="465" w:hRule="atLeast"/>
        </w:trPr>
        <w:tc>
          <w:tcPr>
            <w:tcW w:w="52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ascii="仿宋_GB2312" w:eastAsia="仿宋_GB2312"/>
                <w:color w:val="000000"/>
                <w:sz w:val="20"/>
                <w:szCs w:val="20"/>
                <w:highlight w:val="none"/>
              </w:rPr>
              <w:t>210</w:t>
            </w:r>
            <w:r>
              <w:rPr>
                <w:rFonts w:hint="eastAsia" w:ascii="仿宋_GB2312" w:eastAsia="仿宋_GB2312"/>
                <w:color w:val="000000"/>
                <w:sz w:val="20"/>
                <w:szCs w:val="20"/>
                <w:highlight w:val="none"/>
              </w:rPr>
              <w:t>　</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ascii="仿宋_GB2312" w:eastAsia="仿宋_GB2312"/>
                <w:color w:val="000000"/>
                <w:sz w:val="20"/>
                <w:szCs w:val="20"/>
                <w:highlight w:val="none"/>
              </w:rPr>
              <w:t>04</w:t>
            </w: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ascii="仿宋_GB2312" w:eastAsia="仿宋_GB2312"/>
                <w:color w:val="000000"/>
                <w:sz w:val="20"/>
                <w:szCs w:val="20"/>
                <w:highlight w:val="none"/>
              </w:rPr>
              <w:t>01</w:t>
            </w:r>
            <w:r>
              <w:rPr>
                <w:rFonts w:hint="eastAsia" w:ascii="仿宋_GB2312" w:eastAsia="仿宋_GB2312"/>
                <w:color w:val="000000"/>
                <w:sz w:val="20"/>
                <w:szCs w:val="20"/>
                <w:highlight w:val="none"/>
              </w:rPr>
              <w:t>　</w:t>
            </w:r>
          </w:p>
        </w:tc>
        <w:tc>
          <w:tcPr>
            <w:tcW w:w="183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疾病预防控制机构　</w:t>
            </w:r>
          </w:p>
        </w:tc>
        <w:tc>
          <w:tcPr>
            <w:tcW w:w="976"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ascii="仿宋_GB2312" w:eastAsia="仿宋_GB2312"/>
                <w:color w:val="000000"/>
                <w:sz w:val="20"/>
                <w:szCs w:val="20"/>
                <w:highlight w:val="none"/>
              </w:rPr>
              <w:t>1446.66</w:t>
            </w:r>
            <w:r>
              <w:rPr>
                <w:rFonts w:hint="eastAsia" w:ascii="仿宋_GB2312" w:eastAsia="仿宋_GB2312"/>
                <w:color w:val="000000"/>
                <w:sz w:val="20"/>
                <w:szCs w:val="20"/>
                <w:highlight w:val="none"/>
              </w:rPr>
              <w:t>　</w:t>
            </w:r>
          </w:p>
        </w:tc>
        <w:tc>
          <w:tcPr>
            <w:tcW w:w="974"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ascii="仿宋_GB2312" w:eastAsia="仿宋_GB2312"/>
                <w:color w:val="000000"/>
                <w:sz w:val="20"/>
                <w:szCs w:val="20"/>
                <w:highlight w:val="none"/>
              </w:rPr>
              <w:t>1446.66</w:t>
            </w:r>
            <w:r>
              <w:rPr>
                <w:rFonts w:hint="eastAsia" w:ascii="仿宋_GB2312" w:eastAsia="仿宋_GB2312"/>
                <w:color w:val="000000"/>
                <w:sz w:val="20"/>
                <w:szCs w:val="20"/>
                <w:highlight w:val="none"/>
              </w:rPr>
              <w:t>　</w:t>
            </w:r>
          </w:p>
        </w:tc>
        <w:tc>
          <w:tcPr>
            <w:tcW w:w="45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16"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52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83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52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83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52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83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52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83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52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83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52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83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52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83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52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83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合计</w:t>
            </w:r>
          </w:p>
        </w:tc>
        <w:tc>
          <w:tcPr>
            <w:tcW w:w="9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ascii="仿宋_GB2312" w:eastAsia="仿宋_GB2312"/>
                <w:color w:val="000000"/>
                <w:sz w:val="20"/>
                <w:szCs w:val="20"/>
                <w:highlight w:val="none"/>
              </w:rPr>
              <w:t>1446.66</w:t>
            </w:r>
            <w:r>
              <w:rPr>
                <w:rFonts w:hint="eastAsia" w:ascii="仿宋_GB2312" w:eastAsia="仿宋_GB2312"/>
                <w:color w:val="000000"/>
                <w:sz w:val="20"/>
                <w:szCs w:val="20"/>
                <w:highlight w:val="none"/>
              </w:rPr>
              <w:t>　</w:t>
            </w:r>
          </w:p>
        </w:tc>
        <w:tc>
          <w:tcPr>
            <w:tcW w:w="9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ascii="仿宋_GB2312" w:eastAsia="仿宋_GB2312"/>
                <w:color w:val="000000"/>
                <w:sz w:val="20"/>
                <w:szCs w:val="20"/>
                <w:highlight w:val="none"/>
              </w:rPr>
              <w:t>14</w:t>
            </w:r>
            <w:r>
              <w:rPr>
                <w:rFonts w:hint="eastAsia" w:ascii="仿宋_GB2312" w:eastAsia="仿宋_GB2312"/>
                <w:color w:val="000000"/>
                <w:sz w:val="20"/>
                <w:szCs w:val="20"/>
                <w:highlight w:val="none"/>
              </w:rPr>
              <w:t>46</w:t>
            </w:r>
            <w:r>
              <w:rPr>
                <w:rFonts w:ascii="仿宋_GB2312" w:eastAsia="仿宋_GB2312"/>
                <w:color w:val="000000"/>
                <w:sz w:val="20"/>
                <w:szCs w:val="20"/>
                <w:highlight w:val="none"/>
              </w:rPr>
              <w:t>.66</w:t>
            </w:r>
            <w:r>
              <w:rPr>
                <w:rFonts w:hint="eastAsia" w:ascii="仿宋_GB2312" w:eastAsia="仿宋_GB2312"/>
                <w:color w:val="000000"/>
                <w:sz w:val="20"/>
                <w:szCs w:val="20"/>
                <w:highlight w:val="none"/>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bl>
    <w:p>
      <w:pPr>
        <w:widowControl/>
        <w:jc w:val="left"/>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表三：</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部门支出总体情况表</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编制部门：昌吉州疾病预防控制中心</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rPr>
        <w:t>单位：万元</w:t>
      </w:r>
    </w:p>
    <w:tbl>
      <w:tblPr>
        <w:tblStyle w:val="4"/>
        <w:tblW w:w="9229" w:type="dxa"/>
        <w:tblInd w:w="93" w:type="dxa"/>
        <w:tblLayout w:type="fixed"/>
        <w:tblCellMar>
          <w:top w:w="0" w:type="dxa"/>
          <w:left w:w="108" w:type="dxa"/>
          <w:bottom w:w="0" w:type="dxa"/>
          <w:right w:w="108" w:type="dxa"/>
        </w:tblCellMar>
      </w:tblPr>
      <w:tblGrid>
        <w:gridCol w:w="401"/>
        <w:gridCol w:w="400"/>
        <w:gridCol w:w="400"/>
        <w:gridCol w:w="2604"/>
        <w:gridCol w:w="1855"/>
        <w:gridCol w:w="1856"/>
        <w:gridCol w:w="1713"/>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项目支出</w:t>
            </w:r>
          </w:p>
        </w:tc>
      </w:tr>
      <w:tr>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类</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款</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highlight w:val="none"/>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highlight w:val="none"/>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highlight w:val="none"/>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ascii="宋体" w:hAnsi="宋体" w:cs="宋体"/>
                <w:b/>
                <w:bCs/>
                <w:color w:val="000000"/>
                <w:kern w:val="0"/>
                <w:sz w:val="16"/>
                <w:szCs w:val="16"/>
                <w:highlight w:val="none"/>
              </w:rPr>
              <w:t>210</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ascii="宋体" w:hAnsi="宋体" w:cs="宋体"/>
                <w:b/>
                <w:bCs/>
                <w:color w:val="000000"/>
                <w:kern w:val="0"/>
                <w:sz w:val="16"/>
                <w:szCs w:val="16"/>
                <w:highlight w:val="none"/>
              </w:rPr>
              <w:t>04</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ascii="宋体" w:hAnsi="宋体" w:cs="宋体"/>
                <w:b/>
                <w:bCs/>
                <w:color w:val="000000"/>
                <w:kern w:val="0"/>
                <w:sz w:val="16"/>
                <w:szCs w:val="16"/>
                <w:highlight w:val="none"/>
              </w:rPr>
              <w:t>01</w:t>
            </w: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疾病预防控制机构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ascii="宋体" w:hAnsi="宋体" w:cs="宋体"/>
                <w:b/>
                <w:bCs/>
                <w:color w:val="000000"/>
                <w:kern w:val="0"/>
                <w:sz w:val="22"/>
                <w:szCs w:val="22"/>
                <w:highlight w:val="none"/>
              </w:rPr>
              <w:t>1446.66</w:t>
            </w: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ascii="宋体" w:hAnsi="宋体" w:cs="宋体"/>
                <w:b/>
                <w:bCs/>
                <w:color w:val="000000"/>
                <w:kern w:val="0"/>
                <w:sz w:val="22"/>
                <w:szCs w:val="22"/>
                <w:highlight w:val="none"/>
              </w:rPr>
              <w:t>1431.66</w:t>
            </w: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r>
              <w:rPr>
                <w:rFonts w:ascii="宋体" w:hAnsi="宋体" w:cs="宋体"/>
                <w:b/>
                <w:bCs/>
                <w:color w:val="000000"/>
                <w:kern w:val="0"/>
                <w:sz w:val="22"/>
                <w:szCs w:val="22"/>
                <w:highlight w:val="none"/>
              </w:rPr>
              <w:t>15</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0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0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2"/>
                <w:szCs w:val="22"/>
                <w:highlight w:val="none"/>
              </w:rPr>
            </w:pPr>
            <w:r>
              <w:rPr>
                <w:rFonts w:hint="eastAsia" w:ascii="宋体" w:hAnsi="宋体" w:cs="宋体"/>
                <w:color w:val="000000"/>
                <w:kern w:val="0"/>
                <w:sz w:val="22"/>
                <w:szCs w:val="22"/>
                <w:highlight w:val="none"/>
              </w:rPr>
              <w:t>合计</w:t>
            </w:r>
          </w:p>
        </w:tc>
        <w:tc>
          <w:tcPr>
            <w:tcW w:w="185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r>
              <w:rPr>
                <w:rFonts w:ascii="宋体" w:hAnsi="宋体" w:cs="宋体"/>
                <w:color w:val="000000"/>
                <w:kern w:val="0"/>
                <w:sz w:val="24"/>
                <w:highlight w:val="none"/>
              </w:rPr>
              <w:t>14</w:t>
            </w:r>
            <w:r>
              <w:rPr>
                <w:rFonts w:hint="eastAsia" w:ascii="宋体" w:hAnsi="宋体" w:cs="宋体"/>
                <w:color w:val="000000"/>
                <w:kern w:val="0"/>
                <w:sz w:val="24"/>
                <w:highlight w:val="none"/>
              </w:rPr>
              <w:t>46</w:t>
            </w:r>
            <w:r>
              <w:rPr>
                <w:rFonts w:ascii="宋体" w:hAnsi="宋体" w:cs="宋体"/>
                <w:color w:val="000000"/>
                <w:kern w:val="0"/>
                <w:sz w:val="24"/>
                <w:highlight w:val="none"/>
              </w:rPr>
              <w:t>.66</w:t>
            </w:r>
          </w:p>
        </w:tc>
        <w:tc>
          <w:tcPr>
            <w:tcW w:w="185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r>
              <w:rPr>
                <w:rFonts w:ascii="宋体" w:hAnsi="宋体" w:cs="宋体"/>
                <w:color w:val="000000"/>
                <w:kern w:val="0"/>
                <w:sz w:val="24"/>
                <w:highlight w:val="none"/>
              </w:rPr>
              <w:t>1431.66</w:t>
            </w:r>
          </w:p>
        </w:tc>
        <w:tc>
          <w:tcPr>
            <w:tcW w:w="171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r>
              <w:rPr>
                <w:rFonts w:ascii="宋体" w:hAnsi="宋体" w:cs="宋体"/>
                <w:color w:val="000000"/>
                <w:kern w:val="0"/>
                <w:sz w:val="24"/>
                <w:highlight w:val="none"/>
              </w:rPr>
              <w:t>15</w:t>
            </w:r>
          </w:p>
        </w:tc>
      </w:tr>
    </w:tbl>
    <w:p>
      <w:pPr>
        <w:widowControl/>
        <w:spacing w:beforeLines="50"/>
        <w:outlineLvl w:val="1"/>
        <w:rPr>
          <w:rFonts w:ascii="仿宋_GB2312" w:hAnsi="宋体" w:eastAsia="仿宋_GB2312"/>
          <w:b/>
          <w:kern w:val="0"/>
          <w:sz w:val="28"/>
          <w:szCs w:val="32"/>
          <w:highlight w:val="none"/>
        </w:rPr>
      </w:pPr>
    </w:p>
    <w:p>
      <w:pPr>
        <w:widowControl/>
        <w:spacing w:beforeLines="50"/>
        <w:outlineLvl w:val="1"/>
        <w:rPr>
          <w:rFonts w:ascii="仿宋_GB2312" w:hAnsi="宋体" w:eastAsia="仿宋_GB2312"/>
          <w:b/>
          <w:kern w:val="0"/>
          <w:sz w:val="32"/>
          <w:szCs w:val="32"/>
          <w:highlight w:val="none"/>
        </w:rPr>
      </w:pPr>
    </w:p>
    <w:p>
      <w:pPr>
        <w:widowControl/>
        <w:spacing w:beforeLines="50"/>
        <w:outlineLvl w:val="1"/>
        <w:rPr>
          <w:rFonts w:ascii="仿宋_GB2312" w:hAnsi="宋体" w:eastAsia="仿宋_GB2312"/>
          <w:b/>
          <w:kern w:val="0"/>
          <w:sz w:val="32"/>
          <w:szCs w:val="32"/>
          <w:highlight w:val="none"/>
        </w:rPr>
      </w:pPr>
    </w:p>
    <w:p>
      <w:pPr>
        <w:widowControl/>
        <w:spacing w:beforeLines="50"/>
        <w:outlineLvl w:val="1"/>
        <w:rPr>
          <w:rFonts w:ascii="仿宋_GB2312" w:hAnsi="宋体" w:eastAsia="仿宋_GB2312"/>
          <w:b/>
          <w:kern w:val="0"/>
          <w:sz w:val="32"/>
          <w:szCs w:val="32"/>
          <w:highlight w:val="none"/>
        </w:rPr>
      </w:pPr>
    </w:p>
    <w:p>
      <w:pPr>
        <w:widowControl/>
        <w:spacing w:beforeLines="5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表四：</w:t>
      </w:r>
    </w:p>
    <w:p>
      <w:pPr>
        <w:widowControl/>
        <w:spacing w:beforeLines="50"/>
        <w:outlineLvl w:val="1"/>
        <w:rPr>
          <w:rFonts w:ascii="仿宋_GB2312" w:hAnsi="宋体" w:eastAsia="仿宋_GB2312"/>
          <w:b/>
          <w:kern w:val="0"/>
          <w:sz w:val="32"/>
          <w:szCs w:val="32"/>
          <w:highlight w:val="none"/>
        </w:rPr>
      </w:pPr>
    </w:p>
    <w:p>
      <w:pPr>
        <w:widowControl/>
        <w:spacing w:beforeLines="50"/>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pPr>
        <w:widowControl/>
        <w:spacing w:beforeLines="50"/>
        <w:outlineLvl w:val="1"/>
        <w:rPr>
          <w:rFonts w:ascii="仿宋_GB2312" w:hAnsi="宋体" w:eastAsia="仿宋_GB2312"/>
          <w:kern w:val="0"/>
          <w:sz w:val="28"/>
          <w:szCs w:val="28"/>
          <w:highlight w:val="none"/>
        </w:rPr>
      </w:pPr>
      <w:r>
        <w:rPr>
          <w:rFonts w:hint="eastAsia" w:ascii="仿宋_GB2312" w:hAnsi="宋体" w:eastAsia="仿宋_GB2312"/>
          <w:kern w:val="0"/>
          <w:sz w:val="28"/>
          <w:szCs w:val="28"/>
          <w:highlight w:val="none"/>
        </w:rPr>
        <w:t>编制部门：</w:t>
      </w:r>
      <w:r>
        <w:rPr>
          <w:rFonts w:hint="eastAsia" w:ascii="仿宋_GB2312" w:hAnsi="宋体" w:eastAsia="仿宋_GB2312"/>
          <w:kern w:val="0"/>
          <w:sz w:val="24"/>
          <w:highlight w:val="none"/>
        </w:rPr>
        <w:t>昌吉州疾病预防控制中心</w:t>
      </w:r>
      <w:r>
        <w:rPr>
          <w:rFonts w:ascii="仿宋_GB2312" w:hAnsi="宋体" w:eastAsia="仿宋_GB2312"/>
          <w:kern w:val="0"/>
          <w:sz w:val="28"/>
          <w:szCs w:val="28"/>
          <w:highlight w:val="none"/>
        </w:rPr>
        <w:t xml:space="preserve">                    </w:t>
      </w:r>
      <w:r>
        <w:rPr>
          <w:rFonts w:hint="eastAsia" w:ascii="仿宋_GB2312" w:hAnsi="宋体" w:eastAsia="仿宋_GB2312"/>
          <w:kern w:val="0"/>
          <w:sz w:val="28"/>
          <w:szCs w:val="28"/>
          <w:highlight w:val="none"/>
        </w:rPr>
        <w:t>单位：万元</w:t>
      </w:r>
    </w:p>
    <w:tbl>
      <w:tblPr>
        <w:tblStyle w:val="4"/>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w:t>
            </w:r>
            <w:r>
              <w:rPr>
                <w:rFonts w:ascii="仿宋_GB2312" w:hAnsi="宋体" w:eastAsia="仿宋_GB2312" w:cs="宋体"/>
                <w:b/>
                <w:kern w:val="0"/>
                <w:sz w:val="20"/>
                <w:szCs w:val="20"/>
                <w:highlight w:val="none"/>
              </w:rPr>
              <w:t xml:space="preserve">    </w:t>
            </w:r>
            <w:r>
              <w:rPr>
                <w:rFonts w:hint="eastAsia" w:ascii="仿宋_GB2312" w:hAnsi="宋体" w:eastAsia="仿宋_GB2312" w:cs="宋体"/>
                <w:b/>
                <w:kern w:val="0"/>
                <w:sz w:val="20"/>
                <w:szCs w:val="20"/>
                <w:highlight w:val="none"/>
              </w:rPr>
              <w:t>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w:t>
            </w:r>
            <w:r>
              <w:rPr>
                <w:rFonts w:ascii="仿宋_GB2312" w:hAnsi="宋体" w:eastAsia="仿宋_GB2312" w:cs="宋体"/>
                <w:b/>
                <w:kern w:val="0"/>
                <w:sz w:val="20"/>
                <w:szCs w:val="20"/>
                <w:highlight w:val="none"/>
              </w:rPr>
              <w:t xml:space="preserve">  </w:t>
            </w:r>
            <w:r>
              <w:rPr>
                <w:rFonts w:hint="eastAsia" w:ascii="仿宋_GB2312" w:hAnsi="宋体" w:eastAsia="仿宋_GB2312" w:cs="宋体"/>
                <w:b/>
                <w:kern w:val="0"/>
                <w:sz w:val="20"/>
                <w:szCs w:val="20"/>
                <w:highlight w:val="none"/>
              </w:rPr>
              <w:t>能</w:t>
            </w:r>
            <w:r>
              <w:rPr>
                <w:rFonts w:ascii="仿宋_GB2312" w:hAnsi="宋体" w:eastAsia="仿宋_GB2312" w:cs="宋体"/>
                <w:b/>
                <w:kern w:val="0"/>
                <w:sz w:val="20"/>
                <w:szCs w:val="20"/>
                <w:highlight w:val="none"/>
              </w:rPr>
              <w:t xml:space="preserve">  </w:t>
            </w:r>
            <w:r>
              <w:rPr>
                <w:rFonts w:hint="eastAsia" w:ascii="仿宋_GB2312" w:hAnsi="宋体" w:eastAsia="仿宋_GB2312" w:cs="宋体"/>
                <w:b/>
                <w:kern w:val="0"/>
                <w:sz w:val="20"/>
                <w:szCs w:val="20"/>
                <w:highlight w:val="none"/>
              </w:rPr>
              <w:t>分</w:t>
            </w:r>
            <w:r>
              <w:rPr>
                <w:rFonts w:ascii="仿宋_GB2312" w:hAnsi="宋体" w:eastAsia="仿宋_GB2312" w:cs="宋体"/>
                <w:b/>
                <w:kern w:val="0"/>
                <w:sz w:val="20"/>
                <w:szCs w:val="20"/>
                <w:highlight w:val="none"/>
              </w:rPr>
              <w:t xml:space="preserve">  </w:t>
            </w:r>
            <w:r>
              <w:rPr>
                <w:rFonts w:hint="eastAsia" w:ascii="仿宋_GB2312" w:hAnsi="宋体" w:eastAsia="仿宋_GB2312" w:cs="宋体"/>
                <w:b/>
                <w:kern w:val="0"/>
                <w:sz w:val="20"/>
                <w:szCs w:val="20"/>
                <w:highlight w:val="none"/>
              </w:rPr>
              <w:t>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1446.66</w:t>
            </w: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201 </w:t>
            </w:r>
            <w:r>
              <w:rPr>
                <w:rFonts w:hint="eastAsia" w:ascii="仿宋_GB2312" w:hAnsi="宋体" w:eastAsia="仿宋_GB2312" w:cs="宋体"/>
                <w:kern w:val="0"/>
                <w:sz w:val="18"/>
                <w:szCs w:val="18"/>
                <w:highlight w:val="none"/>
              </w:rPr>
              <w:t>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highlight w:val="none"/>
              </w:rPr>
            </w:pPr>
            <w:r>
              <w:rPr>
                <w:rFonts w:ascii="仿宋_GB2312" w:hAnsi="宋体" w:eastAsia="仿宋_GB2312" w:cs="宋体"/>
                <w:color w:val="000000"/>
                <w:kern w:val="0"/>
                <w:sz w:val="18"/>
                <w:szCs w:val="18"/>
                <w:highlight w:val="none"/>
              </w:rPr>
              <w:t xml:space="preserve"> </w:t>
            </w:r>
            <w:r>
              <w:rPr>
                <w:rFonts w:hint="eastAsia" w:ascii="仿宋_GB2312" w:hAnsi="宋体" w:eastAsia="仿宋_GB2312" w:cs="宋体"/>
                <w:color w:val="000000"/>
                <w:kern w:val="0"/>
                <w:sz w:val="18"/>
                <w:szCs w:val="18"/>
                <w:highlight w:val="none"/>
              </w:rPr>
              <w:t>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1446.66</w:t>
            </w: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202 </w:t>
            </w:r>
            <w:r>
              <w:rPr>
                <w:rFonts w:hint="eastAsia" w:ascii="仿宋_GB2312" w:hAnsi="宋体" w:eastAsia="仿宋_GB2312" w:cs="宋体"/>
                <w:kern w:val="0"/>
                <w:sz w:val="18"/>
                <w:szCs w:val="18"/>
                <w:highlight w:val="none"/>
              </w:rPr>
              <w:t>外交支出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highlight w:val="none"/>
              </w:rPr>
            </w:pPr>
            <w:r>
              <w:rPr>
                <w:rFonts w:ascii="仿宋_GB2312" w:hAnsi="宋体" w:eastAsia="仿宋_GB2312" w:cs="宋体"/>
                <w:color w:val="000000"/>
                <w:kern w:val="0"/>
                <w:sz w:val="18"/>
                <w:szCs w:val="18"/>
                <w:highlight w:val="none"/>
              </w:rPr>
              <w:t xml:space="preserve"> </w:t>
            </w:r>
            <w:r>
              <w:rPr>
                <w:rFonts w:hint="eastAsia" w:ascii="仿宋_GB2312" w:hAnsi="宋体" w:eastAsia="仿宋_GB2312" w:cs="宋体"/>
                <w:color w:val="000000"/>
                <w:kern w:val="0"/>
                <w:sz w:val="18"/>
                <w:szCs w:val="18"/>
                <w:highlight w:val="none"/>
              </w:rPr>
              <w:t>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203 </w:t>
            </w:r>
            <w:r>
              <w:rPr>
                <w:rFonts w:hint="eastAsia" w:ascii="仿宋_GB2312" w:hAnsi="宋体" w:eastAsia="仿宋_GB2312" w:cs="宋体"/>
                <w:kern w:val="0"/>
                <w:sz w:val="18"/>
                <w:szCs w:val="18"/>
                <w:highlight w:val="none"/>
              </w:rPr>
              <w:t>国防支出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204 </w:t>
            </w:r>
            <w:r>
              <w:rPr>
                <w:rFonts w:hint="eastAsia" w:ascii="仿宋_GB2312" w:hAnsi="宋体" w:eastAsia="仿宋_GB2312" w:cs="宋体"/>
                <w:kern w:val="0"/>
                <w:sz w:val="18"/>
                <w:szCs w:val="18"/>
                <w:highlight w:val="none"/>
              </w:rPr>
              <w:t>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205 </w:t>
            </w:r>
            <w:r>
              <w:rPr>
                <w:rFonts w:hint="eastAsia" w:ascii="仿宋_GB2312" w:hAnsi="宋体" w:eastAsia="仿宋_GB2312" w:cs="宋体"/>
                <w:kern w:val="0"/>
                <w:sz w:val="18"/>
                <w:szCs w:val="18"/>
                <w:highlight w:val="none"/>
              </w:rPr>
              <w:t>教育支出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206 </w:t>
            </w:r>
            <w:r>
              <w:rPr>
                <w:rFonts w:hint="eastAsia" w:ascii="仿宋_GB2312" w:hAnsi="宋体" w:eastAsia="仿宋_GB2312" w:cs="宋体"/>
                <w:kern w:val="0"/>
                <w:sz w:val="18"/>
                <w:szCs w:val="18"/>
                <w:highlight w:val="none"/>
              </w:rPr>
              <w:t>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207 </w:t>
            </w:r>
            <w:r>
              <w:rPr>
                <w:rFonts w:hint="eastAsia" w:ascii="仿宋_GB2312" w:hAnsi="宋体" w:eastAsia="仿宋_GB2312" w:cs="宋体"/>
                <w:kern w:val="0"/>
                <w:sz w:val="18"/>
                <w:szCs w:val="18"/>
                <w:highlight w:val="none"/>
              </w:rPr>
              <w:t>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208 </w:t>
            </w:r>
            <w:r>
              <w:rPr>
                <w:rFonts w:hint="eastAsia" w:ascii="仿宋_GB2312" w:hAnsi="宋体" w:eastAsia="仿宋_GB2312" w:cs="宋体"/>
                <w:kern w:val="0"/>
                <w:sz w:val="18"/>
                <w:szCs w:val="18"/>
                <w:highlight w:val="none"/>
              </w:rPr>
              <w:t>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209 </w:t>
            </w:r>
            <w:r>
              <w:rPr>
                <w:rFonts w:hint="eastAsia" w:ascii="仿宋_GB2312" w:hAnsi="宋体" w:eastAsia="仿宋_GB2312" w:cs="宋体"/>
                <w:kern w:val="0"/>
                <w:sz w:val="18"/>
                <w:szCs w:val="18"/>
                <w:highlight w:val="none"/>
              </w:rPr>
              <w:t>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highlight w:val="none"/>
              </w:rPr>
            </w:pPr>
            <w:r>
              <w:rPr>
                <w:rFonts w:ascii="仿宋_GB2312" w:hAnsi="宋体" w:eastAsia="仿宋_GB2312" w:cs="宋体"/>
                <w:kern w:val="0"/>
                <w:sz w:val="15"/>
                <w:szCs w:val="15"/>
                <w:highlight w:val="none"/>
              </w:rPr>
              <w:t xml:space="preserve">210 </w:t>
            </w:r>
            <w:r>
              <w:rPr>
                <w:rFonts w:hint="eastAsia" w:ascii="仿宋_GB2312" w:hAnsi="宋体" w:eastAsia="仿宋_GB2312" w:cs="宋体"/>
                <w:kern w:val="0"/>
                <w:sz w:val="15"/>
                <w:szCs w:val="15"/>
                <w:highlight w:val="none"/>
              </w:rPr>
              <w:t>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ascii="宋体" w:hAnsi="宋体" w:cs="宋体"/>
                <w:kern w:val="0"/>
                <w:sz w:val="18"/>
                <w:szCs w:val="18"/>
                <w:highlight w:val="none"/>
              </w:rPr>
              <w:t>1446.66</w:t>
            </w: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ascii="宋体" w:hAnsi="宋体" w:cs="宋体"/>
                <w:kern w:val="0"/>
                <w:sz w:val="18"/>
                <w:szCs w:val="18"/>
                <w:highlight w:val="none"/>
              </w:rPr>
              <w:t>1446.66</w:t>
            </w: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211 </w:t>
            </w:r>
            <w:r>
              <w:rPr>
                <w:rFonts w:hint="eastAsia" w:ascii="仿宋_GB2312" w:hAnsi="宋体" w:eastAsia="仿宋_GB2312" w:cs="宋体"/>
                <w:kern w:val="0"/>
                <w:sz w:val="18"/>
                <w:szCs w:val="18"/>
                <w:highlight w:val="none"/>
              </w:rPr>
              <w:t>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212 </w:t>
            </w:r>
            <w:r>
              <w:rPr>
                <w:rFonts w:hint="eastAsia" w:ascii="仿宋_GB2312" w:hAnsi="宋体" w:eastAsia="仿宋_GB2312" w:cs="宋体"/>
                <w:kern w:val="0"/>
                <w:sz w:val="18"/>
                <w:szCs w:val="18"/>
                <w:highlight w:val="none"/>
              </w:rPr>
              <w:t>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213 </w:t>
            </w:r>
            <w:r>
              <w:rPr>
                <w:rFonts w:hint="eastAsia" w:ascii="仿宋_GB2312" w:hAnsi="宋体" w:eastAsia="仿宋_GB2312" w:cs="宋体"/>
                <w:kern w:val="0"/>
                <w:sz w:val="18"/>
                <w:szCs w:val="18"/>
                <w:highlight w:val="none"/>
              </w:rPr>
              <w:t>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214 </w:t>
            </w:r>
            <w:r>
              <w:rPr>
                <w:rFonts w:hint="eastAsia" w:ascii="仿宋_GB2312" w:hAnsi="宋体" w:eastAsia="仿宋_GB2312" w:cs="宋体"/>
                <w:kern w:val="0"/>
                <w:sz w:val="18"/>
                <w:szCs w:val="18"/>
                <w:highlight w:val="none"/>
              </w:rPr>
              <w:t>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215 </w:t>
            </w:r>
            <w:r>
              <w:rPr>
                <w:rFonts w:hint="eastAsia" w:ascii="仿宋_GB2312" w:hAnsi="宋体" w:eastAsia="仿宋_GB2312" w:cs="宋体"/>
                <w:kern w:val="0"/>
                <w:sz w:val="18"/>
                <w:szCs w:val="18"/>
                <w:highlight w:val="none"/>
              </w:rPr>
              <w:t>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216 </w:t>
            </w:r>
            <w:r>
              <w:rPr>
                <w:rFonts w:hint="eastAsia" w:ascii="仿宋_GB2312" w:hAnsi="宋体" w:eastAsia="仿宋_GB2312" w:cs="宋体"/>
                <w:kern w:val="0"/>
                <w:sz w:val="18"/>
                <w:szCs w:val="18"/>
                <w:highlight w:val="none"/>
              </w:rPr>
              <w:t>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217 </w:t>
            </w:r>
            <w:r>
              <w:rPr>
                <w:rFonts w:hint="eastAsia" w:ascii="仿宋_GB2312" w:hAnsi="宋体" w:eastAsia="仿宋_GB2312" w:cs="宋体"/>
                <w:kern w:val="0"/>
                <w:sz w:val="18"/>
                <w:szCs w:val="18"/>
                <w:highlight w:val="none"/>
              </w:rPr>
              <w:t>金融支出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219 </w:t>
            </w:r>
            <w:r>
              <w:rPr>
                <w:rFonts w:hint="eastAsia" w:ascii="仿宋_GB2312" w:hAnsi="宋体" w:eastAsia="仿宋_GB2312" w:cs="宋体"/>
                <w:kern w:val="0"/>
                <w:sz w:val="18"/>
                <w:szCs w:val="18"/>
                <w:highlight w:val="none"/>
              </w:rPr>
              <w:t>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220 </w:t>
            </w:r>
            <w:r>
              <w:rPr>
                <w:rFonts w:hint="eastAsia" w:ascii="仿宋_GB2312" w:hAnsi="宋体" w:eastAsia="仿宋_GB2312" w:cs="宋体"/>
                <w:kern w:val="0"/>
                <w:sz w:val="18"/>
                <w:szCs w:val="18"/>
                <w:highlight w:val="none"/>
              </w:rPr>
              <w:t>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221 </w:t>
            </w:r>
            <w:r>
              <w:rPr>
                <w:rFonts w:hint="eastAsia" w:ascii="仿宋_GB2312" w:hAnsi="宋体" w:eastAsia="仿宋_GB2312" w:cs="宋体"/>
                <w:kern w:val="0"/>
                <w:sz w:val="18"/>
                <w:szCs w:val="18"/>
                <w:highlight w:val="none"/>
              </w:rPr>
              <w:t>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222 </w:t>
            </w:r>
            <w:r>
              <w:rPr>
                <w:rFonts w:hint="eastAsia" w:ascii="仿宋_GB2312" w:hAnsi="宋体" w:eastAsia="仿宋_GB2312" w:cs="宋体"/>
                <w:kern w:val="0"/>
                <w:sz w:val="18"/>
                <w:szCs w:val="18"/>
                <w:highlight w:val="none"/>
              </w:rPr>
              <w:t>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highlight w:val="none"/>
              </w:rPr>
            </w:pPr>
            <w:r>
              <w:rPr>
                <w:rFonts w:ascii="仿宋_GB2312" w:hAnsi="宋体" w:eastAsia="仿宋_GB2312" w:cs="宋体"/>
                <w:kern w:val="0"/>
                <w:sz w:val="15"/>
                <w:szCs w:val="15"/>
                <w:highlight w:val="none"/>
              </w:rPr>
              <w:t>2</w:t>
            </w:r>
            <w:r>
              <w:rPr>
                <w:rFonts w:ascii="仿宋_GB2312" w:hAnsi="宋体" w:eastAsia="仿宋_GB2312" w:cs="宋体"/>
                <w:color w:val="000000"/>
                <w:kern w:val="0"/>
                <w:sz w:val="15"/>
                <w:szCs w:val="15"/>
                <w:highlight w:val="none"/>
              </w:rPr>
              <w:t xml:space="preserve">23 </w:t>
            </w:r>
            <w:r>
              <w:rPr>
                <w:rFonts w:hint="eastAsia" w:ascii="仿宋_GB2312" w:hAnsi="宋体" w:eastAsia="仿宋_GB2312" w:cs="宋体"/>
                <w:color w:val="000000"/>
                <w:kern w:val="0"/>
                <w:sz w:val="15"/>
                <w:szCs w:val="15"/>
                <w:highlight w:val="none"/>
              </w:rPr>
              <w:t>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227 </w:t>
            </w:r>
            <w:r>
              <w:rPr>
                <w:rFonts w:hint="eastAsia" w:ascii="仿宋_GB2312" w:hAnsi="宋体" w:eastAsia="仿宋_GB2312" w:cs="宋体"/>
                <w:kern w:val="0"/>
                <w:sz w:val="18"/>
                <w:szCs w:val="18"/>
                <w:highlight w:val="none"/>
              </w:rPr>
              <w:t>预备费</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229 </w:t>
            </w:r>
            <w:r>
              <w:rPr>
                <w:rFonts w:hint="eastAsia" w:ascii="仿宋_GB2312" w:hAnsi="宋体" w:eastAsia="仿宋_GB2312" w:cs="宋体"/>
                <w:kern w:val="0"/>
                <w:sz w:val="18"/>
                <w:szCs w:val="18"/>
                <w:highlight w:val="none"/>
              </w:rPr>
              <w:t>其他支出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2</w:t>
            </w:r>
            <w:r>
              <w:rPr>
                <w:rFonts w:ascii="仿宋_GB2312" w:hAnsi="宋体" w:eastAsia="仿宋_GB2312" w:cs="宋体"/>
                <w:color w:val="000000"/>
                <w:kern w:val="0"/>
                <w:sz w:val="18"/>
                <w:szCs w:val="18"/>
                <w:highlight w:val="none"/>
              </w:rPr>
              <w:t xml:space="preserve">31 </w:t>
            </w:r>
            <w:r>
              <w:rPr>
                <w:rFonts w:hint="eastAsia" w:ascii="仿宋_GB2312" w:hAnsi="宋体" w:eastAsia="仿宋_GB2312" w:cs="宋体"/>
                <w:color w:val="000000"/>
                <w:kern w:val="0"/>
                <w:sz w:val="18"/>
                <w:szCs w:val="18"/>
                <w:highlight w:val="none"/>
              </w:rPr>
              <w:t>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2</w:t>
            </w:r>
            <w:r>
              <w:rPr>
                <w:rFonts w:ascii="仿宋_GB2312" w:hAnsi="宋体" w:eastAsia="仿宋_GB2312" w:cs="宋体"/>
                <w:color w:val="000000"/>
                <w:kern w:val="0"/>
                <w:sz w:val="18"/>
                <w:szCs w:val="18"/>
                <w:highlight w:val="none"/>
              </w:rPr>
              <w:t xml:space="preserve">32 </w:t>
            </w:r>
            <w:r>
              <w:rPr>
                <w:rFonts w:hint="eastAsia" w:ascii="仿宋_GB2312" w:hAnsi="宋体" w:eastAsia="仿宋_GB2312" w:cs="宋体"/>
                <w:color w:val="000000"/>
                <w:kern w:val="0"/>
                <w:sz w:val="18"/>
                <w:szCs w:val="18"/>
                <w:highlight w:val="none"/>
              </w:rPr>
              <w:t>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233</w:t>
            </w:r>
            <w:r>
              <w:rPr>
                <w:rFonts w:ascii="仿宋_GB2312" w:hAnsi="宋体" w:eastAsia="仿宋_GB2312" w:cs="宋体"/>
                <w:color w:val="000000"/>
                <w:kern w:val="0"/>
                <w:sz w:val="18"/>
                <w:szCs w:val="18"/>
                <w:highlight w:val="none"/>
              </w:rPr>
              <w:t xml:space="preserve"> </w:t>
            </w:r>
            <w:r>
              <w:rPr>
                <w:rFonts w:hint="eastAsia" w:ascii="仿宋_GB2312" w:hAnsi="宋体" w:eastAsia="仿宋_GB2312" w:cs="宋体"/>
                <w:color w:val="000000"/>
                <w:kern w:val="0"/>
                <w:sz w:val="18"/>
                <w:szCs w:val="18"/>
                <w:highlight w:val="none"/>
              </w:rPr>
              <w:t>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kern w:val="0"/>
                <w:sz w:val="20"/>
                <w:szCs w:val="20"/>
                <w:highlight w:val="none"/>
              </w:rPr>
              <w:t>小</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23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小</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color w:val="000000"/>
                <w:kern w:val="0"/>
                <w:sz w:val="22"/>
                <w:szCs w:val="22"/>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color w:val="000000"/>
                <w:kern w:val="0"/>
                <w:sz w:val="22"/>
                <w:szCs w:val="22"/>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highlight w:val="none"/>
              </w:rPr>
            </w:pPr>
            <w:r>
              <w:rPr>
                <w:rFonts w:ascii="仿宋_GB2312" w:hAnsi="宋体" w:eastAsia="仿宋_GB2312" w:cs="宋体"/>
                <w:kern w:val="0"/>
                <w:sz w:val="20"/>
                <w:szCs w:val="20"/>
                <w:highlight w:val="none"/>
              </w:rPr>
              <w:t xml:space="preserve">230 </w:t>
            </w:r>
            <w:r>
              <w:rPr>
                <w:rFonts w:hint="eastAsia" w:ascii="仿宋_GB2312" w:hAnsi="宋体" w:eastAsia="仿宋_GB2312" w:cs="宋体"/>
                <w:kern w:val="0"/>
                <w:sz w:val="20"/>
                <w:szCs w:val="20"/>
                <w:highlight w:val="none"/>
              </w:rPr>
              <w:t>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收</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入</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总</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1446.66</w:t>
            </w: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出</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总</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ascii="宋体" w:hAnsi="宋体" w:cs="宋体"/>
                <w:color w:val="000000"/>
                <w:kern w:val="0"/>
                <w:sz w:val="22"/>
                <w:szCs w:val="22"/>
                <w:highlight w:val="none"/>
              </w:rPr>
              <w:t>1446.66</w:t>
            </w:r>
            <w:r>
              <w:rPr>
                <w:rFonts w:hint="eastAsia" w:ascii="宋体" w:hAnsi="宋体" w:cs="宋体"/>
                <w:color w:val="000000"/>
                <w:kern w:val="0"/>
                <w:sz w:val="22"/>
                <w:szCs w:val="22"/>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ascii="宋体" w:hAnsi="宋体" w:cs="宋体"/>
                <w:color w:val="000000"/>
                <w:kern w:val="0"/>
                <w:sz w:val="22"/>
                <w:szCs w:val="22"/>
                <w:highlight w:val="none"/>
              </w:rPr>
              <w:t>1446.66</w:t>
            </w:r>
            <w:r>
              <w:rPr>
                <w:rFonts w:hint="eastAsia" w:ascii="宋体" w:hAnsi="宋体" w:cs="宋体"/>
                <w:color w:val="000000"/>
                <w:kern w:val="0"/>
                <w:sz w:val="22"/>
                <w:szCs w:val="22"/>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bl>
    <w:p>
      <w:pPr>
        <w:widowControl/>
        <w:jc w:val="left"/>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表五：</w:t>
      </w:r>
    </w:p>
    <w:tbl>
      <w:tblPr>
        <w:tblStyle w:val="4"/>
        <w:tblW w:w="9087" w:type="dxa"/>
        <w:tblInd w:w="93" w:type="dxa"/>
        <w:tblLayout w:type="fixed"/>
        <w:tblCellMar>
          <w:top w:w="0" w:type="dxa"/>
          <w:left w:w="108" w:type="dxa"/>
          <w:bottom w:w="0" w:type="dxa"/>
          <w:right w:w="108" w:type="dxa"/>
        </w:tblCellMar>
      </w:tblPr>
      <w:tblGrid>
        <w:gridCol w:w="441"/>
        <w:gridCol w:w="492"/>
        <w:gridCol w:w="477"/>
        <w:gridCol w:w="2745"/>
        <w:gridCol w:w="365"/>
        <w:gridCol w:w="1024"/>
        <w:gridCol w:w="216"/>
        <w:gridCol w:w="1626"/>
        <w:gridCol w:w="1701"/>
      </w:tblGrid>
      <w:tr>
        <w:tblPrEx>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一般公共预算支出情况表</w:t>
            </w:r>
          </w:p>
        </w:tc>
      </w:tr>
      <w:tr>
        <w:tblPrEx>
          <w:tblCellMar>
            <w:top w:w="0" w:type="dxa"/>
            <w:left w:w="108" w:type="dxa"/>
            <w:bottom w:w="0" w:type="dxa"/>
            <w:right w:w="108" w:type="dxa"/>
          </w:tblCellMar>
        </w:tblPrEx>
        <w:trPr>
          <w:trHeight w:val="285" w:hRule="atLeast"/>
        </w:trPr>
        <w:tc>
          <w:tcPr>
            <w:tcW w:w="4155"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w:t>
            </w:r>
            <w:r>
              <w:rPr>
                <w:rFonts w:hint="eastAsia" w:ascii="仿宋_GB2312" w:hAnsi="宋体" w:eastAsia="仿宋_GB2312"/>
                <w:kern w:val="0"/>
                <w:sz w:val="24"/>
                <w:highlight w:val="none"/>
              </w:rPr>
              <w:t>昌吉州疾病预防控制中心</w:t>
            </w:r>
          </w:p>
        </w:tc>
        <w:tc>
          <w:tcPr>
            <w:tcW w:w="365" w:type="dxa"/>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ascii="仿宋_GB2312" w:hAnsi="宋体" w:eastAsia="仿宋_GB2312" w:cs="宋体"/>
                <w:color w:val="000000"/>
                <w:kern w:val="0"/>
                <w:sz w:val="24"/>
                <w:highlight w:val="none"/>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trHeight w:val="405" w:hRule="atLeast"/>
        </w:trPr>
        <w:tc>
          <w:tcPr>
            <w:tcW w:w="4155"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项目</w:t>
            </w:r>
          </w:p>
        </w:tc>
        <w:tc>
          <w:tcPr>
            <w:tcW w:w="4932"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一般公共预算支出</w:t>
            </w:r>
          </w:p>
        </w:tc>
      </w:tr>
      <w:tr>
        <w:tblPrEx>
          <w:tblCellMar>
            <w:top w:w="0" w:type="dxa"/>
            <w:left w:w="108" w:type="dxa"/>
            <w:bottom w:w="0" w:type="dxa"/>
            <w:right w:w="108" w:type="dxa"/>
          </w:tblCellMar>
        </w:tblPrEx>
        <w:trPr>
          <w:trHeight w:val="465" w:hRule="atLeast"/>
        </w:trPr>
        <w:tc>
          <w:tcPr>
            <w:tcW w:w="141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功能分类科目编码</w:t>
            </w:r>
          </w:p>
        </w:tc>
        <w:tc>
          <w:tcPr>
            <w:tcW w:w="274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功能分类科目名称</w:t>
            </w:r>
          </w:p>
        </w:tc>
        <w:tc>
          <w:tcPr>
            <w:tcW w:w="138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项目支出</w:t>
            </w:r>
          </w:p>
        </w:tc>
      </w:tr>
      <w:tr>
        <w:tblPrEx>
          <w:tblCellMar>
            <w:top w:w="0" w:type="dxa"/>
            <w:left w:w="108" w:type="dxa"/>
            <w:bottom w:w="0" w:type="dxa"/>
            <w:right w:w="108" w:type="dxa"/>
          </w:tblCellMar>
        </w:tblPrEx>
        <w:trPr>
          <w:trHeight w:val="30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4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w:t>
            </w:r>
          </w:p>
        </w:tc>
        <w:tc>
          <w:tcPr>
            <w:tcW w:w="274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38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ascii="仿宋_GB2312" w:hAnsi="宋体" w:eastAsia="仿宋_GB2312" w:cs="宋体"/>
                <w:b/>
                <w:color w:val="000000"/>
                <w:kern w:val="0"/>
                <w:sz w:val="20"/>
                <w:szCs w:val="20"/>
                <w:highlight w:val="none"/>
              </w:rPr>
              <w:t>210</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ascii="仿宋_GB2312" w:hAnsi="宋体" w:eastAsia="仿宋_GB2312" w:cs="宋体"/>
                <w:b/>
                <w:color w:val="000000"/>
                <w:kern w:val="0"/>
                <w:sz w:val="20"/>
                <w:szCs w:val="20"/>
                <w:highlight w:val="none"/>
              </w:rPr>
              <w:t>04</w:t>
            </w:r>
          </w:p>
        </w:tc>
        <w:tc>
          <w:tcPr>
            <w:tcW w:w="4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ascii="仿宋_GB2312" w:hAnsi="宋体" w:eastAsia="仿宋_GB2312" w:cs="宋体"/>
                <w:b/>
                <w:color w:val="000000"/>
                <w:kern w:val="0"/>
                <w:sz w:val="20"/>
                <w:szCs w:val="20"/>
                <w:highlight w:val="none"/>
              </w:rPr>
              <w:t>01</w:t>
            </w:r>
          </w:p>
        </w:tc>
        <w:tc>
          <w:tcPr>
            <w:tcW w:w="274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疾病预防控制机构</w:t>
            </w:r>
          </w:p>
        </w:tc>
        <w:tc>
          <w:tcPr>
            <w:tcW w:w="1389"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　</w:t>
            </w:r>
            <w:r>
              <w:rPr>
                <w:rFonts w:ascii="仿宋_GB2312" w:hAnsi="宋体" w:eastAsia="仿宋_GB2312" w:cs="宋体"/>
                <w:b/>
                <w:color w:val="000000"/>
                <w:kern w:val="0"/>
                <w:sz w:val="20"/>
                <w:szCs w:val="20"/>
                <w:highlight w:val="none"/>
              </w:rPr>
              <w:t>1446.66</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　</w:t>
            </w:r>
            <w:r>
              <w:rPr>
                <w:rFonts w:ascii="仿宋_GB2312" w:hAnsi="宋体" w:eastAsia="仿宋_GB2312" w:cs="宋体"/>
                <w:b/>
                <w:color w:val="000000"/>
                <w:kern w:val="0"/>
                <w:sz w:val="20"/>
                <w:szCs w:val="20"/>
                <w:highlight w:val="none"/>
              </w:rPr>
              <w:t>1431.66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ascii="仿宋_GB2312" w:hAnsi="宋体" w:eastAsia="仿宋_GB2312" w:cs="宋体"/>
                <w:b/>
                <w:color w:val="000000"/>
                <w:kern w:val="0"/>
                <w:sz w:val="20"/>
                <w:szCs w:val="20"/>
                <w:highlight w:val="none"/>
              </w:rPr>
              <w:t>15</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p>
        </w:tc>
        <w:tc>
          <w:tcPr>
            <w:tcW w:w="4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p>
        </w:tc>
        <w:tc>
          <w:tcPr>
            <w:tcW w:w="274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389"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p>
        </w:tc>
        <w:tc>
          <w:tcPr>
            <w:tcW w:w="4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p>
        </w:tc>
        <w:tc>
          <w:tcPr>
            <w:tcW w:w="274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389"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4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274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389"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4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274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389"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4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274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389"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74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389"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74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389"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74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389"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74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389"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74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389"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74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389"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74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389"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74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389"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74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389"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74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389"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74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389"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74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389"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74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389"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4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274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389"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4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2745"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合计</w:t>
            </w:r>
          </w:p>
        </w:tc>
        <w:tc>
          <w:tcPr>
            <w:tcW w:w="1389"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ascii="宋体" w:hAnsi="宋体" w:cs="宋体"/>
                <w:color w:val="000000"/>
                <w:kern w:val="0"/>
                <w:sz w:val="20"/>
                <w:szCs w:val="20"/>
                <w:highlight w:val="none"/>
              </w:rPr>
              <w:t>1446.66</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ascii="宋体" w:hAnsi="宋体" w:cs="宋体"/>
                <w:color w:val="000000"/>
                <w:kern w:val="0"/>
                <w:sz w:val="20"/>
                <w:szCs w:val="20"/>
                <w:highlight w:val="none"/>
              </w:rPr>
              <w:t>1431.66</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ascii="宋体" w:hAnsi="宋体" w:cs="宋体"/>
                <w:color w:val="000000"/>
                <w:kern w:val="0"/>
                <w:sz w:val="20"/>
                <w:szCs w:val="20"/>
                <w:highlight w:val="none"/>
              </w:rPr>
              <w:t>15</w:t>
            </w:r>
          </w:p>
        </w:tc>
      </w:tr>
    </w:tbl>
    <w:p>
      <w:pPr>
        <w:widowControl/>
        <w:jc w:val="left"/>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表六：</w:t>
      </w:r>
    </w:p>
    <w:tbl>
      <w:tblPr>
        <w:tblStyle w:val="4"/>
        <w:tblW w:w="9129" w:type="dxa"/>
        <w:tblInd w:w="93" w:type="dxa"/>
        <w:tblLayout w:type="fixed"/>
        <w:tblCellMar>
          <w:top w:w="0" w:type="dxa"/>
          <w:left w:w="108" w:type="dxa"/>
          <w:bottom w:w="0" w:type="dxa"/>
          <w:right w:w="108" w:type="dxa"/>
        </w:tblCellMar>
      </w:tblPr>
      <w:tblGrid>
        <w:gridCol w:w="600"/>
        <w:gridCol w:w="495"/>
        <w:gridCol w:w="3690"/>
        <w:gridCol w:w="236"/>
        <w:gridCol w:w="1174"/>
        <w:gridCol w:w="508"/>
        <w:gridCol w:w="1007"/>
        <w:gridCol w:w="1377"/>
        <w:gridCol w:w="42"/>
      </w:tblGrid>
      <w:tr>
        <w:tblPrEx>
          <w:tblCellMar>
            <w:top w:w="0" w:type="dxa"/>
            <w:left w:w="108" w:type="dxa"/>
            <w:bottom w:w="0" w:type="dxa"/>
            <w:right w:w="108" w:type="dxa"/>
          </w:tblCellMar>
        </w:tblPrEx>
        <w:trPr>
          <w:gridAfter w:val="1"/>
          <w:wAfter w:w="42" w:type="dxa"/>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一般公共预算基本支出情况表</w:t>
            </w:r>
          </w:p>
        </w:tc>
      </w:tr>
      <w:tr>
        <w:tblPrEx>
          <w:tblCellMar>
            <w:top w:w="0" w:type="dxa"/>
            <w:left w:w="108" w:type="dxa"/>
            <w:bottom w:w="0" w:type="dxa"/>
            <w:right w:w="108" w:type="dxa"/>
          </w:tblCellMar>
        </w:tblPrEx>
        <w:trPr>
          <w:trHeight w:val="405" w:hRule="atLeast"/>
        </w:trPr>
        <w:tc>
          <w:tcPr>
            <w:tcW w:w="478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w:t>
            </w:r>
            <w:r>
              <w:rPr>
                <w:rFonts w:hint="eastAsia" w:ascii="仿宋_GB2312" w:hAnsi="宋体" w:eastAsia="仿宋_GB2312"/>
                <w:kern w:val="0"/>
                <w:sz w:val="24"/>
                <w:highlight w:val="none"/>
              </w:rPr>
              <w:t>昌吉州疾病预防控制中心</w:t>
            </w:r>
          </w:p>
        </w:tc>
        <w:tc>
          <w:tcPr>
            <w:tcW w:w="236" w:type="dxa"/>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ascii="仿宋_GB2312" w:hAnsi="宋体" w:eastAsia="仿宋_GB2312" w:cs="宋体"/>
                <w:color w:val="000000"/>
                <w:kern w:val="0"/>
                <w:sz w:val="24"/>
                <w:highlight w:val="none"/>
              </w:rPr>
              <w:t xml:space="preserve">          </w:t>
            </w:r>
          </w:p>
        </w:tc>
        <w:tc>
          <w:tcPr>
            <w:tcW w:w="2426" w:type="dxa"/>
            <w:gridSpan w:val="3"/>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gridAfter w:val="1"/>
          <w:wAfter w:w="42" w:type="dxa"/>
          <w:trHeight w:val="390" w:hRule="atLeast"/>
        </w:trPr>
        <w:tc>
          <w:tcPr>
            <w:tcW w:w="478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项目</w:t>
            </w:r>
          </w:p>
        </w:tc>
        <w:tc>
          <w:tcPr>
            <w:tcW w:w="4302"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一般公共预算基本支出</w:t>
            </w:r>
          </w:p>
        </w:tc>
      </w:tr>
      <w:tr>
        <w:tblPrEx>
          <w:tblCellMar>
            <w:top w:w="0" w:type="dxa"/>
            <w:left w:w="108" w:type="dxa"/>
            <w:bottom w:w="0" w:type="dxa"/>
            <w:right w:w="108" w:type="dxa"/>
          </w:tblCellMar>
        </w:tblPrEx>
        <w:trPr>
          <w:gridAfter w:val="1"/>
          <w:wAfter w:w="42" w:type="dxa"/>
          <w:trHeight w:val="495" w:hRule="atLeast"/>
        </w:trPr>
        <w:tc>
          <w:tcPr>
            <w:tcW w:w="1095"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经济分类科目编码</w:t>
            </w:r>
          </w:p>
        </w:tc>
        <w:tc>
          <w:tcPr>
            <w:tcW w:w="369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经济分类科目名称</w:t>
            </w:r>
          </w:p>
        </w:tc>
        <w:tc>
          <w:tcPr>
            <w:tcW w:w="1410"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小计</w:t>
            </w:r>
          </w:p>
        </w:tc>
        <w:tc>
          <w:tcPr>
            <w:tcW w:w="1515"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人员经费</w:t>
            </w:r>
          </w:p>
        </w:tc>
        <w:tc>
          <w:tcPr>
            <w:tcW w:w="137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公用经费</w:t>
            </w:r>
          </w:p>
        </w:tc>
      </w:tr>
      <w:tr>
        <w:tblPrEx>
          <w:tblCellMar>
            <w:top w:w="0" w:type="dxa"/>
            <w:left w:w="108" w:type="dxa"/>
            <w:bottom w:w="0" w:type="dxa"/>
            <w:right w:w="108" w:type="dxa"/>
          </w:tblCellMar>
        </w:tblPrEx>
        <w:trPr>
          <w:gridAfter w:val="1"/>
          <w:wAfter w:w="42" w:type="dxa"/>
          <w:trHeight w:val="270" w:hRule="atLeast"/>
        </w:trPr>
        <w:tc>
          <w:tcPr>
            <w:tcW w:w="60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9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369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41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highlight w:val="none"/>
              </w:rPr>
            </w:pPr>
          </w:p>
        </w:tc>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highlight w:val="none"/>
              </w:rPr>
            </w:pPr>
          </w:p>
        </w:tc>
        <w:tc>
          <w:tcPr>
            <w:tcW w:w="137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highlight w:val="none"/>
              </w:rPr>
            </w:pP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Dialog" w:hAnsi="Dialog"/>
                <w:color w:val="000000"/>
                <w:sz w:val="24"/>
                <w:highlight w:val="none"/>
              </w:rPr>
            </w:pPr>
          </w:p>
        </w:tc>
        <w:tc>
          <w:tcPr>
            <w:tcW w:w="495" w:type="dxa"/>
            <w:tcBorders>
              <w:top w:val="nil"/>
              <w:left w:val="nil"/>
              <w:bottom w:val="single" w:color="auto" w:sz="4" w:space="0"/>
              <w:right w:val="single" w:color="auto" w:sz="4" w:space="0"/>
            </w:tcBorders>
          </w:tcPr>
          <w:p>
            <w:pPr>
              <w:jc w:val="left"/>
              <w:rPr>
                <w:rFonts w:ascii="Dialog" w:hAnsi="Dialog"/>
                <w:color w:val="000000"/>
                <w:sz w:val="24"/>
                <w:highlight w:val="none"/>
              </w:rPr>
            </w:pPr>
          </w:p>
        </w:tc>
        <w:tc>
          <w:tcPr>
            <w:tcW w:w="3690" w:type="dxa"/>
            <w:tcBorders>
              <w:top w:val="nil"/>
              <w:left w:val="nil"/>
              <w:bottom w:val="single" w:color="auto" w:sz="4" w:space="0"/>
              <w:right w:val="single" w:color="auto" w:sz="4" w:space="0"/>
            </w:tcBorders>
          </w:tcPr>
          <w:p>
            <w:pPr>
              <w:jc w:val="center"/>
              <w:rPr>
                <w:rFonts w:ascii="Dialog" w:hAnsi="Dialog"/>
                <w:color w:val="000000"/>
                <w:sz w:val="24"/>
                <w:highlight w:val="none"/>
              </w:rPr>
            </w:pPr>
            <w:r>
              <w:rPr>
                <w:rFonts w:hint="eastAsia" w:ascii="Dialog" w:hAnsi="Dialog"/>
                <w:color w:val="000000"/>
                <w:sz w:val="24"/>
                <w:highlight w:val="none"/>
              </w:rPr>
              <w:t>合</w:t>
            </w:r>
            <w:r>
              <w:rPr>
                <w:rFonts w:ascii="Dialog" w:hAnsi="Dialog"/>
                <w:color w:val="000000"/>
                <w:sz w:val="24"/>
                <w:highlight w:val="none"/>
              </w:rPr>
              <w:t xml:space="preserve">   </w:t>
            </w:r>
            <w:r>
              <w:rPr>
                <w:rFonts w:hint="eastAsia" w:ascii="Dialog" w:hAnsi="Dialog"/>
                <w:color w:val="000000"/>
                <w:sz w:val="24"/>
                <w:highlight w:val="none"/>
              </w:rPr>
              <w:t>计</w:t>
            </w:r>
          </w:p>
        </w:tc>
        <w:tc>
          <w:tcPr>
            <w:tcW w:w="1410" w:type="dxa"/>
            <w:gridSpan w:val="2"/>
            <w:tcBorders>
              <w:top w:val="nil"/>
              <w:left w:val="nil"/>
              <w:bottom w:val="single" w:color="auto" w:sz="4" w:space="0"/>
              <w:right w:val="single" w:color="auto" w:sz="4" w:space="0"/>
            </w:tcBorders>
          </w:tcPr>
          <w:p>
            <w:pPr>
              <w:jc w:val="left"/>
              <w:rPr>
                <w:rFonts w:ascii="Dialog" w:hAnsi="Dialog"/>
                <w:color w:val="000000"/>
                <w:sz w:val="24"/>
                <w:highlight w:val="none"/>
              </w:rPr>
            </w:pPr>
            <w:r>
              <w:rPr>
                <w:rFonts w:ascii="Dialog" w:hAnsi="Dialog"/>
                <w:color w:val="000000"/>
                <w:sz w:val="24"/>
                <w:highlight w:val="none"/>
              </w:rPr>
              <w:t>1431.66</w:t>
            </w:r>
          </w:p>
        </w:tc>
        <w:tc>
          <w:tcPr>
            <w:tcW w:w="1515" w:type="dxa"/>
            <w:gridSpan w:val="2"/>
            <w:tcBorders>
              <w:top w:val="nil"/>
              <w:left w:val="nil"/>
              <w:bottom w:val="single" w:color="auto" w:sz="4" w:space="0"/>
              <w:right w:val="single" w:color="auto" w:sz="4" w:space="0"/>
            </w:tcBorders>
          </w:tcPr>
          <w:p>
            <w:pPr>
              <w:jc w:val="left"/>
              <w:rPr>
                <w:rFonts w:ascii="Dialog" w:hAnsi="Dialog"/>
                <w:color w:val="000000"/>
                <w:sz w:val="24"/>
                <w:highlight w:val="none"/>
              </w:rPr>
            </w:pPr>
            <w:r>
              <w:rPr>
                <w:rFonts w:ascii="Dialog" w:hAnsi="Dialog"/>
                <w:color w:val="000000"/>
                <w:sz w:val="24"/>
                <w:highlight w:val="none"/>
              </w:rPr>
              <w:t>1275.28</w:t>
            </w:r>
          </w:p>
        </w:tc>
        <w:tc>
          <w:tcPr>
            <w:tcW w:w="1377" w:type="dxa"/>
            <w:tcBorders>
              <w:top w:val="nil"/>
              <w:left w:val="nil"/>
              <w:bottom w:val="single" w:color="auto" w:sz="4" w:space="0"/>
              <w:right w:val="single" w:color="auto" w:sz="4" w:space="0"/>
            </w:tcBorders>
          </w:tcPr>
          <w:p>
            <w:pPr>
              <w:jc w:val="left"/>
              <w:rPr>
                <w:rFonts w:ascii="Dialog" w:hAnsi="Dialog"/>
                <w:color w:val="000000"/>
                <w:sz w:val="24"/>
                <w:highlight w:val="none"/>
              </w:rPr>
            </w:pPr>
            <w:r>
              <w:rPr>
                <w:rFonts w:ascii="Dialog" w:hAnsi="Dialog"/>
                <w:color w:val="000000"/>
                <w:sz w:val="24"/>
                <w:highlight w:val="none"/>
              </w:rPr>
              <w:t>156.38</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仿宋_GB2312" w:hAnsi="宋体" w:eastAsia="仿宋_GB2312" w:cs="宋体"/>
                <w:color w:val="000000"/>
                <w:kern w:val="0"/>
                <w:sz w:val="20"/>
                <w:szCs w:val="20"/>
                <w:highlight w:val="none"/>
              </w:rPr>
            </w:pPr>
            <w:r>
              <w:rPr>
                <w:rFonts w:ascii="Dialog" w:hAnsi="Dialog"/>
                <w:color w:val="000000"/>
                <w:sz w:val="24"/>
                <w:highlight w:val="none"/>
              </w:rPr>
              <w:t>301</w:t>
            </w:r>
          </w:p>
        </w:tc>
        <w:tc>
          <w:tcPr>
            <w:tcW w:w="495" w:type="dxa"/>
            <w:tcBorders>
              <w:top w:val="nil"/>
              <w:left w:val="nil"/>
              <w:bottom w:val="single" w:color="auto" w:sz="4" w:space="0"/>
              <w:right w:val="single" w:color="auto" w:sz="4" w:space="0"/>
            </w:tcBorders>
          </w:tcPr>
          <w:p>
            <w:pPr>
              <w:jc w:val="left"/>
              <w:rPr>
                <w:rFonts w:ascii="仿宋_GB2312" w:hAnsi="宋体" w:eastAsia="仿宋_GB2312" w:cs="宋体"/>
                <w:color w:val="000000"/>
                <w:kern w:val="0"/>
                <w:sz w:val="20"/>
                <w:szCs w:val="20"/>
                <w:highlight w:val="none"/>
              </w:rPr>
            </w:pPr>
            <w:r>
              <w:rPr>
                <w:rFonts w:ascii="Dialog" w:hAnsi="Dialog"/>
                <w:color w:val="000000"/>
                <w:sz w:val="24"/>
                <w:highlight w:val="none"/>
              </w:rPr>
              <w:t>01</w:t>
            </w:r>
          </w:p>
        </w:tc>
        <w:tc>
          <w:tcPr>
            <w:tcW w:w="3690" w:type="dxa"/>
            <w:tcBorders>
              <w:top w:val="nil"/>
              <w:left w:val="nil"/>
              <w:bottom w:val="single" w:color="auto" w:sz="4" w:space="0"/>
              <w:right w:val="single" w:color="auto" w:sz="4" w:space="0"/>
            </w:tcBorders>
          </w:tcPr>
          <w:p>
            <w:pPr>
              <w:jc w:val="left"/>
              <w:rPr>
                <w:rFonts w:ascii="仿宋_GB2312" w:hAnsi="宋体" w:eastAsia="仿宋_GB2312" w:cs="宋体"/>
                <w:color w:val="000000"/>
                <w:kern w:val="0"/>
                <w:sz w:val="20"/>
                <w:szCs w:val="20"/>
                <w:highlight w:val="none"/>
              </w:rPr>
            </w:pPr>
            <w:r>
              <w:rPr>
                <w:rFonts w:hint="eastAsia" w:ascii="Dialog" w:hAnsi="Dialog"/>
                <w:color w:val="000000"/>
                <w:sz w:val="24"/>
                <w:highlight w:val="none"/>
              </w:rPr>
              <w:t>基本工资</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427.65</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427.65</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仿宋_GB2312" w:hAnsi="宋体" w:eastAsia="仿宋_GB2312" w:cs="宋体"/>
                <w:color w:val="000000"/>
                <w:kern w:val="0"/>
                <w:sz w:val="20"/>
                <w:szCs w:val="20"/>
                <w:highlight w:val="none"/>
              </w:rPr>
            </w:pPr>
            <w:r>
              <w:rPr>
                <w:rFonts w:ascii="Dialog" w:hAnsi="Dialog"/>
                <w:color w:val="000000"/>
                <w:sz w:val="24"/>
                <w:highlight w:val="none"/>
              </w:rPr>
              <w:t>301</w:t>
            </w:r>
          </w:p>
        </w:tc>
        <w:tc>
          <w:tcPr>
            <w:tcW w:w="495" w:type="dxa"/>
            <w:tcBorders>
              <w:top w:val="nil"/>
              <w:left w:val="nil"/>
              <w:bottom w:val="single" w:color="auto" w:sz="4" w:space="0"/>
              <w:right w:val="single" w:color="auto" w:sz="4" w:space="0"/>
            </w:tcBorders>
          </w:tcPr>
          <w:p>
            <w:pPr>
              <w:jc w:val="left"/>
              <w:rPr>
                <w:rFonts w:ascii="仿宋_GB2312" w:hAnsi="宋体" w:eastAsia="仿宋_GB2312" w:cs="宋体"/>
                <w:color w:val="000000"/>
                <w:kern w:val="0"/>
                <w:sz w:val="20"/>
                <w:szCs w:val="20"/>
                <w:highlight w:val="none"/>
              </w:rPr>
            </w:pPr>
            <w:r>
              <w:rPr>
                <w:rFonts w:ascii="Dialog" w:hAnsi="Dialog"/>
                <w:color w:val="000000"/>
                <w:sz w:val="24"/>
                <w:highlight w:val="none"/>
              </w:rPr>
              <w:t>03</w:t>
            </w:r>
          </w:p>
        </w:tc>
        <w:tc>
          <w:tcPr>
            <w:tcW w:w="3690" w:type="dxa"/>
            <w:tcBorders>
              <w:top w:val="nil"/>
              <w:left w:val="nil"/>
              <w:bottom w:val="single" w:color="auto" w:sz="4" w:space="0"/>
              <w:right w:val="single" w:color="auto" w:sz="4" w:space="0"/>
            </w:tcBorders>
          </w:tcPr>
          <w:p>
            <w:pPr>
              <w:jc w:val="left"/>
              <w:rPr>
                <w:rFonts w:ascii="仿宋_GB2312" w:hAnsi="宋体" w:eastAsia="仿宋_GB2312" w:cs="宋体"/>
                <w:color w:val="000000"/>
                <w:kern w:val="0"/>
                <w:sz w:val="20"/>
                <w:szCs w:val="20"/>
                <w:highlight w:val="none"/>
              </w:rPr>
            </w:pPr>
            <w:r>
              <w:rPr>
                <w:rFonts w:hint="eastAsia" w:ascii="Dialog" w:hAnsi="Dialog"/>
                <w:color w:val="000000"/>
                <w:sz w:val="24"/>
                <w:highlight w:val="none"/>
              </w:rPr>
              <w:t>奖金</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28</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28</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301</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06</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伙食补助费</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108.36</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108.36</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301</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07</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绩效工资</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233.53</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233.53</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301</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08</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机关事业单位基本养老保险缴费</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137.84</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137.84</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301</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10</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职工基本医疗保险缴费</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107.37</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107.37</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301</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11</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公务员医疗补助缴费</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83.51</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83.51</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301</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12</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其他社会保障缴费</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5.47</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5.47</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301</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13</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住房公积金</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82.7</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82.7</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301</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99</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其他工资福利支出</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34.91</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34.91</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302</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01</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办公费</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13.14</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13.14</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302</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02</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印刷费</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5</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5</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302</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05</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水费</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1.55</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1.55</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302</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06</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电费</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15.4</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15.4</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302</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07</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邮电费</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7.8</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7.8</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302</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08</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取暖费</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17.79</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17.79</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302</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11</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差旅费</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15</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15</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302</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13</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维修</w:t>
            </w:r>
            <w:r>
              <w:rPr>
                <w:rFonts w:ascii="Dialog" w:hAnsi="Dialog"/>
                <w:color w:val="000000"/>
                <w:sz w:val="24"/>
                <w:highlight w:val="none"/>
              </w:rPr>
              <w:t>(</w:t>
            </w:r>
            <w:r>
              <w:rPr>
                <w:rFonts w:hint="eastAsia" w:ascii="Dialog" w:hAnsi="Dialog"/>
                <w:color w:val="000000"/>
                <w:sz w:val="24"/>
                <w:highlight w:val="none"/>
              </w:rPr>
              <w:t>护</w:t>
            </w:r>
            <w:r>
              <w:rPr>
                <w:rFonts w:ascii="Dialog" w:hAnsi="Dialog"/>
                <w:color w:val="000000"/>
                <w:sz w:val="24"/>
                <w:highlight w:val="none"/>
              </w:rPr>
              <w:t>)</w:t>
            </w:r>
            <w:r>
              <w:rPr>
                <w:rFonts w:hint="eastAsia" w:ascii="Dialog" w:hAnsi="Dialog"/>
                <w:color w:val="000000"/>
                <w:sz w:val="24"/>
                <w:highlight w:val="none"/>
              </w:rPr>
              <w:t>费</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7</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7</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302</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16</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培训费</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4.3</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4.3</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302</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17</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公务招待费</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1.97</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1.97</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302</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26</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劳务费</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302</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28</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工会经费</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8.55</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8.55</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302</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29</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福利费</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19.66</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19.66</w:t>
            </w:r>
          </w:p>
        </w:tc>
      </w:tr>
      <w:tr>
        <w:tblPrEx>
          <w:tblCellMar>
            <w:top w:w="0" w:type="dxa"/>
            <w:left w:w="108" w:type="dxa"/>
            <w:bottom w:w="0" w:type="dxa"/>
            <w:right w:w="108" w:type="dxa"/>
          </w:tblCellMar>
        </w:tblPrEx>
        <w:trPr>
          <w:gridAfter w:val="1"/>
          <w:wAfter w:w="42" w:type="dxa"/>
          <w:trHeight w:val="402" w:hRule="atLeast"/>
        </w:trPr>
        <w:tc>
          <w:tcPr>
            <w:tcW w:w="600" w:type="dxa"/>
            <w:tcBorders>
              <w:top w:val="nil"/>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302</w:t>
            </w:r>
          </w:p>
        </w:tc>
        <w:tc>
          <w:tcPr>
            <w:tcW w:w="495"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31</w:t>
            </w:r>
          </w:p>
        </w:tc>
        <w:tc>
          <w:tcPr>
            <w:tcW w:w="3690"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公务车运行维护费</w:t>
            </w:r>
          </w:p>
        </w:tc>
        <w:tc>
          <w:tcPr>
            <w:tcW w:w="1410"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16.9</w:t>
            </w:r>
          </w:p>
        </w:tc>
        <w:tc>
          <w:tcPr>
            <w:tcW w:w="1515" w:type="dxa"/>
            <w:gridSpan w:val="2"/>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c>
          <w:tcPr>
            <w:tcW w:w="1377" w:type="dxa"/>
            <w:tcBorders>
              <w:top w:val="nil"/>
              <w:left w:val="nil"/>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16.9</w:t>
            </w:r>
          </w:p>
        </w:tc>
      </w:tr>
      <w:tr>
        <w:tblPrEx>
          <w:tblCellMar>
            <w:top w:w="0" w:type="dxa"/>
            <w:left w:w="108" w:type="dxa"/>
            <w:bottom w:w="0" w:type="dxa"/>
            <w:right w:w="108" w:type="dxa"/>
          </w:tblCellMar>
        </w:tblPrEx>
        <w:trPr>
          <w:gridAfter w:val="1"/>
          <w:wAfter w:w="42" w:type="dxa"/>
          <w:trHeight w:val="402" w:hRule="atLeast"/>
        </w:trPr>
        <w:tc>
          <w:tcPr>
            <w:tcW w:w="600" w:type="dxa"/>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302</w:t>
            </w:r>
          </w:p>
        </w:tc>
        <w:tc>
          <w:tcPr>
            <w:tcW w:w="495" w:type="dxa"/>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99</w:t>
            </w:r>
          </w:p>
        </w:tc>
        <w:tc>
          <w:tcPr>
            <w:tcW w:w="3690" w:type="dxa"/>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其他商品和服务支出</w:t>
            </w:r>
          </w:p>
        </w:tc>
        <w:tc>
          <w:tcPr>
            <w:tcW w:w="1410" w:type="dxa"/>
            <w:gridSpan w:val="2"/>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19.32</w:t>
            </w:r>
          </w:p>
        </w:tc>
        <w:tc>
          <w:tcPr>
            <w:tcW w:w="1515" w:type="dxa"/>
            <w:gridSpan w:val="2"/>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c>
          <w:tcPr>
            <w:tcW w:w="1377" w:type="dxa"/>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19.32</w:t>
            </w:r>
          </w:p>
        </w:tc>
      </w:tr>
      <w:tr>
        <w:tblPrEx>
          <w:tblCellMar>
            <w:top w:w="0" w:type="dxa"/>
            <w:left w:w="108" w:type="dxa"/>
            <w:bottom w:w="0" w:type="dxa"/>
            <w:right w:w="108" w:type="dxa"/>
          </w:tblCellMar>
        </w:tblPrEx>
        <w:trPr>
          <w:gridAfter w:val="1"/>
          <w:wAfter w:w="42" w:type="dxa"/>
          <w:trHeight w:val="402" w:hRule="atLeast"/>
        </w:trPr>
        <w:tc>
          <w:tcPr>
            <w:tcW w:w="600" w:type="dxa"/>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303</w:t>
            </w:r>
          </w:p>
        </w:tc>
        <w:tc>
          <w:tcPr>
            <w:tcW w:w="495" w:type="dxa"/>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01</w:t>
            </w:r>
          </w:p>
        </w:tc>
        <w:tc>
          <w:tcPr>
            <w:tcW w:w="3690" w:type="dxa"/>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离休费</w:t>
            </w:r>
          </w:p>
        </w:tc>
        <w:tc>
          <w:tcPr>
            <w:tcW w:w="1410" w:type="dxa"/>
            <w:gridSpan w:val="2"/>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3.41</w:t>
            </w:r>
          </w:p>
        </w:tc>
        <w:tc>
          <w:tcPr>
            <w:tcW w:w="1515" w:type="dxa"/>
            <w:gridSpan w:val="2"/>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3.41</w:t>
            </w:r>
          </w:p>
        </w:tc>
        <w:tc>
          <w:tcPr>
            <w:tcW w:w="1377" w:type="dxa"/>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r>
      <w:tr>
        <w:tblPrEx>
          <w:tblCellMar>
            <w:top w:w="0" w:type="dxa"/>
            <w:left w:w="108" w:type="dxa"/>
            <w:bottom w:w="0" w:type="dxa"/>
            <w:right w:w="108" w:type="dxa"/>
          </w:tblCellMar>
        </w:tblPrEx>
        <w:trPr>
          <w:gridAfter w:val="1"/>
          <w:wAfter w:w="42" w:type="dxa"/>
          <w:trHeight w:val="402" w:hRule="atLeast"/>
        </w:trPr>
        <w:tc>
          <w:tcPr>
            <w:tcW w:w="600" w:type="dxa"/>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303</w:t>
            </w:r>
          </w:p>
        </w:tc>
        <w:tc>
          <w:tcPr>
            <w:tcW w:w="495" w:type="dxa"/>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05</w:t>
            </w:r>
          </w:p>
        </w:tc>
        <w:tc>
          <w:tcPr>
            <w:tcW w:w="3690" w:type="dxa"/>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生活补助</w:t>
            </w:r>
          </w:p>
        </w:tc>
        <w:tc>
          <w:tcPr>
            <w:tcW w:w="1410" w:type="dxa"/>
            <w:gridSpan w:val="2"/>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0.89</w:t>
            </w:r>
          </w:p>
        </w:tc>
        <w:tc>
          <w:tcPr>
            <w:tcW w:w="1515" w:type="dxa"/>
            <w:gridSpan w:val="2"/>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0.89</w:t>
            </w:r>
          </w:p>
        </w:tc>
        <w:tc>
          <w:tcPr>
            <w:tcW w:w="1377" w:type="dxa"/>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r>
      <w:tr>
        <w:tblPrEx>
          <w:tblCellMar>
            <w:top w:w="0" w:type="dxa"/>
            <w:left w:w="108" w:type="dxa"/>
            <w:bottom w:w="0" w:type="dxa"/>
            <w:right w:w="108" w:type="dxa"/>
          </w:tblCellMar>
        </w:tblPrEx>
        <w:trPr>
          <w:gridAfter w:val="1"/>
          <w:wAfter w:w="42" w:type="dxa"/>
          <w:trHeight w:val="402" w:hRule="atLeast"/>
        </w:trPr>
        <w:tc>
          <w:tcPr>
            <w:tcW w:w="600" w:type="dxa"/>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303</w:t>
            </w:r>
          </w:p>
        </w:tc>
        <w:tc>
          <w:tcPr>
            <w:tcW w:w="495" w:type="dxa"/>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09</w:t>
            </w:r>
          </w:p>
        </w:tc>
        <w:tc>
          <w:tcPr>
            <w:tcW w:w="3690" w:type="dxa"/>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奖励金</w:t>
            </w:r>
          </w:p>
        </w:tc>
        <w:tc>
          <w:tcPr>
            <w:tcW w:w="1410" w:type="dxa"/>
            <w:gridSpan w:val="2"/>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6.04</w:t>
            </w:r>
          </w:p>
        </w:tc>
        <w:tc>
          <w:tcPr>
            <w:tcW w:w="1515" w:type="dxa"/>
            <w:gridSpan w:val="2"/>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6.04</w:t>
            </w:r>
          </w:p>
        </w:tc>
        <w:tc>
          <w:tcPr>
            <w:tcW w:w="1377" w:type="dxa"/>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r>
      <w:tr>
        <w:tblPrEx>
          <w:tblCellMar>
            <w:top w:w="0" w:type="dxa"/>
            <w:left w:w="108" w:type="dxa"/>
            <w:bottom w:w="0" w:type="dxa"/>
            <w:right w:w="108" w:type="dxa"/>
          </w:tblCellMar>
        </w:tblPrEx>
        <w:trPr>
          <w:gridAfter w:val="1"/>
          <w:wAfter w:w="42" w:type="dxa"/>
          <w:trHeight w:val="402" w:hRule="atLeast"/>
        </w:trPr>
        <w:tc>
          <w:tcPr>
            <w:tcW w:w="600" w:type="dxa"/>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303</w:t>
            </w:r>
          </w:p>
        </w:tc>
        <w:tc>
          <w:tcPr>
            <w:tcW w:w="495" w:type="dxa"/>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14</w:t>
            </w:r>
          </w:p>
        </w:tc>
        <w:tc>
          <w:tcPr>
            <w:tcW w:w="3690" w:type="dxa"/>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hint="eastAsia" w:ascii="Dialog" w:hAnsi="Dialog"/>
                <w:color w:val="000000"/>
                <w:sz w:val="24"/>
                <w:highlight w:val="none"/>
              </w:rPr>
              <w:t>职工住宅取暖费</w:t>
            </w:r>
          </w:p>
        </w:tc>
        <w:tc>
          <w:tcPr>
            <w:tcW w:w="1410" w:type="dxa"/>
            <w:gridSpan w:val="2"/>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15.6</w:t>
            </w:r>
          </w:p>
        </w:tc>
        <w:tc>
          <w:tcPr>
            <w:tcW w:w="1515" w:type="dxa"/>
            <w:gridSpan w:val="2"/>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15.6</w:t>
            </w:r>
          </w:p>
        </w:tc>
        <w:tc>
          <w:tcPr>
            <w:tcW w:w="1377" w:type="dxa"/>
            <w:tcBorders>
              <w:top w:val="single" w:color="auto" w:sz="4" w:space="0"/>
              <w:left w:val="single" w:color="auto" w:sz="4" w:space="0"/>
              <w:bottom w:val="single" w:color="auto" w:sz="4" w:space="0"/>
              <w:right w:val="single" w:color="auto" w:sz="4" w:space="0"/>
            </w:tcBorders>
          </w:tcPr>
          <w:p>
            <w:pPr>
              <w:jc w:val="left"/>
              <w:rPr>
                <w:rFonts w:ascii="宋体" w:cs="宋体"/>
                <w:color w:val="000000"/>
                <w:kern w:val="0"/>
                <w:sz w:val="20"/>
                <w:szCs w:val="20"/>
                <w:highlight w:val="none"/>
              </w:rPr>
            </w:pPr>
            <w:r>
              <w:rPr>
                <w:rFonts w:ascii="Dialog" w:hAnsi="Dialog"/>
                <w:color w:val="000000"/>
                <w:sz w:val="24"/>
                <w:highlight w:val="none"/>
              </w:rPr>
              <w:t>0</w:t>
            </w:r>
          </w:p>
        </w:tc>
      </w:tr>
    </w:tbl>
    <w:p>
      <w:pPr>
        <w:widowControl/>
        <w:jc w:val="left"/>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表七：</w:t>
      </w:r>
    </w:p>
    <w:tbl>
      <w:tblPr>
        <w:tblStyle w:val="4"/>
        <w:tblW w:w="9469" w:type="dxa"/>
        <w:tblInd w:w="93" w:type="dxa"/>
        <w:tblLayout w:type="fixed"/>
        <w:tblCellMar>
          <w:top w:w="0" w:type="dxa"/>
          <w:left w:w="108" w:type="dxa"/>
          <w:bottom w:w="0" w:type="dxa"/>
          <w:right w:w="108" w:type="dxa"/>
        </w:tblCellMar>
      </w:tblPr>
      <w:tblGrid>
        <w:gridCol w:w="8"/>
        <w:gridCol w:w="433"/>
        <w:gridCol w:w="425"/>
        <w:gridCol w:w="325"/>
        <w:gridCol w:w="851"/>
        <w:gridCol w:w="1659"/>
        <w:gridCol w:w="547"/>
        <w:gridCol w:w="110"/>
        <w:gridCol w:w="459"/>
        <w:gridCol w:w="536"/>
        <w:gridCol w:w="652"/>
        <w:gridCol w:w="652"/>
        <w:gridCol w:w="378"/>
        <w:gridCol w:w="200"/>
        <w:gridCol w:w="419"/>
        <w:gridCol w:w="578"/>
        <w:gridCol w:w="420"/>
        <w:gridCol w:w="420"/>
        <w:gridCol w:w="389"/>
        <w:gridCol w:w="8"/>
      </w:tblGrid>
      <w:tr>
        <w:tblPrEx>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项目支出情况表</w:t>
            </w:r>
          </w:p>
        </w:tc>
      </w:tr>
      <w:tr>
        <w:tblPrEx>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w:t>
            </w:r>
            <w:r>
              <w:rPr>
                <w:rFonts w:hint="eastAsia" w:ascii="仿宋_GB2312" w:hAnsi="宋体" w:eastAsia="仿宋_GB2312"/>
                <w:kern w:val="0"/>
                <w:sz w:val="24"/>
                <w:highlight w:val="none"/>
              </w:rPr>
              <w:t>昌吉州疾病预防控制中心</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ascii="仿宋_GB2312" w:hAnsi="宋体" w:eastAsia="仿宋_GB2312" w:cs="宋体"/>
                <w:color w:val="000000"/>
                <w:kern w:val="0"/>
                <w:sz w:val="24"/>
                <w:highlight w:val="none"/>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w:t>
            </w:r>
            <w:r>
              <w:rPr>
                <w:rFonts w:ascii="仿宋_GB2312" w:hAnsi="宋体" w:eastAsia="仿宋_GB2312"/>
                <w:b/>
                <w:kern w:val="0"/>
                <w:sz w:val="18"/>
                <w:szCs w:val="18"/>
                <w:highlight w:val="none"/>
              </w:rPr>
              <w:t xml:space="preserve"> </w:t>
            </w:r>
            <w:r>
              <w:rPr>
                <w:rFonts w:hint="eastAsia" w:ascii="仿宋_GB2312" w:hAnsi="宋体" w:eastAsia="仿宋_GB2312"/>
                <w:b/>
                <w:kern w:val="0"/>
                <w:sz w:val="18"/>
                <w:szCs w:val="18"/>
                <w:highlight w:val="none"/>
              </w:rPr>
              <w:t>目</w:t>
            </w:r>
            <w:r>
              <w:rPr>
                <w:rFonts w:ascii="仿宋_GB2312" w:hAnsi="宋体" w:eastAsia="仿宋_GB2312"/>
                <w:b/>
                <w:kern w:val="0"/>
                <w:sz w:val="18"/>
                <w:szCs w:val="18"/>
                <w:highlight w:val="none"/>
              </w:rPr>
              <w:t xml:space="preserve"> </w:t>
            </w:r>
            <w:r>
              <w:rPr>
                <w:rFonts w:hint="eastAsia" w:ascii="仿宋_GB2312" w:hAnsi="宋体" w:eastAsia="仿宋_GB2312"/>
                <w:b/>
                <w:kern w:val="0"/>
                <w:sz w:val="18"/>
                <w:szCs w:val="18"/>
                <w:highlight w:val="none"/>
              </w:rPr>
              <w:t>编</w:t>
            </w:r>
            <w:r>
              <w:rPr>
                <w:rFonts w:ascii="仿宋_GB2312" w:hAnsi="宋体" w:eastAsia="仿宋_GB2312"/>
                <w:b/>
                <w:kern w:val="0"/>
                <w:sz w:val="18"/>
                <w:szCs w:val="18"/>
                <w:highlight w:val="none"/>
              </w:rPr>
              <w:t xml:space="preserve"> </w:t>
            </w:r>
            <w:r>
              <w:rPr>
                <w:rFonts w:hint="eastAsia" w:ascii="仿宋_GB2312" w:hAnsi="宋体" w:eastAsia="仿宋_GB2312"/>
                <w:b/>
                <w:kern w:val="0"/>
                <w:sz w:val="18"/>
                <w:szCs w:val="18"/>
                <w:highlight w:val="none"/>
              </w:rPr>
              <w:t>码</w:t>
            </w:r>
          </w:p>
        </w:tc>
        <w:tc>
          <w:tcPr>
            <w:tcW w:w="851"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659" w:type="dxa"/>
            <w:vMerge w:val="restart"/>
            <w:vAlign w:val="center"/>
          </w:tcPr>
          <w:p>
            <w:pPr>
              <w:jc w:val="center"/>
              <w:rPr>
                <w:rFonts w:ascii="Calibri" w:hAnsi="Calibri"/>
                <w:sz w:val="24"/>
                <w:highlight w:val="none"/>
              </w:rPr>
            </w:pPr>
            <w:r>
              <w:rPr>
                <w:rFonts w:hint="eastAsia" w:ascii="仿宋_GB2312" w:hAnsi="宋体" w:eastAsia="仿宋_GB2312"/>
                <w:b/>
                <w:kern w:val="0"/>
                <w:sz w:val="24"/>
                <w:highlight w:val="none"/>
              </w:rPr>
              <w:t>项目名称</w:t>
            </w:r>
          </w:p>
        </w:tc>
        <w:tc>
          <w:tcPr>
            <w:tcW w:w="547"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536"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57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41" w:type="dxa"/>
            <w:gridSpan w:val="2"/>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425" w:type="dxa"/>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325" w:type="dxa"/>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851" w:type="dxa"/>
            <w:vMerge w:val="continue"/>
            <w:vAlign w:val="center"/>
          </w:tcPr>
          <w:p>
            <w:pPr>
              <w:widowControl/>
              <w:jc w:val="left"/>
              <w:outlineLvl w:val="1"/>
              <w:rPr>
                <w:rFonts w:ascii="仿宋_GB2312" w:hAnsi="宋体" w:eastAsia="仿宋_GB2312"/>
                <w:b/>
                <w:kern w:val="0"/>
                <w:sz w:val="18"/>
                <w:szCs w:val="18"/>
                <w:highlight w:val="none"/>
              </w:rPr>
            </w:pPr>
          </w:p>
        </w:tc>
        <w:tc>
          <w:tcPr>
            <w:tcW w:w="1659" w:type="dxa"/>
            <w:vMerge w:val="continue"/>
          </w:tcPr>
          <w:p>
            <w:pPr>
              <w:widowControl/>
              <w:jc w:val="left"/>
              <w:outlineLvl w:val="1"/>
              <w:rPr>
                <w:rFonts w:ascii="仿宋_GB2312" w:hAnsi="宋体" w:eastAsia="仿宋_GB2312"/>
                <w:b/>
                <w:kern w:val="0"/>
                <w:sz w:val="18"/>
                <w:szCs w:val="18"/>
                <w:highlight w:val="none"/>
              </w:rPr>
            </w:pPr>
          </w:p>
        </w:tc>
        <w:tc>
          <w:tcPr>
            <w:tcW w:w="547" w:type="dxa"/>
            <w:vMerge w:val="continue"/>
          </w:tcPr>
          <w:p>
            <w:pPr>
              <w:widowControl/>
              <w:jc w:val="left"/>
              <w:outlineLvl w:val="1"/>
              <w:rPr>
                <w:rFonts w:ascii="仿宋_GB2312" w:hAnsi="宋体" w:eastAsia="仿宋_GB2312"/>
                <w:b/>
                <w:kern w:val="0"/>
                <w:sz w:val="18"/>
                <w:szCs w:val="18"/>
                <w:highlight w:val="none"/>
              </w:rPr>
            </w:pPr>
          </w:p>
        </w:tc>
        <w:tc>
          <w:tcPr>
            <w:tcW w:w="569" w:type="dxa"/>
            <w:gridSpan w:val="2"/>
            <w:vMerge w:val="continue"/>
          </w:tcPr>
          <w:p>
            <w:pPr>
              <w:widowControl/>
              <w:jc w:val="left"/>
              <w:outlineLvl w:val="1"/>
              <w:rPr>
                <w:rFonts w:ascii="仿宋_GB2312" w:hAnsi="宋体" w:eastAsia="仿宋_GB2312"/>
                <w:b/>
                <w:kern w:val="0"/>
                <w:sz w:val="18"/>
                <w:szCs w:val="18"/>
                <w:highlight w:val="none"/>
              </w:rPr>
            </w:pPr>
          </w:p>
        </w:tc>
        <w:tc>
          <w:tcPr>
            <w:tcW w:w="536" w:type="dxa"/>
            <w:vMerge w:val="continue"/>
          </w:tcPr>
          <w:p>
            <w:pPr>
              <w:widowControl/>
              <w:jc w:val="left"/>
              <w:outlineLvl w:val="1"/>
              <w:rPr>
                <w:rFonts w:ascii="仿宋_GB2312" w:hAnsi="宋体" w:eastAsia="仿宋_GB2312"/>
                <w:b/>
                <w:kern w:val="0"/>
                <w:sz w:val="18"/>
                <w:szCs w:val="18"/>
                <w:highlight w:val="none"/>
              </w:rPr>
            </w:pPr>
          </w:p>
        </w:tc>
        <w:tc>
          <w:tcPr>
            <w:tcW w:w="652" w:type="dxa"/>
            <w:vMerge w:val="continue"/>
          </w:tcPr>
          <w:p>
            <w:pPr>
              <w:widowControl/>
              <w:jc w:val="left"/>
              <w:outlineLvl w:val="1"/>
              <w:rPr>
                <w:rFonts w:ascii="仿宋_GB2312" w:hAnsi="宋体" w:eastAsia="仿宋_GB2312"/>
                <w:b/>
                <w:kern w:val="0"/>
                <w:sz w:val="18"/>
                <w:szCs w:val="18"/>
                <w:highlight w:val="none"/>
              </w:rPr>
            </w:pPr>
          </w:p>
        </w:tc>
        <w:tc>
          <w:tcPr>
            <w:tcW w:w="652" w:type="dxa"/>
            <w:vMerge w:val="continue"/>
          </w:tcPr>
          <w:p>
            <w:pPr>
              <w:widowControl/>
              <w:jc w:val="left"/>
              <w:outlineLvl w:val="1"/>
              <w:rPr>
                <w:rFonts w:ascii="仿宋_GB2312" w:hAnsi="宋体" w:eastAsia="仿宋_GB2312"/>
                <w:b/>
                <w:kern w:val="0"/>
                <w:sz w:val="18"/>
                <w:szCs w:val="18"/>
                <w:highlight w:val="none"/>
              </w:rPr>
            </w:pPr>
          </w:p>
        </w:tc>
        <w:tc>
          <w:tcPr>
            <w:tcW w:w="578" w:type="dxa"/>
            <w:gridSpan w:val="2"/>
            <w:vMerge w:val="continue"/>
          </w:tcPr>
          <w:p>
            <w:pPr>
              <w:widowControl/>
              <w:jc w:val="left"/>
              <w:outlineLvl w:val="1"/>
              <w:rPr>
                <w:rFonts w:ascii="仿宋_GB2312" w:hAnsi="宋体" w:eastAsia="仿宋_GB2312"/>
                <w:b/>
                <w:kern w:val="0"/>
                <w:sz w:val="18"/>
                <w:szCs w:val="18"/>
                <w:highlight w:val="none"/>
              </w:rPr>
            </w:pPr>
          </w:p>
        </w:tc>
        <w:tc>
          <w:tcPr>
            <w:tcW w:w="419" w:type="dxa"/>
            <w:vMerge w:val="continue"/>
          </w:tcPr>
          <w:p>
            <w:pPr>
              <w:widowControl/>
              <w:jc w:val="left"/>
              <w:outlineLvl w:val="1"/>
              <w:rPr>
                <w:rFonts w:ascii="仿宋_GB2312" w:hAnsi="宋体" w:eastAsia="仿宋_GB2312"/>
                <w:b/>
                <w:kern w:val="0"/>
                <w:sz w:val="18"/>
                <w:szCs w:val="18"/>
                <w:highlight w:val="none"/>
              </w:rPr>
            </w:pPr>
          </w:p>
        </w:tc>
        <w:tc>
          <w:tcPr>
            <w:tcW w:w="578" w:type="dxa"/>
            <w:vMerge w:val="continue"/>
          </w:tcPr>
          <w:p>
            <w:pPr>
              <w:widowControl/>
              <w:jc w:val="left"/>
              <w:outlineLvl w:val="1"/>
              <w:rPr>
                <w:rFonts w:ascii="仿宋_GB2312" w:hAnsi="宋体" w:eastAsia="仿宋_GB2312"/>
                <w:b/>
                <w:kern w:val="0"/>
                <w:sz w:val="18"/>
                <w:szCs w:val="18"/>
                <w:highlight w:val="none"/>
              </w:rPr>
            </w:pPr>
          </w:p>
        </w:tc>
        <w:tc>
          <w:tcPr>
            <w:tcW w:w="420" w:type="dxa"/>
            <w:vMerge w:val="continue"/>
          </w:tcPr>
          <w:p>
            <w:pPr>
              <w:widowControl/>
              <w:jc w:val="left"/>
              <w:outlineLvl w:val="1"/>
              <w:rPr>
                <w:rFonts w:ascii="仿宋_GB2312" w:hAnsi="宋体" w:eastAsia="仿宋_GB2312"/>
                <w:b/>
                <w:kern w:val="0"/>
                <w:sz w:val="18"/>
                <w:szCs w:val="18"/>
                <w:highlight w:val="none"/>
              </w:rPr>
            </w:pPr>
          </w:p>
        </w:tc>
        <w:tc>
          <w:tcPr>
            <w:tcW w:w="420" w:type="dxa"/>
            <w:vMerge w:val="continue"/>
          </w:tcPr>
          <w:p>
            <w:pPr>
              <w:widowControl/>
              <w:jc w:val="left"/>
              <w:outlineLvl w:val="1"/>
              <w:rPr>
                <w:rFonts w:ascii="仿宋_GB2312" w:hAnsi="宋体" w:eastAsia="仿宋_GB2312"/>
                <w:b/>
                <w:kern w:val="0"/>
                <w:sz w:val="18"/>
                <w:szCs w:val="18"/>
                <w:highlight w:val="none"/>
              </w:rPr>
            </w:pPr>
          </w:p>
        </w:tc>
        <w:tc>
          <w:tcPr>
            <w:tcW w:w="397" w:type="dxa"/>
            <w:gridSpan w:val="2"/>
            <w:vMerge w:val="continue"/>
          </w:tcPr>
          <w:p>
            <w:pPr>
              <w:widowControl/>
              <w:jc w:val="left"/>
              <w:outlineLvl w:val="1"/>
              <w:rPr>
                <w:rFonts w:ascii="仿宋_GB2312" w:hAnsi="宋体" w:eastAsia="仿宋_GB2312"/>
                <w:b/>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210</w:t>
            </w:r>
            <w:r>
              <w:rPr>
                <w:rFonts w:hint="eastAsia" w:ascii="仿宋_GB2312" w:hAnsi="宋体" w:eastAsia="仿宋_GB2312"/>
                <w:kern w:val="0"/>
                <w:sz w:val="18"/>
                <w:szCs w:val="18"/>
                <w:highlight w:val="none"/>
              </w:rPr>
              <w:t>　</w:t>
            </w:r>
          </w:p>
        </w:tc>
        <w:tc>
          <w:tcPr>
            <w:tcW w:w="425" w:type="dxa"/>
          </w:tcPr>
          <w:p>
            <w:pPr>
              <w:widowControl/>
              <w:jc w:val="left"/>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04</w:t>
            </w:r>
            <w:r>
              <w:rPr>
                <w:rFonts w:hint="eastAsia" w:ascii="仿宋_GB2312" w:hAnsi="宋体" w:eastAsia="仿宋_GB2312"/>
                <w:kern w:val="0"/>
                <w:sz w:val="18"/>
                <w:szCs w:val="18"/>
                <w:highlight w:val="none"/>
              </w:rPr>
              <w:t>　</w:t>
            </w:r>
          </w:p>
        </w:tc>
        <w:tc>
          <w:tcPr>
            <w:tcW w:w="325" w:type="dxa"/>
          </w:tcPr>
          <w:p>
            <w:pPr>
              <w:widowControl/>
              <w:jc w:val="left"/>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01</w:t>
            </w:r>
            <w:r>
              <w:rPr>
                <w:rFonts w:hint="eastAsia" w:ascii="仿宋_GB2312" w:hAnsi="宋体" w:eastAsia="仿宋_GB2312"/>
                <w:kern w:val="0"/>
                <w:sz w:val="18"/>
                <w:szCs w:val="18"/>
                <w:highlight w:val="none"/>
              </w:rPr>
              <w:t>　</w:t>
            </w:r>
          </w:p>
        </w:tc>
        <w:tc>
          <w:tcPr>
            <w:tcW w:w="851"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r>
              <w:rPr>
                <w:rFonts w:ascii="仿宋_GB2312" w:hAnsi="宋体" w:eastAsia="仿宋_GB2312"/>
                <w:kern w:val="0"/>
                <w:sz w:val="18"/>
                <w:szCs w:val="18"/>
                <w:highlight w:val="none"/>
              </w:rPr>
              <w:t>2100401</w:t>
            </w:r>
          </w:p>
        </w:tc>
        <w:tc>
          <w:tcPr>
            <w:tcW w:w="1659" w:type="dxa"/>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地方病防治项目</w:t>
            </w:r>
          </w:p>
        </w:tc>
        <w:tc>
          <w:tcPr>
            <w:tcW w:w="547" w:type="dxa"/>
            <w:vAlign w:val="center"/>
          </w:tcPr>
          <w:p>
            <w:pPr>
              <w:widowControl/>
              <w:jc w:val="center"/>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3</w:t>
            </w:r>
          </w:p>
        </w:tc>
        <w:tc>
          <w:tcPr>
            <w:tcW w:w="569" w:type="dxa"/>
            <w:gridSpan w:val="2"/>
            <w:vAlign w:val="center"/>
          </w:tcPr>
          <w:p>
            <w:pPr>
              <w:widowControl/>
              <w:jc w:val="center"/>
              <w:outlineLvl w:val="1"/>
              <w:rPr>
                <w:rFonts w:ascii="仿宋_GB2312" w:hAnsi="宋体" w:eastAsia="仿宋_GB2312"/>
                <w:kern w:val="0"/>
                <w:sz w:val="18"/>
                <w:szCs w:val="18"/>
                <w:highlight w:val="none"/>
              </w:rPr>
            </w:pPr>
          </w:p>
        </w:tc>
        <w:tc>
          <w:tcPr>
            <w:tcW w:w="536" w:type="dxa"/>
            <w:vAlign w:val="center"/>
          </w:tcPr>
          <w:p>
            <w:pPr>
              <w:widowControl/>
              <w:jc w:val="center"/>
              <w:outlineLvl w:val="1"/>
              <w:rPr>
                <w:rFonts w:ascii="仿宋_GB2312" w:hAnsi="宋体" w:eastAsia="仿宋_GB2312"/>
                <w:kern w:val="0"/>
                <w:sz w:val="18"/>
                <w:szCs w:val="18"/>
                <w:highlight w:val="none"/>
              </w:rPr>
            </w:pPr>
          </w:p>
          <w:p>
            <w:pPr>
              <w:widowControl/>
              <w:jc w:val="center"/>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3</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210</w:t>
            </w:r>
            <w:r>
              <w:rPr>
                <w:rFonts w:hint="eastAsia" w:ascii="仿宋_GB2312" w:hAnsi="宋体" w:eastAsia="仿宋_GB2312"/>
                <w:kern w:val="0"/>
                <w:sz w:val="18"/>
                <w:szCs w:val="18"/>
                <w:highlight w:val="none"/>
              </w:rPr>
              <w:t>　</w:t>
            </w:r>
          </w:p>
        </w:tc>
        <w:tc>
          <w:tcPr>
            <w:tcW w:w="425" w:type="dxa"/>
          </w:tcPr>
          <w:p>
            <w:pPr>
              <w:widowControl/>
              <w:jc w:val="left"/>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04</w:t>
            </w:r>
            <w:r>
              <w:rPr>
                <w:rFonts w:hint="eastAsia" w:ascii="仿宋_GB2312" w:hAnsi="宋体" w:eastAsia="仿宋_GB2312"/>
                <w:kern w:val="0"/>
                <w:sz w:val="18"/>
                <w:szCs w:val="18"/>
                <w:highlight w:val="none"/>
              </w:rPr>
              <w:t>　</w:t>
            </w:r>
          </w:p>
        </w:tc>
        <w:tc>
          <w:tcPr>
            <w:tcW w:w="325" w:type="dxa"/>
          </w:tcPr>
          <w:p>
            <w:pPr>
              <w:widowControl/>
              <w:jc w:val="left"/>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01</w:t>
            </w:r>
            <w:r>
              <w:rPr>
                <w:rFonts w:hint="eastAsia" w:ascii="仿宋_GB2312" w:hAnsi="宋体" w:eastAsia="仿宋_GB2312"/>
                <w:kern w:val="0"/>
                <w:sz w:val="18"/>
                <w:szCs w:val="18"/>
                <w:highlight w:val="none"/>
              </w:rPr>
              <w:t>　</w:t>
            </w:r>
          </w:p>
        </w:tc>
        <w:tc>
          <w:tcPr>
            <w:tcW w:w="851"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r>
              <w:rPr>
                <w:rFonts w:ascii="仿宋_GB2312" w:hAnsi="宋体" w:eastAsia="仿宋_GB2312"/>
                <w:kern w:val="0"/>
                <w:sz w:val="18"/>
                <w:szCs w:val="18"/>
                <w:highlight w:val="none"/>
              </w:rPr>
              <w:t>2100401</w:t>
            </w:r>
          </w:p>
        </w:tc>
        <w:tc>
          <w:tcPr>
            <w:tcW w:w="1659" w:type="dxa"/>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艾滋病防治项目</w:t>
            </w:r>
          </w:p>
        </w:tc>
        <w:tc>
          <w:tcPr>
            <w:tcW w:w="547" w:type="dxa"/>
            <w:vAlign w:val="center"/>
          </w:tcPr>
          <w:p>
            <w:pPr>
              <w:widowControl/>
              <w:jc w:val="center"/>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3</w:t>
            </w:r>
          </w:p>
        </w:tc>
        <w:tc>
          <w:tcPr>
            <w:tcW w:w="569" w:type="dxa"/>
            <w:gridSpan w:val="2"/>
            <w:vAlign w:val="center"/>
          </w:tcPr>
          <w:p>
            <w:pPr>
              <w:widowControl/>
              <w:jc w:val="center"/>
              <w:outlineLvl w:val="1"/>
              <w:rPr>
                <w:rFonts w:ascii="仿宋_GB2312" w:hAnsi="宋体" w:eastAsia="仿宋_GB2312"/>
                <w:kern w:val="0"/>
                <w:sz w:val="18"/>
                <w:szCs w:val="18"/>
                <w:highlight w:val="none"/>
              </w:rPr>
            </w:pPr>
          </w:p>
        </w:tc>
        <w:tc>
          <w:tcPr>
            <w:tcW w:w="536" w:type="dxa"/>
            <w:vAlign w:val="center"/>
          </w:tcPr>
          <w:p>
            <w:pPr>
              <w:widowControl/>
              <w:jc w:val="center"/>
              <w:outlineLvl w:val="1"/>
              <w:rPr>
                <w:rFonts w:ascii="仿宋_GB2312" w:hAnsi="宋体" w:eastAsia="仿宋_GB2312"/>
                <w:kern w:val="0"/>
                <w:sz w:val="18"/>
                <w:szCs w:val="18"/>
                <w:highlight w:val="none"/>
              </w:rPr>
            </w:pPr>
          </w:p>
          <w:p>
            <w:pPr>
              <w:widowControl/>
              <w:jc w:val="center"/>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3</w:t>
            </w:r>
          </w:p>
        </w:tc>
        <w:tc>
          <w:tcPr>
            <w:tcW w:w="652" w:type="dxa"/>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210</w:t>
            </w:r>
            <w:r>
              <w:rPr>
                <w:rFonts w:hint="eastAsia" w:ascii="仿宋_GB2312" w:hAnsi="宋体" w:eastAsia="仿宋_GB2312"/>
                <w:kern w:val="0"/>
                <w:sz w:val="18"/>
                <w:szCs w:val="18"/>
                <w:highlight w:val="none"/>
              </w:rPr>
              <w:t>　</w:t>
            </w:r>
          </w:p>
        </w:tc>
        <w:tc>
          <w:tcPr>
            <w:tcW w:w="425" w:type="dxa"/>
          </w:tcPr>
          <w:p>
            <w:pPr>
              <w:widowControl/>
              <w:jc w:val="left"/>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04</w:t>
            </w:r>
            <w:r>
              <w:rPr>
                <w:rFonts w:hint="eastAsia" w:ascii="仿宋_GB2312" w:hAnsi="宋体" w:eastAsia="仿宋_GB2312"/>
                <w:kern w:val="0"/>
                <w:sz w:val="18"/>
                <w:szCs w:val="18"/>
                <w:highlight w:val="none"/>
              </w:rPr>
              <w:t>　</w:t>
            </w:r>
          </w:p>
        </w:tc>
        <w:tc>
          <w:tcPr>
            <w:tcW w:w="325" w:type="dxa"/>
          </w:tcPr>
          <w:p>
            <w:pPr>
              <w:widowControl/>
              <w:jc w:val="left"/>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01</w:t>
            </w:r>
            <w:r>
              <w:rPr>
                <w:rFonts w:hint="eastAsia" w:ascii="仿宋_GB2312" w:hAnsi="宋体" w:eastAsia="仿宋_GB2312"/>
                <w:kern w:val="0"/>
                <w:sz w:val="18"/>
                <w:szCs w:val="18"/>
                <w:highlight w:val="none"/>
              </w:rPr>
              <w:t>　</w:t>
            </w:r>
          </w:p>
        </w:tc>
        <w:tc>
          <w:tcPr>
            <w:tcW w:w="851"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r>
              <w:rPr>
                <w:rFonts w:ascii="仿宋_GB2312" w:hAnsi="宋体" w:eastAsia="仿宋_GB2312"/>
                <w:kern w:val="0"/>
                <w:sz w:val="18"/>
                <w:szCs w:val="18"/>
                <w:highlight w:val="none"/>
              </w:rPr>
              <w:t>2100401</w:t>
            </w:r>
          </w:p>
        </w:tc>
        <w:tc>
          <w:tcPr>
            <w:tcW w:w="1659" w:type="dxa"/>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结核病防治经费</w:t>
            </w:r>
          </w:p>
        </w:tc>
        <w:tc>
          <w:tcPr>
            <w:tcW w:w="547" w:type="dxa"/>
            <w:vAlign w:val="center"/>
          </w:tcPr>
          <w:p>
            <w:pPr>
              <w:widowControl/>
              <w:jc w:val="center"/>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6</w:t>
            </w:r>
          </w:p>
        </w:tc>
        <w:tc>
          <w:tcPr>
            <w:tcW w:w="569" w:type="dxa"/>
            <w:gridSpan w:val="2"/>
            <w:vAlign w:val="center"/>
          </w:tcPr>
          <w:p>
            <w:pPr>
              <w:widowControl/>
              <w:jc w:val="center"/>
              <w:outlineLvl w:val="1"/>
              <w:rPr>
                <w:rFonts w:ascii="仿宋_GB2312" w:hAnsi="宋体" w:eastAsia="仿宋_GB2312"/>
                <w:kern w:val="0"/>
                <w:sz w:val="18"/>
                <w:szCs w:val="18"/>
                <w:highlight w:val="none"/>
              </w:rPr>
            </w:pPr>
          </w:p>
        </w:tc>
        <w:tc>
          <w:tcPr>
            <w:tcW w:w="536" w:type="dxa"/>
            <w:vAlign w:val="center"/>
          </w:tcPr>
          <w:p>
            <w:pPr>
              <w:widowControl/>
              <w:jc w:val="center"/>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6</w:t>
            </w:r>
          </w:p>
        </w:tc>
        <w:tc>
          <w:tcPr>
            <w:tcW w:w="652" w:type="dxa"/>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210</w:t>
            </w:r>
            <w:r>
              <w:rPr>
                <w:rFonts w:hint="eastAsia" w:ascii="仿宋_GB2312" w:hAnsi="宋体" w:eastAsia="仿宋_GB2312"/>
                <w:kern w:val="0"/>
                <w:sz w:val="18"/>
                <w:szCs w:val="18"/>
                <w:highlight w:val="none"/>
              </w:rPr>
              <w:t>　</w:t>
            </w:r>
          </w:p>
        </w:tc>
        <w:tc>
          <w:tcPr>
            <w:tcW w:w="425" w:type="dxa"/>
          </w:tcPr>
          <w:p>
            <w:pPr>
              <w:widowControl/>
              <w:jc w:val="left"/>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04</w:t>
            </w:r>
            <w:r>
              <w:rPr>
                <w:rFonts w:hint="eastAsia" w:ascii="仿宋_GB2312" w:hAnsi="宋体" w:eastAsia="仿宋_GB2312"/>
                <w:kern w:val="0"/>
                <w:sz w:val="18"/>
                <w:szCs w:val="18"/>
                <w:highlight w:val="none"/>
              </w:rPr>
              <w:t>　</w:t>
            </w:r>
          </w:p>
        </w:tc>
        <w:tc>
          <w:tcPr>
            <w:tcW w:w="325" w:type="dxa"/>
          </w:tcPr>
          <w:p>
            <w:pPr>
              <w:widowControl/>
              <w:jc w:val="left"/>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01</w:t>
            </w:r>
            <w:r>
              <w:rPr>
                <w:rFonts w:hint="eastAsia" w:ascii="仿宋_GB2312" w:hAnsi="宋体" w:eastAsia="仿宋_GB2312"/>
                <w:kern w:val="0"/>
                <w:sz w:val="18"/>
                <w:szCs w:val="18"/>
                <w:highlight w:val="none"/>
              </w:rPr>
              <w:t>　</w:t>
            </w:r>
          </w:p>
        </w:tc>
        <w:tc>
          <w:tcPr>
            <w:tcW w:w="851"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r>
              <w:rPr>
                <w:rFonts w:ascii="仿宋_GB2312" w:hAnsi="宋体" w:eastAsia="仿宋_GB2312"/>
                <w:kern w:val="0"/>
                <w:sz w:val="18"/>
                <w:szCs w:val="18"/>
                <w:highlight w:val="none"/>
              </w:rPr>
              <w:t>2100401</w:t>
            </w:r>
          </w:p>
        </w:tc>
        <w:tc>
          <w:tcPr>
            <w:tcW w:w="1659" w:type="dxa"/>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冷链运转经费</w:t>
            </w:r>
          </w:p>
        </w:tc>
        <w:tc>
          <w:tcPr>
            <w:tcW w:w="547" w:type="dxa"/>
            <w:vAlign w:val="center"/>
          </w:tcPr>
          <w:p>
            <w:pPr>
              <w:widowControl/>
              <w:jc w:val="center"/>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3</w:t>
            </w:r>
          </w:p>
        </w:tc>
        <w:tc>
          <w:tcPr>
            <w:tcW w:w="569" w:type="dxa"/>
            <w:gridSpan w:val="2"/>
            <w:vAlign w:val="center"/>
          </w:tcPr>
          <w:p>
            <w:pPr>
              <w:widowControl/>
              <w:jc w:val="center"/>
              <w:outlineLvl w:val="1"/>
              <w:rPr>
                <w:rFonts w:ascii="仿宋_GB2312" w:hAnsi="宋体" w:eastAsia="仿宋_GB2312"/>
                <w:kern w:val="0"/>
                <w:sz w:val="18"/>
                <w:szCs w:val="18"/>
                <w:highlight w:val="none"/>
              </w:rPr>
            </w:pPr>
          </w:p>
        </w:tc>
        <w:tc>
          <w:tcPr>
            <w:tcW w:w="536" w:type="dxa"/>
            <w:vAlign w:val="center"/>
          </w:tcPr>
          <w:p>
            <w:pPr>
              <w:widowControl/>
              <w:jc w:val="center"/>
              <w:outlineLvl w:val="1"/>
              <w:rPr>
                <w:rFonts w:ascii="仿宋_GB2312" w:hAnsi="宋体" w:eastAsia="仿宋_GB2312"/>
                <w:kern w:val="0"/>
                <w:sz w:val="18"/>
                <w:szCs w:val="18"/>
                <w:highlight w:val="none"/>
              </w:rPr>
            </w:pPr>
          </w:p>
          <w:p>
            <w:pPr>
              <w:widowControl/>
              <w:jc w:val="center"/>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3</w:t>
            </w:r>
          </w:p>
        </w:tc>
        <w:tc>
          <w:tcPr>
            <w:tcW w:w="652" w:type="dxa"/>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2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65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4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2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659" w:type="dxa"/>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47" w:type="dxa"/>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69" w:type="dxa"/>
            <w:gridSpan w:val="2"/>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36" w:type="dxa"/>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652" w:type="dxa"/>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652" w:type="dxa"/>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78" w:type="dxa"/>
            <w:gridSpan w:val="2"/>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419" w:type="dxa"/>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2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659" w:type="dxa"/>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47" w:type="dxa"/>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69" w:type="dxa"/>
            <w:gridSpan w:val="2"/>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36" w:type="dxa"/>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652" w:type="dxa"/>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652" w:type="dxa"/>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78" w:type="dxa"/>
            <w:gridSpan w:val="2"/>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419" w:type="dxa"/>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仿宋_GB2312" w:hAnsi="宋体" w:eastAsia="仿宋_GB2312"/>
                <w:kern w:val="0"/>
                <w:sz w:val="32"/>
                <w:szCs w:val="32"/>
                <w:highlight w:val="none"/>
              </w:rPr>
            </w:pPr>
          </w:p>
        </w:tc>
        <w:tc>
          <w:tcPr>
            <w:tcW w:w="425" w:type="dxa"/>
          </w:tcPr>
          <w:p>
            <w:pPr>
              <w:widowControl/>
              <w:jc w:val="left"/>
              <w:outlineLvl w:val="1"/>
              <w:rPr>
                <w:rFonts w:ascii="仿宋_GB2312" w:hAnsi="宋体" w:eastAsia="仿宋_GB2312"/>
                <w:kern w:val="0"/>
                <w:sz w:val="32"/>
                <w:szCs w:val="32"/>
                <w:highlight w:val="none"/>
              </w:rPr>
            </w:pPr>
          </w:p>
        </w:tc>
        <w:tc>
          <w:tcPr>
            <w:tcW w:w="325" w:type="dxa"/>
          </w:tcPr>
          <w:p>
            <w:pPr>
              <w:widowControl/>
              <w:jc w:val="left"/>
              <w:outlineLvl w:val="1"/>
              <w:rPr>
                <w:rFonts w:ascii="仿宋_GB2312" w:hAnsi="宋体" w:eastAsia="仿宋_GB2312"/>
                <w:kern w:val="0"/>
                <w:sz w:val="32"/>
                <w:szCs w:val="32"/>
                <w:highlight w:val="none"/>
              </w:rPr>
            </w:pPr>
          </w:p>
        </w:tc>
        <w:tc>
          <w:tcPr>
            <w:tcW w:w="851" w:type="dxa"/>
          </w:tcPr>
          <w:p>
            <w:pPr>
              <w:widowControl/>
              <w:jc w:val="left"/>
              <w:outlineLvl w:val="1"/>
              <w:rPr>
                <w:rFonts w:ascii="仿宋_GB2312" w:hAnsi="宋体" w:eastAsia="仿宋_GB2312"/>
                <w:kern w:val="0"/>
                <w:sz w:val="32"/>
                <w:szCs w:val="32"/>
                <w:highlight w:val="none"/>
              </w:rPr>
            </w:pPr>
          </w:p>
        </w:tc>
        <w:tc>
          <w:tcPr>
            <w:tcW w:w="1659" w:type="dxa"/>
          </w:tcPr>
          <w:p>
            <w:pPr>
              <w:widowControl/>
              <w:jc w:val="center"/>
              <w:outlineLvl w:val="1"/>
              <w:rPr>
                <w:rFonts w:ascii="仿宋_GB2312" w:hAnsi="宋体" w:eastAsia="仿宋_GB2312"/>
                <w:kern w:val="0"/>
                <w:sz w:val="18"/>
                <w:szCs w:val="18"/>
                <w:highlight w:val="none"/>
              </w:rPr>
            </w:pPr>
          </w:p>
        </w:tc>
        <w:tc>
          <w:tcPr>
            <w:tcW w:w="547" w:type="dxa"/>
          </w:tcPr>
          <w:p>
            <w:pPr>
              <w:widowControl/>
              <w:jc w:val="center"/>
              <w:outlineLvl w:val="1"/>
              <w:rPr>
                <w:rFonts w:ascii="仿宋_GB2312" w:hAnsi="宋体" w:eastAsia="仿宋_GB2312"/>
                <w:kern w:val="0"/>
                <w:sz w:val="18"/>
                <w:szCs w:val="18"/>
                <w:highlight w:val="none"/>
              </w:rPr>
            </w:pPr>
          </w:p>
        </w:tc>
        <w:tc>
          <w:tcPr>
            <w:tcW w:w="569" w:type="dxa"/>
            <w:gridSpan w:val="2"/>
          </w:tcPr>
          <w:p>
            <w:pPr>
              <w:widowControl/>
              <w:jc w:val="center"/>
              <w:outlineLvl w:val="1"/>
              <w:rPr>
                <w:rFonts w:ascii="仿宋_GB2312" w:hAnsi="宋体" w:eastAsia="仿宋_GB2312"/>
                <w:kern w:val="0"/>
                <w:sz w:val="18"/>
                <w:szCs w:val="18"/>
                <w:highlight w:val="none"/>
              </w:rPr>
            </w:pPr>
          </w:p>
        </w:tc>
        <w:tc>
          <w:tcPr>
            <w:tcW w:w="536" w:type="dxa"/>
          </w:tcPr>
          <w:p>
            <w:pPr>
              <w:widowControl/>
              <w:jc w:val="center"/>
              <w:outlineLvl w:val="1"/>
              <w:rPr>
                <w:rFonts w:ascii="仿宋_GB2312" w:hAnsi="宋体" w:eastAsia="仿宋_GB2312"/>
                <w:kern w:val="0"/>
                <w:sz w:val="18"/>
                <w:szCs w:val="18"/>
                <w:highlight w:val="none"/>
              </w:rPr>
            </w:pPr>
          </w:p>
        </w:tc>
        <w:tc>
          <w:tcPr>
            <w:tcW w:w="652" w:type="dxa"/>
          </w:tcPr>
          <w:p>
            <w:pPr>
              <w:widowControl/>
              <w:jc w:val="center"/>
              <w:outlineLvl w:val="1"/>
              <w:rPr>
                <w:rFonts w:ascii="仿宋_GB2312" w:hAnsi="宋体" w:eastAsia="仿宋_GB2312"/>
                <w:kern w:val="0"/>
                <w:sz w:val="18"/>
                <w:szCs w:val="18"/>
                <w:highlight w:val="none"/>
              </w:rPr>
            </w:pPr>
          </w:p>
        </w:tc>
        <w:tc>
          <w:tcPr>
            <w:tcW w:w="652" w:type="dxa"/>
          </w:tcPr>
          <w:p>
            <w:pPr>
              <w:widowControl/>
              <w:jc w:val="center"/>
              <w:outlineLvl w:val="1"/>
              <w:rPr>
                <w:rFonts w:ascii="仿宋_GB2312" w:hAnsi="宋体" w:eastAsia="仿宋_GB2312"/>
                <w:kern w:val="0"/>
                <w:sz w:val="18"/>
                <w:szCs w:val="18"/>
                <w:highlight w:val="none"/>
              </w:rPr>
            </w:pPr>
          </w:p>
        </w:tc>
        <w:tc>
          <w:tcPr>
            <w:tcW w:w="578" w:type="dxa"/>
            <w:gridSpan w:val="2"/>
          </w:tcPr>
          <w:p>
            <w:pPr>
              <w:widowControl/>
              <w:jc w:val="center"/>
              <w:outlineLvl w:val="1"/>
              <w:rPr>
                <w:rFonts w:ascii="仿宋_GB2312" w:hAnsi="宋体" w:eastAsia="仿宋_GB2312"/>
                <w:kern w:val="0"/>
                <w:sz w:val="18"/>
                <w:szCs w:val="18"/>
                <w:highlight w:val="none"/>
              </w:rPr>
            </w:pPr>
          </w:p>
        </w:tc>
        <w:tc>
          <w:tcPr>
            <w:tcW w:w="419" w:type="dxa"/>
          </w:tcPr>
          <w:p>
            <w:pPr>
              <w:widowControl/>
              <w:jc w:val="center"/>
              <w:outlineLvl w:val="1"/>
              <w:rPr>
                <w:rFonts w:ascii="仿宋_GB2312" w:hAnsi="宋体" w:eastAsia="仿宋_GB2312"/>
                <w:kern w:val="0"/>
                <w:sz w:val="18"/>
                <w:szCs w:val="18"/>
                <w:highlight w:val="none"/>
              </w:rPr>
            </w:pPr>
          </w:p>
        </w:tc>
        <w:tc>
          <w:tcPr>
            <w:tcW w:w="578" w:type="dxa"/>
          </w:tcPr>
          <w:p>
            <w:pPr>
              <w:widowControl/>
              <w:jc w:val="left"/>
              <w:outlineLvl w:val="1"/>
              <w:rPr>
                <w:rFonts w:ascii="仿宋_GB2312" w:hAnsi="宋体" w:eastAsia="仿宋_GB2312"/>
                <w:kern w:val="0"/>
                <w:sz w:val="32"/>
                <w:szCs w:val="32"/>
                <w:highlight w:val="none"/>
              </w:rPr>
            </w:pPr>
          </w:p>
        </w:tc>
        <w:tc>
          <w:tcPr>
            <w:tcW w:w="420" w:type="dxa"/>
          </w:tcPr>
          <w:p>
            <w:pPr>
              <w:widowControl/>
              <w:jc w:val="left"/>
              <w:outlineLvl w:val="1"/>
              <w:rPr>
                <w:rFonts w:ascii="仿宋_GB2312" w:hAnsi="宋体" w:eastAsia="仿宋_GB2312"/>
                <w:kern w:val="0"/>
                <w:sz w:val="32"/>
                <w:szCs w:val="32"/>
                <w:highlight w:val="none"/>
              </w:rPr>
            </w:pPr>
          </w:p>
        </w:tc>
        <w:tc>
          <w:tcPr>
            <w:tcW w:w="420" w:type="dxa"/>
          </w:tcPr>
          <w:p>
            <w:pPr>
              <w:widowControl/>
              <w:jc w:val="left"/>
              <w:outlineLvl w:val="1"/>
              <w:rPr>
                <w:rFonts w:ascii="仿宋_GB2312" w:hAnsi="宋体" w:eastAsia="仿宋_GB2312"/>
                <w:kern w:val="0"/>
                <w:sz w:val="32"/>
                <w:szCs w:val="32"/>
                <w:highlight w:val="none"/>
              </w:rPr>
            </w:pPr>
          </w:p>
        </w:tc>
        <w:tc>
          <w:tcPr>
            <w:tcW w:w="397" w:type="dxa"/>
            <w:gridSpan w:val="2"/>
          </w:tcPr>
          <w:p>
            <w:pPr>
              <w:widowControl/>
              <w:jc w:val="lef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2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659" w:type="dxa"/>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合计</w:t>
            </w:r>
          </w:p>
        </w:tc>
        <w:tc>
          <w:tcPr>
            <w:tcW w:w="547" w:type="dxa"/>
            <w:vAlign w:val="center"/>
          </w:tcPr>
          <w:p>
            <w:pPr>
              <w:widowControl/>
              <w:jc w:val="center"/>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15</w:t>
            </w:r>
          </w:p>
        </w:tc>
        <w:tc>
          <w:tcPr>
            <w:tcW w:w="569" w:type="dxa"/>
            <w:gridSpan w:val="2"/>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36" w:type="dxa"/>
          </w:tcPr>
          <w:p>
            <w:pPr>
              <w:widowControl/>
              <w:jc w:val="left"/>
              <w:outlineLvl w:val="1"/>
              <w:rPr>
                <w:rFonts w:ascii="仿宋_GB2312" w:hAnsi="宋体" w:eastAsia="仿宋_GB2312"/>
                <w:kern w:val="0"/>
                <w:sz w:val="18"/>
                <w:szCs w:val="18"/>
                <w:highlight w:val="none"/>
              </w:rPr>
            </w:pPr>
            <w:r>
              <w:rPr>
                <w:rFonts w:ascii="仿宋_GB2312" w:hAnsi="宋体" w:eastAsia="仿宋_GB2312"/>
                <w:kern w:val="0"/>
                <w:sz w:val="18"/>
                <w:szCs w:val="18"/>
                <w:highlight w:val="none"/>
              </w:rPr>
              <w:t>15</w:t>
            </w:r>
            <w:r>
              <w:rPr>
                <w:rFonts w:hint="eastAsia" w:ascii="仿宋_GB2312" w:hAnsi="宋体" w:eastAsia="仿宋_GB2312"/>
                <w:kern w:val="0"/>
                <w:sz w:val="18"/>
                <w:szCs w:val="18"/>
                <w:highlight w:val="none"/>
              </w:rPr>
              <w:t>　</w:t>
            </w:r>
          </w:p>
        </w:tc>
        <w:tc>
          <w:tcPr>
            <w:tcW w:w="652"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652"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78" w:type="dxa"/>
            <w:gridSpan w:val="2"/>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419"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bl>
    <w:p>
      <w:pPr>
        <w:widowControl/>
        <w:jc w:val="left"/>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表八：</w:t>
      </w:r>
    </w:p>
    <w:p>
      <w:pPr>
        <w:widowControl/>
        <w:jc w:val="left"/>
        <w:outlineLvl w:val="1"/>
        <w:rPr>
          <w:rFonts w:ascii="仿宋_GB2312" w:hAnsi="宋体" w:eastAsia="仿宋_GB2312"/>
          <w:b/>
          <w:kern w:val="0"/>
          <w:sz w:val="32"/>
          <w:szCs w:val="32"/>
          <w:highlight w:val="none"/>
        </w:rPr>
      </w:pPr>
    </w:p>
    <w:p>
      <w:pPr>
        <w:widowControl/>
        <w:jc w:val="center"/>
        <w:outlineLvl w:val="1"/>
        <w:rPr>
          <w:rFonts w:ascii="仿宋_GB2312" w:hAnsi="宋体" w:eastAsia="仿宋_GB2312"/>
          <w:b/>
          <w:kern w:val="0"/>
          <w:sz w:val="32"/>
          <w:szCs w:val="32"/>
          <w:highlight w:val="none"/>
        </w:rPr>
      </w:pP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一般公共预算“三公”经费支出情况表</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编制单位：昌吉州疾病预防控制中心</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rPr>
        <w:t>单位：万元</w:t>
      </w:r>
    </w:p>
    <w:tbl>
      <w:tblPr>
        <w:tblStyle w:val="4"/>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highlight w:val="none"/>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r>
              <w:rPr>
                <w:rFonts w:ascii="宋体" w:hAnsi="宋体" w:cs="宋体"/>
                <w:color w:val="000000"/>
                <w:kern w:val="0"/>
                <w:sz w:val="24"/>
                <w:highlight w:val="none"/>
              </w:rPr>
              <w:t>18.87</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r>
              <w:rPr>
                <w:rFonts w:ascii="宋体" w:cs="宋体"/>
                <w:color w:val="000000"/>
                <w:kern w:val="0"/>
                <w:sz w:val="24"/>
                <w:highlight w:val="none"/>
              </w:rPr>
              <w:t>0</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r>
              <w:rPr>
                <w:rFonts w:ascii="宋体" w:hAnsi="宋体" w:cs="宋体"/>
                <w:color w:val="000000"/>
                <w:kern w:val="0"/>
                <w:sz w:val="24"/>
                <w:highlight w:val="none"/>
              </w:rPr>
              <w:t>16.9</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r>
              <w:rPr>
                <w:rFonts w:ascii="宋体" w:hAnsi="宋体" w:cs="宋体"/>
                <w:color w:val="000000"/>
                <w:kern w:val="0"/>
                <w:sz w:val="24"/>
                <w:highlight w:val="none"/>
              </w:rPr>
              <w:t xml:space="preserve">  0</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r>
              <w:rPr>
                <w:rFonts w:ascii="宋体" w:hAnsi="宋体" w:cs="宋体"/>
                <w:color w:val="000000"/>
                <w:kern w:val="0"/>
                <w:sz w:val="24"/>
                <w:highlight w:val="none"/>
              </w:rPr>
              <w:t>16.9</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r>
              <w:rPr>
                <w:rFonts w:ascii="宋体" w:hAnsi="宋体" w:cs="宋体"/>
                <w:color w:val="000000"/>
                <w:kern w:val="0"/>
                <w:sz w:val="24"/>
                <w:highlight w:val="none"/>
              </w:rPr>
              <w:t>1.97</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r>
    </w:tbl>
    <w:p>
      <w:pPr>
        <w:widowControl/>
        <w:outlineLvl w:val="1"/>
        <w:rPr>
          <w:rFonts w:ascii="仿宋_GB2312" w:hAnsi="宋体" w:eastAsia="仿宋_GB2312"/>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表九：</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政府性基金预算支出情况表</w:t>
      </w:r>
    </w:p>
    <w:p>
      <w:pPr>
        <w:widowControl/>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编制单位：昌吉州疾病预防控制中心</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rPr>
        <w:t>单位：万元</w:t>
      </w:r>
    </w:p>
    <w:tbl>
      <w:tblPr>
        <w:tblStyle w:val="4"/>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r>
              <w:rPr>
                <w:rFonts w:ascii="仿宋_GB2312" w:hAnsi="宋体" w:eastAsia="仿宋_GB2312" w:cs="宋体"/>
                <w:b/>
                <w:bCs/>
                <w:color w:val="000000"/>
                <w:kern w:val="0"/>
                <w:sz w:val="24"/>
                <w:highlight w:val="none"/>
              </w:rPr>
              <w:t xml:space="preserve">  </w:t>
            </w:r>
            <w:r>
              <w:rPr>
                <w:rFonts w:hint="eastAsia" w:ascii="仿宋_GB2312" w:hAnsi="宋体" w:eastAsia="仿宋_GB2312" w:cs="宋体"/>
                <w:b/>
                <w:bCs/>
                <w:color w:val="000000"/>
                <w:kern w:val="0"/>
                <w:sz w:val="24"/>
                <w:highlight w:val="none"/>
              </w:rPr>
              <w:t>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highlight w:val="none"/>
              </w:rPr>
            </w:pP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备注：我单位无涉及政府性基金收支，公开空表。</w:t>
      </w:r>
    </w:p>
    <w:p>
      <w:pPr>
        <w:widowControl/>
        <w:jc w:val="left"/>
        <w:outlineLvl w:val="1"/>
        <w:rPr>
          <w:highlight w:val="none"/>
        </w:rPr>
        <w:sectPr>
          <w:headerReference r:id="rId3" w:type="default"/>
          <w:footerReference r:id="rId4" w:type="default"/>
          <w:footerReference r:id="rId5" w:type="even"/>
          <w:pgSz w:w="11906" w:h="16838"/>
          <w:pgMar w:top="2098" w:right="1418" w:bottom="1928" w:left="1588" w:header="851" w:footer="992" w:gutter="0"/>
          <w:pgNumType w:fmt="numberInDash"/>
          <w:cols w:space="720" w:num="1"/>
          <w:docGrid w:linePitch="312" w:charSpace="0"/>
        </w:sectPr>
      </w:pPr>
    </w:p>
    <w:p>
      <w:pPr>
        <w:widowControl/>
        <w:spacing w:beforeLines="50"/>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第三部分</w:t>
      </w:r>
      <w:r>
        <w:rPr>
          <w:rFonts w:ascii="黑体" w:hAnsi="黑体" w:eastAsia="黑体"/>
          <w:kern w:val="0"/>
          <w:sz w:val="32"/>
          <w:szCs w:val="32"/>
          <w:highlight w:val="none"/>
        </w:rPr>
        <w:t xml:space="preserve">  2019</w:t>
      </w:r>
      <w:r>
        <w:rPr>
          <w:rFonts w:hint="eastAsia" w:ascii="黑体" w:hAnsi="黑体" w:eastAsia="黑体"/>
          <w:kern w:val="0"/>
          <w:sz w:val="32"/>
          <w:szCs w:val="32"/>
          <w:highlight w:val="none"/>
        </w:rPr>
        <w:t>年部门预算情况说明</w:t>
      </w:r>
    </w:p>
    <w:p>
      <w:pPr>
        <w:widowControl/>
        <w:spacing w:line="580" w:lineRule="exact"/>
        <w:ind w:firstLine="640"/>
        <w:jc w:val="left"/>
        <w:rPr>
          <w:rFonts w:ascii="黑体" w:hAnsi="宋体" w:eastAsia="黑体" w:cs="宋体"/>
          <w:kern w:val="0"/>
          <w:sz w:val="32"/>
          <w:szCs w:val="32"/>
          <w:highlight w:val="none"/>
        </w:rPr>
      </w:pPr>
      <w:r>
        <w:rPr>
          <w:rFonts w:hint="eastAsia" w:ascii="黑体" w:hAnsi="黑体" w:eastAsia="黑体" w:cs="宋体"/>
          <w:bCs/>
          <w:kern w:val="0"/>
          <w:sz w:val="32"/>
          <w:szCs w:val="32"/>
          <w:highlight w:val="none"/>
        </w:rPr>
        <w:t>一、</w:t>
      </w:r>
      <w:r>
        <w:rPr>
          <w:rFonts w:hint="eastAsia" w:ascii="黑体" w:hAnsi="宋体" w:eastAsia="黑体" w:cs="宋体"/>
          <w:kern w:val="0"/>
          <w:sz w:val="32"/>
          <w:szCs w:val="32"/>
          <w:highlight w:val="none"/>
        </w:rPr>
        <w:t>关于昌吉州疾病预防控制中心部门</w:t>
      </w:r>
      <w:r>
        <w:rPr>
          <w:rFonts w:ascii="黑体" w:hAnsi="宋体" w:eastAsia="黑体" w:cs="宋体"/>
          <w:kern w:val="0"/>
          <w:sz w:val="32"/>
          <w:szCs w:val="32"/>
          <w:highlight w:val="none"/>
        </w:rPr>
        <w:t>2019</w:t>
      </w:r>
      <w:r>
        <w:rPr>
          <w:rFonts w:hint="eastAsia" w:ascii="黑体" w:hAnsi="宋体" w:eastAsia="黑体" w:cs="宋体"/>
          <w:kern w:val="0"/>
          <w:sz w:val="32"/>
          <w:szCs w:val="32"/>
          <w:highlight w:val="none"/>
        </w:rPr>
        <w:t>年收支预算情况的总体说明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按照全口径预算的原则，昌吉州疾病预防控制中心部门</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年所有收入和支出均纳入部门预算管理。收支总预算</w:t>
      </w:r>
      <w:r>
        <w:rPr>
          <w:rFonts w:ascii="仿宋_GB2312" w:hAnsi="宋体" w:eastAsia="仿宋_GB2312" w:cs="宋体"/>
          <w:kern w:val="0"/>
          <w:sz w:val="32"/>
          <w:szCs w:val="32"/>
          <w:highlight w:val="none"/>
        </w:rPr>
        <w:t>1446.66</w:t>
      </w:r>
      <w:r>
        <w:rPr>
          <w:rFonts w:hint="eastAsia" w:ascii="仿宋_GB2312" w:hAnsi="宋体" w:eastAsia="仿宋_GB2312" w:cs="宋体"/>
          <w:kern w:val="0"/>
          <w:sz w:val="32"/>
          <w:szCs w:val="32"/>
          <w:highlight w:val="none"/>
        </w:rPr>
        <w:t>万元。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支出预算包括：医疗卫生与计划生育支出。</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二、关于昌吉州疾病预防控制中心部门</w:t>
      </w:r>
      <w:r>
        <w:rPr>
          <w:rFonts w:ascii="黑体" w:hAnsi="宋体" w:eastAsia="黑体" w:cs="宋体"/>
          <w:kern w:val="0"/>
          <w:sz w:val="32"/>
          <w:szCs w:val="32"/>
          <w:highlight w:val="none"/>
        </w:rPr>
        <w:t>2019</w:t>
      </w:r>
      <w:r>
        <w:rPr>
          <w:rFonts w:hint="eastAsia" w:ascii="黑体" w:hAnsi="宋体" w:eastAsia="黑体" w:cs="宋体"/>
          <w:kern w:val="0"/>
          <w:sz w:val="32"/>
          <w:szCs w:val="32"/>
          <w:highlight w:val="none"/>
        </w:rPr>
        <w:t>年收入预算情况说明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昌吉州疾病预防控制中心部门收入预算</w:t>
      </w:r>
      <w:r>
        <w:rPr>
          <w:rFonts w:ascii="仿宋_GB2312" w:hAnsi="宋体" w:eastAsia="仿宋_GB2312" w:cs="宋体"/>
          <w:kern w:val="0"/>
          <w:sz w:val="32"/>
          <w:szCs w:val="32"/>
          <w:highlight w:val="none"/>
        </w:rPr>
        <w:t>1446.66</w:t>
      </w:r>
      <w:r>
        <w:rPr>
          <w:rFonts w:hint="eastAsia" w:ascii="仿宋_GB2312" w:hAnsi="宋体" w:eastAsia="仿宋_GB2312" w:cs="宋体"/>
          <w:kern w:val="0"/>
          <w:sz w:val="32"/>
          <w:szCs w:val="32"/>
          <w:highlight w:val="none"/>
        </w:rPr>
        <w:t>万元，其中：</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w:t>
      </w:r>
      <w:r>
        <w:rPr>
          <w:rFonts w:ascii="仿宋_GB2312" w:hAnsi="宋体" w:eastAsia="仿宋_GB2312" w:cs="宋体"/>
          <w:kern w:val="0"/>
          <w:sz w:val="32"/>
          <w:szCs w:val="32"/>
          <w:highlight w:val="none"/>
        </w:rPr>
        <w:t>1446.66</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100%</w:t>
      </w:r>
      <w:r>
        <w:rPr>
          <w:rFonts w:hint="eastAsia" w:ascii="仿宋_GB2312" w:hAnsi="宋体" w:eastAsia="仿宋_GB2312" w:cs="宋体"/>
          <w:kern w:val="0"/>
          <w:sz w:val="32"/>
          <w:szCs w:val="32"/>
          <w:highlight w:val="none"/>
        </w:rPr>
        <w:t>，比上年减少</w:t>
      </w:r>
      <w:r>
        <w:rPr>
          <w:rFonts w:ascii="仿宋_GB2312" w:hAnsi="宋体" w:eastAsia="仿宋_GB2312" w:cs="宋体"/>
          <w:kern w:val="0"/>
          <w:sz w:val="32"/>
          <w:szCs w:val="32"/>
          <w:highlight w:val="none"/>
        </w:rPr>
        <w:t>63.76</w:t>
      </w:r>
      <w:r>
        <w:rPr>
          <w:rFonts w:hint="eastAsia" w:ascii="仿宋_GB2312" w:hAnsi="宋体" w:eastAsia="仿宋_GB2312" w:cs="宋体"/>
          <w:kern w:val="0"/>
          <w:sz w:val="32"/>
          <w:szCs w:val="32"/>
          <w:highlight w:val="none"/>
        </w:rPr>
        <w:t>万元，主要原因是有人员调出，公用经费压减</w:t>
      </w:r>
      <w:r>
        <w:rPr>
          <w:rFonts w:ascii="仿宋_GB2312" w:hAnsi="宋体" w:eastAsia="仿宋_GB2312" w:cs="宋体"/>
          <w:kern w:val="0"/>
          <w:sz w:val="32"/>
          <w:szCs w:val="32"/>
          <w:highlight w:val="none"/>
        </w:rPr>
        <w:t>5%</w:t>
      </w:r>
      <w:r>
        <w:rPr>
          <w:rFonts w:hint="eastAsia" w:ascii="仿宋_GB2312" w:hAnsi="宋体" w:eastAsia="仿宋_GB2312" w:cs="宋体"/>
          <w:kern w:val="0"/>
          <w:sz w:val="32"/>
          <w:szCs w:val="32"/>
          <w:highlight w:val="none"/>
        </w:rPr>
        <w:t>。</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政府性基金预算未安排，或0万元，占0%，比上年增加0万元，主要原因是无政府性基金。</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三、关于昌吉州疾病预防控制中心部门单位</w:t>
      </w:r>
      <w:r>
        <w:rPr>
          <w:rFonts w:ascii="黑体" w:hAnsi="宋体" w:eastAsia="黑体" w:cs="宋体"/>
          <w:kern w:val="0"/>
          <w:sz w:val="32"/>
          <w:szCs w:val="32"/>
          <w:highlight w:val="none"/>
        </w:rPr>
        <w:t>2019</w:t>
      </w:r>
      <w:r>
        <w:rPr>
          <w:rFonts w:hint="eastAsia" w:ascii="黑体" w:hAnsi="宋体" w:eastAsia="黑体" w:cs="宋体"/>
          <w:kern w:val="0"/>
          <w:sz w:val="32"/>
          <w:szCs w:val="32"/>
          <w:highlight w:val="none"/>
        </w:rPr>
        <w:t>年支出预算情况说明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昌吉州疾病预防控制中心部门单位</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年支出预算</w:t>
      </w:r>
      <w:r>
        <w:rPr>
          <w:rFonts w:ascii="仿宋_GB2312" w:hAnsi="宋体" w:eastAsia="仿宋_GB2312" w:cs="宋体"/>
          <w:kern w:val="0"/>
          <w:sz w:val="32"/>
          <w:szCs w:val="32"/>
          <w:highlight w:val="none"/>
        </w:rPr>
        <w:t>1446.66</w:t>
      </w:r>
      <w:r>
        <w:rPr>
          <w:rFonts w:hint="eastAsia" w:ascii="仿宋_GB2312" w:hAnsi="宋体" w:eastAsia="仿宋_GB2312" w:cs="宋体"/>
          <w:kern w:val="0"/>
          <w:sz w:val="32"/>
          <w:szCs w:val="32"/>
          <w:highlight w:val="none"/>
        </w:rPr>
        <w:t>万元，其中：</w:t>
      </w:r>
    </w:p>
    <w:p>
      <w:pPr>
        <w:widowControl/>
        <w:spacing w:line="580" w:lineRule="exact"/>
        <w:ind w:firstLine="640"/>
        <w:jc w:val="left"/>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基本支出</w:t>
      </w:r>
      <w:r>
        <w:rPr>
          <w:rFonts w:ascii="仿宋_GB2312" w:hAnsi="宋体" w:eastAsia="仿宋_GB2312" w:cs="宋体"/>
          <w:kern w:val="0"/>
          <w:sz w:val="32"/>
          <w:szCs w:val="32"/>
          <w:highlight w:val="none"/>
        </w:rPr>
        <w:t>1431.66</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99%</w:t>
      </w:r>
      <w:r>
        <w:rPr>
          <w:rFonts w:hint="eastAsia" w:ascii="仿宋_GB2312" w:hAnsi="宋体" w:eastAsia="仿宋_GB2312" w:cs="宋体"/>
          <w:kern w:val="0"/>
          <w:sz w:val="32"/>
          <w:szCs w:val="32"/>
          <w:highlight w:val="none"/>
        </w:rPr>
        <w:t>，比上年减少</w:t>
      </w:r>
      <w:r>
        <w:rPr>
          <w:rFonts w:ascii="仿宋_GB2312" w:hAnsi="宋体" w:eastAsia="仿宋_GB2312" w:cs="宋体"/>
          <w:kern w:val="0"/>
          <w:sz w:val="32"/>
          <w:szCs w:val="32"/>
          <w:highlight w:val="none"/>
        </w:rPr>
        <w:t>63.76</w:t>
      </w:r>
      <w:r>
        <w:rPr>
          <w:rFonts w:hint="eastAsia" w:ascii="仿宋_GB2312" w:hAnsi="宋体" w:eastAsia="仿宋_GB2312" w:cs="宋体"/>
          <w:kern w:val="0"/>
          <w:sz w:val="32"/>
          <w:szCs w:val="32"/>
          <w:highlight w:val="none"/>
        </w:rPr>
        <w:t>万元，主要原因是有</w:t>
      </w:r>
      <w:r>
        <w:rPr>
          <w:rFonts w:ascii="仿宋_GB2312" w:hAnsi="宋体" w:eastAsia="仿宋_GB2312" w:cs="宋体"/>
          <w:kern w:val="0"/>
          <w:sz w:val="32"/>
          <w:szCs w:val="32"/>
          <w:highlight w:val="none"/>
        </w:rPr>
        <w:t>7</w:t>
      </w:r>
      <w:r>
        <w:rPr>
          <w:rFonts w:hint="eastAsia" w:ascii="仿宋_GB2312" w:hAnsi="宋体" w:eastAsia="仿宋_GB2312" w:cs="宋体"/>
          <w:kern w:val="0"/>
          <w:sz w:val="32"/>
          <w:szCs w:val="32"/>
          <w:highlight w:val="none"/>
        </w:rPr>
        <w:t>人调出，</w:t>
      </w: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rPr>
        <w:t>人退休人员经费减少同时公用经费压减</w:t>
      </w:r>
      <w:r>
        <w:rPr>
          <w:rFonts w:ascii="仿宋_GB2312" w:hAnsi="宋体" w:eastAsia="仿宋_GB2312" w:cs="宋体"/>
          <w:kern w:val="0"/>
          <w:sz w:val="32"/>
          <w:szCs w:val="32"/>
          <w:highlight w:val="none"/>
        </w:rPr>
        <w:t>5%</w:t>
      </w:r>
      <w:r>
        <w:rPr>
          <w:rFonts w:hint="eastAsia" w:ascii="仿宋_GB2312" w:hAnsi="宋体" w:eastAsia="仿宋_GB2312" w:cs="宋体"/>
          <w:kern w:val="0"/>
          <w:sz w:val="32"/>
          <w:szCs w:val="32"/>
          <w:highlight w:val="none"/>
        </w:rPr>
        <w:t>。</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项目支出</w:t>
      </w:r>
      <w:r>
        <w:rPr>
          <w:rFonts w:ascii="仿宋_GB2312" w:hAnsi="宋体" w:eastAsia="仿宋_GB2312" w:cs="宋体"/>
          <w:kern w:val="0"/>
          <w:sz w:val="32"/>
          <w:szCs w:val="32"/>
          <w:highlight w:val="none"/>
        </w:rPr>
        <w:t>15</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rPr>
        <w:t>，比上年增加</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w:t>
      </w:r>
    </w:p>
    <w:p>
      <w:pPr>
        <w:widowControl/>
        <w:spacing w:line="580" w:lineRule="exact"/>
        <w:ind w:firstLine="640"/>
        <w:jc w:val="left"/>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四、关于昌吉州疾病预防控制中心部门</w:t>
      </w:r>
      <w:r>
        <w:rPr>
          <w:rFonts w:ascii="黑体" w:hAnsi="黑体" w:eastAsia="黑体" w:cs="宋体"/>
          <w:bCs/>
          <w:kern w:val="0"/>
          <w:sz w:val="32"/>
          <w:szCs w:val="32"/>
          <w:highlight w:val="none"/>
        </w:rPr>
        <w:t>2019</w:t>
      </w:r>
      <w:r>
        <w:rPr>
          <w:rFonts w:hint="eastAsia" w:ascii="黑体" w:hAnsi="黑体" w:eastAsia="黑体" w:cs="宋体"/>
          <w:bCs/>
          <w:kern w:val="0"/>
          <w:sz w:val="32"/>
          <w:szCs w:val="32"/>
          <w:highlight w:val="none"/>
        </w:rPr>
        <w:t>年财政拨款收支预算情况的总体说明</w:t>
      </w:r>
    </w:p>
    <w:p>
      <w:pPr>
        <w:spacing w:line="580" w:lineRule="exact"/>
        <w:ind w:firstLine="640"/>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年财政拨款收支总预算</w:t>
      </w:r>
      <w:r>
        <w:rPr>
          <w:rFonts w:ascii="仿宋_GB2312" w:hAnsi="宋体" w:eastAsia="仿宋_GB2312" w:cs="宋体"/>
          <w:kern w:val="0"/>
          <w:sz w:val="32"/>
          <w:szCs w:val="32"/>
          <w:highlight w:val="none"/>
        </w:rPr>
        <w:t>1446.66</w:t>
      </w:r>
      <w:r>
        <w:rPr>
          <w:rFonts w:hint="eastAsia" w:ascii="仿宋_GB2312" w:hAnsi="宋体" w:eastAsia="仿宋_GB2312" w:cs="宋体"/>
          <w:kern w:val="0"/>
          <w:sz w:val="32"/>
          <w:szCs w:val="32"/>
          <w:highlight w:val="none"/>
        </w:rPr>
        <w:t>万元。</w:t>
      </w:r>
    </w:p>
    <w:p>
      <w:pPr>
        <w:spacing w:line="580" w:lineRule="exact"/>
        <w:ind w:firstLine="64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收入全部为一般公共预算拨款</w:t>
      </w:r>
      <w:r>
        <w:rPr>
          <w:rFonts w:ascii="仿宋_GB2312" w:hAnsi="宋体" w:eastAsia="仿宋_GB2312" w:cs="宋体"/>
          <w:kern w:val="0"/>
          <w:sz w:val="32"/>
          <w:szCs w:val="32"/>
          <w:highlight w:val="none"/>
        </w:rPr>
        <w:t>1446.66</w:t>
      </w:r>
      <w:r>
        <w:rPr>
          <w:rFonts w:hint="eastAsia" w:ascii="仿宋_GB2312" w:hAnsi="宋体" w:eastAsia="仿宋_GB2312" w:cs="宋体"/>
          <w:kern w:val="0"/>
          <w:sz w:val="32"/>
          <w:szCs w:val="32"/>
          <w:highlight w:val="none"/>
        </w:rPr>
        <w:t>万元，无政府性基金预算拨款。</w:t>
      </w:r>
    </w:p>
    <w:p>
      <w:pPr>
        <w:spacing w:line="580" w:lineRule="exact"/>
        <w:ind w:firstLine="64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支出预算包括：一般公共服务支出1446.66万元，主要用于医疗卫生与计划生育服务支出1446.66万元。</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五、关于昌吉州疾病预防控制中心部门</w:t>
      </w:r>
      <w:r>
        <w:rPr>
          <w:rFonts w:ascii="黑体" w:hAnsi="宋体" w:eastAsia="黑体" w:cs="宋体"/>
          <w:kern w:val="0"/>
          <w:sz w:val="32"/>
          <w:szCs w:val="32"/>
          <w:highlight w:val="none"/>
        </w:rPr>
        <w:t>2019</w:t>
      </w:r>
      <w:r>
        <w:rPr>
          <w:rFonts w:hint="eastAsia" w:ascii="黑体" w:hAnsi="宋体" w:eastAsia="黑体" w:cs="宋体"/>
          <w:kern w:val="0"/>
          <w:sz w:val="32"/>
          <w:szCs w:val="32"/>
          <w:highlight w:val="none"/>
        </w:rPr>
        <w:t>年一般公共预算当年拨款情况说明</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（一）一般公用预算当年拨款规模变化情况</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昌吉州疾病预防控制中心部门</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年一般公共预算拨款基本支出</w:t>
      </w:r>
      <w:r>
        <w:rPr>
          <w:rFonts w:ascii="仿宋_GB2312" w:hAnsi="宋体" w:eastAsia="仿宋_GB2312" w:cs="宋体"/>
          <w:kern w:val="0"/>
          <w:sz w:val="32"/>
          <w:szCs w:val="32"/>
          <w:highlight w:val="none"/>
        </w:rPr>
        <w:t>1431.66</w:t>
      </w:r>
      <w:r>
        <w:rPr>
          <w:rFonts w:hint="eastAsia" w:ascii="仿宋_GB2312" w:hAnsi="宋体" w:eastAsia="仿宋_GB2312" w:cs="宋体"/>
          <w:kern w:val="0"/>
          <w:sz w:val="32"/>
          <w:szCs w:val="32"/>
          <w:highlight w:val="none"/>
        </w:rPr>
        <w:t>万元，比上年执行数减少</w:t>
      </w:r>
      <w:r>
        <w:rPr>
          <w:rFonts w:ascii="仿宋_GB2312" w:hAnsi="宋体" w:eastAsia="仿宋_GB2312" w:cs="宋体"/>
          <w:kern w:val="0"/>
          <w:sz w:val="32"/>
          <w:szCs w:val="32"/>
          <w:highlight w:val="none"/>
        </w:rPr>
        <w:t>439.23</w:t>
      </w:r>
      <w:r>
        <w:rPr>
          <w:rFonts w:hint="eastAsia" w:ascii="仿宋_GB2312" w:hAnsi="宋体" w:eastAsia="仿宋_GB2312" w:cs="宋体"/>
          <w:kern w:val="0"/>
          <w:sz w:val="32"/>
          <w:szCs w:val="32"/>
          <w:highlight w:val="none"/>
        </w:rPr>
        <w:t>万元，下降</w:t>
      </w:r>
      <w:r>
        <w:rPr>
          <w:rFonts w:ascii="仿宋_GB2312" w:hAnsi="宋体" w:eastAsia="仿宋_GB2312" w:cs="宋体"/>
          <w:kern w:val="0"/>
          <w:sz w:val="32"/>
          <w:szCs w:val="32"/>
          <w:highlight w:val="none"/>
        </w:rPr>
        <w:t>30.6%</w:t>
      </w:r>
      <w:r>
        <w:rPr>
          <w:rFonts w:hint="eastAsia" w:ascii="仿宋_GB2312" w:hAnsi="宋体" w:eastAsia="仿宋_GB2312" w:cs="宋体"/>
          <w:kern w:val="0"/>
          <w:sz w:val="32"/>
          <w:szCs w:val="32"/>
          <w:highlight w:val="none"/>
        </w:rPr>
        <w:t>。主要原因是：人员奖金、调资、其他资本性支出、驻村经费均不在预算中列示。</w:t>
      </w:r>
      <w:r>
        <w:rPr>
          <w:rFonts w:ascii="仿宋_GB2312" w:hAnsi="宋体" w:eastAsia="仿宋_GB2312" w:cs="宋体"/>
          <w:kern w:val="0"/>
          <w:sz w:val="32"/>
          <w:szCs w:val="32"/>
          <w:highlight w:val="none"/>
        </w:rPr>
        <w:t xml:space="preserve">     </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（二）一般公共预算当年拨款结构情况</w:t>
      </w:r>
    </w:p>
    <w:p>
      <w:pPr>
        <w:spacing w:line="580" w:lineRule="exact"/>
        <w:ind w:firstLine="640"/>
        <w:rPr>
          <w:rFonts w:ascii="仿宋_GB2312" w:hAnsi="宋体" w:eastAsia="仿宋_GB2312" w:cs="宋体"/>
          <w:kern w:val="0"/>
          <w:sz w:val="32"/>
          <w:szCs w:val="32"/>
          <w:highlight w:val="none"/>
        </w:rPr>
      </w:pPr>
      <w:r>
        <w:rPr>
          <w:rFonts w:ascii="仿宋_GB2312" w:eastAsia="仿宋_GB2312"/>
          <w:sz w:val="32"/>
          <w:szCs w:val="32"/>
          <w:highlight w:val="none"/>
        </w:rPr>
        <w:t>1.</w:t>
      </w:r>
      <w:r>
        <w:rPr>
          <w:rFonts w:hint="eastAsia" w:ascii="仿宋_GB2312" w:hAnsi="宋体" w:eastAsia="仿宋_GB2312" w:cs="宋体"/>
          <w:kern w:val="0"/>
          <w:sz w:val="32"/>
          <w:szCs w:val="32"/>
          <w:highlight w:val="none"/>
        </w:rPr>
        <w:t xml:space="preserve"> 医疗卫生与计划生育服务支出</w:t>
      </w:r>
      <w:r>
        <w:rPr>
          <w:rFonts w:hint="eastAsia" w:ascii="仿宋_GB2312" w:eastAsia="仿宋_GB2312"/>
          <w:sz w:val="32"/>
          <w:szCs w:val="32"/>
          <w:highlight w:val="none"/>
        </w:rPr>
        <w:t>（类）</w:t>
      </w:r>
      <w:r>
        <w:rPr>
          <w:rFonts w:ascii="仿宋_GB2312" w:eastAsia="仿宋_GB2312"/>
          <w:sz w:val="32"/>
          <w:szCs w:val="32"/>
          <w:highlight w:val="none"/>
        </w:rPr>
        <w:t>1446.66</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100 %</w:t>
      </w:r>
      <w:r>
        <w:rPr>
          <w:rFonts w:hint="eastAsia" w:ascii="仿宋_GB2312" w:hAnsi="宋体" w:eastAsia="仿宋_GB2312" w:cs="宋体"/>
          <w:kern w:val="0"/>
          <w:sz w:val="32"/>
          <w:szCs w:val="32"/>
          <w:highlight w:val="none"/>
        </w:rPr>
        <w:t>。</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（三）一般公共预算当年拨款具体使用情况</w:t>
      </w:r>
    </w:p>
    <w:p>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rPr>
        <w:t xml:space="preserve"> 医疗卫生与计划生育服务支出（类）公共卫生（款）疾病预防控制机构（项）</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年预算数为</w:t>
      </w:r>
      <w:r>
        <w:rPr>
          <w:rFonts w:ascii="仿宋_GB2312" w:hAnsi="宋体" w:eastAsia="仿宋_GB2312" w:cs="宋体"/>
          <w:kern w:val="0"/>
          <w:sz w:val="32"/>
          <w:szCs w:val="32"/>
          <w:highlight w:val="none"/>
        </w:rPr>
        <w:t>1446.66</w:t>
      </w:r>
      <w:r>
        <w:rPr>
          <w:rFonts w:hint="eastAsia" w:ascii="仿宋_GB2312" w:hAnsi="宋体" w:eastAsia="仿宋_GB2312" w:cs="宋体"/>
          <w:kern w:val="0"/>
          <w:sz w:val="32"/>
          <w:szCs w:val="32"/>
          <w:highlight w:val="none"/>
        </w:rPr>
        <w:t>万元，比上年执行数减少</w:t>
      </w:r>
      <w:r>
        <w:rPr>
          <w:rFonts w:ascii="仿宋_GB2312" w:hAnsi="宋体" w:eastAsia="仿宋_GB2312" w:cs="宋体"/>
          <w:kern w:val="0"/>
          <w:sz w:val="32"/>
          <w:szCs w:val="32"/>
          <w:highlight w:val="none"/>
        </w:rPr>
        <w:t>439.23</w:t>
      </w:r>
      <w:r>
        <w:rPr>
          <w:rFonts w:hint="eastAsia" w:ascii="仿宋_GB2312" w:hAnsi="宋体" w:eastAsia="仿宋_GB2312" w:cs="宋体"/>
          <w:kern w:val="0"/>
          <w:sz w:val="32"/>
          <w:szCs w:val="32"/>
          <w:highlight w:val="none"/>
        </w:rPr>
        <w:t>万元，下降</w:t>
      </w:r>
      <w:r>
        <w:rPr>
          <w:rFonts w:ascii="仿宋_GB2312" w:hAnsi="宋体" w:eastAsia="仿宋_GB2312" w:cs="宋体"/>
          <w:kern w:val="0"/>
          <w:sz w:val="32"/>
          <w:szCs w:val="32"/>
          <w:highlight w:val="none"/>
        </w:rPr>
        <w:t>30 %</w:t>
      </w:r>
      <w:r>
        <w:rPr>
          <w:rFonts w:hint="eastAsia" w:ascii="仿宋_GB2312" w:hAnsi="宋体" w:eastAsia="仿宋_GB2312" w:cs="宋体"/>
          <w:kern w:val="0"/>
          <w:sz w:val="32"/>
          <w:szCs w:val="32"/>
          <w:highlight w:val="none"/>
        </w:rPr>
        <w:t>，主要原因是：人员奖金、调资、其他资本性支出、驻村经费均不在预算中列示。</w:t>
      </w:r>
      <w:r>
        <w:rPr>
          <w:rFonts w:ascii="仿宋_GB2312" w:hAnsi="宋体" w:eastAsia="仿宋_GB2312" w:cs="宋体"/>
          <w:kern w:val="0"/>
          <w:sz w:val="32"/>
          <w:szCs w:val="32"/>
          <w:highlight w:val="none"/>
        </w:rPr>
        <w:t xml:space="preserve">   </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六、关于昌吉州疾病预防控制中心部门</w:t>
      </w:r>
      <w:r>
        <w:rPr>
          <w:rFonts w:ascii="黑体" w:hAnsi="宋体" w:eastAsia="黑体" w:cs="宋体"/>
          <w:kern w:val="0"/>
          <w:sz w:val="32"/>
          <w:szCs w:val="32"/>
          <w:highlight w:val="none"/>
        </w:rPr>
        <w:t>2019</w:t>
      </w:r>
      <w:r>
        <w:rPr>
          <w:rFonts w:hint="eastAsia" w:ascii="黑体" w:hAnsi="宋体" w:eastAsia="黑体" w:cs="宋体"/>
          <w:kern w:val="0"/>
          <w:sz w:val="32"/>
          <w:szCs w:val="32"/>
          <w:highlight w:val="none"/>
        </w:rPr>
        <w:t>年一般公共预算基本支出情况说明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昌吉州疾病预防控制中心部门</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年一般公共预算基本支出</w:t>
      </w:r>
      <w:r>
        <w:rPr>
          <w:rFonts w:ascii="仿宋_GB2312" w:hAnsi="宋体" w:eastAsia="仿宋_GB2312" w:cs="宋体"/>
          <w:kern w:val="0"/>
          <w:sz w:val="32"/>
          <w:szCs w:val="32"/>
          <w:highlight w:val="none"/>
        </w:rPr>
        <w:t>1431.66</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其中：</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人员经费</w:t>
      </w:r>
      <w:r>
        <w:rPr>
          <w:rFonts w:ascii="仿宋_GB2312" w:hAnsi="宋体" w:eastAsia="仿宋_GB2312" w:cs="宋体"/>
          <w:kern w:val="0"/>
          <w:sz w:val="32"/>
          <w:szCs w:val="32"/>
          <w:highlight w:val="none"/>
        </w:rPr>
        <w:t>1275.28</w:t>
      </w:r>
      <w:r>
        <w:rPr>
          <w:rFonts w:hint="eastAsia" w:ascii="仿宋_GB2312" w:hAnsi="宋体" w:eastAsia="仿宋_GB2312" w:cs="宋体"/>
          <w:kern w:val="0"/>
          <w:sz w:val="32"/>
          <w:szCs w:val="32"/>
          <w:highlight w:val="none"/>
        </w:rPr>
        <w:t>万元，主要包括：基本工资、津贴补贴、伙食补助费、绩效工资、机关事业单位基本养老保险缴费、职工基本医疗保险缴费、公务员医疗补助缴费、其他社会保障缴费、住房公积金、其他工资福利支出、离休费、退休费、生活补助、奖励金、其他对个人和家庭的补助等。</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公用经费</w:t>
      </w:r>
      <w:r>
        <w:rPr>
          <w:rFonts w:ascii="仿宋_GB2312" w:hAnsi="宋体" w:eastAsia="仿宋_GB2312" w:cs="宋体"/>
          <w:kern w:val="0"/>
          <w:sz w:val="32"/>
          <w:szCs w:val="32"/>
          <w:highlight w:val="none"/>
        </w:rPr>
        <w:t>156.38</w:t>
      </w:r>
      <w:r>
        <w:rPr>
          <w:rFonts w:hint="eastAsia" w:ascii="仿宋_GB2312" w:hAnsi="宋体" w:eastAsia="仿宋_GB2312" w:cs="宋体"/>
          <w:kern w:val="0"/>
          <w:sz w:val="32"/>
          <w:szCs w:val="32"/>
          <w:highlight w:val="none"/>
        </w:rPr>
        <w:t>万元，主要包括：办公费、印刷费、、水费、电费、邮电费、取暖费、差旅费、维修（护）费、培训费、公务接待费、劳务费、工会经费、福利费、公务用车运行维护费、其他商品和服务支出等。</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七、关于昌吉州疾病预防控制中心部门</w:t>
      </w:r>
      <w:r>
        <w:rPr>
          <w:rFonts w:ascii="黑体" w:hAnsi="宋体" w:eastAsia="黑体" w:cs="宋体"/>
          <w:kern w:val="0"/>
          <w:sz w:val="32"/>
          <w:szCs w:val="32"/>
          <w:highlight w:val="none"/>
        </w:rPr>
        <w:t>2019</w:t>
      </w:r>
      <w:r>
        <w:rPr>
          <w:rFonts w:hint="eastAsia" w:ascii="黑体" w:hAnsi="宋体" w:eastAsia="黑体" w:cs="宋体"/>
          <w:kern w:val="0"/>
          <w:sz w:val="32"/>
          <w:szCs w:val="32"/>
          <w:highlight w:val="none"/>
        </w:rPr>
        <w:t>年项目支出情况说明</w:t>
      </w:r>
    </w:p>
    <w:p>
      <w:pPr>
        <w:widowControl/>
        <w:spacing w:line="580" w:lineRule="exact"/>
        <w:ind w:firstLine="640"/>
        <w:jc w:val="left"/>
        <w:rPr>
          <w:rFonts w:ascii="仿宋_GB2312" w:hAnsi="黑体" w:eastAsia="仿宋_GB2312"/>
          <w:b/>
          <w:bCs/>
          <w:sz w:val="32"/>
          <w:szCs w:val="32"/>
          <w:highlight w:val="none"/>
        </w:rPr>
      </w:pPr>
      <w:r>
        <w:rPr>
          <w:rFonts w:ascii="仿宋_GB2312" w:hAnsi="黑体" w:eastAsia="仿宋_GB2312"/>
          <w:b/>
          <w:bCs/>
          <w:sz w:val="32"/>
          <w:szCs w:val="32"/>
          <w:highlight w:val="none"/>
        </w:rPr>
        <w:t>1.</w:t>
      </w:r>
      <w:r>
        <w:rPr>
          <w:rFonts w:hint="eastAsia" w:ascii="仿宋_GB2312" w:hAnsi="黑体" w:eastAsia="仿宋_GB2312"/>
          <w:b/>
          <w:bCs/>
          <w:sz w:val="32"/>
          <w:szCs w:val="32"/>
          <w:highlight w:val="none"/>
        </w:rPr>
        <w:t>项目名称：结核</w:t>
      </w:r>
      <w:r>
        <w:rPr>
          <w:rFonts w:hint="eastAsia" w:ascii="仿宋_GB2312" w:hAnsi="宋体" w:eastAsia="仿宋_GB2312" w:cs="宋体"/>
          <w:b/>
          <w:bCs/>
          <w:kern w:val="0"/>
          <w:sz w:val="32"/>
          <w:szCs w:val="32"/>
          <w:highlight w:val="none"/>
        </w:rPr>
        <w:t>病重点项目业务经费</w:t>
      </w:r>
    </w:p>
    <w:p>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设立的政策依据：</w:t>
      </w:r>
      <w:r>
        <w:rPr>
          <w:rFonts w:hint="eastAsia" w:ascii="仿宋_GB2312" w:hAnsi="楷体_GB2312" w:eastAsia="仿宋_GB2312" w:cs="楷体_GB2312"/>
          <w:sz w:val="32"/>
          <w:szCs w:val="32"/>
          <w:highlight w:val="none"/>
        </w:rPr>
        <w:t>根据国家及自治区《十三五结核病防治规划》</w:t>
      </w:r>
      <w:r>
        <w:rPr>
          <w:rFonts w:hint="eastAsia" w:ascii="仿宋_GB2312" w:eastAsia="仿宋_GB2312"/>
          <w:sz w:val="32"/>
          <w:szCs w:val="32"/>
          <w:highlight w:val="none"/>
        </w:rPr>
        <w:t>。</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预算安排规模：</w:t>
      </w:r>
      <w:r>
        <w:rPr>
          <w:rFonts w:ascii="仿宋_GB2312" w:hAnsi="宋体" w:eastAsia="仿宋_GB2312" w:cs="宋体"/>
          <w:kern w:val="0"/>
          <w:sz w:val="32"/>
          <w:szCs w:val="32"/>
          <w:highlight w:val="none"/>
        </w:rPr>
        <w:t>6</w:t>
      </w:r>
      <w:r>
        <w:rPr>
          <w:rFonts w:hint="eastAsia" w:ascii="仿宋_GB2312" w:hAnsi="宋体" w:eastAsia="仿宋_GB2312" w:cs="宋体"/>
          <w:kern w:val="0"/>
          <w:sz w:val="32"/>
          <w:szCs w:val="32"/>
          <w:highlight w:val="none"/>
        </w:rPr>
        <w:t>万元</w:t>
      </w:r>
    </w:p>
    <w:p>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项目承担单位：</w:t>
      </w:r>
      <w:r>
        <w:rPr>
          <w:rFonts w:hint="eastAsia" w:ascii="仿宋_GB2312" w:hAnsi="宋体" w:eastAsia="仿宋_GB2312" w:cs="宋体"/>
          <w:kern w:val="0"/>
          <w:sz w:val="32"/>
          <w:szCs w:val="32"/>
          <w:highlight w:val="none"/>
        </w:rPr>
        <w:t>昌吉州疾病预防控制中心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资金分配情况：</w:t>
      </w:r>
      <w:r>
        <w:rPr>
          <w:rFonts w:hint="eastAsia" w:ascii="仿宋_GB2312" w:hAnsi="宋体" w:eastAsia="仿宋_GB2312" w:cs="宋体"/>
          <w:kern w:val="0"/>
          <w:sz w:val="32"/>
          <w:szCs w:val="32"/>
          <w:highlight w:val="none"/>
        </w:rPr>
        <w:t>商品和服务支出</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资金执行时间：</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w:t>
      </w: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rPr>
        <w:t>月</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w:t>
      </w:r>
      <w:r>
        <w:rPr>
          <w:rFonts w:ascii="仿宋_GB2312" w:hAnsi="宋体" w:eastAsia="仿宋_GB2312" w:cs="宋体"/>
          <w:kern w:val="0"/>
          <w:sz w:val="32"/>
          <w:szCs w:val="32"/>
          <w:highlight w:val="none"/>
        </w:rPr>
        <w:t>12</w:t>
      </w:r>
      <w:r>
        <w:rPr>
          <w:rFonts w:hint="eastAsia" w:ascii="仿宋_GB2312" w:hAnsi="宋体" w:eastAsia="仿宋_GB2312" w:cs="宋体"/>
          <w:kern w:val="0"/>
          <w:sz w:val="32"/>
          <w:szCs w:val="32"/>
          <w:highlight w:val="none"/>
        </w:rPr>
        <w:t>月</w:t>
      </w:r>
    </w:p>
    <w:p>
      <w:pPr>
        <w:widowControl/>
        <w:spacing w:line="580" w:lineRule="exact"/>
        <w:ind w:firstLine="643" w:firstLineChars="200"/>
        <w:jc w:val="left"/>
        <w:rPr>
          <w:rFonts w:ascii="仿宋_GB2312" w:hAnsi="黑体" w:eastAsia="仿宋_GB2312"/>
          <w:sz w:val="32"/>
          <w:szCs w:val="32"/>
          <w:highlight w:val="none"/>
        </w:rPr>
      </w:pPr>
      <w:r>
        <w:rPr>
          <w:rFonts w:ascii="仿宋_GB2312" w:hAnsi="黑体" w:eastAsia="仿宋_GB2312"/>
          <w:b/>
          <w:bCs/>
          <w:sz w:val="32"/>
          <w:szCs w:val="32"/>
          <w:highlight w:val="none"/>
        </w:rPr>
        <w:t>2.</w:t>
      </w:r>
      <w:r>
        <w:rPr>
          <w:rFonts w:hint="eastAsia" w:ascii="仿宋_GB2312" w:hAnsi="黑体" w:eastAsia="仿宋_GB2312"/>
          <w:b/>
          <w:bCs/>
          <w:sz w:val="32"/>
          <w:szCs w:val="32"/>
          <w:highlight w:val="none"/>
        </w:rPr>
        <w:t>项目名称：</w:t>
      </w:r>
      <w:r>
        <w:rPr>
          <w:rFonts w:hint="eastAsia" w:ascii="仿宋_GB2312" w:hAnsi="宋体" w:eastAsia="仿宋_GB2312" w:cs="宋体"/>
          <w:b/>
          <w:bCs/>
          <w:kern w:val="0"/>
          <w:sz w:val="32"/>
          <w:szCs w:val="32"/>
          <w:highlight w:val="none"/>
        </w:rPr>
        <w:t>艾滋病重点项目业务经费</w:t>
      </w:r>
    </w:p>
    <w:p>
      <w:pPr>
        <w:ind w:firstLine="640" w:firstLineChars="200"/>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设立的政策依据：</w:t>
      </w:r>
      <w:r>
        <w:rPr>
          <w:rFonts w:hint="eastAsia" w:ascii="仿宋_GB2312" w:hAnsi="宋体" w:eastAsia="仿宋_GB2312" w:cs="宋体"/>
          <w:kern w:val="0"/>
          <w:sz w:val="32"/>
          <w:szCs w:val="32"/>
          <w:highlight w:val="none"/>
        </w:rPr>
        <w:t>《新疆维吾尔自治区遏制与防治艾滋病“十三五”行动计划》。</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预算安排规模：</w:t>
      </w:r>
      <w:r>
        <w:rPr>
          <w:rFonts w:ascii="仿宋_GB2312" w:hAnsi="宋体" w:eastAsia="仿宋_GB2312" w:cs="宋体"/>
          <w:kern w:val="0"/>
          <w:sz w:val="32"/>
          <w:szCs w:val="32"/>
          <w:highlight w:val="none"/>
        </w:rPr>
        <w:t>3</w:t>
      </w:r>
      <w:r>
        <w:rPr>
          <w:rFonts w:hint="eastAsia" w:ascii="仿宋_GB2312" w:hAnsi="宋体" w:eastAsia="仿宋_GB2312" w:cs="宋体"/>
          <w:kern w:val="0"/>
          <w:sz w:val="32"/>
          <w:szCs w:val="32"/>
          <w:highlight w:val="none"/>
        </w:rPr>
        <w:t>万元</w:t>
      </w:r>
    </w:p>
    <w:p>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项目承担单位：</w:t>
      </w:r>
      <w:r>
        <w:rPr>
          <w:rFonts w:hint="eastAsia" w:ascii="仿宋_GB2312" w:hAnsi="宋体" w:eastAsia="仿宋_GB2312" w:cs="宋体"/>
          <w:kern w:val="0"/>
          <w:sz w:val="32"/>
          <w:szCs w:val="32"/>
          <w:highlight w:val="none"/>
        </w:rPr>
        <w:t>昌吉州疾病预防控制中心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资金分配情况：</w:t>
      </w:r>
      <w:r>
        <w:rPr>
          <w:rFonts w:hint="eastAsia" w:ascii="仿宋_GB2312" w:hAnsi="宋体" w:eastAsia="仿宋_GB2312" w:cs="宋体"/>
          <w:kern w:val="0"/>
          <w:sz w:val="32"/>
          <w:szCs w:val="32"/>
          <w:highlight w:val="none"/>
        </w:rPr>
        <w:t>商品和服务支出</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资金执行时间：</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w:t>
      </w: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rPr>
        <w:t>月</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w:t>
      </w:r>
      <w:r>
        <w:rPr>
          <w:rFonts w:ascii="仿宋_GB2312" w:hAnsi="宋体" w:eastAsia="仿宋_GB2312" w:cs="宋体"/>
          <w:kern w:val="0"/>
          <w:sz w:val="32"/>
          <w:szCs w:val="32"/>
          <w:highlight w:val="none"/>
        </w:rPr>
        <w:t>12</w:t>
      </w:r>
      <w:r>
        <w:rPr>
          <w:rFonts w:hint="eastAsia" w:ascii="仿宋_GB2312" w:hAnsi="宋体" w:eastAsia="仿宋_GB2312" w:cs="宋体"/>
          <w:kern w:val="0"/>
          <w:sz w:val="32"/>
          <w:szCs w:val="32"/>
          <w:highlight w:val="none"/>
        </w:rPr>
        <w:t>月</w:t>
      </w:r>
    </w:p>
    <w:p>
      <w:pPr>
        <w:widowControl/>
        <w:spacing w:line="580" w:lineRule="exact"/>
        <w:ind w:firstLine="643" w:firstLineChars="200"/>
        <w:jc w:val="left"/>
        <w:rPr>
          <w:rFonts w:ascii="仿宋_GB2312" w:hAnsi="黑体" w:eastAsia="仿宋_GB2312"/>
          <w:b/>
          <w:bCs/>
          <w:sz w:val="32"/>
          <w:szCs w:val="32"/>
          <w:highlight w:val="none"/>
        </w:rPr>
      </w:pPr>
      <w:r>
        <w:rPr>
          <w:rFonts w:ascii="仿宋_GB2312" w:hAnsi="黑体" w:eastAsia="仿宋_GB2312"/>
          <w:b/>
          <w:bCs/>
          <w:sz w:val="32"/>
          <w:szCs w:val="32"/>
          <w:highlight w:val="none"/>
        </w:rPr>
        <w:t>3.</w:t>
      </w:r>
      <w:r>
        <w:rPr>
          <w:rFonts w:hint="eastAsia" w:ascii="仿宋_GB2312" w:hAnsi="黑体" w:eastAsia="仿宋_GB2312"/>
          <w:b/>
          <w:bCs/>
          <w:sz w:val="32"/>
          <w:szCs w:val="32"/>
          <w:highlight w:val="none"/>
        </w:rPr>
        <w:t>项目名称：</w:t>
      </w:r>
      <w:r>
        <w:rPr>
          <w:rFonts w:hint="eastAsia" w:ascii="仿宋_GB2312" w:hAnsi="宋体" w:eastAsia="仿宋_GB2312" w:cs="宋体"/>
          <w:b/>
          <w:bCs/>
          <w:kern w:val="0"/>
          <w:sz w:val="32"/>
          <w:szCs w:val="32"/>
          <w:highlight w:val="none"/>
        </w:rPr>
        <w:t>地方病重点项目业务经费</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设立的政策依据：</w:t>
      </w:r>
      <w:r>
        <w:rPr>
          <w:rFonts w:hint="eastAsia" w:ascii="仿宋_GB2312" w:hAnsi="宋体" w:eastAsia="仿宋_GB2312" w:cs="宋体"/>
          <w:kern w:val="0"/>
          <w:sz w:val="32"/>
          <w:szCs w:val="32"/>
          <w:highlight w:val="none"/>
        </w:rPr>
        <w:t>《全国地方病防治“十三五”规划》《新疆维吾尔自治区地方病防治“十三五”规划（</w:t>
      </w:r>
      <w:r>
        <w:rPr>
          <w:rFonts w:ascii="仿宋_GB2312" w:hAnsi="宋体" w:eastAsia="仿宋_GB2312" w:cs="宋体"/>
          <w:kern w:val="0"/>
          <w:sz w:val="32"/>
          <w:szCs w:val="32"/>
          <w:highlight w:val="none"/>
        </w:rPr>
        <w:t>2016-2020</w:t>
      </w:r>
      <w:r>
        <w:rPr>
          <w:rFonts w:hint="eastAsia" w:ascii="仿宋_GB2312" w:hAnsi="宋体" w:eastAsia="仿宋_GB2312" w:cs="宋体"/>
          <w:kern w:val="0"/>
          <w:sz w:val="32"/>
          <w:szCs w:val="32"/>
          <w:highlight w:val="none"/>
        </w:rPr>
        <w:t>年）》。</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预算安排规模：</w:t>
      </w:r>
      <w:r>
        <w:rPr>
          <w:rFonts w:ascii="仿宋_GB2312" w:hAnsi="宋体" w:eastAsia="仿宋_GB2312" w:cs="宋体"/>
          <w:kern w:val="0"/>
          <w:sz w:val="32"/>
          <w:szCs w:val="32"/>
          <w:highlight w:val="none"/>
        </w:rPr>
        <w:t>3</w:t>
      </w:r>
      <w:r>
        <w:rPr>
          <w:rFonts w:hint="eastAsia" w:ascii="仿宋_GB2312" w:hAnsi="宋体" w:eastAsia="仿宋_GB2312" w:cs="宋体"/>
          <w:kern w:val="0"/>
          <w:sz w:val="32"/>
          <w:szCs w:val="32"/>
          <w:highlight w:val="none"/>
        </w:rPr>
        <w:t>万元</w:t>
      </w:r>
    </w:p>
    <w:p>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项目承担单位：</w:t>
      </w:r>
      <w:r>
        <w:rPr>
          <w:rFonts w:hint="eastAsia" w:ascii="仿宋_GB2312" w:hAnsi="宋体" w:eastAsia="仿宋_GB2312" w:cs="宋体"/>
          <w:kern w:val="0"/>
          <w:sz w:val="32"/>
          <w:szCs w:val="32"/>
          <w:highlight w:val="none"/>
        </w:rPr>
        <w:t>昌吉州疾病预防控制中心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资金分配情况：</w:t>
      </w:r>
      <w:r>
        <w:rPr>
          <w:rFonts w:hint="eastAsia" w:ascii="仿宋_GB2312" w:hAnsi="宋体" w:eastAsia="仿宋_GB2312" w:cs="宋体"/>
          <w:kern w:val="0"/>
          <w:sz w:val="32"/>
          <w:szCs w:val="32"/>
          <w:highlight w:val="none"/>
        </w:rPr>
        <w:t>商品和服务支出</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资金执行时间：</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w:t>
      </w: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rPr>
        <w:t>月</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w:t>
      </w:r>
      <w:r>
        <w:rPr>
          <w:rFonts w:ascii="仿宋_GB2312" w:hAnsi="宋体" w:eastAsia="仿宋_GB2312" w:cs="宋体"/>
          <w:kern w:val="0"/>
          <w:sz w:val="32"/>
          <w:szCs w:val="32"/>
          <w:highlight w:val="none"/>
        </w:rPr>
        <w:t>12</w:t>
      </w:r>
      <w:r>
        <w:rPr>
          <w:rFonts w:hint="eastAsia" w:ascii="仿宋_GB2312" w:hAnsi="宋体" w:eastAsia="仿宋_GB2312" w:cs="宋体"/>
          <w:kern w:val="0"/>
          <w:sz w:val="32"/>
          <w:szCs w:val="32"/>
          <w:highlight w:val="none"/>
        </w:rPr>
        <w:t>月</w:t>
      </w:r>
    </w:p>
    <w:p>
      <w:pPr>
        <w:widowControl/>
        <w:spacing w:line="580" w:lineRule="exact"/>
        <w:ind w:firstLine="640"/>
        <w:jc w:val="left"/>
        <w:rPr>
          <w:rFonts w:ascii="仿宋_GB2312" w:hAnsi="宋体" w:eastAsia="仿宋_GB2312" w:cs="宋体"/>
          <w:kern w:val="0"/>
          <w:sz w:val="32"/>
          <w:szCs w:val="32"/>
          <w:highlight w:val="none"/>
        </w:rPr>
      </w:pPr>
    </w:p>
    <w:p>
      <w:pPr>
        <w:widowControl/>
        <w:spacing w:line="580" w:lineRule="exact"/>
        <w:ind w:firstLine="640"/>
        <w:jc w:val="left"/>
        <w:rPr>
          <w:rFonts w:ascii="仿宋_GB2312" w:hAnsi="黑体" w:eastAsia="仿宋_GB2312"/>
          <w:b/>
          <w:bCs/>
          <w:sz w:val="32"/>
          <w:szCs w:val="32"/>
          <w:highlight w:val="none"/>
        </w:rPr>
      </w:pPr>
      <w:r>
        <w:rPr>
          <w:rFonts w:ascii="仿宋_GB2312" w:hAnsi="黑体" w:eastAsia="仿宋_GB2312"/>
          <w:b/>
          <w:bCs/>
          <w:sz w:val="32"/>
          <w:szCs w:val="32"/>
          <w:highlight w:val="none"/>
        </w:rPr>
        <w:t>4.</w:t>
      </w:r>
      <w:r>
        <w:rPr>
          <w:rFonts w:hint="eastAsia" w:ascii="仿宋_GB2312" w:hAnsi="黑体" w:eastAsia="仿宋_GB2312"/>
          <w:b/>
          <w:bCs/>
          <w:sz w:val="32"/>
          <w:szCs w:val="32"/>
          <w:highlight w:val="none"/>
        </w:rPr>
        <w:t>项目名称：</w:t>
      </w:r>
      <w:r>
        <w:rPr>
          <w:rFonts w:hint="eastAsia" w:ascii="仿宋_GB2312" w:hAnsi="宋体" w:eastAsia="仿宋_GB2312" w:cs="宋体"/>
          <w:b/>
          <w:bCs/>
          <w:kern w:val="0"/>
          <w:sz w:val="32"/>
          <w:szCs w:val="32"/>
          <w:highlight w:val="none"/>
        </w:rPr>
        <w:t>冷链设备运转业务经费</w:t>
      </w:r>
    </w:p>
    <w:p>
      <w:pPr>
        <w:widowControl/>
        <w:spacing w:line="580" w:lineRule="exact"/>
        <w:ind w:firstLine="640"/>
        <w:jc w:val="left"/>
        <w:rPr>
          <w:rFonts w:ascii="仿宋_GB2312" w:hAnsi="楷体_GB2312" w:eastAsia="仿宋_GB2312" w:cs="楷体_GB2312"/>
          <w:sz w:val="32"/>
          <w:szCs w:val="32"/>
          <w:highlight w:val="none"/>
        </w:rPr>
      </w:pPr>
      <w:r>
        <w:rPr>
          <w:rFonts w:hint="eastAsia" w:ascii="仿宋_GB2312" w:hAnsi="黑体" w:eastAsia="仿宋_GB2312"/>
          <w:sz w:val="32"/>
          <w:szCs w:val="32"/>
          <w:highlight w:val="none"/>
        </w:rPr>
        <w:t>设立的政策依据：</w:t>
      </w:r>
      <w:r>
        <w:rPr>
          <w:rFonts w:hint="eastAsia" w:ascii="仿宋_GB2312" w:hAnsi="楷体_GB2312" w:eastAsia="仿宋_GB2312" w:cs="楷体_GB2312"/>
          <w:sz w:val="32"/>
          <w:szCs w:val="32"/>
          <w:highlight w:val="none"/>
        </w:rPr>
        <w:t>《中华人民共和国传染病防治法》、《免疫规划工作规范》及《疫苗流通和预防接种管理条例》。</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预算安排规模：</w:t>
      </w:r>
      <w:r>
        <w:rPr>
          <w:rFonts w:ascii="仿宋_GB2312" w:hAnsi="宋体" w:eastAsia="仿宋_GB2312" w:cs="宋体"/>
          <w:kern w:val="0"/>
          <w:sz w:val="32"/>
          <w:szCs w:val="32"/>
          <w:highlight w:val="none"/>
        </w:rPr>
        <w:t>3</w:t>
      </w:r>
      <w:r>
        <w:rPr>
          <w:rFonts w:hint="eastAsia" w:ascii="仿宋_GB2312" w:hAnsi="宋体" w:eastAsia="仿宋_GB2312" w:cs="宋体"/>
          <w:kern w:val="0"/>
          <w:sz w:val="32"/>
          <w:szCs w:val="32"/>
          <w:highlight w:val="none"/>
        </w:rPr>
        <w:t>万元</w:t>
      </w:r>
    </w:p>
    <w:p>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项目承担单位：</w:t>
      </w:r>
      <w:r>
        <w:rPr>
          <w:rFonts w:hint="eastAsia" w:ascii="仿宋_GB2312" w:hAnsi="宋体" w:eastAsia="仿宋_GB2312" w:cs="宋体"/>
          <w:kern w:val="0"/>
          <w:sz w:val="32"/>
          <w:szCs w:val="32"/>
          <w:highlight w:val="none"/>
        </w:rPr>
        <w:t>昌吉州疾病预防控制中心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资金分配情况：</w:t>
      </w:r>
      <w:r>
        <w:rPr>
          <w:rFonts w:hint="eastAsia" w:ascii="仿宋_GB2312" w:hAnsi="宋体" w:eastAsia="仿宋_GB2312" w:cs="宋体"/>
          <w:kern w:val="0"/>
          <w:sz w:val="32"/>
          <w:szCs w:val="32"/>
          <w:highlight w:val="none"/>
        </w:rPr>
        <w:t>商品和服务支出</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资金执行时间：</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w:t>
      </w: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rPr>
        <w:t>月</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w:t>
      </w:r>
      <w:r>
        <w:rPr>
          <w:rFonts w:ascii="仿宋_GB2312" w:hAnsi="宋体" w:eastAsia="仿宋_GB2312" w:cs="宋体"/>
          <w:kern w:val="0"/>
          <w:sz w:val="32"/>
          <w:szCs w:val="32"/>
          <w:highlight w:val="none"/>
        </w:rPr>
        <w:t>12</w:t>
      </w:r>
      <w:r>
        <w:rPr>
          <w:rFonts w:hint="eastAsia" w:ascii="仿宋_GB2312" w:hAnsi="宋体" w:eastAsia="仿宋_GB2312" w:cs="宋体"/>
          <w:kern w:val="0"/>
          <w:sz w:val="32"/>
          <w:szCs w:val="32"/>
          <w:highlight w:val="none"/>
        </w:rPr>
        <w:t>月</w:t>
      </w:r>
    </w:p>
    <w:p>
      <w:pPr>
        <w:widowControl/>
        <w:spacing w:line="580" w:lineRule="exact"/>
        <w:ind w:firstLine="642"/>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八、关于昌吉州疾病预防控制中心部门</w:t>
      </w:r>
      <w:r>
        <w:rPr>
          <w:rFonts w:ascii="黑体" w:hAnsi="宋体" w:eastAsia="黑体" w:cs="宋体"/>
          <w:kern w:val="0"/>
          <w:sz w:val="32"/>
          <w:szCs w:val="32"/>
          <w:highlight w:val="none"/>
        </w:rPr>
        <w:t>2019</w:t>
      </w:r>
      <w:r>
        <w:rPr>
          <w:rFonts w:hint="eastAsia" w:ascii="黑体" w:hAnsi="宋体" w:eastAsia="黑体" w:cs="宋体"/>
          <w:kern w:val="0"/>
          <w:sz w:val="32"/>
          <w:szCs w:val="32"/>
          <w:highlight w:val="none"/>
        </w:rPr>
        <w:t>年一般公共预算“三公”经费预算情况说明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昌吉州疾病预防控制中心部门</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年“三公”经费财政拨款预算数为</w:t>
      </w:r>
      <w:r>
        <w:rPr>
          <w:rFonts w:ascii="仿宋_GB2312" w:hAnsi="宋体" w:eastAsia="仿宋_GB2312" w:cs="宋体"/>
          <w:kern w:val="0"/>
          <w:sz w:val="32"/>
          <w:szCs w:val="32"/>
          <w:highlight w:val="none"/>
        </w:rPr>
        <w:t>18.87</w:t>
      </w:r>
      <w:r>
        <w:rPr>
          <w:rFonts w:hint="eastAsia" w:ascii="仿宋_GB2312" w:hAnsi="宋体" w:eastAsia="仿宋_GB2312" w:cs="宋体"/>
          <w:kern w:val="0"/>
          <w:sz w:val="32"/>
          <w:szCs w:val="32"/>
          <w:highlight w:val="none"/>
        </w:rPr>
        <w:t>万元，其中：因公出国（境）费</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万元，公务用车购置</w:t>
      </w:r>
      <w:r>
        <w:rPr>
          <w:rFonts w:ascii="仿宋_GB2312" w:hAnsi="宋体" w:eastAsia="仿宋_GB2312" w:cs="宋体"/>
          <w:kern w:val="0"/>
          <w:sz w:val="32"/>
          <w:szCs w:val="32"/>
          <w:highlight w:val="none"/>
        </w:rPr>
        <w:t xml:space="preserve"> 0</w:t>
      </w:r>
      <w:r>
        <w:rPr>
          <w:rFonts w:hint="eastAsia" w:ascii="仿宋_GB2312" w:hAnsi="宋体" w:eastAsia="仿宋_GB2312" w:cs="宋体"/>
          <w:kern w:val="0"/>
          <w:sz w:val="32"/>
          <w:szCs w:val="32"/>
          <w:highlight w:val="none"/>
        </w:rPr>
        <w:t>万元，公务用车运行费</w:t>
      </w:r>
      <w:r>
        <w:rPr>
          <w:rFonts w:ascii="仿宋_GB2312" w:hAnsi="宋体" w:eastAsia="仿宋_GB2312" w:cs="宋体"/>
          <w:kern w:val="0"/>
          <w:sz w:val="32"/>
          <w:szCs w:val="32"/>
          <w:highlight w:val="none"/>
        </w:rPr>
        <w:t>16.9</w:t>
      </w:r>
      <w:r>
        <w:rPr>
          <w:rFonts w:hint="eastAsia" w:ascii="仿宋_GB2312" w:hAnsi="宋体" w:eastAsia="仿宋_GB2312" w:cs="宋体"/>
          <w:kern w:val="0"/>
          <w:sz w:val="32"/>
          <w:szCs w:val="32"/>
          <w:highlight w:val="none"/>
        </w:rPr>
        <w:t>万元，公务接待费</w:t>
      </w:r>
      <w:r>
        <w:rPr>
          <w:rFonts w:ascii="仿宋_GB2312" w:hAnsi="宋体" w:eastAsia="仿宋_GB2312" w:cs="宋体"/>
          <w:kern w:val="0"/>
          <w:sz w:val="32"/>
          <w:szCs w:val="32"/>
          <w:highlight w:val="none"/>
        </w:rPr>
        <w:t>1.97</w:t>
      </w:r>
      <w:r>
        <w:rPr>
          <w:rFonts w:hint="eastAsia" w:ascii="仿宋_GB2312" w:hAnsi="宋体" w:eastAsia="仿宋_GB2312" w:cs="宋体"/>
          <w:kern w:val="0"/>
          <w:sz w:val="32"/>
          <w:szCs w:val="32"/>
          <w:highlight w:val="none"/>
        </w:rPr>
        <w:t>万元。</w:t>
      </w:r>
    </w:p>
    <w:p>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年“三公”经费财政拨款预算比上年减少</w:t>
      </w:r>
      <w:r>
        <w:rPr>
          <w:rFonts w:ascii="仿宋_GB2312" w:hAnsi="宋体" w:eastAsia="仿宋_GB2312" w:cs="宋体"/>
          <w:kern w:val="0"/>
          <w:sz w:val="32"/>
          <w:szCs w:val="32"/>
          <w:highlight w:val="none"/>
        </w:rPr>
        <w:t>2.07</w:t>
      </w:r>
      <w:r>
        <w:rPr>
          <w:rFonts w:hint="eastAsia" w:ascii="仿宋_GB2312" w:hAnsi="宋体" w:eastAsia="仿宋_GB2312" w:cs="宋体"/>
          <w:kern w:val="0"/>
          <w:sz w:val="32"/>
          <w:szCs w:val="32"/>
          <w:highlight w:val="none"/>
        </w:rPr>
        <w:t>万元，其中：因公出国（境）费增加（减少）</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万元，主要原因是</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年依旧未安排预算；公务用车购置费为</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，未安排预算。公务用车运行费减少</w:t>
      </w:r>
      <w:r>
        <w:rPr>
          <w:rFonts w:ascii="仿宋_GB2312" w:hAnsi="宋体" w:eastAsia="仿宋_GB2312" w:cs="宋体"/>
          <w:kern w:val="0"/>
          <w:sz w:val="32"/>
          <w:szCs w:val="32"/>
          <w:highlight w:val="none"/>
        </w:rPr>
        <w:t>2.05</w:t>
      </w:r>
      <w:r>
        <w:rPr>
          <w:rFonts w:hint="eastAsia" w:ascii="仿宋_GB2312" w:hAnsi="宋体" w:eastAsia="仿宋_GB2312" w:cs="宋体"/>
          <w:kern w:val="0"/>
          <w:sz w:val="32"/>
          <w:szCs w:val="32"/>
          <w:highlight w:val="none"/>
        </w:rPr>
        <w:t>万元，主要原因是三公经费逐年压减</w:t>
      </w:r>
      <w:r>
        <w:rPr>
          <w:rFonts w:ascii="仿宋_GB2312" w:hAnsi="宋体" w:eastAsia="仿宋_GB2312" w:cs="宋体"/>
          <w:kern w:val="0"/>
          <w:sz w:val="32"/>
          <w:szCs w:val="32"/>
          <w:highlight w:val="none"/>
        </w:rPr>
        <w:t xml:space="preserve">5% </w:t>
      </w:r>
      <w:r>
        <w:rPr>
          <w:rFonts w:hint="eastAsia" w:ascii="仿宋_GB2312" w:hAnsi="宋体" w:eastAsia="仿宋_GB2312" w:cs="宋体"/>
          <w:kern w:val="0"/>
          <w:sz w:val="32"/>
          <w:szCs w:val="32"/>
          <w:highlight w:val="none"/>
        </w:rPr>
        <w:t>；公务接待费减少</w:t>
      </w:r>
      <w:r>
        <w:rPr>
          <w:rFonts w:ascii="仿宋_GB2312" w:hAnsi="宋体" w:eastAsia="仿宋_GB2312" w:cs="宋体"/>
          <w:kern w:val="0"/>
          <w:sz w:val="32"/>
          <w:szCs w:val="32"/>
          <w:highlight w:val="none"/>
        </w:rPr>
        <w:t>0.2</w:t>
      </w:r>
      <w:r>
        <w:rPr>
          <w:rFonts w:hint="eastAsia" w:ascii="仿宋_GB2312" w:hAnsi="宋体" w:eastAsia="仿宋_GB2312" w:cs="宋体"/>
          <w:kern w:val="0"/>
          <w:sz w:val="32"/>
          <w:szCs w:val="32"/>
          <w:highlight w:val="none"/>
        </w:rPr>
        <w:t>万元，主要原因是中心严格按照中央八项规定，严控接待的标准和批次。</w:t>
      </w:r>
    </w:p>
    <w:p>
      <w:pPr>
        <w:widowControl/>
        <w:spacing w:line="580" w:lineRule="exact"/>
        <w:ind w:firstLine="642"/>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九、关于昌吉州疾病预防控制中心部门</w:t>
      </w:r>
      <w:r>
        <w:rPr>
          <w:rFonts w:ascii="黑体" w:hAnsi="宋体" w:eastAsia="黑体" w:cs="宋体"/>
          <w:kern w:val="0"/>
          <w:sz w:val="32"/>
          <w:szCs w:val="32"/>
          <w:highlight w:val="none"/>
        </w:rPr>
        <w:t>2019</w:t>
      </w:r>
      <w:r>
        <w:rPr>
          <w:rFonts w:hint="eastAsia" w:ascii="黑体" w:hAnsi="宋体" w:eastAsia="黑体" w:cs="宋体"/>
          <w:kern w:val="0"/>
          <w:sz w:val="32"/>
          <w:szCs w:val="32"/>
          <w:highlight w:val="none"/>
        </w:rPr>
        <w:t>年政府性基金预算拨款情况说明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昌吉州疾病预防控制中心部门</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十、其他重要事项的情况说明</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（一）机关运行经费情况</w:t>
      </w:r>
    </w:p>
    <w:p>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年，昌吉州疾病预防控制中心的机关运行经费财政拨款预算</w:t>
      </w:r>
      <w:r>
        <w:rPr>
          <w:rFonts w:ascii="仿宋_GB2312" w:hAnsi="宋体" w:eastAsia="仿宋_GB2312" w:cs="宋体"/>
          <w:kern w:val="0"/>
          <w:sz w:val="32"/>
          <w:szCs w:val="32"/>
          <w:highlight w:val="none"/>
        </w:rPr>
        <w:t>156.38</w:t>
      </w:r>
      <w:r>
        <w:rPr>
          <w:rFonts w:hint="eastAsia" w:ascii="仿宋_GB2312" w:hAnsi="宋体" w:eastAsia="仿宋_GB2312" w:cs="宋体"/>
          <w:kern w:val="0"/>
          <w:sz w:val="32"/>
          <w:szCs w:val="32"/>
          <w:highlight w:val="none"/>
        </w:rPr>
        <w:t>万元，比上年预算减少</w:t>
      </w:r>
      <w:r>
        <w:rPr>
          <w:rFonts w:ascii="仿宋_GB2312" w:hAnsi="宋体" w:eastAsia="仿宋_GB2312" w:cs="宋体"/>
          <w:kern w:val="0"/>
          <w:sz w:val="32"/>
          <w:szCs w:val="32"/>
          <w:highlight w:val="none"/>
        </w:rPr>
        <w:t>4.45</w:t>
      </w:r>
      <w:r>
        <w:rPr>
          <w:rFonts w:hint="eastAsia" w:ascii="仿宋_GB2312" w:hAnsi="宋体" w:eastAsia="仿宋_GB2312" w:cs="宋体"/>
          <w:kern w:val="0"/>
          <w:sz w:val="32"/>
          <w:szCs w:val="32"/>
          <w:highlight w:val="none"/>
        </w:rPr>
        <w:t>万元，下降</w:t>
      </w:r>
      <w:r>
        <w:rPr>
          <w:rFonts w:ascii="仿宋_GB2312" w:hAnsi="宋体" w:eastAsia="仿宋_GB2312" w:cs="宋体"/>
          <w:kern w:val="0"/>
          <w:sz w:val="32"/>
          <w:szCs w:val="32"/>
          <w:highlight w:val="none"/>
        </w:rPr>
        <w:t>2.76 %</w:t>
      </w:r>
      <w:r>
        <w:rPr>
          <w:rFonts w:hint="eastAsia" w:ascii="仿宋_GB2312" w:hAnsi="宋体" w:eastAsia="仿宋_GB2312" w:cs="宋体"/>
          <w:kern w:val="0"/>
          <w:sz w:val="32"/>
          <w:szCs w:val="32"/>
          <w:highlight w:val="none"/>
        </w:rPr>
        <w:t>。主要原因是本年预算遵循了比上年压减</w:t>
      </w:r>
      <w:r>
        <w:rPr>
          <w:rFonts w:ascii="仿宋_GB2312" w:hAnsi="宋体" w:eastAsia="仿宋_GB2312" w:cs="宋体"/>
          <w:kern w:val="0"/>
          <w:sz w:val="32"/>
          <w:szCs w:val="32"/>
          <w:highlight w:val="none"/>
        </w:rPr>
        <w:t>5%</w:t>
      </w:r>
      <w:r>
        <w:rPr>
          <w:rFonts w:hint="eastAsia" w:ascii="仿宋_GB2312" w:hAnsi="宋体" w:eastAsia="仿宋_GB2312" w:cs="宋体"/>
          <w:kern w:val="0"/>
          <w:sz w:val="32"/>
          <w:szCs w:val="32"/>
          <w:highlight w:val="none"/>
        </w:rPr>
        <w:t>的基本原则来制定下年预算。</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（二）政府采购情况</w:t>
      </w:r>
    </w:p>
    <w:p>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年，昌吉州疾病预防控制中心部门及下属单位政府采购预算</w:t>
      </w:r>
      <w:r>
        <w:rPr>
          <w:rFonts w:ascii="仿宋_GB2312" w:hAnsi="宋体" w:eastAsia="仿宋_GB2312" w:cs="宋体"/>
          <w:kern w:val="0"/>
          <w:sz w:val="32"/>
          <w:szCs w:val="32"/>
          <w:highlight w:val="none"/>
        </w:rPr>
        <w:t xml:space="preserve">427.35 </w:t>
      </w:r>
      <w:r>
        <w:rPr>
          <w:rFonts w:hint="eastAsia" w:ascii="仿宋_GB2312" w:hAnsi="宋体" w:eastAsia="仿宋_GB2312" w:cs="宋体"/>
          <w:kern w:val="0"/>
          <w:sz w:val="32"/>
          <w:szCs w:val="32"/>
          <w:highlight w:val="none"/>
        </w:rPr>
        <w:t>万元，其中：政府采购货物预算</w:t>
      </w:r>
      <w:r>
        <w:rPr>
          <w:rFonts w:ascii="仿宋_GB2312" w:hAnsi="宋体" w:eastAsia="仿宋_GB2312" w:cs="宋体"/>
          <w:kern w:val="0"/>
          <w:sz w:val="32"/>
          <w:szCs w:val="32"/>
          <w:highlight w:val="none"/>
        </w:rPr>
        <w:t xml:space="preserve">217.35 </w:t>
      </w:r>
      <w:r>
        <w:rPr>
          <w:rFonts w:hint="eastAsia" w:ascii="仿宋_GB2312" w:hAnsi="宋体" w:eastAsia="仿宋_GB2312" w:cs="宋体"/>
          <w:kern w:val="0"/>
          <w:sz w:val="32"/>
          <w:szCs w:val="32"/>
          <w:highlight w:val="none"/>
        </w:rPr>
        <w:t>万元，政府采购工程预算</w:t>
      </w:r>
      <w:r>
        <w:rPr>
          <w:rFonts w:ascii="仿宋_GB2312" w:hAnsi="宋体" w:eastAsia="仿宋_GB2312" w:cs="宋体"/>
          <w:kern w:val="0"/>
          <w:sz w:val="32"/>
          <w:szCs w:val="32"/>
          <w:highlight w:val="none"/>
        </w:rPr>
        <w:t>174</w:t>
      </w:r>
      <w:r>
        <w:rPr>
          <w:rFonts w:hint="eastAsia" w:ascii="仿宋_GB2312" w:hAnsi="宋体" w:eastAsia="仿宋_GB2312" w:cs="宋体"/>
          <w:kern w:val="0"/>
          <w:sz w:val="32"/>
          <w:szCs w:val="32"/>
          <w:highlight w:val="none"/>
        </w:rPr>
        <w:t>万元，政府采购服务预算</w:t>
      </w:r>
      <w:r>
        <w:rPr>
          <w:rFonts w:ascii="仿宋_GB2312" w:hAnsi="宋体" w:eastAsia="仿宋_GB2312" w:cs="宋体"/>
          <w:kern w:val="0"/>
          <w:sz w:val="32"/>
          <w:szCs w:val="32"/>
          <w:highlight w:val="none"/>
        </w:rPr>
        <w:t xml:space="preserve">36       </w:t>
      </w:r>
      <w:r>
        <w:rPr>
          <w:rFonts w:hint="eastAsia" w:ascii="仿宋_GB2312" w:hAnsi="宋体" w:eastAsia="仿宋_GB2312" w:cs="宋体"/>
          <w:kern w:val="0"/>
          <w:sz w:val="32"/>
          <w:szCs w:val="32"/>
          <w:highlight w:val="none"/>
        </w:rPr>
        <w:t>万元。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仿宋_GB2312" w:eastAsia="仿宋_GB2312"/>
          <w:sz w:val="32"/>
          <w:highlight w:val="none"/>
        </w:rPr>
        <w:t>2019年度本部门面向中小企业预留政府采购项目预算金额0万元，其中：面向小微企业预留政府采购项目预算金额0万元。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（三）国有资产占用使用情况</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截至</w:t>
      </w:r>
      <w:r>
        <w:rPr>
          <w:rFonts w:ascii="仿宋_GB2312" w:hAnsi="宋体" w:eastAsia="仿宋_GB2312" w:cs="宋体"/>
          <w:kern w:val="0"/>
          <w:sz w:val="32"/>
          <w:szCs w:val="32"/>
          <w:highlight w:val="none"/>
        </w:rPr>
        <w:t>2018</w:t>
      </w:r>
      <w:r>
        <w:rPr>
          <w:rFonts w:hint="eastAsia" w:ascii="仿宋_GB2312" w:hAnsi="宋体" w:eastAsia="仿宋_GB2312" w:cs="宋体"/>
          <w:kern w:val="0"/>
          <w:sz w:val="32"/>
          <w:szCs w:val="32"/>
          <w:highlight w:val="none"/>
        </w:rPr>
        <w:t>年底，昌吉州疾病预防控制中心部门及下属各预算单位占用使用国有资产总体情况为</w:t>
      </w:r>
    </w:p>
    <w:p>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rPr>
        <w:t>房屋</w:t>
      </w:r>
      <w:r>
        <w:rPr>
          <w:rFonts w:hint="eastAsia" w:ascii="仿宋_GB2312" w:hAnsi="宋体" w:eastAsia="仿宋_GB2312" w:cs="宋体"/>
          <w:color w:val="FF0000"/>
          <w:kern w:val="0"/>
          <w:sz w:val="32"/>
          <w:szCs w:val="32"/>
          <w:highlight w:val="none"/>
        </w:rPr>
        <w:t>7838.52</w:t>
      </w:r>
      <w:r>
        <w:rPr>
          <w:rFonts w:hint="eastAsia" w:ascii="仿宋_GB2312" w:hAnsi="宋体" w:eastAsia="仿宋_GB2312" w:cs="宋体"/>
          <w:kern w:val="0"/>
          <w:sz w:val="32"/>
          <w:szCs w:val="32"/>
          <w:highlight w:val="none"/>
        </w:rPr>
        <w:t>平方米，价值</w:t>
      </w:r>
      <w:r>
        <w:rPr>
          <w:rFonts w:ascii="仿宋_GB2312" w:hAnsi="宋体" w:eastAsia="仿宋_GB2312" w:cs="宋体"/>
          <w:kern w:val="0"/>
          <w:sz w:val="32"/>
          <w:szCs w:val="32"/>
          <w:highlight w:val="none"/>
        </w:rPr>
        <w:t>741.71</w:t>
      </w:r>
      <w:r>
        <w:rPr>
          <w:rFonts w:hint="eastAsia" w:ascii="仿宋_GB2312" w:hAnsi="宋体" w:eastAsia="仿宋_GB2312" w:cs="宋体"/>
          <w:kern w:val="0"/>
          <w:sz w:val="32"/>
          <w:szCs w:val="32"/>
          <w:highlight w:val="none"/>
        </w:rPr>
        <w:t>万元。</w:t>
      </w:r>
    </w:p>
    <w:p>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w:t>
      </w:r>
      <w:r>
        <w:rPr>
          <w:rFonts w:hint="eastAsia" w:ascii="仿宋_GB2312" w:hAnsi="宋体" w:eastAsia="仿宋_GB2312" w:cs="宋体"/>
          <w:kern w:val="0"/>
          <w:sz w:val="32"/>
          <w:szCs w:val="32"/>
          <w:highlight w:val="none"/>
        </w:rPr>
        <w:t>车辆</w:t>
      </w:r>
      <w:r>
        <w:rPr>
          <w:rFonts w:ascii="仿宋_GB2312" w:hAnsi="宋体" w:eastAsia="仿宋_GB2312" w:cs="宋体"/>
          <w:kern w:val="0"/>
          <w:sz w:val="32"/>
          <w:szCs w:val="32"/>
          <w:highlight w:val="none"/>
        </w:rPr>
        <w:t>9</w:t>
      </w:r>
      <w:r>
        <w:rPr>
          <w:rFonts w:hint="eastAsia" w:ascii="仿宋_GB2312" w:hAnsi="宋体" w:eastAsia="仿宋_GB2312" w:cs="宋体"/>
          <w:kern w:val="0"/>
          <w:sz w:val="32"/>
          <w:szCs w:val="32"/>
          <w:highlight w:val="none"/>
        </w:rPr>
        <w:t>辆，价值</w:t>
      </w:r>
      <w:r>
        <w:rPr>
          <w:rFonts w:ascii="仿宋_GB2312" w:hAnsi="宋体" w:eastAsia="仿宋_GB2312" w:cs="宋体"/>
          <w:kern w:val="0"/>
          <w:sz w:val="32"/>
          <w:szCs w:val="32"/>
          <w:highlight w:val="none"/>
        </w:rPr>
        <w:t>205.72</w:t>
      </w:r>
      <w:r>
        <w:rPr>
          <w:rFonts w:hint="eastAsia" w:ascii="仿宋_GB2312" w:hAnsi="宋体" w:eastAsia="仿宋_GB2312" w:cs="宋体"/>
          <w:kern w:val="0"/>
          <w:sz w:val="32"/>
          <w:szCs w:val="32"/>
          <w:highlight w:val="none"/>
        </w:rPr>
        <w:t>万元；其中：一般公务用车</w:t>
      </w:r>
      <w:r>
        <w:rPr>
          <w:rFonts w:ascii="仿宋_GB2312" w:hAnsi="宋体" w:eastAsia="仿宋_GB2312" w:cs="宋体"/>
          <w:kern w:val="0"/>
          <w:sz w:val="32"/>
          <w:szCs w:val="32"/>
          <w:highlight w:val="none"/>
        </w:rPr>
        <w:t xml:space="preserve">1  </w:t>
      </w:r>
      <w:r>
        <w:rPr>
          <w:rFonts w:hint="eastAsia" w:ascii="仿宋_GB2312" w:hAnsi="宋体" w:eastAsia="仿宋_GB2312" w:cs="宋体"/>
          <w:kern w:val="0"/>
          <w:sz w:val="32"/>
          <w:szCs w:val="32"/>
          <w:highlight w:val="none"/>
        </w:rPr>
        <w:t>辆，价值</w:t>
      </w:r>
      <w:r>
        <w:rPr>
          <w:rFonts w:ascii="仿宋_GB2312" w:hAnsi="宋体" w:eastAsia="仿宋_GB2312" w:cs="宋体"/>
          <w:kern w:val="0"/>
          <w:sz w:val="32"/>
          <w:szCs w:val="32"/>
          <w:highlight w:val="none"/>
        </w:rPr>
        <w:t>17.7</w:t>
      </w:r>
      <w:r>
        <w:rPr>
          <w:rFonts w:hint="eastAsia" w:ascii="仿宋_GB2312" w:hAnsi="宋体" w:eastAsia="仿宋_GB2312" w:cs="宋体"/>
          <w:kern w:val="0"/>
          <w:sz w:val="32"/>
          <w:szCs w:val="32"/>
          <w:highlight w:val="none"/>
        </w:rPr>
        <w:t>万元；其他车辆</w:t>
      </w:r>
      <w:r>
        <w:rPr>
          <w:rFonts w:ascii="仿宋_GB2312" w:hAnsi="宋体" w:eastAsia="仿宋_GB2312" w:cs="宋体"/>
          <w:kern w:val="0"/>
          <w:sz w:val="32"/>
          <w:szCs w:val="32"/>
          <w:highlight w:val="none"/>
        </w:rPr>
        <w:t>8</w:t>
      </w:r>
      <w:r>
        <w:rPr>
          <w:rFonts w:hint="eastAsia" w:ascii="仿宋_GB2312" w:hAnsi="宋体" w:eastAsia="仿宋_GB2312" w:cs="宋体"/>
          <w:kern w:val="0"/>
          <w:sz w:val="32"/>
          <w:szCs w:val="32"/>
          <w:highlight w:val="none"/>
        </w:rPr>
        <w:t>辆，价值</w:t>
      </w:r>
      <w:r>
        <w:rPr>
          <w:rFonts w:ascii="仿宋_GB2312" w:hAnsi="宋体" w:eastAsia="仿宋_GB2312" w:cs="宋体"/>
          <w:kern w:val="0"/>
          <w:sz w:val="32"/>
          <w:szCs w:val="32"/>
          <w:highlight w:val="none"/>
        </w:rPr>
        <w:t>188.02</w:t>
      </w:r>
      <w:r>
        <w:rPr>
          <w:rFonts w:hint="eastAsia" w:ascii="仿宋_GB2312" w:hAnsi="宋体" w:eastAsia="仿宋_GB2312" w:cs="宋体"/>
          <w:kern w:val="0"/>
          <w:sz w:val="32"/>
          <w:szCs w:val="32"/>
          <w:highlight w:val="none"/>
        </w:rPr>
        <w:t>万元。</w:t>
      </w:r>
    </w:p>
    <w:p>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3.</w:t>
      </w:r>
      <w:r>
        <w:rPr>
          <w:rFonts w:hint="eastAsia" w:ascii="仿宋_GB2312" w:hAnsi="宋体" w:eastAsia="仿宋_GB2312" w:cs="宋体"/>
          <w:kern w:val="0"/>
          <w:sz w:val="32"/>
          <w:szCs w:val="32"/>
          <w:highlight w:val="none"/>
        </w:rPr>
        <w:t>办公家具价值</w:t>
      </w:r>
      <w:r>
        <w:rPr>
          <w:rFonts w:ascii="仿宋_GB2312" w:hAnsi="宋体" w:eastAsia="仿宋_GB2312" w:cs="宋体"/>
          <w:kern w:val="0"/>
          <w:sz w:val="32"/>
          <w:szCs w:val="32"/>
          <w:highlight w:val="none"/>
        </w:rPr>
        <w:t>54.09</w:t>
      </w:r>
      <w:r>
        <w:rPr>
          <w:rFonts w:hint="eastAsia" w:ascii="仿宋_GB2312" w:hAnsi="宋体" w:eastAsia="仿宋_GB2312" w:cs="宋体"/>
          <w:kern w:val="0"/>
          <w:sz w:val="32"/>
          <w:szCs w:val="32"/>
          <w:highlight w:val="none"/>
        </w:rPr>
        <w:t>万元。</w:t>
      </w:r>
      <w:bookmarkStart w:id="0" w:name="_GoBack"/>
      <w:bookmarkEnd w:id="0"/>
    </w:p>
    <w:p>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4.</w:t>
      </w:r>
      <w:r>
        <w:rPr>
          <w:rFonts w:hint="eastAsia" w:ascii="仿宋_GB2312" w:hAnsi="宋体" w:eastAsia="仿宋_GB2312" w:cs="宋体"/>
          <w:kern w:val="0"/>
          <w:sz w:val="32"/>
          <w:szCs w:val="32"/>
          <w:highlight w:val="none"/>
        </w:rPr>
        <w:t>其他资产价值</w:t>
      </w:r>
      <w:r>
        <w:rPr>
          <w:rFonts w:ascii="仿宋_GB2312" w:hAnsi="宋体" w:eastAsia="仿宋_GB2312" w:cs="宋体"/>
          <w:kern w:val="0"/>
          <w:sz w:val="32"/>
          <w:szCs w:val="32"/>
          <w:highlight w:val="none"/>
        </w:rPr>
        <w:t>1587.66</w:t>
      </w:r>
      <w:r>
        <w:rPr>
          <w:rFonts w:hint="eastAsia" w:ascii="仿宋_GB2312" w:hAnsi="宋体" w:eastAsia="仿宋_GB2312" w:cs="宋体"/>
          <w:kern w:val="0"/>
          <w:sz w:val="32"/>
          <w:szCs w:val="32"/>
          <w:highlight w:val="none"/>
        </w:rPr>
        <w:t>万元。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单位价值</w:t>
      </w:r>
      <w:r>
        <w:rPr>
          <w:rFonts w:ascii="仿宋_GB2312" w:hAnsi="宋体" w:eastAsia="仿宋_GB2312" w:cs="宋体"/>
          <w:kern w:val="0"/>
          <w:sz w:val="32"/>
          <w:szCs w:val="32"/>
          <w:highlight w:val="none"/>
        </w:rPr>
        <w:t>50</w:t>
      </w:r>
      <w:r>
        <w:rPr>
          <w:rFonts w:hint="eastAsia" w:ascii="仿宋_GB2312" w:hAnsi="宋体" w:eastAsia="仿宋_GB2312" w:cs="宋体"/>
          <w:kern w:val="0"/>
          <w:sz w:val="32"/>
          <w:szCs w:val="32"/>
          <w:highlight w:val="none"/>
        </w:rPr>
        <w:t>万元以上大型设备</w:t>
      </w:r>
      <w:r>
        <w:rPr>
          <w:rFonts w:hint="eastAsia" w:ascii="仿宋_GB2312" w:hAnsi="宋体" w:eastAsia="仿宋_GB2312" w:cs="宋体"/>
          <w:color w:val="FF0000"/>
          <w:kern w:val="0"/>
          <w:sz w:val="32"/>
          <w:szCs w:val="32"/>
          <w:highlight w:val="none"/>
        </w:rPr>
        <w:t>4</w:t>
      </w:r>
      <w:r>
        <w:rPr>
          <w:rFonts w:hint="eastAsia" w:ascii="仿宋_GB2312" w:hAnsi="宋体" w:eastAsia="仿宋_GB2312" w:cs="宋体"/>
          <w:kern w:val="0"/>
          <w:sz w:val="32"/>
          <w:szCs w:val="32"/>
          <w:highlight w:val="none"/>
        </w:rPr>
        <w:t>台（套），单位价值</w:t>
      </w:r>
      <w:r>
        <w:rPr>
          <w:rFonts w:ascii="仿宋_GB2312" w:hAnsi="宋体" w:eastAsia="仿宋_GB2312" w:cs="宋体"/>
          <w:kern w:val="0"/>
          <w:sz w:val="32"/>
          <w:szCs w:val="32"/>
          <w:highlight w:val="none"/>
        </w:rPr>
        <w:t>100</w:t>
      </w:r>
      <w:r>
        <w:rPr>
          <w:rFonts w:hint="eastAsia" w:ascii="仿宋_GB2312" w:hAnsi="宋体" w:eastAsia="仿宋_GB2312" w:cs="宋体"/>
          <w:kern w:val="0"/>
          <w:sz w:val="32"/>
          <w:szCs w:val="32"/>
          <w:highlight w:val="none"/>
        </w:rPr>
        <w:t>万元以上大型设备</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台（套）。</w:t>
      </w:r>
    </w:p>
    <w:p>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年部门预算未安排购置车辆经费（或安排购置车辆经费</w:t>
      </w:r>
      <w:r>
        <w:rPr>
          <w:rFonts w:ascii="仿宋_GB2312" w:hAnsi="宋体" w:eastAsia="仿宋_GB2312" w:cs="宋体"/>
          <w:kern w:val="0"/>
          <w:sz w:val="32"/>
          <w:szCs w:val="32"/>
          <w:highlight w:val="none"/>
        </w:rPr>
        <w:t xml:space="preserve">0  </w:t>
      </w:r>
      <w:r>
        <w:rPr>
          <w:rFonts w:hint="eastAsia" w:ascii="仿宋_GB2312" w:hAnsi="宋体" w:eastAsia="仿宋_GB2312" w:cs="宋体"/>
          <w:kern w:val="0"/>
          <w:sz w:val="32"/>
          <w:szCs w:val="32"/>
          <w:highlight w:val="none"/>
        </w:rPr>
        <w:t>万元），安排购置</w:t>
      </w:r>
      <w:r>
        <w:rPr>
          <w:rFonts w:ascii="仿宋_GB2312" w:hAnsi="宋体" w:eastAsia="仿宋_GB2312" w:cs="宋体"/>
          <w:kern w:val="0"/>
          <w:sz w:val="32"/>
          <w:szCs w:val="32"/>
          <w:highlight w:val="none"/>
        </w:rPr>
        <w:t>50</w:t>
      </w:r>
      <w:r>
        <w:rPr>
          <w:rFonts w:hint="eastAsia" w:ascii="仿宋_GB2312" w:hAnsi="宋体" w:eastAsia="仿宋_GB2312" w:cs="宋体"/>
          <w:kern w:val="0"/>
          <w:sz w:val="32"/>
          <w:szCs w:val="32"/>
          <w:highlight w:val="none"/>
        </w:rPr>
        <w:t>万元以上大型设备</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台（套），单位价值</w:t>
      </w:r>
      <w:r>
        <w:rPr>
          <w:rFonts w:ascii="仿宋_GB2312" w:hAnsi="宋体" w:eastAsia="仿宋_GB2312" w:cs="宋体"/>
          <w:kern w:val="0"/>
          <w:sz w:val="32"/>
          <w:szCs w:val="32"/>
          <w:highlight w:val="none"/>
        </w:rPr>
        <w:t>100</w:t>
      </w:r>
      <w:r>
        <w:rPr>
          <w:rFonts w:hint="eastAsia" w:ascii="仿宋_GB2312" w:hAnsi="宋体" w:eastAsia="仿宋_GB2312" w:cs="宋体"/>
          <w:kern w:val="0"/>
          <w:sz w:val="32"/>
          <w:szCs w:val="32"/>
          <w:highlight w:val="none"/>
        </w:rPr>
        <w:t>万元以上大型设备</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台（套）。</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（四）预算绩效情况</w:t>
      </w:r>
    </w:p>
    <w:p>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年度，本年度实行绩效管理的项目</w:t>
      </w:r>
      <w:r>
        <w:rPr>
          <w:rFonts w:ascii="仿宋_GB2312" w:hAnsi="宋体" w:eastAsia="仿宋_GB2312" w:cs="宋体"/>
          <w:kern w:val="0"/>
          <w:sz w:val="32"/>
          <w:szCs w:val="32"/>
          <w:highlight w:val="none"/>
        </w:rPr>
        <w:t>4</w:t>
      </w:r>
      <w:r>
        <w:rPr>
          <w:rFonts w:hint="eastAsia" w:ascii="仿宋_GB2312" w:hAnsi="宋体" w:eastAsia="仿宋_GB2312" w:cs="宋体"/>
          <w:kern w:val="0"/>
          <w:sz w:val="32"/>
          <w:szCs w:val="32"/>
          <w:highlight w:val="none"/>
        </w:rPr>
        <w:t>个，涉及预算金额</w:t>
      </w:r>
      <w:r>
        <w:rPr>
          <w:rFonts w:ascii="仿宋_GB2312" w:hAnsi="宋体" w:eastAsia="仿宋_GB2312" w:cs="宋体"/>
          <w:kern w:val="0"/>
          <w:sz w:val="32"/>
          <w:szCs w:val="32"/>
          <w:highlight w:val="none"/>
        </w:rPr>
        <w:t>15</w:t>
      </w:r>
      <w:r>
        <w:rPr>
          <w:rFonts w:hint="eastAsia" w:ascii="仿宋_GB2312" w:hAnsi="宋体" w:eastAsia="仿宋_GB2312" w:cs="宋体"/>
          <w:kern w:val="0"/>
          <w:sz w:val="32"/>
          <w:szCs w:val="32"/>
          <w:highlight w:val="none"/>
        </w:rPr>
        <w:t>万元。具体情况见下表（按项目分别填报）：</w:t>
      </w:r>
    </w:p>
    <w:p>
      <w:pPr>
        <w:spacing w:line="500" w:lineRule="exact"/>
        <w:rPr>
          <w:rFonts w:ascii="仿宋_GB2312" w:hAnsi="宋体" w:eastAsia="仿宋_GB2312" w:cs="宋体"/>
          <w:kern w:val="0"/>
          <w:sz w:val="32"/>
          <w:szCs w:val="32"/>
          <w:highlight w:val="none"/>
        </w:rPr>
      </w:pPr>
    </w:p>
    <w:p>
      <w:pPr>
        <w:spacing w:line="500" w:lineRule="exact"/>
        <w:rPr>
          <w:rFonts w:ascii="仿宋_GB2312" w:hAnsi="宋体" w:eastAsia="仿宋_GB2312" w:cs="宋体"/>
          <w:kern w:val="0"/>
          <w:sz w:val="32"/>
          <w:szCs w:val="32"/>
          <w:highlight w:val="none"/>
        </w:rPr>
      </w:pPr>
    </w:p>
    <w:p>
      <w:pPr>
        <w:spacing w:line="500" w:lineRule="exact"/>
        <w:rPr>
          <w:rFonts w:ascii="仿宋_GB2312" w:hAnsi="宋体" w:eastAsia="仿宋_GB2312" w:cs="宋体"/>
          <w:kern w:val="0"/>
          <w:sz w:val="32"/>
          <w:szCs w:val="32"/>
          <w:highlight w:val="none"/>
        </w:rPr>
      </w:pPr>
    </w:p>
    <w:p>
      <w:pPr>
        <w:widowControl/>
        <w:spacing w:line="600" w:lineRule="exact"/>
        <w:rPr>
          <w:highlight w:val="none"/>
        </w:rPr>
        <w:sectPr>
          <w:pgSz w:w="11906" w:h="16838"/>
          <w:pgMar w:top="1440" w:right="1800" w:bottom="1440" w:left="1800" w:header="851" w:footer="992" w:gutter="0"/>
          <w:cols w:space="425" w:num="1"/>
          <w:docGrid w:type="lines" w:linePitch="312" w:charSpace="0"/>
        </w:sectPr>
      </w:pPr>
    </w:p>
    <w:tbl>
      <w:tblPr>
        <w:tblStyle w:val="4"/>
        <w:tblW w:w="20959" w:type="dxa"/>
        <w:tblInd w:w="93" w:type="dxa"/>
        <w:tblLayout w:type="fixed"/>
        <w:tblCellMar>
          <w:top w:w="0" w:type="dxa"/>
          <w:left w:w="108" w:type="dxa"/>
          <w:bottom w:w="0" w:type="dxa"/>
          <w:right w:w="108" w:type="dxa"/>
        </w:tblCellMar>
      </w:tblPr>
      <w:tblGrid>
        <w:gridCol w:w="1774"/>
        <w:gridCol w:w="1800"/>
        <w:gridCol w:w="2142"/>
        <w:gridCol w:w="500"/>
        <w:gridCol w:w="1164"/>
        <w:gridCol w:w="323"/>
        <w:gridCol w:w="323"/>
        <w:gridCol w:w="1925"/>
        <w:gridCol w:w="1381"/>
        <w:gridCol w:w="2143"/>
        <w:gridCol w:w="249"/>
        <w:gridCol w:w="249"/>
        <w:gridCol w:w="3493"/>
        <w:gridCol w:w="3493"/>
      </w:tblGrid>
      <w:tr>
        <w:tblPrEx>
          <w:tblCellMar>
            <w:top w:w="0" w:type="dxa"/>
            <w:left w:w="108" w:type="dxa"/>
            <w:bottom w:w="0" w:type="dxa"/>
            <w:right w:w="108" w:type="dxa"/>
          </w:tblCellMar>
        </w:tblPrEx>
        <w:trPr>
          <w:gridAfter w:val="2"/>
          <w:wAfter w:w="6986" w:type="dxa"/>
          <w:trHeight w:val="406" w:hRule="atLeast"/>
        </w:trPr>
        <w:tc>
          <w:tcPr>
            <w:tcW w:w="13973" w:type="dxa"/>
            <w:gridSpan w:val="12"/>
            <w:tcBorders>
              <w:top w:val="nil"/>
              <w:left w:val="nil"/>
              <w:bottom w:val="nil"/>
              <w:right w:val="nil"/>
            </w:tcBorders>
            <w:vAlign w:val="bottom"/>
          </w:tcPr>
          <w:p>
            <w:pPr>
              <w:widowControl/>
              <w:jc w:val="center"/>
              <w:outlineLvl w:val="1"/>
              <w:rPr>
                <w:rFonts w:ascii="宋体" w:cs="宋体"/>
                <w:b/>
                <w:bCs/>
                <w:kern w:val="0"/>
                <w:sz w:val="32"/>
                <w:szCs w:val="32"/>
                <w:highlight w:val="none"/>
              </w:rPr>
            </w:pPr>
            <w:r>
              <w:rPr>
                <w:rFonts w:hint="eastAsia" w:ascii="仿宋_GB2312" w:hAnsi="宋体" w:eastAsia="仿宋_GB2312"/>
                <w:b/>
                <w:kern w:val="0"/>
                <w:sz w:val="32"/>
                <w:szCs w:val="32"/>
                <w:highlight w:val="none"/>
              </w:rPr>
              <w:t>项</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支</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出</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绩</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效</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标</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表</w:t>
            </w:r>
          </w:p>
        </w:tc>
      </w:tr>
      <w:tr>
        <w:tblPrEx>
          <w:tblCellMar>
            <w:top w:w="0" w:type="dxa"/>
            <w:left w:w="108" w:type="dxa"/>
            <w:bottom w:w="0" w:type="dxa"/>
            <w:right w:w="108" w:type="dxa"/>
          </w:tblCellMar>
        </w:tblPrEx>
        <w:trPr>
          <w:gridAfter w:val="2"/>
          <w:wAfter w:w="6986" w:type="dxa"/>
          <w:trHeight w:val="271" w:hRule="atLeast"/>
        </w:trPr>
        <w:tc>
          <w:tcPr>
            <w:tcW w:w="1774"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1800"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2142"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1664" w:type="dxa"/>
            <w:gridSpan w:val="2"/>
            <w:tcBorders>
              <w:top w:val="nil"/>
              <w:left w:val="nil"/>
              <w:bottom w:val="nil"/>
              <w:right w:val="nil"/>
            </w:tcBorders>
            <w:vAlign w:val="bottom"/>
          </w:tcPr>
          <w:p>
            <w:pPr>
              <w:widowControl/>
              <w:jc w:val="left"/>
              <w:rPr>
                <w:rFonts w:ascii="宋体" w:cs="宋体"/>
                <w:color w:val="000000"/>
                <w:kern w:val="0"/>
                <w:sz w:val="22"/>
                <w:highlight w:val="none"/>
              </w:rPr>
            </w:pPr>
          </w:p>
        </w:tc>
        <w:tc>
          <w:tcPr>
            <w:tcW w:w="323"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323"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1925"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1381"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2143"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249"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249" w:type="dxa"/>
            <w:tcBorders>
              <w:top w:val="nil"/>
              <w:left w:val="nil"/>
              <w:bottom w:val="nil"/>
              <w:right w:val="nil"/>
            </w:tcBorders>
            <w:vAlign w:val="bottom"/>
          </w:tcPr>
          <w:p>
            <w:pPr>
              <w:widowControl/>
              <w:jc w:val="left"/>
              <w:rPr>
                <w:rFonts w:ascii="宋体" w:cs="宋体"/>
                <w:color w:val="000000"/>
                <w:kern w:val="0"/>
                <w:sz w:val="22"/>
                <w:highlight w:val="none"/>
              </w:rPr>
            </w:pPr>
          </w:p>
        </w:tc>
      </w:tr>
      <w:tr>
        <w:tblPrEx>
          <w:tblCellMar>
            <w:top w:w="0" w:type="dxa"/>
            <w:left w:w="108" w:type="dxa"/>
            <w:bottom w:w="0" w:type="dxa"/>
            <w:right w:w="108" w:type="dxa"/>
          </w:tblCellMar>
        </w:tblPrEx>
        <w:trPr>
          <w:gridAfter w:val="2"/>
          <w:wAfter w:w="6986" w:type="dxa"/>
          <w:trHeight w:val="197" w:hRule="atLeast"/>
        </w:trPr>
        <w:tc>
          <w:tcPr>
            <w:tcW w:w="17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预算单位</w:t>
            </w:r>
          </w:p>
        </w:tc>
        <w:tc>
          <w:tcPr>
            <w:tcW w:w="6252" w:type="dxa"/>
            <w:gridSpan w:val="6"/>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昌吉州疾病预防控制中心</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项目名称</w:t>
            </w:r>
          </w:p>
        </w:tc>
        <w:tc>
          <w:tcPr>
            <w:tcW w:w="4022" w:type="dxa"/>
            <w:gridSpan w:val="4"/>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结核病防治项目经费</w:t>
            </w:r>
          </w:p>
        </w:tc>
      </w:tr>
      <w:tr>
        <w:tblPrEx>
          <w:tblCellMar>
            <w:top w:w="0" w:type="dxa"/>
            <w:left w:w="108" w:type="dxa"/>
            <w:bottom w:w="0" w:type="dxa"/>
            <w:right w:w="108" w:type="dxa"/>
          </w:tblCellMar>
        </w:tblPrEx>
        <w:trPr>
          <w:gridAfter w:val="2"/>
          <w:wAfter w:w="6986" w:type="dxa"/>
          <w:trHeight w:val="451" w:hRule="atLeast"/>
        </w:trPr>
        <w:tc>
          <w:tcPr>
            <w:tcW w:w="1774"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项目资金（万元）</w:t>
            </w:r>
          </w:p>
        </w:tc>
        <w:tc>
          <w:tcPr>
            <w:tcW w:w="1800"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年度资金总额：</w:t>
            </w:r>
          </w:p>
        </w:tc>
        <w:tc>
          <w:tcPr>
            <w:tcW w:w="2642"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ascii="宋体" w:hAnsi="宋体" w:cs="宋体"/>
                <w:kern w:val="0"/>
                <w:sz w:val="18"/>
                <w:szCs w:val="18"/>
                <w:highlight w:val="none"/>
              </w:rPr>
              <w:t>6</w:t>
            </w:r>
            <w:r>
              <w:rPr>
                <w:rFonts w:hint="eastAsia" w:ascii="宋体" w:hAnsi="宋体" w:cs="宋体"/>
                <w:kern w:val="0"/>
                <w:sz w:val="18"/>
                <w:szCs w:val="18"/>
                <w:highlight w:val="none"/>
              </w:rPr>
              <w:t>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ascii="宋体" w:hAnsi="宋体" w:cs="宋体"/>
                <w:kern w:val="0"/>
                <w:sz w:val="18"/>
                <w:szCs w:val="18"/>
                <w:highlight w:val="none"/>
              </w:rPr>
              <w:t>6</w:t>
            </w:r>
            <w:r>
              <w:rPr>
                <w:rFonts w:hint="eastAsia" w:ascii="宋体" w:hAnsi="宋体" w:cs="宋体"/>
                <w:kern w:val="0"/>
                <w:sz w:val="18"/>
                <w:szCs w:val="18"/>
                <w:highlight w:val="none"/>
              </w:rPr>
              <w:t>　</w:t>
            </w:r>
          </w:p>
        </w:tc>
        <w:tc>
          <w:tcPr>
            <w:tcW w:w="1381"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401" w:hRule="atLeast"/>
        </w:trPr>
        <w:tc>
          <w:tcPr>
            <w:tcW w:w="177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项目总体目标</w:t>
            </w:r>
          </w:p>
        </w:tc>
        <w:tc>
          <w:tcPr>
            <w:tcW w:w="12199" w:type="dxa"/>
            <w:gridSpan w:val="11"/>
            <w:tcBorders>
              <w:top w:val="nil"/>
              <w:left w:val="nil"/>
              <w:bottom w:val="single" w:color="000000" w:sz="4" w:space="0"/>
              <w:right w:val="single" w:color="000000" w:sz="4" w:space="0"/>
            </w:tcBorders>
          </w:tcPr>
          <w:p>
            <w:pPr>
              <w:widowControl/>
              <w:jc w:val="left"/>
              <w:rPr>
                <w:rFonts w:ascii="宋体" w:cs="宋体"/>
                <w:kern w:val="0"/>
                <w:sz w:val="18"/>
                <w:szCs w:val="18"/>
                <w:highlight w:val="none"/>
              </w:rPr>
            </w:pPr>
            <w:r>
              <w:rPr>
                <w:rFonts w:hint="eastAsia" w:ascii="宋体" w:hAnsi="宋体" w:cs="宋体"/>
                <w:kern w:val="0"/>
                <w:sz w:val="18"/>
                <w:szCs w:val="18"/>
                <w:highlight w:val="none"/>
              </w:rPr>
              <w:t>　通过加强综合医疗机构和疾控机构的合作，提高病人的发现率，并且确保肺结核患者获得规范化的结核病诊断、治疗及管理服务，从而预防及降低结核病几耐药结核病的发生。</w:t>
            </w:r>
            <w:r>
              <w:rPr>
                <w:rFonts w:ascii="宋体" w:cs="宋体"/>
                <w:kern w:val="0"/>
                <w:sz w:val="18"/>
                <w:szCs w:val="18"/>
                <w:highlight w:val="none"/>
              </w:rPr>
              <w:tab/>
            </w:r>
            <w:r>
              <w:rPr>
                <w:rFonts w:ascii="宋体" w:cs="宋体"/>
                <w:kern w:val="0"/>
                <w:sz w:val="18"/>
                <w:szCs w:val="18"/>
                <w:highlight w:val="none"/>
              </w:rPr>
              <w:tab/>
            </w:r>
            <w:r>
              <w:rPr>
                <w:rFonts w:ascii="宋体" w:cs="宋体"/>
                <w:kern w:val="0"/>
                <w:sz w:val="18"/>
                <w:szCs w:val="18"/>
                <w:highlight w:val="none"/>
              </w:rPr>
              <w:tab/>
            </w:r>
            <w:r>
              <w:rPr>
                <w:rFonts w:ascii="宋体" w:cs="宋体"/>
                <w:kern w:val="0"/>
                <w:sz w:val="18"/>
                <w:szCs w:val="18"/>
                <w:highlight w:val="none"/>
              </w:rPr>
              <w:tab/>
            </w:r>
            <w:r>
              <w:rPr>
                <w:rFonts w:ascii="宋体" w:cs="宋体"/>
                <w:kern w:val="0"/>
                <w:sz w:val="18"/>
                <w:szCs w:val="18"/>
                <w:highlight w:val="none"/>
              </w:rPr>
              <w:tab/>
            </w:r>
          </w:p>
        </w:tc>
      </w:tr>
      <w:tr>
        <w:tblPrEx>
          <w:tblCellMar>
            <w:top w:w="0" w:type="dxa"/>
            <w:left w:w="108" w:type="dxa"/>
            <w:bottom w:w="0" w:type="dxa"/>
            <w:right w:w="108" w:type="dxa"/>
          </w:tblCellMar>
        </w:tblPrEx>
        <w:trPr>
          <w:gridAfter w:val="2"/>
          <w:wAfter w:w="6986" w:type="dxa"/>
          <w:trHeight w:val="271" w:hRule="atLeast"/>
        </w:trPr>
        <w:tc>
          <w:tcPr>
            <w:tcW w:w="177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一级指标</w:t>
            </w:r>
          </w:p>
        </w:tc>
        <w:tc>
          <w:tcPr>
            <w:tcW w:w="1800"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二级指标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三级指标</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指标值（包含数字及文字描述）</w:t>
            </w:r>
          </w:p>
        </w:tc>
      </w:tr>
      <w:tr>
        <w:tblPrEx>
          <w:tblCellMar>
            <w:top w:w="0" w:type="dxa"/>
            <w:left w:w="108" w:type="dxa"/>
            <w:bottom w:w="0" w:type="dxa"/>
            <w:right w:w="108" w:type="dxa"/>
          </w:tblCellMar>
        </w:tblPrEx>
        <w:trPr>
          <w:gridAfter w:val="2"/>
          <w:wAfter w:w="6986" w:type="dxa"/>
          <w:trHeight w:val="327" w:hRule="atLeast"/>
        </w:trPr>
        <w:tc>
          <w:tcPr>
            <w:tcW w:w="177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项目完成指标</w:t>
            </w: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成本指标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时效指标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数量指标</w:t>
            </w: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肺结核患者病原学阳性率</w:t>
            </w:r>
            <w:r>
              <w:rPr>
                <w:rFonts w:ascii="宋体"/>
                <w:color w:val="000000"/>
                <w:sz w:val="22"/>
                <w:highlight w:val="none"/>
              </w:rPr>
              <w:tab/>
            </w:r>
            <w:r>
              <w:rPr>
                <w:rFonts w:ascii="宋体"/>
                <w:color w:val="000000"/>
                <w:sz w:val="22"/>
                <w:highlight w:val="none"/>
              </w:rPr>
              <w:tab/>
            </w:r>
            <w:r>
              <w:rPr>
                <w:rFonts w:ascii="宋体"/>
                <w:color w:val="000000"/>
                <w:sz w:val="22"/>
                <w:highlight w:val="none"/>
              </w:rPr>
              <w:tab/>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40%</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耐多药肺结核高危人群筛查率</w:t>
            </w:r>
            <w:r>
              <w:rPr>
                <w:rFonts w:ascii="宋体"/>
                <w:color w:val="000000"/>
                <w:sz w:val="22"/>
                <w:highlight w:val="none"/>
              </w:rPr>
              <w:tab/>
            </w:r>
            <w:r>
              <w:rPr>
                <w:rFonts w:ascii="宋体"/>
                <w:color w:val="000000"/>
                <w:sz w:val="22"/>
                <w:highlight w:val="none"/>
              </w:rPr>
              <w:tab/>
            </w:r>
            <w:r>
              <w:rPr>
                <w:rFonts w:ascii="宋体"/>
                <w:color w:val="000000"/>
                <w:sz w:val="22"/>
                <w:highlight w:val="none"/>
              </w:rPr>
              <w:tab/>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80%</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质量指标</w:t>
            </w: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报告结核病患者和疑似肺结核患者总体到位率</w:t>
            </w:r>
            <w:r>
              <w:rPr>
                <w:rFonts w:ascii="宋体"/>
                <w:color w:val="000000"/>
                <w:sz w:val="22"/>
                <w:highlight w:val="none"/>
              </w:rPr>
              <w:tab/>
            </w:r>
            <w:r>
              <w:rPr>
                <w:rFonts w:ascii="宋体"/>
                <w:color w:val="000000"/>
                <w:sz w:val="22"/>
                <w:highlight w:val="none"/>
              </w:rPr>
              <w:tab/>
            </w:r>
            <w:r>
              <w:rPr>
                <w:rFonts w:ascii="宋体"/>
                <w:color w:val="000000"/>
                <w:sz w:val="22"/>
                <w:highlight w:val="none"/>
              </w:rPr>
              <w:tab/>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95%</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艾滋病病毒感染者结核病筛查率</w:t>
            </w:r>
            <w:r>
              <w:rPr>
                <w:rFonts w:ascii="宋体"/>
                <w:color w:val="000000"/>
                <w:sz w:val="22"/>
                <w:highlight w:val="none"/>
              </w:rPr>
              <w:tab/>
            </w:r>
            <w:r>
              <w:rPr>
                <w:rFonts w:ascii="宋体"/>
                <w:color w:val="000000"/>
                <w:sz w:val="22"/>
                <w:highlight w:val="none"/>
              </w:rPr>
              <w:tab/>
            </w:r>
            <w:r>
              <w:rPr>
                <w:rFonts w:ascii="宋体"/>
                <w:color w:val="000000"/>
                <w:sz w:val="22"/>
                <w:highlight w:val="none"/>
              </w:rPr>
              <w:tab/>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90%</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trHeight w:val="283" w:hRule="atLeast"/>
        </w:trPr>
        <w:tc>
          <w:tcPr>
            <w:tcW w:w="177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项目效益指标</w:t>
            </w: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经济效益指标</w:t>
            </w: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病原学阳性肺结核患者密切接触者筛查率</w:t>
            </w:r>
            <w:r>
              <w:rPr>
                <w:rFonts w:ascii="宋体"/>
                <w:color w:val="000000"/>
                <w:sz w:val="22"/>
                <w:highlight w:val="none"/>
              </w:rPr>
              <w:tab/>
            </w:r>
            <w:r>
              <w:rPr>
                <w:rFonts w:ascii="宋体"/>
                <w:color w:val="000000"/>
                <w:sz w:val="22"/>
                <w:highlight w:val="none"/>
              </w:rPr>
              <w:tab/>
            </w:r>
            <w:r>
              <w:rPr>
                <w:rFonts w:ascii="宋体"/>
                <w:color w:val="000000"/>
                <w:sz w:val="22"/>
                <w:highlight w:val="none"/>
              </w:rPr>
              <w:tab/>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95%</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gridAfter w:val="2"/>
          <w:wAfter w:w="6986" w:type="dxa"/>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可持续影响指标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社会效益指标</w:t>
            </w: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公众结核病防治核心知识知晓率</w:t>
            </w:r>
            <w:r>
              <w:rPr>
                <w:rFonts w:ascii="宋体"/>
                <w:color w:val="000000"/>
                <w:sz w:val="22"/>
                <w:highlight w:val="none"/>
              </w:rPr>
              <w:tab/>
            </w:r>
            <w:r>
              <w:rPr>
                <w:rFonts w:ascii="宋体"/>
                <w:color w:val="000000"/>
                <w:sz w:val="22"/>
                <w:highlight w:val="none"/>
              </w:rPr>
              <w:tab/>
            </w:r>
            <w:r>
              <w:rPr>
                <w:rFonts w:ascii="宋体"/>
                <w:color w:val="000000"/>
                <w:sz w:val="22"/>
                <w:highlight w:val="none"/>
              </w:rPr>
              <w:tab/>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85%</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涂阳肺结核患者治愈率</w:t>
            </w:r>
            <w:r>
              <w:rPr>
                <w:rFonts w:ascii="宋体"/>
                <w:color w:val="000000"/>
                <w:sz w:val="22"/>
                <w:highlight w:val="none"/>
              </w:rPr>
              <w:tab/>
            </w:r>
            <w:r>
              <w:rPr>
                <w:rFonts w:ascii="宋体"/>
                <w:color w:val="000000"/>
                <w:sz w:val="22"/>
                <w:highlight w:val="none"/>
              </w:rPr>
              <w:tab/>
            </w:r>
            <w:r>
              <w:rPr>
                <w:rFonts w:ascii="宋体"/>
                <w:color w:val="000000"/>
                <w:sz w:val="22"/>
                <w:highlight w:val="none"/>
              </w:rPr>
              <w:tab/>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85%</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gridAfter w:val="2"/>
          <w:wAfter w:w="6986" w:type="dxa"/>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生态效益指标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197" w:hRule="atLeast"/>
        </w:trPr>
        <w:tc>
          <w:tcPr>
            <w:tcW w:w="1774" w:type="dxa"/>
            <w:tcBorders>
              <w:top w:val="nil"/>
              <w:left w:val="single" w:color="000000" w:sz="4" w:space="0"/>
              <w:bottom w:val="nil"/>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1800" w:type="dxa"/>
            <w:tcBorders>
              <w:top w:val="nil"/>
              <w:left w:val="single" w:color="000000" w:sz="4" w:space="0"/>
              <w:bottom w:val="nil"/>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406" w:hRule="atLeast"/>
        </w:trPr>
        <w:tc>
          <w:tcPr>
            <w:tcW w:w="13973" w:type="dxa"/>
            <w:gridSpan w:val="12"/>
            <w:tcBorders>
              <w:top w:val="nil"/>
              <w:left w:val="nil"/>
              <w:bottom w:val="nil"/>
              <w:right w:val="nil"/>
            </w:tcBorders>
            <w:vAlign w:val="bottom"/>
          </w:tcPr>
          <w:p>
            <w:pPr>
              <w:widowControl/>
              <w:jc w:val="center"/>
              <w:outlineLvl w:val="1"/>
              <w:rPr>
                <w:rFonts w:ascii="宋体" w:cs="宋体"/>
                <w:b/>
                <w:bCs/>
                <w:kern w:val="0"/>
                <w:sz w:val="32"/>
                <w:szCs w:val="32"/>
                <w:highlight w:val="none"/>
              </w:rPr>
            </w:pPr>
            <w:r>
              <w:rPr>
                <w:rFonts w:hint="eastAsia" w:ascii="仿宋_GB2312" w:hAnsi="宋体" w:eastAsia="仿宋_GB2312"/>
                <w:b/>
                <w:kern w:val="0"/>
                <w:sz w:val="32"/>
                <w:szCs w:val="32"/>
                <w:highlight w:val="none"/>
              </w:rPr>
              <w:t>项</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支</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出</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绩</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效</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标</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表</w:t>
            </w:r>
          </w:p>
        </w:tc>
      </w:tr>
      <w:tr>
        <w:tblPrEx>
          <w:tblCellMar>
            <w:top w:w="0" w:type="dxa"/>
            <w:left w:w="108" w:type="dxa"/>
            <w:bottom w:w="0" w:type="dxa"/>
            <w:right w:w="108" w:type="dxa"/>
          </w:tblCellMar>
        </w:tblPrEx>
        <w:trPr>
          <w:gridAfter w:val="2"/>
          <w:wAfter w:w="6986" w:type="dxa"/>
          <w:trHeight w:val="271" w:hRule="atLeast"/>
        </w:trPr>
        <w:tc>
          <w:tcPr>
            <w:tcW w:w="1774"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1800"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2142"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1664" w:type="dxa"/>
            <w:gridSpan w:val="2"/>
            <w:tcBorders>
              <w:top w:val="nil"/>
              <w:left w:val="nil"/>
              <w:bottom w:val="nil"/>
              <w:right w:val="nil"/>
            </w:tcBorders>
            <w:vAlign w:val="bottom"/>
          </w:tcPr>
          <w:p>
            <w:pPr>
              <w:widowControl/>
              <w:jc w:val="left"/>
              <w:rPr>
                <w:rFonts w:ascii="宋体" w:cs="宋体"/>
                <w:color w:val="000000"/>
                <w:kern w:val="0"/>
                <w:sz w:val="22"/>
                <w:highlight w:val="none"/>
              </w:rPr>
            </w:pPr>
          </w:p>
        </w:tc>
        <w:tc>
          <w:tcPr>
            <w:tcW w:w="323"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323"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1925"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1381"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2143"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249"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249" w:type="dxa"/>
            <w:tcBorders>
              <w:top w:val="nil"/>
              <w:left w:val="nil"/>
              <w:bottom w:val="nil"/>
              <w:right w:val="nil"/>
            </w:tcBorders>
            <w:vAlign w:val="bottom"/>
          </w:tcPr>
          <w:p>
            <w:pPr>
              <w:widowControl/>
              <w:jc w:val="left"/>
              <w:rPr>
                <w:rFonts w:ascii="宋体" w:cs="宋体"/>
                <w:color w:val="000000"/>
                <w:kern w:val="0"/>
                <w:sz w:val="22"/>
                <w:highlight w:val="none"/>
              </w:rPr>
            </w:pPr>
          </w:p>
        </w:tc>
      </w:tr>
      <w:tr>
        <w:tblPrEx>
          <w:tblCellMar>
            <w:top w:w="0" w:type="dxa"/>
            <w:left w:w="108" w:type="dxa"/>
            <w:bottom w:w="0" w:type="dxa"/>
            <w:right w:w="108" w:type="dxa"/>
          </w:tblCellMar>
        </w:tblPrEx>
        <w:trPr>
          <w:gridAfter w:val="2"/>
          <w:wAfter w:w="6986" w:type="dxa"/>
          <w:trHeight w:val="197" w:hRule="atLeast"/>
        </w:trPr>
        <w:tc>
          <w:tcPr>
            <w:tcW w:w="17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预算单位</w:t>
            </w:r>
          </w:p>
        </w:tc>
        <w:tc>
          <w:tcPr>
            <w:tcW w:w="6252" w:type="dxa"/>
            <w:gridSpan w:val="6"/>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昌吉州疾病预防控制中心</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项目名称</w:t>
            </w:r>
          </w:p>
        </w:tc>
        <w:tc>
          <w:tcPr>
            <w:tcW w:w="4022" w:type="dxa"/>
            <w:gridSpan w:val="4"/>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艾滋病防治项目</w:t>
            </w:r>
          </w:p>
        </w:tc>
      </w:tr>
      <w:tr>
        <w:tblPrEx>
          <w:tblCellMar>
            <w:top w:w="0" w:type="dxa"/>
            <w:left w:w="108" w:type="dxa"/>
            <w:bottom w:w="0" w:type="dxa"/>
            <w:right w:w="108" w:type="dxa"/>
          </w:tblCellMar>
        </w:tblPrEx>
        <w:trPr>
          <w:gridAfter w:val="2"/>
          <w:wAfter w:w="6986" w:type="dxa"/>
          <w:trHeight w:val="451" w:hRule="atLeast"/>
        </w:trPr>
        <w:tc>
          <w:tcPr>
            <w:tcW w:w="1774"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项目资金（万元）</w:t>
            </w:r>
          </w:p>
        </w:tc>
        <w:tc>
          <w:tcPr>
            <w:tcW w:w="1800"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年度资金总额：</w:t>
            </w:r>
          </w:p>
        </w:tc>
        <w:tc>
          <w:tcPr>
            <w:tcW w:w="2642"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ascii="宋体" w:hAnsi="宋体" w:cs="宋体"/>
                <w:kern w:val="0"/>
                <w:sz w:val="18"/>
                <w:szCs w:val="18"/>
                <w:highlight w:val="none"/>
              </w:rPr>
              <w:t>3</w:t>
            </w:r>
            <w:r>
              <w:rPr>
                <w:rFonts w:hint="eastAsia" w:ascii="宋体" w:hAnsi="宋体" w:cs="宋体"/>
                <w:kern w:val="0"/>
                <w:sz w:val="18"/>
                <w:szCs w:val="18"/>
                <w:highlight w:val="none"/>
              </w:rPr>
              <w:t>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ascii="宋体" w:hAnsi="宋体" w:cs="宋体"/>
                <w:kern w:val="0"/>
                <w:sz w:val="18"/>
                <w:szCs w:val="18"/>
                <w:highlight w:val="none"/>
              </w:rPr>
              <w:t>3</w:t>
            </w:r>
            <w:r>
              <w:rPr>
                <w:rFonts w:hint="eastAsia" w:ascii="宋体" w:hAnsi="宋体" w:cs="宋体"/>
                <w:kern w:val="0"/>
                <w:sz w:val="18"/>
                <w:szCs w:val="18"/>
                <w:highlight w:val="none"/>
              </w:rPr>
              <w:t>　</w:t>
            </w:r>
          </w:p>
        </w:tc>
        <w:tc>
          <w:tcPr>
            <w:tcW w:w="1381"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636" w:hRule="atLeast"/>
        </w:trPr>
        <w:tc>
          <w:tcPr>
            <w:tcW w:w="177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项目总体目标</w:t>
            </w:r>
          </w:p>
        </w:tc>
        <w:tc>
          <w:tcPr>
            <w:tcW w:w="12199" w:type="dxa"/>
            <w:gridSpan w:val="11"/>
            <w:tcBorders>
              <w:top w:val="nil"/>
              <w:left w:val="nil"/>
              <w:bottom w:val="single" w:color="000000" w:sz="4" w:space="0"/>
              <w:right w:val="single" w:color="000000" w:sz="4" w:space="0"/>
            </w:tcBorders>
          </w:tcPr>
          <w:p>
            <w:pPr>
              <w:widowControl/>
              <w:jc w:val="left"/>
              <w:rPr>
                <w:rFonts w:ascii="宋体" w:cs="宋体"/>
                <w:kern w:val="0"/>
                <w:sz w:val="18"/>
                <w:szCs w:val="18"/>
                <w:highlight w:val="none"/>
              </w:rPr>
            </w:pPr>
            <w:r>
              <w:rPr>
                <w:rFonts w:hint="eastAsia" w:ascii="宋体" w:hAnsi="宋体" w:cs="宋体"/>
                <w:kern w:val="0"/>
                <w:sz w:val="18"/>
                <w:szCs w:val="18"/>
                <w:highlight w:val="none"/>
              </w:rPr>
              <w:t>总目标是在项目实施地区降低艾滋病病毒在人群中的传播并减轻艾滋病带来的影响；在项目实施中动员社会各界的力量广泛参，促进多部门参与艾滋病防治工作，使更多的资源投入到艾滋病防治工作中，发挥多部门在防治艾滋病中的优势，遏制艾滋病的传播和流行。</w:t>
            </w:r>
            <w:r>
              <w:rPr>
                <w:rFonts w:ascii="宋体" w:cs="宋体"/>
                <w:kern w:val="0"/>
                <w:sz w:val="18"/>
                <w:szCs w:val="18"/>
                <w:highlight w:val="none"/>
              </w:rPr>
              <w:tab/>
            </w:r>
            <w:r>
              <w:rPr>
                <w:rFonts w:ascii="宋体" w:cs="宋体"/>
                <w:kern w:val="0"/>
                <w:sz w:val="18"/>
                <w:szCs w:val="18"/>
                <w:highlight w:val="none"/>
              </w:rPr>
              <w:tab/>
            </w:r>
            <w:r>
              <w:rPr>
                <w:rFonts w:ascii="宋体" w:cs="宋体"/>
                <w:kern w:val="0"/>
                <w:sz w:val="18"/>
                <w:szCs w:val="18"/>
                <w:highlight w:val="none"/>
              </w:rPr>
              <w:tab/>
            </w:r>
            <w:r>
              <w:rPr>
                <w:rFonts w:ascii="宋体" w:cs="宋体"/>
                <w:kern w:val="0"/>
                <w:sz w:val="18"/>
                <w:szCs w:val="18"/>
                <w:highlight w:val="none"/>
              </w:rPr>
              <w:tab/>
            </w:r>
          </w:p>
        </w:tc>
      </w:tr>
      <w:tr>
        <w:tblPrEx>
          <w:tblCellMar>
            <w:top w:w="0" w:type="dxa"/>
            <w:left w:w="108" w:type="dxa"/>
            <w:bottom w:w="0" w:type="dxa"/>
            <w:right w:w="108" w:type="dxa"/>
          </w:tblCellMar>
        </w:tblPrEx>
        <w:trPr>
          <w:gridAfter w:val="2"/>
          <w:wAfter w:w="6986" w:type="dxa"/>
          <w:trHeight w:val="271" w:hRule="atLeast"/>
        </w:trPr>
        <w:tc>
          <w:tcPr>
            <w:tcW w:w="177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一级指标</w:t>
            </w:r>
          </w:p>
        </w:tc>
        <w:tc>
          <w:tcPr>
            <w:tcW w:w="1800"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二级指标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三级指标</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指标值（包含数字及文字描述）</w:t>
            </w:r>
          </w:p>
        </w:tc>
      </w:tr>
      <w:tr>
        <w:tblPrEx>
          <w:tblCellMar>
            <w:top w:w="0" w:type="dxa"/>
            <w:left w:w="108" w:type="dxa"/>
            <w:bottom w:w="0" w:type="dxa"/>
            <w:right w:w="108" w:type="dxa"/>
          </w:tblCellMar>
        </w:tblPrEx>
        <w:trPr>
          <w:gridAfter w:val="2"/>
          <w:wAfter w:w="6986" w:type="dxa"/>
          <w:trHeight w:val="327" w:hRule="atLeast"/>
        </w:trPr>
        <w:tc>
          <w:tcPr>
            <w:tcW w:w="177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项目完成指标</w:t>
            </w: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成本指标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时效指标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数量指标</w:t>
            </w: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举办艾滋病性病综合防治技术培训班一期，培训各级艾滋病性病防治人员</w:t>
            </w:r>
            <w:r>
              <w:rPr>
                <w:rFonts w:ascii="宋体" w:hAnsi="宋体"/>
                <w:color w:val="000000"/>
                <w:sz w:val="22"/>
                <w:highlight w:val="none"/>
              </w:rPr>
              <w:t>30</w:t>
            </w:r>
            <w:r>
              <w:rPr>
                <w:rFonts w:hint="eastAsia" w:ascii="宋体" w:hAnsi="宋体"/>
                <w:color w:val="000000"/>
                <w:sz w:val="22"/>
                <w:highlight w:val="none"/>
              </w:rPr>
              <w:t>人。</w:t>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100%</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一年</w:t>
            </w:r>
            <w:r>
              <w:rPr>
                <w:rFonts w:ascii="宋体" w:hAnsi="宋体"/>
                <w:color w:val="000000"/>
                <w:sz w:val="22"/>
                <w:highlight w:val="none"/>
              </w:rPr>
              <w:t>2</w:t>
            </w:r>
            <w:r>
              <w:rPr>
                <w:rFonts w:hint="eastAsia" w:ascii="宋体" w:hAnsi="宋体"/>
                <w:color w:val="000000"/>
                <w:sz w:val="22"/>
                <w:highlight w:val="none"/>
              </w:rPr>
              <w:t>次组织专业人员对七县市艾滋病综合防治工作进行现场指导检查。</w:t>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2</w:t>
            </w:r>
            <w:r>
              <w:rPr>
                <w:rFonts w:hint="eastAsia" w:ascii="宋体" w:hAnsi="宋体"/>
                <w:color w:val="000000"/>
                <w:sz w:val="22"/>
                <w:highlight w:val="none"/>
              </w:rPr>
              <w:t>次</w:t>
            </w:r>
            <w:r>
              <w:rPr>
                <w:rFonts w:ascii="宋体" w:hAnsi="宋体"/>
                <w:color w:val="000000"/>
                <w:sz w:val="22"/>
                <w:highlight w:val="none"/>
              </w:rPr>
              <w:t>/</w:t>
            </w:r>
            <w:r>
              <w:rPr>
                <w:rFonts w:hint="eastAsia" w:ascii="宋体" w:hAnsi="宋体"/>
                <w:color w:val="000000"/>
                <w:sz w:val="22"/>
                <w:highlight w:val="none"/>
              </w:rPr>
              <w:t>年</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质量指标</w:t>
            </w: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开展专项评估</w:t>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1</w:t>
            </w:r>
            <w:r>
              <w:rPr>
                <w:rFonts w:hint="eastAsia" w:ascii="宋体" w:hAnsi="宋体"/>
                <w:color w:val="000000"/>
                <w:sz w:val="22"/>
                <w:highlight w:val="none"/>
              </w:rPr>
              <w:t>次</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完成国家艾滋病暗娼人群、吸毒人群哨点监测</w:t>
            </w:r>
            <w:r>
              <w:rPr>
                <w:rFonts w:ascii="宋体" w:hAnsi="宋体"/>
                <w:color w:val="000000"/>
                <w:sz w:val="22"/>
                <w:highlight w:val="none"/>
              </w:rPr>
              <w:t>650</w:t>
            </w:r>
            <w:r>
              <w:rPr>
                <w:rFonts w:hint="eastAsia" w:ascii="宋体" w:hAnsi="宋体"/>
                <w:color w:val="000000"/>
                <w:sz w:val="22"/>
                <w:highlight w:val="none"/>
              </w:rPr>
              <w:t>人。</w:t>
            </w:r>
            <w:r>
              <w:rPr>
                <w:rFonts w:ascii="宋体"/>
                <w:color w:val="000000"/>
                <w:sz w:val="22"/>
                <w:highlight w:val="none"/>
              </w:rPr>
              <w:tab/>
            </w:r>
            <w:r>
              <w:rPr>
                <w:rFonts w:ascii="宋体"/>
                <w:color w:val="000000"/>
                <w:sz w:val="22"/>
                <w:highlight w:val="none"/>
              </w:rPr>
              <w:tab/>
            </w:r>
            <w:r>
              <w:rPr>
                <w:rFonts w:ascii="宋体"/>
                <w:color w:val="000000"/>
                <w:sz w:val="22"/>
                <w:highlight w:val="none"/>
              </w:rPr>
              <w:tab/>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100%</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gridAfter w:val="2"/>
          <w:wAfter w:w="6986" w:type="dxa"/>
          <w:trHeight w:val="283" w:hRule="atLeast"/>
        </w:trPr>
        <w:tc>
          <w:tcPr>
            <w:tcW w:w="177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项目效益指标</w:t>
            </w: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经济效益指标</w:t>
            </w: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p>
        </w:tc>
      </w:tr>
      <w:tr>
        <w:tblPrEx>
          <w:tblCellMar>
            <w:top w:w="0" w:type="dxa"/>
            <w:left w:w="108" w:type="dxa"/>
            <w:bottom w:w="0" w:type="dxa"/>
            <w:right w:w="108" w:type="dxa"/>
          </w:tblCellMar>
        </w:tblPrEx>
        <w:trPr>
          <w:gridAfter w:val="2"/>
          <w:wAfter w:w="6986" w:type="dxa"/>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p>
        </w:tc>
      </w:tr>
      <w:tr>
        <w:tblPrEx>
          <w:tblCellMar>
            <w:top w:w="0" w:type="dxa"/>
            <w:left w:w="108" w:type="dxa"/>
            <w:bottom w:w="0" w:type="dxa"/>
            <w:right w:w="108" w:type="dxa"/>
          </w:tblCellMar>
        </w:tblPrEx>
        <w:trPr>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可持续影响指标</w:t>
            </w: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各级各类艾滋病防治工作人员能力得到进一步提升。</w:t>
            </w:r>
            <w:r>
              <w:rPr>
                <w:rFonts w:ascii="宋体"/>
                <w:color w:val="000000"/>
                <w:sz w:val="22"/>
                <w:highlight w:val="none"/>
              </w:rPr>
              <w:tab/>
            </w:r>
            <w:r>
              <w:rPr>
                <w:rFonts w:ascii="宋体"/>
                <w:color w:val="000000"/>
                <w:sz w:val="22"/>
                <w:highlight w:val="none"/>
              </w:rPr>
              <w:tab/>
            </w:r>
            <w:r>
              <w:rPr>
                <w:rFonts w:ascii="宋体"/>
                <w:color w:val="000000"/>
                <w:sz w:val="22"/>
                <w:highlight w:val="none"/>
              </w:rPr>
              <w:tab/>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得以提升</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各项防控工作指标和工作质量有进一步提高。</w:t>
            </w:r>
            <w:r>
              <w:rPr>
                <w:rFonts w:ascii="宋体"/>
                <w:color w:val="000000"/>
                <w:sz w:val="22"/>
                <w:highlight w:val="none"/>
              </w:rPr>
              <w:tab/>
            </w:r>
            <w:r>
              <w:rPr>
                <w:rFonts w:ascii="宋体"/>
                <w:color w:val="000000"/>
                <w:sz w:val="22"/>
                <w:highlight w:val="none"/>
              </w:rPr>
              <w:tab/>
            </w:r>
            <w:r>
              <w:rPr>
                <w:rFonts w:ascii="宋体"/>
                <w:color w:val="000000"/>
                <w:sz w:val="22"/>
                <w:highlight w:val="none"/>
              </w:rPr>
              <w:tab/>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得到提高</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gridAfter w:val="2"/>
          <w:wAfter w:w="6986" w:type="dxa"/>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社会效益指标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cs="宋体"/>
                <w:kern w:val="0"/>
                <w:sz w:val="18"/>
                <w:szCs w:val="18"/>
                <w:highlight w:val="none"/>
              </w:rPr>
            </w:pPr>
            <w:r>
              <w:rPr>
                <w:rFonts w:hint="eastAsia" w:ascii="宋体" w:hAnsi="宋体" w:cs="宋体"/>
                <w:color w:val="000000"/>
                <w:kern w:val="0"/>
                <w:sz w:val="22"/>
                <w:szCs w:val="22"/>
                <w:highlight w:val="none"/>
              </w:rPr>
              <w:t>完成各类人群艾滋病性病防治知识知晓率调查</w:t>
            </w:r>
            <w:r>
              <w:rPr>
                <w:rFonts w:ascii="宋体" w:hAnsi="宋体" w:cs="宋体"/>
                <w:color w:val="000000"/>
                <w:kern w:val="0"/>
                <w:sz w:val="22"/>
                <w:szCs w:val="22"/>
                <w:highlight w:val="none"/>
              </w:rPr>
              <w:t xml:space="preserve"> </w:t>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s="宋体"/>
                <w:kern w:val="0"/>
                <w:sz w:val="18"/>
                <w:szCs w:val="18"/>
                <w:highlight w:val="none"/>
              </w:rPr>
              <w:t>1000</w:t>
            </w:r>
            <w:r>
              <w:rPr>
                <w:rFonts w:hint="eastAsia" w:ascii="宋体" w:hAnsi="宋体" w:cs="宋体"/>
                <w:kern w:val="0"/>
                <w:sz w:val="18"/>
                <w:szCs w:val="18"/>
                <w:highlight w:val="none"/>
              </w:rPr>
              <w:t>人</w:t>
            </w:r>
          </w:p>
        </w:tc>
      </w:tr>
      <w:tr>
        <w:tblPrEx>
          <w:tblCellMar>
            <w:top w:w="0" w:type="dxa"/>
            <w:left w:w="108" w:type="dxa"/>
            <w:bottom w:w="0" w:type="dxa"/>
            <w:right w:w="108" w:type="dxa"/>
          </w:tblCellMar>
        </w:tblPrEx>
        <w:trPr>
          <w:gridAfter w:val="2"/>
          <w:wAfter w:w="6986" w:type="dxa"/>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p>
        </w:tc>
      </w:tr>
      <w:tr>
        <w:tblPrEx>
          <w:tblCellMar>
            <w:top w:w="0" w:type="dxa"/>
            <w:left w:w="108" w:type="dxa"/>
            <w:bottom w:w="0" w:type="dxa"/>
            <w:right w:w="108" w:type="dxa"/>
          </w:tblCellMar>
        </w:tblPrEx>
        <w:trPr>
          <w:gridAfter w:val="2"/>
          <w:wAfter w:w="6986" w:type="dxa"/>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生态效益指标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p>
        </w:tc>
      </w:tr>
      <w:tr>
        <w:tblPrEx>
          <w:tblCellMar>
            <w:top w:w="0" w:type="dxa"/>
            <w:left w:w="108" w:type="dxa"/>
            <w:bottom w:w="0" w:type="dxa"/>
            <w:right w:w="108" w:type="dxa"/>
          </w:tblCellMar>
        </w:tblPrEx>
        <w:trPr>
          <w:gridAfter w:val="2"/>
          <w:wAfter w:w="6986" w:type="dxa"/>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197" w:hRule="atLeast"/>
        </w:trPr>
        <w:tc>
          <w:tcPr>
            <w:tcW w:w="1774" w:type="dxa"/>
            <w:tcBorders>
              <w:top w:val="nil"/>
              <w:left w:val="single" w:color="000000" w:sz="4" w:space="0"/>
              <w:bottom w:val="nil"/>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1800" w:type="dxa"/>
            <w:tcBorders>
              <w:top w:val="nil"/>
              <w:left w:val="single" w:color="000000" w:sz="4" w:space="0"/>
              <w:bottom w:val="nil"/>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406" w:hRule="atLeast"/>
        </w:trPr>
        <w:tc>
          <w:tcPr>
            <w:tcW w:w="13973" w:type="dxa"/>
            <w:gridSpan w:val="12"/>
            <w:tcBorders>
              <w:top w:val="nil"/>
              <w:left w:val="nil"/>
              <w:bottom w:val="nil"/>
              <w:right w:val="nil"/>
            </w:tcBorders>
            <w:vAlign w:val="bottom"/>
          </w:tcPr>
          <w:p>
            <w:pPr>
              <w:widowControl/>
              <w:jc w:val="center"/>
              <w:outlineLvl w:val="1"/>
              <w:rPr>
                <w:rFonts w:ascii="宋体" w:cs="宋体"/>
                <w:b/>
                <w:bCs/>
                <w:kern w:val="0"/>
                <w:sz w:val="32"/>
                <w:szCs w:val="32"/>
                <w:highlight w:val="none"/>
              </w:rPr>
            </w:pPr>
            <w:r>
              <w:rPr>
                <w:rFonts w:hint="eastAsia" w:ascii="仿宋_GB2312" w:hAnsi="宋体" w:eastAsia="仿宋_GB2312"/>
                <w:b/>
                <w:kern w:val="0"/>
                <w:sz w:val="32"/>
                <w:szCs w:val="32"/>
                <w:highlight w:val="none"/>
              </w:rPr>
              <w:t>项</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支</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出</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绩</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效</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标</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表</w:t>
            </w:r>
          </w:p>
        </w:tc>
      </w:tr>
      <w:tr>
        <w:tblPrEx>
          <w:tblCellMar>
            <w:top w:w="0" w:type="dxa"/>
            <w:left w:w="108" w:type="dxa"/>
            <w:bottom w:w="0" w:type="dxa"/>
            <w:right w:w="108" w:type="dxa"/>
          </w:tblCellMar>
        </w:tblPrEx>
        <w:trPr>
          <w:gridAfter w:val="2"/>
          <w:wAfter w:w="6986" w:type="dxa"/>
          <w:trHeight w:val="271" w:hRule="atLeast"/>
        </w:trPr>
        <w:tc>
          <w:tcPr>
            <w:tcW w:w="1774"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1800"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2142"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1664" w:type="dxa"/>
            <w:gridSpan w:val="2"/>
            <w:tcBorders>
              <w:top w:val="nil"/>
              <w:left w:val="nil"/>
              <w:bottom w:val="nil"/>
              <w:right w:val="nil"/>
            </w:tcBorders>
            <w:vAlign w:val="bottom"/>
          </w:tcPr>
          <w:p>
            <w:pPr>
              <w:widowControl/>
              <w:jc w:val="left"/>
              <w:rPr>
                <w:rFonts w:ascii="宋体" w:cs="宋体"/>
                <w:color w:val="000000"/>
                <w:kern w:val="0"/>
                <w:sz w:val="22"/>
                <w:highlight w:val="none"/>
              </w:rPr>
            </w:pPr>
          </w:p>
        </w:tc>
        <w:tc>
          <w:tcPr>
            <w:tcW w:w="323"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323"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1925"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1381"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2143"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249"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249" w:type="dxa"/>
            <w:tcBorders>
              <w:top w:val="nil"/>
              <w:left w:val="nil"/>
              <w:bottom w:val="nil"/>
              <w:right w:val="nil"/>
            </w:tcBorders>
            <w:vAlign w:val="bottom"/>
          </w:tcPr>
          <w:p>
            <w:pPr>
              <w:widowControl/>
              <w:jc w:val="left"/>
              <w:rPr>
                <w:rFonts w:ascii="宋体" w:cs="宋体"/>
                <w:color w:val="000000"/>
                <w:kern w:val="0"/>
                <w:sz w:val="22"/>
                <w:highlight w:val="none"/>
              </w:rPr>
            </w:pPr>
          </w:p>
        </w:tc>
      </w:tr>
      <w:tr>
        <w:tblPrEx>
          <w:tblCellMar>
            <w:top w:w="0" w:type="dxa"/>
            <w:left w:w="108" w:type="dxa"/>
            <w:bottom w:w="0" w:type="dxa"/>
            <w:right w:w="108" w:type="dxa"/>
          </w:tblCellMar>
        </w:tblPrEx>
        <w:trPr>
          <w:gridAfter w:val="2"/>
          <w:wAfter w:w="6986" w:type="dxa"/>
          <w:trHeight w:val="197" w:hRule="atLeast"/>
        </w:trPr>
        <w:tc>
          <w:tcPr>
            <w:tcW w:w="17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预算单位</w:t>
            </w:r>
          </w:p>
        </w:tc>
        <w:tc>
          <w:tcPr>
            <w:tcW w:w="6252" w:type="dxa"/>
            <w:gridSpan w:val="6"/>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昌吉州疾病预防控制中心</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项目名称</w:t>
            </w:r>
          </w:p>
        </w:tc>
        <w:tc>
          <w:tcPr>
            <w:tcW w:w="4022" w:type="dxa"/>
            <w:gridSpan w:val="4"/>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地方病防治项目经费</w:t>
            </w:r>
          </w:p>
        </w:tc>
      </w:tr>
      <w:tr>
        <w:tblPrEx>
          <w:tblCellMar>
            <w:top w:w="0" w:type="dxa"/>
            <w:left w:w="108" w:type="dxa"/>
            <w:bottom w:w="0" w:type="dxa"/>
            <w:right w:w="108" w:type="dxa"/>
          </w:tblCellMar>
        </w:tblPrEx>
        <w:trPr>
          <w:gridAfter w:val="2"/>
          <w:wAfter w:w="6986" w:type="dxa"/>
          <w:trHeight w:val="451" w:hRule="atLeast"/>
        </w:trPr>
        <w:tc>
          <w:tcPr>
            <w:tcW w:w="1774"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项目资金（万元）</w:t>
            </w:r>
          </w:p>
        </w:tc>
        <w:tc>
          <w:tcPr>
            <w:tcW w:w="1800"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年度资金总额：</w:t>
            </w:r>
          </w:p>
        </w:tc>
        <w:tc>
          <w:tcPr>
            <w:tcW w:w="2642"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ascii="宋体" w:hAnsi="宋体" w:cs="宋体"/>
                <w:kern w:val="0"/>
                <w:sz w:val="18"/>
                <w:szCs w:val="18"/>
                <w:highlight w:val="none"/>
              </w:rPr>
              <w:t>3</w:t>
            </w:r>
            <w:r>
              <w:rPr>
                <w:rFonts w:hint="eastAsia" w:ascii="宋体" w:hAnsi="宋体" w:cs="宋体"/>
                <w:kern w:val="0"/>
                <w:sz w:val="18"/>
                <w:szCs w:val="18"/>
                <w:highlight w:val="none"/>
              </w:rPr>
              <w:t>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ascii="宋体" w:hAnsi="宋体" w:cs="宋体"/>
                <w:kern w:val="0"/>
                <w:sz w:val="18"/>
                <w:szCs w:val="18"/>
                <w:highlight w:val="none"/>
              </w:rPr>
              <w:t>3</w:t>
            </w:r>
            <w:r>
              <w:rPr>
                <w:rFonts w:hint="eastAsia" w:ascii="宋体" w:hAnsi="宋体" w:cs="宋体"/>
                <w:kern w:val="0"/>
                <w:sz w:val="18"/>
                <w:szCs w:val="18"/>
                <w:highlight w:val="none"/>
              </w:rPr>
              <w:t>　</w:t>
            </w:r>
          </w:p>
        </w:tc>
        <w:tc>
          <w:tcPr>
            <w:tcW w:w="1381"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401" w:hRule="atLeast"/>
        </w:trPr>
        <w:tc>
          <w:tcPr>
            <w:tcW w:w="177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项目总体目标</w:t>
            </w:r>
          </w:p>
        </w:tc>
        <w:tc>
          <w:tcPr>
            <w:tcW w:w="12199" w:type="dxa"/>
            <w:gridSpan w:val="11"/>
            <w:tcBorders>
              <w:top w:val="nil"/>
              <w:left w:val="nil"/>
              <w:bottom w:val="single" w:color="000000" w:sz="4" w:space="0"/>
              <w:right w:val="single" w:color="000000" w:sz="4" w:space="0"/>
            </w:tcBorders>
          </w:tcPr>
          <w:p>
            <w:pPr>
              <w:widowControl/>
              <w:jc w:val="left"/>
              <w:rPr>
                <w:rFonts w:ascii="宋体" w:cs="宋体"/>
                <w:kern w:val="0"/>
                <w:sz w:val="18"/>
                <w:szCs w:val="18"/>
                <w:highlight w:val="none"/>
              </w:rPr>
            </w:pPr>
            <w:r>
              <w:rPr>
                <w:rFonts w:hint="eastAsia" w:ascii="宋体" w:hAnsi="宋体" w:cs="宋体"/>
                <w:kern w:val="0"/>
                <w:sz w:val="18"/>
                <w:szCs w:val="18"/>
                <w:highlight w:val="none"/>
              </w:rPr>
              <w:t>　通过对监测点监测，系统地了解全州基本状况，为加强安全管理工作提供依据和技术支持</w:t>
            </w:r>
            <w:r>
              <w:rPr>
                <w:rFonts w:ascii="宋体" w:cs="宋体"/>
                <w:kern w:val="0"/>
                <w:sz w:val="18"/>
                <w:szCs w:val="18"/>
                <w:highlight w:val="none"/>
              </w:rPr>
              <w:tab/>
            </w:r>
            <w:r>
              <w:rPr>
                <w:rFonts w:ascii="宋体" w:cs="宋体"/>
                <w:kern w:val="0"/>
                <w:sz w:val="18"/>
                <w:szCs w:val="18"/>
                <w:highlight w:val="none"/>
              </w:rPr>
              <w:tab/>
            </w:r>
            <w:r>
              <w:rPr>
                <w:rFonts w:ascii="宋体" w:cs="宋体"/>
                <w:kern w:val="0"/>
                <w:sz w:val="18"/>
                <w:szCs w:val="18"/>
                <w:highlight w:val="none"/>
              </w:rPr>
              <w:tab/>
            </w:r>
            <w:r>
              <w:rPr>
                <w:rFonts w:ascii="宋体" w:cs="宋体"/>
                <w:kern w:val="0"/>
                <w:sz w:val="18"/>
                <w:szCs w:val="18"/>
                <w:highlight w:val="none"/>
              </w:rPr>
              <w:tab/>
            </w:r>
          </w:p>
        </w:tc>
      </w:tr>
      <w:tr>
        <w:tblPrEx>
          <w:tblCellMar>
            <w:top w:w="0" w:type="dxa"/>
            <w:left w:w="108" w:type="dxa"/>
            <w:bottom w:w="0" w:type="dxa"/>
            <w:right w:w="108" w:type="dxa"/>
          </w:tblCellMar>
        </w:tblPrEx>
        <w:trPr>
          <w:gridAfter w:val="2"/>
          <w:wAfter w:w="6986" w:type="dxa"/>
          <w:trHeight w:val="271" w:hRule="atLeast"/>
        </w:trPr>
        <w:tc>
          <w:tcPr>
            <w:tcW w:w="177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一级指标</w:t>
            </w:r>
          </w:p>
        </w:tc>
        <w:tc>
          <w:tcPr>
            <w:tcW w:w="1800"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二级指标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三级指标</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指标值（包含数字及文字描述）</w:t>
            </w:r>
          </w:p>
        </w:tc>
      </w:tr>
      <w:tr>
        <w:tblPrEx>
          <w:tblCellMar>
            <w:top w:w="0" w:type="dxa"/>
            <w:left w:w="108" w:type="dxa"/>
            <w:bottom w:w="0" w:type="dxa"/>
            <w:right w:w="108" w:type="dxa"/>
          </w:tblCellMar>
        </w:tblPrEx>
        <w:trPr>
          <w:gridAfter w:val="2"/>
          <w:wAfter w:w="6986" w:type="dxa"/>
          <w:trHeight w:val="327" w:hRule="atLeast"/>
        </w:trPr>
        <w:tc>
          <w:tcPr>
            <w:tcW w:w="177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项目完成指标</w:t>
            </w: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成本指标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时效指标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数量指标</w:t>
            </w: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碘盐覆盖率</w:t>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90%</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合格碘盐食用率</w:t>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90%</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质量指标</w:t>
            </w: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8-10</w:t>
            </w:r>
            <w:r>
              <w:rPr>
                <w:rFonts w:hint="eastAsia" w:ascii="宋体" w:hAnsi="宋体"/>
                <w:color w:val="000000"/>
                <w:sz w:val="22"/>
                <w:highlight w:val="none"/>
              </w:rPr>
              <w:t>周岁儿童甲状腺肿大率</w:t>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&lt;5%</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饮水氟含量（农村小型集中式供水）</w:t>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w:t>
            </w:r>
            <w:r>
              <w:rPr>
                <w:rFonts w:ascii="宋体" w:hAnsi="宋体"/>
                <w:color w:val="000000"/>
                <w:sz w:val="22"/>
                <w:highlight w:val="none"/>
              </w:rPr>
              <w:t>1.2mg/L</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trHeight w:val="283" w:hRule="atLeast"/>
        </w:trPr>
        <w:tc>
          <w:tcPr>
            <w:tcW w:w="177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项目效益指标</w:t>
            </w: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经济效益指标</w:t>
            </w: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盐碘中位数</w:t>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21-39mg/kg</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当地出生居住的</w:t>
            </w:r>
            <w:r>
              <w:rPr>
                <w:rFonts w:ascii="宋体" w:hAnsi="宋体"/>
                <w:color w:val="000000"/>
                <w:sz w:val="22"/>
                <w:highlight w:val="none"/>
              </w:rPr>
              <w:t>8-12</w:t>
            </w:r>
            <w:r>
              <w:rPr>
                <w:rFonts w:hint="eastAsia" w:ascii="宋体" w:hAnsi="宋体"/>
                <w:color w:val="000000"/>
                <w:sz w:val="22"/>
                <w:highlight w:val="none"/>
              </w:rPr>
              <w:t>周岁儿童氟斑牙患病率</w:t>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w:t>
            </w:r>
            <w:r>
              <w:rPr>
                <w:rFonts w:ascii="宋体" w:hAnsi="宋体"/>
                <w:color w:val="000000"/>
                <w:sz w:val="22"/>
                <w:highlight w:val="none"/>
              </w:rPr>
              <w:t>30%</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gridAfter w:val="2"/>
          <w:wAfter w:w="6986" w:type="dxa"/>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可持续影响指标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p>
        </w:tc>
      </w:tr>
      <w:tr>
        <w:tblPrEx>
          <w:tblCellMar>
            <w:top w:w="0" w:type="dxa"/>
            <w:left w:w="108" w:type="dxa"/>
            <w:bottom w:w="0" w:type="dxa"/>
            <w:right w:w="108" w:type="dxa"/>
          </w:tblCellMar>
        </w:tblPrEx>
        <w:trPr>
          <w:gridAfter w:val="2"/>
          <w:wAfter w:w="6986" w:type="dxa"/>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p>
        </w:tc>
      </w:tr>
      <w:tr>
        <w:tblPrEx>
          <w:tblCellMar>
            <w:top w:w="0" w:type="dxa"/>
            <w:left w:w="108" w:type="dxa"/>
            <w:bottom w:w="0" w:type="dxa"/>
            <w:right w:w="108" w:type="dxa"/>
          </w:tblCellMar>
        </w:tblPrEx>
        <w:trPr>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社会效益指标</w:t>
            </w: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家庭主妇碘缺乏病知识知晓率</w:t>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90%</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儿童地方病碘缺乏病知识知晓率</w:t>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90%</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gridAfter w:val="2"/>
          <w:wAfter w:w="6986" w:type="dxa"/>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生态效益指标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p>
        </w:tc>
      </w:tr>
      <w:tr>
        <w:tblPrEx>
          <w:tblCellMar>
            <w:top w:w="0" w:type="dxa"/>
            <w:left w:w="108" w:type="dxa"/>
            <w:bottom w:w="0" w:type="dxa"/>
            <w:right w:w="108" w:type="dxa"/>
          </w:tblCellMar>
        </w:tblPrEx>
        <w:trPr>
          <w:gridAfter w:val="2"/>
          <w:wAfter w:w="6986" w:type="dxa"/>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197" w:hRule="atLeast"/>
        </w:trPr>
        <w:tc>
          <w:tcPr>
            <w:tcW w:w="1774" w:type="dxa"/>
            <w:tcBorders>
              <w:top w:val="nil"/>
              <w:left w:val="single" w:color="000000" w:sz="4" w:space="0"/>
              <w:bottom w:val="nil"/>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1800" w:type="dxa"/>
            <w:tcBorders>
              <w:top w:val="nil"/>
              <w:left w:val="single" w:color="000000" w:sz="4" w:space="0"/>
              <w:bottom w:val="nil"/>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406" w:hRule="atLeast"/>
        </w:trPr>
        <w:tc>
          <w:tcPr>
            <w:tcW w:w="13973" w:type="dxa"/>
            <w:gridSpan w:val="12"/>
            <w:tcBorders>
              <w:top w:val="nil"/>
              <w:left w:val="nil"/>
              <w:bottom w:val="nil"/>
              <w:right w:val="nil"/>
            </w:tcBorders>
            <w:vAlign w:val="bottom"/>
          </w:tcPr>
          <w:p>
            <w:pPr>
              <w:widowControl/>
              <w:jc w:val="center"/>
              <w:outlineLvl w:val="1"/>
              <w:rPr>
                <w:rFonts w:ascii="宋体" w:cs="宋体"/>
                <w:b/>
                <w:bCs/>
                <w:kern w:val="0"/>
                <w:sz w:val="32"/>
                <w:szCs w:val="32"/>
                <w:highlight w:val="none"/>
              </w:rPr>
            </w:pPr>
            <w:r>
              <w:rPr>
                <w:rFonts w:hint="eastAsia" w:ascii="仿宋_GB2312" w:hAnsi="宋体" w:eastAsia="仿宋_GB2312"/>
                <w:b/>
                <w:kern w:val="0"/>
                <w:sz w:val="32"/>
                <w:szCs w:val="32"/>
                <w:highlight w:val="none"/>
              </w:rPr>
              <w:t>项</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支</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出</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绩</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效</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标</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表</w:t>
            </w:r>
          </w:p>
        </w:tc>
      </w:tr>
      <w:tr>
        <w:tblPrEx>
          <w:tblCellMar>
            <w:top w:w="0" w:type="dxa"/>
            <w:left w:w="108" w:type="dxa"/>
            <w:bottom w:w="0" w:type="dxa"/>
            <w:right w:w="108" w:type="dxa"/>
          </w:tblCellMar>
        </w:tblPrEx>
        <w:trPr>
          <w:gridAfter w:val="2"/>
          <w:wAfter w:w="6986" w:type="dxa"/>
          <w:trHeight w:val="271" w:hRule="atLeast"/>
        </w:trPr>
        <w:tc>
          <w:tcPr>
            <w:tcW w:w="1774"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1800"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2142"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1664" w:type="dxa"/>
            <w:gridSpan w:val="2"/>
            <w:tcBorders>
              <w:top w:val="nil"/>
              <w:left w:val="nil"/>
              <w:bottom w:val="nil"/>
              <w:right w:val="nil"/>
            </w:tcBorders>
            <w:vAlign w:val="bottom"/>
          </w:tcPr>
          <w:p>
            <w:pPr>
              <w:widowControl/>
              <w:jc w:val="left"/>
              <w:rPr>
                <w:rFonts w:ascii="宋体" w:cs="宋体"/>
                <w:color w:val="000000"/>
                <w:kern w:val="0"/>
                <w:sz w:val="22"/>
                <w:highlight w:val="none"/>
              </w:rPr>
            </w:pPr>
          </w:p>
        </w:tc>
        <w:tc>
          <w:tcPr>
            <w:tcW w:w="323"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323"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1925"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1381"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2143"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249" w:type="dxa"/>
            <w:tcBorders>
              <w:top w:val="nil"/>
              <w:left w:val="nil"/>
              <w:bottom w:val="nil"/>
              <w:right w:val="nil"/>
            </w:tcBorders>
            <w:vAlign w:val="bottom"/>
          </w:tcPr>
          <w:p>
            <w:pPr>
              <w:widowControl/>
              <w:jc w:val="left"/>
              <w:rPr>
                <w:rFonts w:ascii="宋体" w:cs="宋体"/>
                <w:color w:val="000000"/>
                <w:kern w:val="0"/>
                <w:sz w:val="22"/>
                <w:highlight w:val="none"/>
              </w:rPr>
            </w:pPr>
          </w:p>
        </w:tc>
        <w:tc>
          <w:tcPr>
            <w:tcW w:w="249" w:type="dxa"/>
            <w:tcBorders>
              <w:top w:val="nil"/>
              <w:left w:val="nil"/>
              <w:bottom w:val="nil"/>
              <w:right w:val="nil"/>
            </w:tcBorders>
            <w:vAlign w:val="bottom"/>
          </w:tcPr>
          <w:p>
            <w:pPr>
              <w:widowControl/>
              <w:jc w:val="left"/>
              <w:rPr>
                <w:rFonts w:ascii="宋体" w:cs="宋体"/>
                <w:color w:val="000000"/>
                <w:kern w:val="0"/>
                <w:sz w:val="22"/>
                <w:highlight w:val="none"/>
              </w:rPr>
            </w:pPr>
          </w:p>
        </w:tc>
      </w:tr>
      <w:tr>
        <w:tblPrEx>
          <w:tblCellMar>
            <w:top w:w="0" w:type="dxa"/>
            <w:left w:w="108" w:type="dxa"/>
            <w:bottom w:w="0" w:type="dxa"/>
            <w:right w:w="108" w:type="dxa"/>
          </w:tblCellMar>
        </w:tblPrEx>
        <w:trPr>
          <w:gridAfter w:val="2"/>
          <w:wAfter w:w="6986" w:type="dxa"/>
          <w:trHeight w:val="197" w:hRule="atLeast"/>
        </w:trPr>
        <w:tc>
          <w:tcPr>
            <w:tcW w:w="17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预算单位</w:t>
            </w:r>
          </w:p>
        </w:tc>
        <w:tc>
          <w:tcPr>
            <w:tcW w:w="6252" w:type="dxa"/>
            <w:gridSpan w:val="6"/>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昌吉州疾病预防控制中心</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项目名称</w:t>
            </w:r>
          </w:p>
        </w:tc>
        <w:tc>
          <w:tcPr>
            <w:tcW w:w="4022" w:type="dxa"/>
            <w:gridSpan w:val="4"/>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冷链运转经费</w:t>
            </w:r>
          </w:p>
        </w:tc>
      </w:tr>
      <w:tr>
        <w:tblPrEx>
          <w:tblCellMar>
            <w:top w:w="0" w:type="dxa"/>
            <w:left w:w="108" w:type="dxa"/>
            <w:bottom w:w="0" w:type="dxa"/>
            <w:right w:w="108" w:type="dxa"/>
          </w:tblCellMar>
        </w:tblPrEx>
        <w:trPr>
          <w:gridAfter w:val="2"/>
          <w:wAfter w:w="6986" w:type="dxa"/>
          <w:trHeight w:val="451" w:hRule="atLeast"/>
        </w:trPr>
        <w:tc>
          <w:tcPr>
            <w:tcW w:w="1774"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项目资金（万元）</w:t>
            </w:r>
          </w:p>
        </w:tc>
        <w:tc>
          <w:tcPr>
            <w:tcW w:w="1800"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年度资金总额：</w:t>
            </w:r>
          </w:p>
        </w:tc>
        <w:tc>
          <w:tcPr>
            <w:tcW w:w="2642"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ascii="宋体" w:hAnsi="宋体" w:cs="宋体"/>
                <w:kern w:val="0"/>
                <w:sz w:val="18"/>
                <w:szCs w:val="18"/>
                <w:highlight w:val="none"/>
              </w:rPr>
              <w:t>3</w:t>
            </w:r>
            <w:r>
              <w:rPr>
                <w:rFonts w:hint="eastAsia" w:ascii="宋体" w:hAnsi="宋体" w:cs="宋体"/>
                <w:kern w:val="0"/>
                <w:sz w:val="18"/>
                <w:szCs w:val="18"/>
                <w:highlight w:val="none"/>
              </w:rPr>
              <w:t>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ascii="宋体" w:hAnsi="宋体" w:cs="宋体"/>
                <w:kern w:val="0"/>
                <w:sz w:val="18"/>
                <w:szCs w:val="18"/>
                <w:highlight w:val="none"/>
              </w:rPr>
              <w:t>3</w:t>
            </w:r>
          </w:p>
        </w:tc>
        <w:tc>
          <w:tcPr>
            <w:tcW w:w="1381"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401" w:hRule="atLeast"/>
        </w:trPr>
        <w:tc>
          <w:tcPr>
            <w:tcW w:w="177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项目总体目标</w:t>
            </w:r>
          </w:p>
        </w:tc>
        <w:tc>
          <w:tcPr>
            <w:tcW w:w="12199" w:type="dxa"/>
            <w:gridSpan w:val="11"/>
            <w:tcBorders>
              <w:top w:val="nil"/>
              <w:left w:val="nil"/>
              <w:bottom w:val="single" w:color="000000" w:sz="4" w:space="0"/>
              <w:right w:val="single" w:color="000000" w:sz="4" w:space="0"/>
            </w:tcBorders>
          </w:tcPr>
          <w:p>
            <w:pPr>
              <w:widowControl/>
              <w:jc w:val="left"/>
              <w:rPr>
                <w:rFonts w:ascii="宋体" w:cs="宋体"/>
                <w:kern w:val="0"/>
                <w:sz w:val="18"/>
                <w:szCs w:val="18"/>
                <w:highlight w:val="none"/>
              </w:rPr>
            </w:pPr>
            <w:r>
              <w:rPr>
                <w:rFonts w:hint="eastAsia" w:ascii="宋体" w:hAnsi="宋体" w:cs="宋体"/>
                <w:kern w:val="0"/>
                <w:sz w:val="18"/>
                <w:szCs w:val="18"/>
                <w:highlight w:val="none"/>
              </w:rPr>
              <w:t>通过培训、督导及宣传提高适龄儿童疫苗有效接种率和降低疫苗针对疾病的发生。</w:t>
            </w:r>
            <w:r>
              <w:rPr>
                <w:rFonts w:ascii="宋体" w:cs="宋体"/>
                <w:kern w:val="0"/>
                <w:sz w:val="18"/>
                <w:szCs w:val="18"/>
                <w:highlight w:val="none"/>
              </w:rPr>
              <w:tab/>
            </w:r>
            <w:r>
              <w:rPr>
                <w:rFonts w:ascii="宋体" w:cs="宋体"/>
                <w:kern w:val="0"/>
                <w:sz w:val="18"/>
                <w:szCs w:val="18"/>
                <w:highlight w:val="none"/>
              </w:rPr>
              <w:tab/>
            </w:r>
            <w:r>
              <w:rPr>
                <w:rFonts w:ascii="宋体" w:cs="宋体"/>
                <w:kern w:val="0"/>
                <w:sz w:val="18"/>
                <w:szCs w:val="18"/>
                <w:highlight w:val="none"/>
              </w:rPr>
              <w:tab/>
            </w:r>
            <w:r>
              <w:rPr>
                <w:rFonts w:ascii="宋体" w:cs="宋体"/>
                <w:kern w:val="0"/>
                <w:sz w:val="18"/>
                <w:szCs w:val="18"/>
                <w:highlight w:val="none"/>
              </w:rPr>
              <w:tab/>
            </w:r>
            <w:r>
              <w:rPr>
                <w:rFonts w:ascii="宋体" w:cs="宋体"/>
                <w:kern w:val="0"/>
                <w:sz w:val="18"/>
                <w:szCs w:val="18"/>
                <w:highlight w:val="none"/>
              </w:rPr>
              <w:tab/>
            </w:r>
            <w:r>
              <w:rPr>
                <w:rFonts w:ascii="宋体" w:cs="宋体"/>
                <w:kern w:val="0"/>
                <w:sz w:val="18"/>
                <w:szCs w:val="18"/>
                <w:highlight w:val="none"/>
              </w:rPr>
              <w:tab/>
            </w:r>
            <w:r>
              <w:rPr>
                <w:rFonts w:ascii="宋体" w:cs="宋体"/>
                <w:kern w:val="0"/>
                <w:sz w:val="18"/>
                <w:szCs w:val="18"/>
                <w:highlight w:val="none"/>
              </w:rPr>
              <w:tab/>
            </w:r>
            <w:r>
              <w:rPr>
                <w:rFonts w:ascii="宋体" w:cs="宋体"/>
                <w:kern w:val="0"/>
                <w:sz w:val="18"/>
                <w:szCs w:val="18"/>
                <w:highlight w:val="none"/>
              </w:rPr>
              <w:tab/>
            </w:r>
            <w:r>
              <w:rPr>
                <w:rFonts w:ascii="宋体" w:cs="宋体"/>
                <w:kern w:val="0"/>
                <w:sz w:val="18"/>
                <w:szCs w:val="18"/>
                <w:highlight w:val="none"/>
              </w:rPr>
              <w:tab/>
            </w:r>
            <w:r>
              <w:rPr>
                <w:rFonts w:ascii="宋体" w:cs="宋体"/>
                <w:kern w:val="0"/>
                <w:sz w:val="18"/>
                <w:szCs w:val="18"/>
                <w:highlight w:val="none"/>
              </w:rPr>
              <w:tab/>
            </w:r>
          </w:p>
        </w:tc>
      </w:tr>
      <w:tr>
        <w:tblPrEx>
          <w:tblCellMar>
            <w:top w:w="0" w:type="dxa"/>
            <w:left w:w="108" w:type="dxa"/>
            <w:bottom w:w="0" w:type="dxa"/>
            <w:right w:w="108" w:type="dxa"/>
          </w:tblCellMar>
        </w:tblPrEx>
        <w:trPr>
          <w:gridAfter w:val="2"/>
          <w:wAfter w:w="6986" w:type="dxa"/>
          <w:trHeight w:val="271" w:hRule="atLeast"/>
        </w:trPr>
        <w:tc>
          <w:tcPr>
            <w:tcW w:w="177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一级指标</w:t>
            </w:r>
          </w:p>
        </w:tc>
        <w:tc>
          <w:tcPr>
            <w:tcW w:w="1800"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二级指标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三级指标</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指标值（包含数字及文字描述）</w:t>
            </w:r>
          </w:p>
        </w:tc>
      </w:tr>
      <w:tr>
        <w:tblPrEx>
          <w:tblCellMar>
            <w:top w:w="0" w:type="dxa"/>
            <w:left w:w="108" w:type="dxa"/>
            <w:bottom w:w="0" w:type="dxa"/>
            <w:right w:w="108" w:type="dxa"/>
          </w:tblCellMar>
        </w:tblPrEx>
        <w:trPr>
          <w:gridAfter w:val="2"/>
          <w:wAfter w:w="6986" w:type="dxa"/>
          <w:trHeight w:val="327" w:hRule="atLeast"/>
        </w:trPr>
        <w:tc>
          <w:tcPr>
            <w:tcW w:w="177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项目完成指标</w:t>
            </w: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成本指标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时效指标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gridAfter w:val="2"/>
          <w:wAfter w:w="6986" w:type="dxa"/>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数量指标</w:t>
            </w: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儿童预防接种信息系统及时建档率、数据上传率、客户端数据备份率</w:t>
            </w:r>
            <w:r>
              <w:rPr>
                <w:rFonts w:ascii="宋体"/>
                <w:color w:val="000000"/>
                <w:sz w:val="22"/>
                <w:highlight w:val="none"/>
              </w:rPr>
              <w:tab/>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w:t>
            </w:r>
            <w:r>
              <w:rPr>
                <w:rFonts w:ascii="宋体" w:hAnsi="宋体"/>
                <w:color w:val="000000"/>
                <w:sz w:val="22"/>
                <w:highlight w:val="none"/>
              </w:rPr>
              <w:t>95%</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以地区为单位，排除麻疹风疹病例报告发病率达到</w:t>
            </w:r>
            <w:r>
              <w:rPr>
                <w:rFonts w:ascii="宋体"/>
                <w:color w:val="000000"/>
                <w:sz w:val="22"/>
                <w:highlight w:val="none"/>
              </w:rPr>
              <w:tab/>
            </w:r>
            <w:r>
              <w:rPr>
                <w:rFonts w:ascii="宋体"/>
                <w:color w:val="000000"/>
                <w:sz w:val="22"/>
                <w:highlight w:val="none"/>
              </w:rPr>
              <w:tab/>
            </w:r>
            <w:r>
              <w:rPr>
                <w:rFonts w:ascii="宋体"/>
                <w:color w:val="000000"/>
                <w:sz w:val="22"/>
                <w:highlight w:val="none"/>
              </w:rPr>
              <w:tab/>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w:t>
            </w:r>
            <w:r>
              <w:rPr>
                <w:rFonts w:ascii="宋体" w:hAnsi="宋体"/>
                <w:color w:val="000000"/>
                <w:sz w:val="22"/>
                <w:highlight w:val="none"/>
              </w:rPr>
              <w:t>2/10</w:t>
            </w:r>
            <w:r>
              <w:rPr>
                <w:rFonts w:hint="eastAsia" w:ascii="宋体" w:hAnsi="宋体"/>
                <w:color w:val="000000"/>
                <w:sz w:val="22"/>
                <w:highlight w:val="none"/>
              </w:rPr>
              <w:t>万</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质量指标</w:t>
            </w: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麻疹病例报告后</w:t>
            </w:r>
            <w:r>
              <w:rPr>
                <w:rFonts w:ascii="宋体" w:hAnsi="宋体"/>
                <w:color w:val="000000"/>
                <w:sz w:val="22"/>
                <w:highlight w:val="none"/>
              </w:rPr>
              <w:t>48</w:t>
            </w:r>
            <w:r>
              <w:rPr>
                <w:rFonts w:hint="eastAsia" w:ascii="宋体" w:hAnsi="宋体"/>
                <w:color w:val="000000"/>
                <w:sz w:val="22"/>
                <w:highlight w:val="none"/>
              </w:rPr>
              <w:t>小时内完整调查率达到</w:t>
            </w:r>
            <w:r>
              <w:rPr>
                <w:rFonts w:ascii="宋体"/>
                <w:color w:val="000000"/>
                <w:sz w:val="22"/>
                <w:highlight w:val="none"/>
              </w:rPr>
              <w:tab/>
            </w:r>
            <w:r>
              <w:rPr>
                <w:rFonts w:ascii="宋体"/>
                <w:color w:val="000000"/>
                <w:sz w:val="22"/>
                <w:highlight w:val="none"/>
              </w:rPr>
              <w:tab/>
            </w:r>
            <w:r>
              <w:rPr>
                <w:rFonts w:ascii="宋体"/>
                <w:color w:val="000000"/>
                <w:sz w:val="22"/>
                <w:highlight w:val="none"/>
              </w:rPr>
              <w:tab/>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w:t>
            </w:r>
            <w:r>
              <w:rPr>
                <w:rFonts w:ascii="宋体" w:hAnsi="宋体"/>
                <w:color w:val="000000"/>
                <w:sz w:val="22"/>
                <w:highlight w:val="none"/>
              </w:rPr>
              <w:t>80</w:t>
            </w:r>
            <w:r>
              <w:rPr>
                <w:rFonts w:hint="eastAsia" w:ascii="宋体" w:hAnsi="宋体"/>
                <w:color w:val="000000"/>
                <w:sz w:val="22"/>
                <w:highlight w:val="none"/>
              </w:rPr>
              <w:t>％</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trHeight w:val="271"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AFP</w:t>
            </w:r>
            <w:r>
              <w:rPr>
                <w:rFonts w:hint="eastAsia" w:ascii="宋体" w:hAnsi="宋体"/>
                <w:color w:val="000000"/>
                <w:sz w:val="22"/>
                <w:highlight w:val="none"/>
              </w:rPr>
              <w:t>病例以地州为单位报告发病率</w:t>
            </w:r>
            <w:r>
              <w:rPr>
                <w:rFonts w:ascii="宋体"/>
                <w:color w:val="000000"/>
                <w:sz w:val="22"/>
                <w:highlight w:val="none"/>
              </w:rPr>
              <w:tab/>
            </w:r>
            <w:r>
              <w:rPr>
                <w:rFonts w:ascii="宋体"/>
                <w:color w:val="000000"/>
                <w:sz w:val="22"/>
                <w:highlight w:val="none"/>
              </w:rPr>
              <w:tab/>
            </w:r>
            <w:r>
              <w:rPr>
                <w:rFonts w:ascii="宋体"/>
                <w:color w:val="000000"/>
                <w:sz w:val="22"/>
                <w:highlight w:val="none"/>
              </w:rPr>
              <w:tab/>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1/10</w:t>
            </w:r>
            <w:r>
              <w:rPr>
                <w:rFonts w:hint="eastAsia" w:ascii="宋体" w:hAnsi="宋体"/>
                <w:color w:val="000000"/>
                <w:sz w:val="22"/>
                <w:highlight w:val="none"/>
              </w:rPr>
              <w:t>万</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trHeight w:val="283" w:hRule="atLeast"/>
        </w:trPr>
        <w:tc>
          <w:tcPr>
            <w:tcW w:w="177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项目效益指标</w:t>
            </w: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经济效益指标</w:t>
            </w: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血标本采集后</w:t>
            </w:r>
            <w:r>
              <w:rPr>
                <w:rFonts w:ascii="宋体" w:hAnsi="宋体"/>
                <w:color w:val="000000"/>
                <w:sz w:val="22"/>
                <w:highlight w:val="none"/>
              </w:rPr>
              <w:t>3</w:t>
            </w:r>
            <w:r>
              <w:rPr>
                <w:rFonts w:hint="eastAsia" w:ascii="宋体" w:hAnsi="宋体"/>
                <w:color w:val="000000"/>
                <w:sz w:val="22"/>
                <w:highlight w:val="none"/>
              </w:rPr>
              <w:t>日内送达网络实验室的比例达到</w:t>
            </w:r>
            <w:r>
              <w:rPr>
                <w:rFonts w:ascii="宋体"/>
                <w:color w:val="000000"/>
                <w:sz w:val="22"/>
                <w:highlight w:val="none"/>
              </w:rPr>
              <w:tab/>
            </w:r>
            <w:r>
              <w:rPr>
                <w:rFonts w:ascii="宋体"/>
                <w:color w:val="000000"/>
                <w:sz w:val="22"/>
                <w:highlight w:val="none"/>
              </w:rPr>
              <w:tab/>
            </w:r>
            <w:r>
              <w:rPr>
                <w:rFonts w:ascii="宋体"/>
                <w:color w:val="000000"/>
                <w:sz w:val="22"/>
                <w:highlight w:val="none"/>
              </w:rPr>
              <w:tab/>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w:t>
            </w:r>
            <w:r>
              <w:rPr>
                <w:rFonts w:ascii="宋体" w:hAnsi="宋体"/>
                <w:color w:val="000000"/>
                <w:sz w:val="22"/>
                <w:highlight w:val="none"/>
              </w:rPr>
              <w:t>80%</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 xml:space="preserve"> </w:t>
            </w:r>
            <w:r>
              <w:rPr>
                <w:rFonts w:hint="eastAsia" w:ascii="宋体" w:hAnsi="宋体"/>
                <w:color w:val="000000"/>
                <w:sz w:val="22"/>
                <w:highlight w:val="none"/>
              </w:rPr>
              <w:t>麻疹风疹病例排除率</w:t>
            </w:r>
            <w:r>
              <w:rPr>
                <w:rFonts w:ascii="宋体"/>
                <w:color w:val="000000"/>
                <w:sz w:val="22"/>
                <w:highlight w:val="none"/>
              </w:rPr>
              <w:tab/>
            </w:r>
            <w:r>
              <w:rPr>
                <w:rFonts w:ascii="宋体"/>
                <w:color w:val="000000"/>
                <w:sz w:val="22"/>
                <w:highlight w:val="none"/>
              </w:rPr>
              <w:tab/>
            </w:r>
            <w:r>
              <w:rPr>
                <w:rFonts w:ascii="宋体"/>
                <w:color w:val="000000"/>
                <w:sz w:val="22"/>
                <w:highlight w:val="none"/>
              </w:rPr>
              <w:tab/>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ascii="宋体" w:hAnsi="宋体"/>
                <w:color w:val="000000"/>
                <w:sz w:val="22"/>
                <w:highlight w:val="none"/>
              </w:rPr>
              <w:t>2/10</w:t>
            </w:r>
            <w:r>
              <w:rPr>
                <w:rFonts w:hint="eastAsia" w:ascii="宋体" w:hAnsi="宋体"/>
                <w:color w:val="000000"/>
                <w:sz w:val="22"/>
                <w:highlight w:val="none"/>
              </w:rPr>
              <w:t>万</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可持续影响指标</w:t>
            </w: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监测病例血标本采集率达</w:t>
            </w:r>
            <w:r>
              <w:rPr>
                <w:rFonts w:ascii="宋体"/>
                <w:color w:val="000000"/>
                <w:sz w:val="22"/>
                <w:highlight w:val="none"/>
              </w:rPr>
              <w:tab/>
            </w:r>
            <w:r>
              <w:rPr>
                <w:rFonts w:ascii="宋体"/>
                <w:color w:val="000000"/>
                <w:sz w:val="22"/>
                <w:highlight w:val="none"/>
              </w:rPr>
              <w:tab/>
            </w:r>
            <w:r>
              <w:rPr>
                <w:rFonts w:ascii="宋体"/>
                <w:color w:val="000000"/>
                <w:sz w:val="22"/>
                <w:highlight w:val="none"/>
              </w:rPr>
              <w:tab/>
            </w: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r>
              <w:rPr>
                <w:rFonts w:hint="eastAsia" w:ascii="宋体" w:hAnsi="宋体"/>
                <w:color w:val="000000"/>
                <w:sz w:val="22"/>
                <w:highlight w:val="none"/>
              </w:rPr>
              <w:t>≥</w:t>
            </w:r>
            <w:r>
              <w:rPr>
                <w:rFonts w:ascii="宋体" w:hAnsi="宋体"/>
                <w:color w:val="000000"/>
                <w:sz w:val="22"/>
                <w:highlight w:val="none"/>
              </w:rPr>
              <w:t>80</w:t>
            </w:r>
            <w:r>
              <w:rPr>
                <w:rFonts w:hint="eastAsia" w:ascii="宋体" w:hAnsi="宋体"/>
                <w:color w:val="000000"/>
                <w:sz w:val="22"/>
                <w:highlight w:val="none"/>
              </w:rPr>
              <w:t>％</w:t>
            </w:r>
          </w:p>
        </w:tc>
        <w:tc>
          <w:tcPr>
            <w:tcW w:w="3493" w:type="dxa"/>
          </w:tcPr>
          <w:p>
            <w:pPr>
              <w:jc w:val="right"/>
              <w:rPr>
                <w:highlight w:val="none"/>
              </w:rPr>
            </w:pPr>
          </w:p>
        </w:tc>
        <w:tc>
          <w:tcPr>
            <w:tcW w:w="3493" w:type="dxa"/>
          </w:tcPr>
          <w:p>
            <w:pPr>
              <w:jc w:val="right"/>
              <w:rPr>
                <w:highlight w:val="none"/>
              </w:rPr>
            </w:pPr>
          </w:p>
        </w:tc>
      </w:tr>
      <w:tr>
        <w:tblPrEx>
          <w:tblCellMar>
            <w:top w:w="0" w:type="dxa"/>
            <w:left w:w="108" w:type="dxa"/>
            <w:bottom w:w="0" w:type="dxa"/>
            <w:right w:w="108" w:type="dxa"/>
          </w:tblCellMar>
        </w:tblPrEx>
        <w:trPr>
          <w:gridAfter w:val="2"/>
          <w:wAfter w:w="6986" w:type="dxa"/>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p>
        </w:tc>
      </w:tr>
      <w:tr>
        <w:tblPrEx>
          <w:tblCellMar>
            <w:top w:w="0" w:type="dxa"/>
            <w:left w:w="108" w:type="dxa"/>
            <w:bottom w:w="0" w:type="dxa"/>
            <w:right w:w="108" w:type="dxa"/>
          </w:tblCellMar>
        </w:tblPrEx>
        <w:trPr>
          <w:gridAfter w:val="2"/>
          <w:wAfter w:w="6986" w:type="dxa"/>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社会效益指标</w:t>
            </w: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p>
        </w:tc>
      </w:tr>
      <w:tr>
        <w:tblPrEx>
          <w:tblCellMar>
            <w:top w:w="0" w:type="dxa"/>
            <w:left w:w="108" w:type="dxa"/>
            <w:bottom w:w="0" w:type="dxa"/>
            <w:right w:w="108" w:type="dxa"/>
          </w:tblCellMar>
        </w:tblPrEx>
        <w:trPr>
          <w:gridAfter w:val="2"/>
          <w:wAfter w:w="6986" w:type="dxa"/>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p>
        </w:tc>
        <w:tc>
          <w:tcPr>
            <w:tcW w:w="2641" w:type="dxa"/>
            <w:gridSpan w:val="3"/>
            <w:tcBorders>
              <w:top w:val="single" w:color="000000" w:sz="4" w:space="0"/>
              <w:left w:val="nil"/>
              <w:bottom w:val="single" w:color="000000" w:sz="4" w:space="0"/>
              <w:right w:val="single" w:color="000000" w:sz="4" w:space="0"/>
            </w:tcBorders>
          </w:tcPr>
          <w:p>
            <w:pPr>
              <w:jc w:val="left"/>
              <w:rPr>
                <w:rFonts w:ascii="宋体" w:cs="宋体"/>
                <w:kern w:val="0"/>
                <w:sz w:val="18"/>
                <w:szCs w:val="18"/>
                <w:highlight w:val="none"/>
              </w:rPr>
            </w:pPr>
          </w:p>
        </w:tc>
      </w:tr>
      <w:tr>
        <w:tblPrEx>
          <w:tblCellMar>
            <w:top w:w="0" w:type="dxa"/>
            <w:left w:w="108" w:type="dxa"/>
            <w:bottom w:w="0" w:type="dxa"/>
            <w:right w:w="108" w:type="dxa"/>
          </w:tblCellMar>
        </w:tblPrEx>
        <w:trPr>
          <w:gridAfter w:val="2"/>
          <w:wAfter w:w="6986" w:type="dxa"/>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生态效益指标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p>
        </w:tc>
      </w:tr>
      <w:tr>
        <w:tblPrEx>
          <w:tblCellMar>
            <w:top w:w="0" w:type="dxa"/>
            <w:left w:w="108" w:type="dxa"/>
            <w:bottom w:w="0" w:type="dxa"/>
            <w:right w:w="108" w:type="dxa"/>
          </w:tblCellMar>
        </w:tblPrEx>
        <w:trPr>
          <w:gridAfter w:val="2"/>
          <w:wAfter w:w="6986" w:type="dxa"/>
          <w:trHeight w:val="283" w:hRule="atLeast"/>
        </w:trPr>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p>
        </w:tc>
      </w:tr>
      <w:tr>
        <w:tblPrEx>
          <w:tblCellMar>
            <w:top w:w="0" w:type="dxa"/>
            <w:left w:w="108" w:type="dxa"/>
            <w:bottom w:w="0" w:type="dxa"/>
            <w:right w:w="108" w:type="dxa"/>
          </w:tblCellMar>
        </w:tblPrEx>
        <w:trPr>
          <w:gridAfter w:val="2"/>
          <w:wAfter w:w="6986" w:type="dxa"/>
          <w:trHeight w:val="197" w:hRule="atLeast"/>
        </w:trPr>
        <w:tc>
          <w:tcPr>
            <w:tcW w:w="1774" w:type="dxa"/>
            <w:tcBorders>
              <w:top w:val="nil"/>
              <w:left w:val="single" w:color="000000" w:sz="4" w:space="0"/>
              <w:bottom w:val="nil"/>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1800" w:type="dxa"/>
            <w:tcBorders>
              <w:top w:val="nil"/>
              <w:left w:val="single" w:color="000000" w:sz="4" w:space="0"/>
              <w:bottom w:val="nil"/>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775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2641"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bl>
    <w:p>
      <w:pPr>
        <w:widowControl/>
        <w:spacing w:line="560" w:lineRule="exact"/>
        <w:ind w:firstLine="411" w:firstLineChars="196"/>
        <w:jc w:val="left"/>
        <w:rPr>
          <w:highlight w:val="none"/>
        </w:rPr>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highlight w:val="none"/>
        </w:rPr>
      </w:pPr>
    </w:p>
    <w:p>
      <w:pPr>
        <w:widowControl/>
        <w:spacing w:line="560" w:lineRule="exact"/>
        <w:ind w:firstLine="630" w:firstLineChars="196"/>
        <w:jc w:val="left"/>
        <w:rPr>
          <w:rFonts w:ascii="楷体_GB2312" w:hAnsi="宋体" w:eastAsia="楷体_GB2312" w:cs="宋体"/>
          <w:b/>
          <w:kern w:val="0"/>
          <w:sz w:val="32"/>
          <w:szCs w:val="32"/>
          <w:highlight w:val="none"/>
        </w:rPr>
      </w:pPr>
    </w:p>
    <w:p>
      <w:pPr>
        <w:widowControl/>
        <w:spacing w:line="560" w:lineRule="exact"/>
        <w:ind w:firstLine="630" w:firstLineChars="196"/>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（五）其他需说明的事项</w:t>
      </w:r>
    </w:p>
    <w:p>
      <w:pPr>
        <w:widowControl/>
        <w:spacing w:line="560" w:lineRule="exact"/>
        <w:ind w:firstLine="640" w:firstLineChars="20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无。</w:t>
      </w:r>
    </w:p>
    <w:p>
      <w:pPr>
        <w:widowControl/>
        <w:spacing w:beforeLines="50"/>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第四部分</w:t>
      </w:r>
      <w:r>
        <w:rPr>
          <w:rFonts w:ascii="黑体" w:hAnsi="黑体" w:eastAsia="黑体"/>
          <w:kern w:val="0"/>
          <w:sz w:val="32"/>
          <w:szCs w:val="32"/>
          <w:highlight w:val="none"/>
        </w:rPr>
        <w:t xml:space="preserve">  </w:t>
      </w:r>
      <w:r>
        <w:rPr>
          <w:rFonts w:hint="eastAsia" w:ascii="黑体" w:hAnsi="黑体" w:eastAsia="黑体"/>
          <w:kern w:val="0"/>
          <w:sz w:val="32"/>
          <w:szCs w:val="32"/>
          <w:highlight w:val="none"/>
        </w:rPr>
        <w:t>名词解释</w:t>
      </w:r>
    </w:p>
    <w:p>
      <w:pPr>
        <w:widowControl/>
        <w:spacing w:line="56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名词解释：</w:t>
      </w:r>
    </w:p>
    <w:p>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一、财政拨款：</w:t>
      </w:r>
      <w:r>
        <w:rPr>
          <w:rFonts w:hint="eastAsia" w:ascii="仿宋_GB2312" w:eastAsia="仿宋_GB2312"/>
          <w:sz w:val="32"/>
          <w:szCs w:val="32"/>
          <w:highlight w:val="none"/>
        </w:rPr>
        <w:t>指由一般公共预算、政府性基金预算安排的财政拨款数。</w:t>
      </w:r>
    </w:p>
    <w:p>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二、一般公共预算：</w:t>
      </w:r>
      <w:r>
        <w:rPr>
          <w:rFonts w:hint="eastAsia" w:ascii="仿宋_GB2312" w:eastAsia="仿宋_GB2312"/>
          <w:sz w:val="32"/>
          <w:szCs w:val="32"/>
          <w:highlight w:val="none"/>
        </w:rPr>
        <w:t>包括公共财政拨款（补助）资金、专项收入。</w:t>
      </w:r>
    </w:p>
    <w:p>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三、财政专户管理资金：</w:t>
      </w:r>
      <w:r>
        <w:rPr>
          <w:rFonts w:hint="eastAsia" w:ascii="仿宋_GB2312" w:eastAsia="仿宋_GB2312"/>
          <w:sz w:val="32"/>
          <w:szCs w:val="32"/>
          <w:highlight w:val="none"/>
        </w:rPr>
        <w:t>包括专户管理行政事业性收费（主要是教育收费）、其他非税收入。</w:t>
      </w:r>
    </w:p>
    <w:p>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四、其他资金：</w:t>
      </w:r>
      <w:r>
        <w:rPr>
          <w:rFonts w:hint="eastAsia" w:ascii="仿宋_GB2312" w:eastAsia="仿宋_GB2312"/>
          <w:sz w:val="32"/>
          <w:szCs w:val="32"/>
          <w:highlight w:val="none"/>
        </w:rPr>
        <w:t>包括事业收入、经营收入、其他收入等。</w:t>
      </w:r>
    </w:p>
    <w:p>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五、基本支出：</w:t>
      </w:r>
      <w:r>
        <w:rPr>
          <w:rFonts w:hint="eastAsia" w:ascii="仿宋_GB2312" w:eastAsia="仿宋_GB2312"/>
          <w:sz w:val="32"/>
          <w:szCs w:val="32"/>
          <w:highlight w:val="none"/>
        </w:rPr>
        <w:t>包括人员经费、商品和服务支出（定额）。其中，人员经费包括工资福利支出、对个人和家庭的补助。</w:t>
      </w:r>
    </w:p>
    <w:p>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六、项目支出：</w:t>
      </w:r>
      <w:r>
        <w:rPr>
          <w:rFonts w:hint="eastAsia" w:ascii="仿宋_GB2312" w:eastAsia="仿宋_GB2312"/>
          <w:sz w:val="32"/>
          <w:szCs w:val="32"/>
          <w:highlight w:val="none"/>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七、“三公”经费：</w:t>
      </w:r>
      <w:r>
        <w:rPr>
          <w:rFonts w:hint="eastAsia" w:ascii="仿宋_GB2312" w:eastAsia="仿宋_GB2312"/>
          <w:sz w:val="32"/>
          <w:szCs w:val="32"/>
          <w:highlight w:val="none"/>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hAnsi="宋体" w:eastAsia="仿宋_GB2312" w:cs="宋体"/>
          <w:kern w:val="0"/>
          <w:sz w:val="32"/>
          <w:szCs w:val="32"/>
          <w:highlight w:val="none"/>
        </w:rPr>
      </w:pPr>
      <w:r>
        <w:rPr>
          <w:rFonts w:hint="eastAsia" w:ascii="黑体" w:hAnsi="黑体" w:eastAsia="黑体"/>
          <w:sz w:val="32"/>
          <w:szCs w:val="32"/>
          <w:highlight w:val="none"/>
        </w:rPr>
        <w:t>八、机关运行经费：</w:t>
      </w:r>
      <w:r>
        <w:rPr>
          <w:rFonts w:hint="eastAsia" w:ascii="仿宋_GB2312" w:eastAsia="仿宋_GB2312"/>
          <w:sz w:val="32"/>
          <w:szCs w:val="32"/>
          <w:highlight w:val="none"/>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highlight w:val="none"/>
        </w:rPr>
      </w:pPr>
    </w:p>
    <w:p>
      <w:pPr>
        <w:widowControl/>
        <w:spacing w:line="560" w:lineRule="exact"/>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昌吉州疾病预防控制中心</w:t>
      </w:r>
    </w:p>
    <w:p>
      <w:pPr>
        <w:widowControl/>
        <w:spacing w:line="560" w:lineRule="exact"/>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 xml:space="preserve">  </w:t>
      </w:r>
      <w:r>
        <w:rPr>
          <w:rFonts w:ascii="仿宋_GB2312" w:hAnsi="宋体" w:eastAsia="仿宋_GB2312" w:cs="宋体"/>
          <w:kern w:val="0"/>
          <w:sz w:val="32"/>
          <w:szCs w:val="32"/>
          <w:highlight w:val="none"/>
        </w:rPr>
        <w:t xml:space="preserve">  2019</w:t>
      </w:r>
      <w:r>
        <w:rPr>
          <w:rFonts w:hint="eastAsia" w:ascii="仿宋_GB2312" w:hAnsi="宋体" w:eastAsia="仿宋_GB2312" w:cs="宋体"/>
          <w:kern w:val="0"/>
          <w:sz w:val="32"/>
          <w:szCs w:val="32"/>
          <w:highlight w:val="none"/>
        </w:rPr>
        <w:t>年</w:t>
      </w: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rPr>
        <w:t>月</w:t>
      </w:r>
      <w:r>
        <w:rPr>
          <w:rFonts w:ascii="仿宋_GB2312" w:hAnsi="宋体" w:eastAsia="仿宋_GB2312" w:cs="宋体"/>
          <w:kern w:val="0"/>
          <w:sz w:val="32"/>
          <w:szCs w:val="32"/>
          <w:highlight w:val="none"/>
        </w:rPr>
        <w:t xml:space="preserve">31 </w:t>
      </w:r>
      <w:r>
        <w:rPr>
          <w:rFonts w:hint="eastAsia" w:ascii="仿宋_GB2312" w:hAnsi="宋体" w:eastAsia="仿宋_GB2312" w:cs="宋体"/>
          <w:kern w:val="0"/>
          <w:sz w:val="32"/>
          <w:szCs w:val="32"/>
          <w:highlight w:val="none"/>
        </w:rPr>
        <w:t>日</w:t>
      </w:r>
    </w:p>
    <w:p>
      <w:pPr>
        <w:rPr>
          <w:highlight w:val="none"/>
        </w:rPr>
      </w:pP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方正小标宋_GBK">
    <w:altName w:val="宋体"/>
    <w:panose1 w:val="00000000000000000000"/>
    <w:charset w:val="86"/>
    <w:family w:val="script"/>
    <w:pitch w:val="default"/>
    <w:sig w:usb0="00000000" w:usb1="00000000" w:usb2="00000010" w:usb3="00000000" w:csb0="00040000" w:csb1="00000000"/>
  </w:font>
  <w:font w:name="Dialog">
    <w:altName w:val="Times New Roman"/>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25</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51A70"/>
    <w:rsid w:val="00113F72"/>
    <w:rsid w:val="00117F6A"/>
    <w:rsid w:val="00172A27"/>
    <w:rsid w:val="001C4214"/>
    <w:rsid w:val="0024401B"/>
    <w:rsid w:val="002810C9"/>
    <w:rsid w:val="003F2DB6"/>
    <w:rsid w:val="00451FD7"/>
    <w:rsid w:val="004B7A93"/>
    <w:rsid w:val="006114A9"/>
    <w:rsid w:val="0062142D"/>
    <w:rsid w:val="00694E68"/>
    <w:rsid w:val="006B346A"/>
    <w:rsid w:val="0071501C"/>
    <w:rsid w:val="007A05FF"/>
    <w:rsid w:val="007B5258"/>
    <w:rsid w:val="007D7ABF"/>
    <w:rsid w:val="00830247"/>
    <w:rsid w:val="00883633"/>
    <w:rsid w:val="00903702"/>
    <w:rsid w:val="00AF614E"/>
    <w:rsid w:val="00B01532"/>
    <w:rsid w:val="00B32265"/>
    <w:rsid w:val="00B9604C"/>
    <w:rsid w:val="00BA4AE9"/>
    <w:rsid w:val="00C67E0E"/>
    <w:rsid w:val="00CC378D"/>
    <w:rsid w:val="00CC6572"/>
    <w:rsid w:val="00D651ED"/>
    <w:rsid w:val="00E41A0A"/>
    <w:rsid w:val="00EA31FE"/>
    <w:rsid w:val="00FA7635"/>
    <w:rsid w:val="01815E36"/>
    <w:rsid w:val="01DA2A7A"/>
    <w:rsid w:val="0296263D"/>
    <w:rsid w:val="04807C59"/>
    <w:rsid w:val="06345236"/>
    <w:rsid w:val="08E64EF8"/>
    <w:rsid w:val="0B450653"/>
    <w:rsid w:val="0E756D3C"/>
    <w:rsid w:val="0F6C3083"/>
    <w:rsid w:val="12F6619B"/>
    <w:rsid w:val="156E4C45"/>
    <w:rsid w:val="16534899"/>
    <w:rsid w:val="16EF1F58"/>
    <w:rsid w:val="177A7754"/>
    <w:rsid w:val="189D1AD6"/>
    <w:rsid w:val="1B9D348E"/>
    <w:rsid w:val="1C820B96"/>
    <w:rsid w:val="1F88697D"/>
    <w:rsid w:val="208D3761"/>
    <w:rsid w:val="20F9434A"/>
    <w:rsid w:val="25271E28"/>
    <w:rsid w:val="296F4DBD"/>
    <w:rsid w:val="2A3110AD"/>
    <w:rsid w:val="2CA4418C"/>
    <w:rsid w:val="2CC06F9C"/>
    <w:rsid w:val="2E8D616E"/>
    <w:rsid w:val="2F87667C"/>
    <w:rsid w:val="2FAC50F7"/>
    <w:rsid w:val="32D07C33"/>
    <w:rsid w:val="354640CE"/>
    <w:rsid w:val="38AD014E"/>
    <w:rsid w:val="3BA74D67"/>
    <w:rsid w:val="3D2376D5"/>
    <w:rsid w:val="3EA2779F"/>
    <w:rsid w:val="43C230DF"/>
    <w:rsid w:val="44CF48FD"/>
    <w:rsid w:val="451D3059"/>
    <w:rsid w:val="47A8282D"/>
    <w:rsid w:val="4A4E1511"/>
    <w:rsid w:val="4F853A57"/>
    <w:rsid w:val="4FDC7297"/>
    <w:rsid w:val="50BA3BB6"/>
    <w:rsid w:val="510A53D3"/>
    <w:rsid w:val="510B7686"/>
    <w:rsid w:val="54087AD3"/>
    <w:rsid w:val="551D10F9"/>
    <w:rsid w:val="56421B28"/>
    <w:rsid w:val="59A005AE"/>
    <w:rsid w:val="5BD74359"/>
    <w:rsid w:val="5D461F73"/>
    <w:rsid w:val="5D5350C9"/>
    <w:rsid w:val="5DED5FBD"/>
    <w:rsid w:val="5DFF7434"/>
    <w:rsid w:val="60116FD5"/>
    <w:rsid w:val="60546033"/>
    <w:rsid w:val="63E60030"/>
    <w:rsid w:val="6864347B"/>
    <w:rsid w:val="6A801A0B"/>
    <w:rsid w:val="6C231CD8"/>
    <w:rsid w:val="6D057528"/>
    <w:rsid w:val="6DC612FF"/>
    <w:rsid w:val="701168D6"/>
    <w:rsid w:val="72C87F5D"/>
    <w:rsid w:val="73EC040A"/>
    <w:rsid w:val="773F7DE5"/>
    <w:rsid w:val="78571ABD"/>
    <w:rsid w:val="7C677214"/>
    <w:rsid w:val="7C862532"/>
    <w:rsid w:val="7CAE29F8"/>
    <w:rsid w:val="7F6D59E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rFonts w:eastAsia="黑体"/>
      <w:snapToGrid w:val="0"/>
      <w:kern w:val="0"/>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kern w:val="0"/>
      <w:sz w:val="18"/>
      <w:szCs w:val="18"/>
    </w:rPr>
  </w:style>
  <w:style w:type="character" w:styleId="6">
    <w:name w:val="Strong"/>
    <w:qFormat/>
    <w:uiPriority w:val="99"/>
    <w:rPr>
      <w:rFonts w:cs="Times New Roman"/>
      <w:b/>
    </w:rPr>
  </w:style>
  <w:style w:type="character" w:customStyle="1" w:styleId="7">
    <w:name w:val="页脚 Char"/>
    <w:link w:val="2"/>
    <w:semiHidden/>
    <w:locked/>
    <w:uiPriority w:val="99"/>
    <w:rPr>
      <w:rFonts w:ascii="Times New Roman" w:hAnsi="Times New Roman" w:eastAsia="黑体" w:cs="Times New Roman"/>
      <w:snapToGrid w:val="0"/>
      <w:kern w:val="0"/>
      <w:sz w:val="18"/>
      <w:szCs w:val="18"/>
    </w:rPr>
  </w:style>
  <w:style w:type="character" w:customStyle="1" w:styleId="8">
    <w:name w:val="页眉 Char"/>
    <w:link w:val="3"/>
    <w:semiHidden/>
    <w:qFormat/>
    <w:locked/>
    <w:uiPriority w:val="99"/>
    <w:rPr>
      <w:rFonts w:ascii="Times New Roman" w:hAnsi="Times New Roman" w:eastAsia="宋体" w:cs="Times New Roman"/>
      <w:sz w:val="18"/>
      <w:szCs w:val="18"/>
    </w:rPr>
  </w:style>
  <w:style w:type="paragraph" w:customStyle="1" w:styleId="9">
    <w:name w:val="批注框文本1"/>
    <w:basedOn w:val="1"/>
    <w:link w:val="10"/>
    <w:qFormat/>
    <w:uiPriority w:val="99"/>
    <w:rPr>
      <w:kern w:val="0"/>
      <w:sz w:val="18"/>
      <w:szCs w:val="18"/>
    </w:rPr>
  </w:style>
  <w:style w:type="character" w:customStyle="1" w:styleId="10">
    <w:name w:val="批注框文本 Char"/>
    <w:link w:val="9"/>
    <w:semiHidden/>
    <w:qFormat/>
    <w:locked/>
    <w:uiPriority w:val="99"/>
    <w:rPr>
      <w:rFonts w:ascii="Times New Roman" w:hAnsi="Times New Roman" w:eastAsia="宋体" w:cs="Times New Roman"/>
      <w:sz w:val="18"/>
      <w:szCs w:val="18"/>
    </w:rPr>
  </w:style>
  <w:style w:type="character" w:customStyle="1" w:styleId="11">
    <w:name w:val="正文文本缩进 3 Char"/>
    <w:link w:val="12"/>
    <w:semiHidden/>
    <w:qFormat/>
    <w:locked/>
    <w:uiPriority w:val="99"/>
    <w:rPr>
      <w:rFonts w:ascii="Times New Roman" w:hAnsi="Times New Roman" w:eastAsia="仿宋_GB2312" w:cs="Times New Roman"/>
      <w:sz w:val="24"/>
      <w:szCs w:val="24"/>
    </w:rPr>
  </w:style>
  <w:style w:type="paragraph" w:customStyle="1" w:styleId="12">
    <w:name w:val="Body Text Indent 31"/>
    <w:basedOn w:val="1"/>
    <w:link w:val="11"/>
    <w:qFormat/>
    <w:uiPriority w:val="99"/>
    <w:pPr>
      <w:pBdr>
        <w:top w:val="single" w:color="auto" w:sz="12" w:space="1"/>
        <w:bottom w:val="single" w:color="auto" w:sz="12" w:space="1"/>
      </w:pBdr>
      <w:spacing w:line="600" w:lineRule="exact"/>
      <w:ind w:left="1280" w:hanging="1280" w:hangingChars="400"/>
    </w:pPr>
    <w:rPr>
      <w:rFonts w:eastAsia="仿宋_GB2312"/>
      <w:kern w:val="0"/>
      <w:sz w:val="24"/>
    </w:rPr>
  </w:style>
  <w:style w:type="paragraph" w:customStyle="1" w:styleId="13">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List Paragraph1"/>
    <w:basedOn w:val="1"/>
    <w:qFormat/>
    <w:uiPriority w:val="99"/>
    <w:pPr>
      <w:ind w:firstLine="420" w:firstLineChars="200"/>
    </w:pPr>
    <w:rPr>
      <w:rFonts w:ascii="Calibri" w:hAnsi="Calibri"/>
      <w:szCs w:val="22"/>
    </w:rPr>
  </w:style>
  <w:style w:type="paragraph" w:customStyle="1" w:styleId="15">
    <w:name w:val="普通(网站)1"/>
    <w:basedOn w:val="1"/>
    <w:qFormat/>
    <w:uiPriority w:val="99"/>
    <w:rPr>
      <w:rFonts w:ascii="Calibri" w:hAnsi="Calibri" w:cs="黑体"/>
      <w:sz w:val="24"/>
    </w:rPr>
  </w:style>
  <w:style w:type="paragraph" w:customStyle="1" w:styleId="16">
    <w:name w:val="Normal (Web)1"/>
    <w:basedOn w:val="1"/>
    <w:uiPriority w:val="99"/>
    <w:pPr>
      <w:widowControl/>
      <w:spacing w:before="100" w:beforeAutospacing="1" w:after="100" w:afterAutospacing="1"/>
      <w:jc w:val="left"/>
    </w:pPr>
    <w:rPr>
      <w:rFonts w:ascii="宋体" w:hAnsi="宋体" w:cs="宋体"/>
      <w:kern w:val="0"/>
      <w:sz w:val="24"/>
    </w:rPr>
  </w:style>
  <w:style w:type="paragraph" w:customStyle="1" w:styleId="17">
    <w:name w:val="普通(网站)2"/>
    <w:basedOn w:val="1"/>
    <w:uiPriority w:val="99"/>
    <w:rPr>
      <w:rFonts w:ascii="Calibri" w:hAnsi="Calibri" w:cs="黑体"/>
      <w:sz w:val="24"/>
    </w:rPr>
  </w:style>
  <w:style w:type="paragraph" w:customStyle="1" w:styleId="18">
    <w:name w:val="普通(网站)3"/>
    <w:basedOn w:val="1"/>
    <w:uiPriority w:val="99"/>
    <w:rPr>
      <w:rFonts w:ascii="Calibri" w:hAnsi="Calibri" w:cs="黑体"/>
      <w:sz w:val="24"/>
    </w:rPr>
  </w:style>
  <w:style w:type="character" w:customStyle="1" w:styleId="19">
    <w:name w:val="Page Number1"/>
    <w:uiPriority w:val="99"/>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27</Pages>
  <Words>7040</Words>
  <Characters>4673</Characters>
  <Lines>38</Lines>
  <Paragraphs>23</Paragraphs>
  <TotalTime>115</TotalTime>
  <ScaleCrop>false</ScaleCrop>
  <LinksUpToDate>false</LinksUpToDate>
  <CharactersWithSpaces>11690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2019-01-15T18:37:00Z</dcterms:created>
  <dc:creator>王怡</dc:creator>
  <cp:lastModifiedBy>Administrator</cp:lastModifiedBy>
  <dcterms:modified xsi:type="dcterms:W3CDTF">2021-07-06T04:43:38Z</dcterms:modified>
  <dc:title>王怡</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