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附件2</w:t>
      </w: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自治区财政项目支出绩效自评报告</w:t>
      </w:r>
    </w:p>
    <w:p>
      <w:pPr>
        <w:spacing w:line="540" w:lineRule="exact"/>
        <w:jc w:val="center"/>
        <w:rPr>
          <w:rFonts w:ascii="华文中宋" w:hAnsi="华文中宋" w:eastAsia="华文中宋" w:cs="宋体"/>
          <w:b/>
          <w:kern w:val="0"/>
          <w:sz w:val="52"/>
          <w:szCs w:val="52"/>
        </w:rPr>
      </w:pPr>
    </w:p>
    <w:p>
      <w:pPr>
        <w:spacing w:line="540" w:lineRule="exact"/>
        <w:jc w:val="center"/>
        <w:rPr>
          <w:rFonts w:hAnsi="宋体" w:eastAsia="仿宋_GB2312" w:cs="宋体"/>
          <w:kern w:val="0"/>
          <w:sz w:val="36"/>
          <w:szCs w:val="36"/>
        </w:rPr>
      </w:pPr>
      <w:r>
        <w:rPr>
          <w:rFonts w:hint="eastAsia" w:hAnsi="宋体" w:eastAsia="仿宋_GB2312" w:cs="宋体"/>
          <w:kern w:val="0"/>
          <w:sz w:val="36"/>
          <w:szCs w:val="36"/>
        </w:rPr>
        <w:t>（  2018   年度）</w:t>
      </w: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rPr>
          <w:rFonts w:hAnsi="宋体" w:eastAsia="仿宋_GB2312" w:cs="宋体"/>
          <w:kern w:val="0"/>
          <w:sz w:val="30"/>
          <w:szCs w:val="30"/>
        </w:rPr>
      </w:pPr>
    </w:p>
    <w:p>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项目名称：</w:t>
      </w:r>
    </w:p>
    <w:p>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实施单位（公章）：昌吉州文物局</w:t>
      </w:r>
    </w:p>
    <w:p>
      <w:pPr>
        <w:spacing w:line="700" w:lineRule="exact"/>
        <w:ind w:left="4051" w:leftChars="386" w:hanging="3240" w:hangingChars="900"/>
        <w:jc w:val="left"/>
        <w:rPr>
          <w:rFonts w:hAnsi="宋体" w:eastAsia="仿宋_GB2312" w:cs="宋体"/>
          <w:kern w:val="0"/>
          <w:sz w:val="36"/>
          <w:szCs w:val="36"/>
        </w:rPr>
      </w:pPr>
      <w:r>
        <w:rPr>
          <w:rFonts w:hint="eastAsia" w:hAnsi="宋体" w:eastAsia="仿宋_GB2312" w:cs="宋体"/>
          <w:kern w:val="0"/>
          <w:sz w:val="36"/>
          <w:szCs w:val="36"/>
        </w:rPr>
        <w:t>主管部门（公章）：昌吉州文化体育广播电视和旅游局</w:t>
      </w:r>
    </w:p>
    <w:p>
      <w:pPr>
        <w:spacing w:line="700" w:lineRule="exact"/>
        <w:ind w:firstLine="849" w:firstLineChars="236"/>
        <w:jc w:val="left"/>
        <w:rPr>
          <w:rFonts w:hAnsi="宋体" w:eastAsia="仿宋_GB2312" w:cs="宋体"/>
          <w:kern w:val="0"/>
          <w:sz w:val="36"/>
          <w:szCs w:val="36"/>
        </w:rPr>
      </w:pPr>
      <w:r>
        <w:rPr>
          <w:rFonts w:hint="eastAsia" w:hAnsi="宋体" w:eastAsia="仿宋_GB2312" w:cs="宋体"/>
          <w:kern w:val="0"/>
          <w:sz w:val="36"/>
          <w:szCs w:val="36"/>
        </w:rPr>
        <w:t>项目负责人（签章）：张新恒</w:t>
      </w:r>
    </w:p>
    <w:p>
      <w:pPr>
        <w:spacing w:line="700" w:lineRule="exact"/>
        <w:ind w:firstLine="849" w:firstLineChars="236"/>
        <w:jc w:val="left"/>
        <w:rPr>
          <w:rFonts w:hAnsi="宋体" w:eastAsia="仿宋_GB2312" w:cs="宋体"/>
          <w:kern w:val="0"/>
          <w:sz w:val="36"/>
          <w:szCs w:val="36"/>
        </w:rPr>
      </w:pPr>
      <w:r>
        <w:rPr>
          <w:rFonts w:hint="eastAsia" w:hAnsi="宋体" w:eastAsia="仿宋_GB2312" w:cs="宋体"/>
          <w:kern w:val="0"/>
          <w:sz w:val="36"/>
          <w:szCs w:val="36"/>
        </w:rPr>
        <w:t>填报时间： 2019 年  3月  15 日</w:t>
      </w:r>
    </w:p>
    <w:p>
      <w:pPr>
        <w:spacing w:line="540" w:lineRule="exact"/>
        <w:jc w:val="center"/>
        <w:rPr>
          <w:rFonts w:hAnsi="宋体" w:eastAsia="仿宋_GB2312" w:cs="宋体"/>
          <w:kern w:val="0"/>
          <w:sz w:val="30"/>
          <w:szCs w:val="30"/>
        </w:rPr>
      </w:pPr>
    </w:p>
    <w:p>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一、项目概况</w:t>
      </w:r>
    </w:p>
    <w:p>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（一）项目单位基本情况</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2018年2月年昌吉州文物局合并到昌吉州文化体育广播电视新闻出版局，文物局4人调入到局执法支队，文广局设立文物保护管理科，其中1人在科室临时负责。全州七个县市，国家级重点文物保护单位5处，自治区级文物保护单位55处，县级文物保护单位110处。</w:t>
      </w:r>
    </w:p>
    <w:p>
      <w:pPr>
        <w:spacing w:line="540" w:lineRule="exact"/>
        <w:ind w:firstLine="470" w:firstLineChars="150"/>
        <w:rPr>
          <w:rStyle w:val="18"/>
          <w:rFonts w:ascii="楷体" w:hAnsi="楷体" w:eastAsia="楷体"/>
          <w:spacing w:val="-4"/>
          <w:sz w:val="32"/>
          <w:szCs w:val="32"/>
        </w:rPr>
      </w:pPr>
      <w:r>
        <w:rPr>
          <w:rStyle w:val="18"/>
          <w:rFonts w:hint="eastAsia" w:ascii="楷体" w:hAnsi="楷体" w:eastAsia="楷体"/>
          <w:spacing w:val="-4"/>
          <w:sz w:val="32"/>
          <w:szCs w:val="32"/>
        </w:rPr>
        <w:t>（二）项目预算</w:t>
      </w:r>
      <w:r>
        <w:rPr>
          <w:rStyle w:val="18"/>
          <w:rFonts w:ascii="楷体" w:hAnsi="楷体" w:eastAsia="楷体"/>
          <w:spacing w:val="-4"/>
          <w:sz w:val="32"/>
          <w:szCs w:val="32"/>
        </w:rPr>
        <w:t>绩效目标</w:t>
      </w:r>
      <w:r>
        <w:rPr>
          <w:rStyle w:val="18"/>
          <w:rFonts w:hint="eastAsia" w:ascii="楷体" w:hAnsi="楷体" w:eastAsia="楷体"/>
          <w:spacing w:val="-4"/>
          <w:sz w:val="32"/>
          <w:szCs w:val="32"/>
        </w:rPr>
        <w:t>设定情况</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全州野外文物保护单位看护人员专项补助经费是自治区文物局拨付的专项经费，专项用于野外文物保护单位看护人员补助，主要目的是为进一步加强全国重点文物保护单位和自治区级文物保护单位的保护、利用和管理。</w:t>
      </w:r>
    </w:p>
    <w:p>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二、项目资金使用及管理情况</w:t>
      </w:r>
    </w:p>
    <w:p>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（一）项目资金安排落实、总投入等情况分析</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野外文物保护单位看护人员专项补助经费项目支出：该项目资金投入2018年共拨付235.2万元，全部为上级财政拨款。</w:t>
      </w:r>
    </w:p>
    <w:p>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（二）项目资金实际使用情况分析</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野外看护员专项补助经费全州截止18年底支出179.58万元，占全部拨付资金的76％，除吉木萨尔县和呼图壁县补助资金全部发放到位，其他县市由于拨付资金较晚，我们采取延发方式，剩余部分资金到2019年6月底以前全部发放到位。</w:t>
      </w:r>
    </w:p>
    <w:p>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（三）项目资金管理情况分析</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各县市看护员的管理、培训和资金发放，依据各自制定文物保护单位看护员生活补助专项资金管理暂行办法和文物保护单位看护员生活补助工作绩效考核暂行办法及绩效考核评分细则进行，做到奖惩分明。</w:t>
      </w:r>
    </w:p>
    <w:p>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三、项目组织实施情况</w:t>
      </w:r>
    </w:p>
    <w:p>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（一）项目组织情况分析</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野外文物保护单位看护人员专项补助经费主要用于开展野外遗址看护员的生活补助。各县市文物局指定专人负责看护员管理工作，通过看护员的巡查，极大提高了野外文物安全，有效改善了野外文物保护现状。</w:t>
      </w:r>
    </w:p>
    <w:p>
      <w:pPr>
        <w:spacing w:line="540" w:lineRule="exact"/>
        <w:ind w:firstLine="470" w:firstLineChars="150"/>
        <w:rPr>
          <w:rStyle w:val="18"/>
          <w:rFonts w:ascii="楷体" w:hAnsi="楷体" w:eastAsia="楷体"/>
          <w:spacing w:val="-4"/>
          <w:sz w:val="32"/>
          <w:szCs w:val="32"/>
        </w:rPr>
      </w:pPr>
      <w:r>
        <w:rPr>
          <w:rStyle w:val="18"/>
          <w:rFonts w:hint="eastAsia" w:ascii="楷体" w:hAnsi="楷体" w:eastAsia="楷体"/>
          <w:spacing w:val="-4"/>
          <w:sz w:val="32"/>
          <w:szCs w:val="32"/>
        </w:rPr>
        <w:t>（二）项目管理情况分析</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野外文物保护单位看护人员专项补助经费管理严格执行国家有关财务规章制度规定的开支范围与开支标准，各县市文物局对项目的实施实行项目管理责任制，文物局负责人根据通过的项目计划和实施方案，具体组织项目实施。财务室按照财务、预算管理制度，对专项资金项目的实施、付款等环节进行管理和监督，接受各级财政、审计和文化等部门的监督检查。</w:t>
      </w:r>
    </w:p>
    <w:p>
      <w:pPr>
        <w:spacing w:line="540" w:lineRule="exact"/>
        <w:ind w:firstLine="564" w:firstLineChars="181"/>
        <w:rPr>
          <w:rFonts w:hint="eastAsia" w:ascii="黑体" w:hAnsi="黑体" w:eastAsia="黑体" w:cs="黑体"/>
          <w:b w:val="0"/>
          <w:bCs/>
          <w:spacing w:val="-4"/>
          <w:sz w:val="32"/>
          <w:szCs w:val="32"/>
        </w:rPr>
      </w:pPr>
      <w:r>
        <w:rPr>
          <w:rStyle w:val="18"/>
          <w:rFonts w:hint="eastAsia" w:ascii="黑体" w:hAnsi="黑体" w:eastAsia="黑体" w:cs="黑体"/>
          <w:b w:val="0"/>
          <w:bCs/>
          <w:spacing w:val="-4"/>
          <w:sz w:val="32"/>
          <w:szCs w:val="32"/>
        </w:rPr>
        <w:t>四、项目绩效</w:t>
      </w:r>
      <w:r>
        <w:rPr>
          <w:rFonts w:hint="eastAsia" w:ascii="黑体" w:hAnsi="黑体" w:eastAsia="黑体" w:cs="黑体"/>
          <w:b w:val="0"/>
          <w:bCs/>
          <w:spacing w:val="-4"/>
          <w:sz w:val="32"/>
          <w:szCs w:val="32"/>
        </w:rPr>
        <w:t xml:space="preserve">情况 </w:t>
      </w:r>
    </w:p>
    <w:p>
      <w:pPr>
        <w:spacing w:line="540" w:lineRule="exact"/>
        <w:ind w:firstLine="567" w:firstLineChars="181"/>
        <w:rPr>
          <w:rFonts w:hint="eastAsia" w:ascii="楷体_GB2312" w:hAnsi="楷体_GB2312" w:eastAsia="楷体_GB2312" w:cs="楷体_GB2312"/>
          <w:b/>
          <w:spacing w:val="-4"/>
          <w:sz w:val="32"/>
          <w:szCs w:val="32"/>
        </w:rPr>
      </w:pPr>
      <w:r>
        <w:rPr>
          <w:rFonts w:hint="eastAsia" w:ascii="楷体_GB2312" w:hAnsi="楷体_GB2312" w:eastAsia="楷体_GB2312" w:cs="楷体_GB2312"/>
          <w:b/>
          <w:spacing w:val="-4"/>
          <w:sz w:val="32"/>
          <w:szCs w:val="32"/>
        </w:rPr>
        <w:t>（一）项目绩效目标完成情况分析</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项目绩效主要用于发放野外文物保护单位看护人员工资，通过培训使看护人员了解所看护文物的历史文化，充分认识文物保护工作的意义、提高文物安全保护的责任意识，通过发放文物看护人员补助金，提高看护员的工作积极性、加强基层一线文物保护力量建设。</w:t>
      </w:r>
    </w:p>
    <w:p>
      <w:pPr>
        <w:spacing w:line="540" w:lineRule="exact"/>
        <w:ind w:firstLine="567" w:firstLineChars="181"/>
        <w:rPr>
          <w:rFonts w:hint="eastAsia" w:ascii="楷体_GB2312" w:hAnsi="楷体_GB2312" w:eastAsia="楷体_GB2312" w:cs="楷体_GB2312"/>
          <w:b/>
          <w:spacing w:val="-4"/>
          <w:sz w:val="32"/>
          <w:szCs w:val="32"/>
        </w:rPr>
      </w:pPr>
      <w:r>
        <w:rPr>
          <w:rFonts w:hint="eastAsia" w:ascii="楷体_GB2312" w:hAnsi="楷体_GB2312" w:eastAsia="楷体_GB2312" w:cs="楷体_GB2312"/>
          <w:b/>
          <w:spacing w:val="-4"/>
          <w:sz w:val="32"/>
          <w:szCs w:val="32"/>
        </w:rPr>
        <w:t>（二）项目绩效目标未完成原因分析</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1、2017年下半年和2018年全年看护员补助资金分别于2018年4月和5月下拨，拨付资金到位较晚。</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2、个别县市在专项资金未到位之前已聘用部分看护员，对前期看护员进行了资金补发。</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3、有部分县市根据资资金到位情况，进行了看护员的聘用，补助资金采取顺延的方式进行发放，2019年6月补助资金可全部放到位。</w:t>
      </w:r>
    </w:p>
    <w:p>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五、其他需要说明的问题</w:t>
      </w:r>
    </w:p>
    <w:p>
      <w:pPr>
        <w:spacing w:line="540" w:lineRule="exact"/>
        <w:ind w:firstLine="567" w:firstLineChars="181"/>
        <w:rPr>
          <w:rFonts w:hint="eastAsia" w:ascii="楷体_GB2312" w:hAnsi="楷体_GB2312" w:eastAsia="楷体_GB2312" w:cs="楷体_GB2312"/>
          <w:b/>
          <w:spacing w:val="-4"/>
          <w:sz w:val="32"/>
          <w:szCs w:val="32"/>
        </w:rPr>
      </w:pPr>
      <w:r>
        <w:rPr>
          <w:rFonts w:hint="eastAsia" w:ascii="楷体_GB2312" w:hAnsi="楷体_GB2312" w:eastAsia="楷体_GB2312" w:cs="楷体_GB2312"/>
          <w:b/>
          <w:spacing w:val="-4"/>
          <w:sz w:val="32"/>
          <w:szCs w:val="32"/>
        </w:rPr>
        <w:t>（一）后续工作计划</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加大对各县市看护员看护工作的督导，进一步完善看护员奖惩制度，提高看护员看护野外文物的积极性；继续开展看护员管理培训工作，提高管理人员的野外文物业务知识储备，提高看护员对野外文物的看护意识，</w:t>
      </w:r>
    </w:p>
    <w:p>
      <w:pPr>
        <w:spacing w:line="540" w:lineRule="exact"/>
        <w:ind w:firstLine="567" w:firstLineChars="181"/>
        <w:rPr>
          <w:rFonts w:hint="eastAsia" w:ascii="楷体_GB2312" w:hAnsi="楷体_GB2312" w:eastAsia="楷体_GB2312" w:cs="楷体_GB2312"/>
          <w:b/>
          <w:spacing w:val="-4"/>
          <w:sz w:val="32"/>
          <w:szCs w:val="32"/>
        </w:rPr>
      </w:pPr>
      <w:r>
        <w:rPr>
          <w:rFonts w:hint="eastAsia" w:ascii="楷体_GB2312" w:hAnsi="楷体_GB2312" w:eastAsia="楷体_GB2312" w:cs="楷体_GB2312"/>
          <w:b/>
          <w:spacing w:val="-4"/>
          <w:sz w:val="32"/>
          <w:szCs w:val="32"/>
        </w:rPr>
        <w:t>（二）主要经验及做法、存在问题和建议</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一是首先本着安全第一的原则，要求看护员在进行野外文物看护的时候注意自身安全，个别县市为看护员购买了意外伤害保险。</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二是定期对野外看护员进行培训，加强管理和检查。</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三是各县市全部建立野外文物看护员看护员微信工作群，看护员全部使用水印相机进行拍照，每日必须上报现场看护照片，随时在群里对看护情况进行点评和督导。</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四是各别县市编制文物看护员工作手册并保证人手一册，内容包括有《文物保护法》、《文物保护单位执法巡查办法》、《长城看护员管理办法》、以及各级文物保护范围文件等相关知识。</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五是发现有人对野外文物和附属设施进行盗掘和破坏的现象，在确保自身安全情况下立即进行劝阻，同时进行拍照取证，并且及时上报文物局和公安机关。</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六是建议持续足额保障看护员专项补助资金，以保证区级以上文物保护单位的文物安全。</w:t>
      </w:r>
    </w:p>
    <w:p>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（三）其他</w:t>
      </w:r>
    </w:p>
    <w:p>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六、项目评价工作情况</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各县市文物局对项目资金的收入支出以及在项目实施过程中的监督管理等工作，都能严格执行各项制度，按时完成项目评价工作。充分认识考评工作的重要性，高度重视文物保护绩效考评工作，严格按照项目资金管理制度使用资金，不得改变资金用途，挪作他用。</w:t>
      </w:r>
    </w:p>
    <w:p>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七、附表</w:t>
      </w:r>
    </w:p>
    <w:p>
      <w:pPr>
        <w:spacing w:line="540" w:lineRule="exact"/>
        <w:ind w:firstLine="567"/>
        <w:rPr>
          <w:rStyle w:val="18"/>
          <w:rFonts w:hint="eastAsia" w:ascii="仿宋_GB2312" w:hAnsi="仿宋_GB2312" w:eastAsia="仿宋_GB2312" w:cs="仿宋_GB2312"/>
          <w:b w:val="0"/>
          <w:spacing w:val="-4"/>
          <w:sz w:val="32"/>
          <w:szCs w:val="32"/>
        </w:rPr>
      </w:pPr>
      <w:r>
        <w:rPr>
          <w:rStyle w:val="18"/>
          <w:rFonts w:hint="eastAsia" w:ascii="仿宋_GB2312" w:hAnsi="仿宋_GB2312" w:eastAsia="仿宋_GB2312" w:cs="仿宋_GB2312"/>
          <w:b w:val="0"/>
          <w:spacing w:val="-4"/>
          <w:sz w:val="32"/>
          <w:szCs w:val="32"/>
        </w:rPr>
        <w:t>《自治区财政项目支出绩效自评表》</w:t>
      </w: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bookmarkStart w:id="0" w:name="_GoBack"/>
      <w:bookmarkEnd w:id="0"/>
    </w:p>
    <w:p>
      <w:pPr>
        <w:spacing w:line="540" w:lineRule="exact"/>
        <w:ind w:firstLine="567"/>
        <w:rPr>
          <w:rStyle w:val="18"/>
          <w:rFonts w:ascii="仿宋" w:hAnsi="仿宋" w:eastAsia="仿宋"/>
          <w:b w:val="0"/>
          <w:spacing w:val="-4"/>
          <w:sz w:val="32"/>
          <w:szCs w:val="32"/>
        </w:rPr>
      </w:pPr>
    </w:p>
    <w:tbl>
      <w:tblPr>
        <w:tblStyle w:val="16"/>
        <w:tblW w:w="9020" w:type="dxa"/>
        <w:tblInd w:w="93" w:type="dxa"/>
        <w:tblLayout w:type="fixed"/>
        <w:tblCellMar>
          <w:top w:w="0" w:type="dxa"/>
          <w:left w:w="108" w:type="dxa"/>
          <w:bottom w:w="0" w:type="dxa"/>
          <w:right w:w="108" w:type="dxa"/>
        </w:tblCellMar>
      </w:tblPr>
      <w:tblGrid>
        <w:gridCol w:w="720"/>
        <w:gridCol w:w="1140"/>
        <w:gridCol w:w="1360"/>
        <w:gridCol w:w="1080"/>
        <w:gridCol w:w="880"/>
        <w:gridCol w:w="2060"/>
        <w:gridCol w:w="1780"/>
      </w:tblGrid>
      <w:tr>
        <w:tblPrEx>
          <w:tblLayout w:type="fixed"/>
          <w:tblCellMar>
            <w:top w:w="0" w:type="dxa"/>
            <w:left w:w="108" w:type="dxa"/>
            <w:bottom w:w="0" w:type="dxa"/>
            <w:right w:w="108" w:type="dxa"/>
          </w:tblCellMar>
        </w:tblPrEx>
        <w:trPr>
          <w:trHeight w:val="405" w:hRule="atLeast"/>
        </w:trPr>
        <w:tc>
          <w:tcPr>
            <w:tcW w:w="9020" w:type="dxa"/>
            <w:gridSpan w:val="7"/>
            <w:tcBorders>
              <w:top w:val="nil"/>
              <w:left w:val="nil"/>
              <w:bottom w:val="nil"/>
              <w:right w:val="nil"/>
            </w:tcBorders>
            <w:shd w:val="clear" w:color="auto" w:fill="auto"/>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自治区财政项目支出绩效自评表</w:t>
            </w:r>
          </w:p>
        </w:tc>
      </w:tr>
      <w:tr>
        <w:tblPrEx>
          <w:tblLayout w:type="fixed"/>
          <w:tblCellMar>
            <w:top w:w="0" w:type="dxa"/>
            <w:left w:w="108" w:type="dxa"/>
            <w:bottom w:w="0" w:type="dxa"/>
            <w:right w:w="108" w:type="dxa"/>
          </w:tblCellMar>
        </w:tblPrEx>
        <w:trPr>
          <w:trHeight w:val="285" w:hRule="atLeast"/>
        </w:trPr>
        <w:tc>
          <w:tcPr>
            <w:tcW w:w="9020" w:type="dxa"/>
            <w:gridSpan w:val="7"/>
            <w:tcBorders>
              <w:top w:val="nil"/>
              <w:left w:val="nil"/>
              <w:bottom w:val="nil"/>
              <w:right w:val="nil"/>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w:t>
            </w:r>
            <w:r>
              <w:rPr>
                <w:kern w:val="0"/>
                <w:sz w:val="24"/>
              </w:rPr>
              <w:t xml:space="preserve">      </w:t>
            </w:r>
            <w:r>
              <w:rPr>
                <w:rFonts w:hint="eastAsia"/>
                <w:kern w:val="0"/>
                <w:sz w:val="24"/>
              </w:rPr>
              <w:t>2018</w:t>
            </w:r>
            <w:r>
              <w:rPr>
                <w:kern w:val="0"/>
                <w:sz w:val="24"/>
              </w:rPr>
              <w:t xml:space="preserve">    </w:t>
            </w:r>
            <w:r>
              <w:rPr>
                <w:rFonts w:hint="eastAsia" w:ascii="宋体" w:hAnsi="宋体" w:cs="宋体"/>
                <w:kern w:val="0"/>
                <w:sz w:val="24"/>
              </w:rPr>
              <w:t>年度）</w:t>
            </w:r>
          </w:p>
        </w:tc>
      </w:tr>
      <w:tr>
        <w:tblPrEx>
          <w:tblLayout w:type="fixed"/>
          <w:tblCellMar>
            <w:top w:w="0" w:type="dxa"/>
            <w:left w:w="108" w:type="dxa"/>
            <w:bottom w:w="0" w:type="dxa"/>
            <w:right w:w="108" w:type="dxa"/>
          </w:tblCellMar>
        </w:tblPrEx>
        <w:trPr>
          <w:trHeight w:val="285" w:hRule="atLeast"/>
        </w:trPr>
        <w:tc>
          <w:tcPr>
            <w:tcW w:w="72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114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136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108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88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206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178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20" w:hRule="atLeast"/>
        </w:trPr>
        <w:tc>
          <w:tcPr>
            <w:tcW w:w="32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项目名称</w:t>
            </w:r>
          </w:p>
        </w:tc>
        <w:tc>
          <w:tcPr>
            <w:tcW w:w="5800"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自治区野外文物保护单位看护员专项补助经费　</w:t>
            </w:r>
          </w:p>
        </w:tc>
      </w:tr>
      <w:tr>
        <w:tblPrEx>
          <w:tblLayout w:type="fixed"/>
          <w:tblCellMar>
            <w:top w:w="0" w:type="dxa"/>
            <w:left w:w="108" w:type="dxa"/>
            <w:bottom w:w="0" w:type="dxa"/>
            <w:right w:w="108" w:type="dxa"/>
          </w:tblCellMar>
        </w:tblPrEx>
        <w:trPr>
          <w:trHeight w:val="435" w:hRule="atLeast"/>
        </w:trPr>
        <w:tc>
          <w:tcPr>
            <w:tcW w:w="32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预算单位</w:t>
            </w:r>
          </w:p>
        </w:tc>
        <w:tc>
          <w:tcPr>
            <w:tcW w:w="5800"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PrEx>
        <w:trPr>
          <w:trHeight w:val="465" w:hRule="atLeast"/>
        </w:trPr>
        <w:tc>
          <w:tcPr>
            <w:tcW w:w="7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预算</w:t>
            </w:r>
            <w:r>
              <w:rPr>
                <w:rFonts w:hint="eastAsia" w:ascii="宋体" w:hAnsi="宋体" w:cs="宋体"/>
                <w:kern w:val="0"/>
                <w:sz w:val="20"/>
                <w:szCs w:val="20"/>
              </w:rPr>
              <w:br w:type="textWrapping"/>
            </w:r>
            <w:r>
              <w:rPr>
                <w:rFonts w:hint="eastAsia" w:ascii="宋体" w:hAnsi="宋体" w:cs="宋体"/>
                <w:kern w:val="0"/>
                <w:sz w:val="20"/>
                <w:szCs w:val="20"/>
              </w:rPr>
              <w:t>执行</w:t>
            </w:r>
            <w:r>
              <w:rPr>
                <w:rFonts w:hint="eastAsia" w:ascii="宋体" w:hAnsi="宋体" w:cs="宋体"/>
                <w:kern w:val="0"/>
                <w:sz w:val="20"/>
                <w:szCs w:val="20"/>
              </w:rPr>
              <w:br w:type="textWrapping"/>
            </w:r>
            <w:r>
              <w:rPr>
                <w:rFonts w:hint="eastAsia" w:ascii="宋体" w:hAnsi="宋体" w:cs="宋体"/>
                <w:kern w:val="0"/>
                <w:sz w:val="20"/>
                <w:szCs w:val="20"/>
              </w:rPr>
              <w:t>情况</w:t>
            </w:r>
            <w:r>
              <w:rPr>
                <w:rFonts w:hint="eastAsia" w:ascii="宋体" w:hAnsi="宋体" w:cs="宋体"/>
                <w:kern w:val="0"/>
                <w:sz w:val="20"/>
                <w:szCs w:val="20"/>
              </w:rPr>
              <w:br w:type="textWrapping"/>
            </w:r>
            <w:r>
              <w:rPr>
                <w:rFonts w:hint="eastAsia" w:ascii="宋体" w:hAnsi="宋体" w:cs="宋体"/>
                <w:kern w:val="0"/>
                <w:sz w:val="20"/>
                <w:szCs w:val="20"/>
              </w:rPr>
              <w:t>（万元）</w:t>
            </w:r>
          </w:p>
        </w:tc>
        <w:tc>
          <w:tcPr>
            <w:tcW w:w="25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预算数：</w:t>
            </w:r>
          </w:p>
        </w:tc>
        <w:tc>
          <w:tcPr>
            <w:tcW w:w="196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235.2万元</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执行数：</w:t>
            </w:r>
          </w:p>
        </w:tc>
        <w:tc>
          <w:tcPr>
            <w:tcW w:w="17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235.2万元　</w:t>
            </w:r>
          </w:p>
        </w:tc>
      </w:tr>
      <w:tr>
        <w:tblPrEx>
          <w:tblLayout w:type="fixed"/>
          <w:tblCellMar>
            <w:top w:w="0" w:type="dxa"/>
            <w:left w:w="108" w:type="dxa"/>
            <w:bottom w:w="0" w:type="dxa"/>
            <w:right w:w="108" w:type="dxa"/>
          </w:tblCellMar>
        </w:tblPrEx>
        <w:trPr>
          <w:trHeight w:val="509" w:hRule="atLeast"/>
        </w:trPr>
        <w:tc>
          <w:tcPr>
            <w:tcW w:w="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25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其中：财政拨款</w:t>
            </w:r>
          </w:p>
        </w:tc>
        <w:tc>
          <w:tcPr>
            <w:tcW w:w="196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235.2万元　</w:t>
            </w:r>
          </w:p>
        </w:tc>
        <w:tc>
          <w:tcPr>
            <w:tcW w:w="2060" w:type="dxa"/>
            <w:tcBorders>
              <w:top w:val="nil"/>
              <w:left w:val="nil"/>
              <w:bottom w:val="nil"/>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其中：财政拨款</w:t>
            </w:r>
          </w:p>
        </w:tc>
        <w:tc>
          <w:tcPr>
            <w:tcW w:w="17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235.2万元　</w:t>
            </w:r>
          </w:p>
        </w:tc>
      </w:tr>
      <w:tr>
        <w:tblPrEx>
          <w:tblLayout w:type="fixed"/>
          <w:tblCellMar>
            <w:top w:w="0" w:type="dxa"/>
            <w:left w:w="108" w:type="dxa"/>
            <w:bottom w:w="0" w:type="dxa"/>
            <w:right w:w="108" w:type="dxa"/>
          </w:tblCellMar>
        </w:tblPrEx>
        <w:trPr>
          <w:trHeight w:val="433" w:hRule="atLeast"/>
        </w:trPr>
        <w:tc>
          <w:tcPr>
            <w:tcW w:w="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25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其他资金</w:t>
            </w:r>
          </w:p>
        </w:tc>
        <w:tc>
          <w:tcPr>
            <w:tcW w:w="196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2060" w:type="dxa"/>
            <w:tcBorders>
              <w:top w:val="single" w:color="auto" w:sz="4" w:space="0"/>
              <w:left w:val="nil"/>
              <w:bottom w:val="nil"/>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其他资金</w:t>
            </w:r>
          </w:p>
        </w:tc>
        <w:tc>
          <w:tcPr>
            <w:tcW w:w="17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年度</w:t>
            </w:r>
            <w:r>
              <w:rPr>
                <w:rFonts w:hint="eastAsia" w:ascii="宋体" w:hAnsi="宋体" w:cs="宋体"/>
                <w:kern w:val="0"/>
                <w:sz w:val="20"/>
                <w:szCs w:val="20"/>
              </w:rPr>
              <w:br w:type="textWrapping"/>
            </w:r>
            <w:r>
              <w:rPr>
                <w:rFonts w:hint="eastAsia" w:ascii="宋体" w:hAnsi="宋体" w:cs="宋体"/>
                <w:kern w:val="0"/>
                <w:sz w:val="20"/>
                <w:szCs w:val="20"/>
              </w:rPr>
              <w:t>目标</w:t>
            </w:r>
            <w:r>
              <w:rPr>
                <w:rFonts w:hint="eastAsia" w:ascii="宋体" w:hAnsi="宋体" w:cs="宋体"/>
                <w:kern w:val="0"/>
                <w:sz w:val="20"/>
                <w:szCs w:val="20"/>
              </w:rPr>
              <w:br w:type="textWrapping"/>
            </w:r>
            <w:r>
              <w:rPr>
                <w:rFonts w:hint="eastAsia" w:ascii="宋体" w:hAnsi="宋体" w:cs="宋体"/>
                <w:kern w:val="0"/>
                <w:sz w:val="20"/>
                <w:szCs w:val="20"/>
              </w:rPr>
              <w:t>完成</w:t>
            </w:r>
            <w:r>
              <w:rPr>
                <w:rFonts w:hint="eastAsia" w:ascii="宋体" w:hAnsi="宋体" w:cs="宋体"/>
                <w:kern w:val="0"/>
                <w:sz w:val="20"/>
                <w:szCs w:val="20"/>
              </w:rPr>
              <w:br w:type="textWrapping"/>
            </w:r>
            <w:r>
              <w:rPr>
                <w:rFonts w:hint="eastAsia" w:ascii="宋体" w:hAnsi="宋体" w:cs="宋体"/>
                <w:kern w:val="0"/>
                <w:sz w:val="20"/>
                <w:szCs w:val="20"/>
              </w:rPr>
              <w:t>情况</w:t>
            </w:r>
          </w:p>
        </w:tc>
        <w:tc>
          <w:tcPr>
            <w:tcW w:w="4460"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预期目标</w:t>
            </w:r>
          </w:p>
        </w:tc>
        <w:tc>
          <w:tcPr>
            <w:tcW w:w="38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实际完成目标</w:t>
            </w:r>
          </w:p>
        </w:tc>
      </w:tr>
      <w:tr>
        <w:tblPrEx>
          <w:tblLayout w:type="fixed"/>
          <w:tblCellMar>
            <w:top w:w="0" w:type="dxa"/>
            <w:left w:w="108" w:type="dxa"/>
            <w:bottom w:w="0" w:type="dxa"/>
            <w:right w:w="108" w:type="dxa"/>
          </w:tblCellMar>
        </w:tblPrEx>
        <w:trPr>
          <w:trHeight w:val="1425" w:hRule="atLeast"/>
        </w:trPr>
        <w:tc>
          <w:tcPr>
            <w:tcW w:w="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4460" w:type="dxa"/>
            <w:gridSpan w:val="4"/>
            <w:tcBorders>
              <w:top w:val="single" w:color="auto" w:sz="4" w:space="0"/>
              <w:left w:val="nil"/>
              <w:bottom w:val="single" w:color="auto" w:sz="4" w:space="0"/>
              <w:right w:val="single" w:color="000000" w:sz="4" w:space="0"/>
            </w:tcBorders>
            <w:shd w:val="clear" w:color="auto" w:fill="auto"/>
          </w:tcPr>
          <w:p>
            <w:pPr>
              <w:widowControl/>
              <w:jc w:val="left"/>
              <w:rPr>
                <w:rFonts w:ascii="宋体" w:hAnsi="宋体" w:cs="宋体"/>
                <w:kern w:val="0"/>
                <w:sz w:val="20"/>
                <w:szCs w:val="20"/>
              </w:rPr>
            </w:pPr>
            <w:r>
              <w:rPr>
                <w:rFonts w:hint="eastAsia" w:ascii="仿宋" w:hAnsi="仿宋" w:eastAsia="仿宋" w:cs="仿宋"/>
                <w:kern w:val="0"/>
                <w:sz w:val="24"/>
              </w:rPr>
              <w:t>聘用98人对49处区级以上文物保护单位进行看护。完成2018年野外遗址看护员生活补助经费的发放，</w:t>
            </w:r>
          </w:p>
        </w:tc>
        <w:tc>
          <w:tcPr>
            <w:tcW w:w="3840" w:type="dxa"/>
            <w:gridSpan w:val="2"/>
            <w:tcBorders>
              <w:top w:val="single" w:color="auto" w:sz="4" w:space="0"/>
              <w:left w:val="nil"/>
              <w:bottom w:val="single" w:color="auto" w:sz="4" w:space="0"/>
              <w:right w:val="single" w:color="000000" w:sz="4" w:space="0"/>
            </w:tcBorders>
            <w:shd w:val="clear" w:color="auto" w:fill="auto"/>
          </w:tcPr>
          <w:p>
            <w:pPr>
              <w:widowControl/>
              <w:jc w:val="left"/>
              <w:rPr>
                <w:rFonts w:ascii="宋体" w:hAnsi="宋体" w:cs="宋体"/>
                <w:kern w:val="0"/>
                <w:sz w:val="20"/>
                <w:szCs w:val="20"/>
              </w:rPr>
            </w:pPr>
            <w:r>
              <w:rPr>
                <w:rFonts w:hint="eastAsia" w:ascii="宋体" w:hAnsi="宋体" w:cs="宋体"/>
                <w:kern w:val="0"/>
                <w:sz w:val="20"/>
                <w:szCs w:val="20"/>
              </w:rPr>
              <w:t>2018年聘用看护员111人，发放补助资金179.58万元，完成补助资金发放76%。</w:t>
            </w:r>
          </w:p>
        </w:tc>
      </w:tr>
      <w:tr>
        <w:tblPrEx>
          <w:tblLayout w:type="fixed"/>
          <w:tblCellMar>
            <w:top w:w="0" w:type="dxa"/>
            <w:left w:w="108" w:type="dxa"/>
            <w:bottom w:w="0" w:type="dxa"/>
            <w:right w:w="108" w:type="dxa"/>
          </w:tblCellMar>
        </w:tblPrEx>
        <w:trPr>
          <w:trHeight w:val="720" w:hRule="atLeast"/>
        </w:trPr>
        <w:tc>
          <w:tcPr>
            <w:tcW w:w="7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年度</w:t>
            </w:r>
            <w:r>
              <w:rPr>
                <w:rFonts w:hint="eastAsia" w:ascii="宋体" w:hAnsi="宋体" w:cs="宋体"/>
                <w:kern w:val="0"/>
                <w:sz w:val="20"/>
                <w:szCs w:val="20"/>
              </w:rPr>
              <w:br w:type="textWrapping"/>
            </w:r>
            <w:r>
              <w:rPr>
                <w:rFonts w:hint="eastAsia" w:ascii="宋体" w:hAnsi="宋体" w:cs="宋体"/>
                <w:kern w:val="0"/>
                <w:sz w:val="20"/>
                <w:szCs w:val="20"/>
              </w:rPr>
              <w:t>绩效</w:t>
            </w:r>
            <w:r>
              <w:rPr>
                <w:rFonts w:hint="eastAsia" w:ascii="宋体" w:hAnsi="宋体" w:cs="宋体"/>
                <w:kern w:val="0"/>
                <w:sz w:val="20"/>
                <w:szCs w:val="20"/>
              </w:rPr>
              <w:br w:type="textWrapping"/>
            </w:r>
            <w:r>
              <w:rPr>
                <w:rFonts w:hint="eastAsia" w:ascii="宋体" w:hAnsi="宋体" w:cs="宋体"/>
                <w:kern w:val="0"/>
                <w:sz w:val="20"/>
                <w:szCs w:val="20"/>
              </w:rPr>
              <w:t>指标</w:t>
            </w:r>
            <w:r>
              <w:rPr>
                <w:rFonts w:hint="eastAsia" w:ascii="宋体" w:hAnsi="宋体" w:cs="宋体"/>
                <w:kern w:val="0"/>
                <w:sz w:val="20"/>
                <w:szCs w:val="20"/>
              </w:rPr>
              <w:br w:type="textWrapping"/>
            </w:r>
            <w:r>
              <w:rPr>
                <w:rFonts w:hint="eastAsia" w:ascii="宋体" w:hAnsi="宋体" w:cs="宋体"/>
                <w:kern w:val="0"/>
                <w:sz w:val="20"/>
                <w:szCs w:val="20"/>
              </w:rPr>
              <w:t>完成</w:t>
            </w:r>
            <w:r>
              <w:rPr>
                <w:rFonts w:hint="eastAsia" w:ascii="宋体" w:hAnsi="宋体" w:cs="宋体"/>
                <w:kern w:val="0"/>
                <w:sz w:val="20"/>
                <w:szCs w:val="20"/>
              </w:rPr>
              <w:br w:type="textWrapping"/>
            </w:r>
            <w:r>
              <w:rPr>
                <w:rFonts w:hint="eastAsia" w:ascii="宋体" w:hAnsi="宋体" w:cs="宋体"/>
                <w:kern w:val="0"/>
                <w:sz w:val="20"/>
                <w:szCs w:val="20"/>
              </w:rPr>
              <w:t>情况</w:t>
            </w:r>
          </w:p>
        </w:tc>
        <w:tc>
          <w:tcPr>
            <w:tcW w:w="1140" w:type="dxa"/>
            <w:tcBorders>
              <w:top w:val="nil"/>
              <w:left w:val="nil"/>
              <w:bottom w:val="nil"/>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一级指标</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二级指标</w:t>
            </w: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三级指标</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预期指标值（包含数字及文字描述）</w:t>
            </w:r>
          </w:p>
        </w:tc>
        <w:tc>
          <w:tcPr>
            <w:tcW w:w="17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实际完成指标值（包含数字及文字描述）</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项目完成指标</w:t>
            </w:r>
          </w:p>
        </w:tc>
        <w:tc>
          <w:tcPr>
            <w:tcW w:w="13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数量指标</w:t>
            </w: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指标1：</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看护重点文物保护单位49处</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看护区级以上文物保护单位49处以上</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指标2：</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聘用看护员98人</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实际聘用看护员111人</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指标3：</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发放看护经费235.2万元</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实际发放看护费179.58万元，2019年6月全部放。</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质量指标</w:t>
            </w: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指标1：</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完成49文物遗址点看护，确保文物遗址点无破坏　</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全州自治区级以上文物保护单位60处，全年无安全事故发生</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时效指标</w:t>
            </w: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指标1：</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49处遗址点235.2万元看护员专项经费足额到位</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w:t>
            </w:r>
            <w:r>
              <w:rPr>
                <w:rFonts w:hint="eastAsia" w:cs="仿宋" w:asciiTheme="minorEastAsia" w:hAnsiTheme="minorEastAsia" w:eastAsiaTheme="minorEastAsia"/>
                <w:kern w:val="0"/>
                <w:sz w:val="20"/>
                <w:szCs w:val="20"/>
              </w:rPr>
              <w:t>专项经费用于遗址看护员生活补助，确保专款专用</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成本指标</w:t>
            </w: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指标1：</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保证野外看护员专项补助经费</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全年看护经费235.2万元</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指标2：</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区级以上文物保护单位49处</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区级以上文物保护单位49处以上</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项目效果指标</w:t>
            </w:r>
          </w:p>
        </w:tc>
        <w:tc>
          <w:tcPr>
            <w:tcW w:w="1360"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经济效益</w:t>
            </w:r>
            <w:r>
              <w:rPr>
                <w:rFonts w:hint="eastAsia" w:ascii="宋体" w:hAnsi="宋体" w:cs="宋体"/>
                <w:kern w:val="0"/>
                <w:sz w:val="20"/>
                <w:szCs w:val="20"/>
              </w:rPr>
              <w:br w:type="textWrapping"/>
            </w:r>
            <w:r>
              <w:rPr>
                <w:rFonts w:hint="eastAsia" w:ascii="宋体" w:hAnsi="宋体" w:cs="宋体"/>
                <w:kern w:val="0"/>
                <w:sz w:val="20"/>
                <w:szCs w:val="20"/>
              </w:rPr>
              <w:t>指标</w:t>
            </w: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指标1：</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kern w:val="0"/>
                <w:sz w:val="20"/>
                <w:szCs w:val="20"/>
              </w:rPr>
            </w:pPr>
            <w:r>
              <w:rPr>
                <w:rFonts w:hint="eastAsia" w:ascii="宋体" w:hAnsi="宋体" w:cs="宋体"/>
                <w:kern w:val="0"/>
                <w:sz w:val="20"/>
                <w:szCs w:val="20"/>
              </w:rPr>
              <w:t>　</w:t>
            </w:r>
            <w:r>
              <w:rPr>
                <w:rFonts w:hint="eastAsia" w:cs="仿宋" w:asciiTheme="minorEastAsia" w:hAnsiTheme="minorEastAsia" w:eastAsiaTheme="minorEastAsia"/>
                <w:kern w:val="0"/>
                <w:sz w:val="20"/>
                <w:szCs w:val="20"/>
              </w:rPr>
              <w:t>保护了全州49处国保、区保单位的安全</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保障全州国家级文物保护单位和自治区级文物保护单位的安全</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社会效益</w:t>
            </w:r>
            <w:r>
              <w:rPr>
                <w:rFonts w:hint="eastAsia" w:ascii="宋体" w:hAnsi="宋体" w:cs="宋体"/>
                <w:kern w:val="0"/>
                <w:sz w:val="20"/>
                <w:szCs w:val="20"/>
              </w:rPr>
              <w:br w:type="textWrapping"/>
            </w:r>
            <w:r>
              <w:rPr>
                <w:rFonts w:hint="eastAsia" w:ascii="宋体" w:hAnsi="宋体" w:cs="宋体"/>
                <w:kern w:val="0"/>
                <w:sz w:val="20"/>
                <w:szCs w:val="20"/>
              </w:rPr>
              <w:t>指标</w:t>
            </w: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指标1：</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提供社会就业机会</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解决111人生活保障和增加家庭收入　</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指标2：</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解决部分贫困人员脱贫。</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看护员有重点的倾向解决帮助部分贫困人员</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保证全州各级文物安全</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保护和传承昌吉州历史文化</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生态效益</w:t>
            </w:r>
            <w:r>
              <w:rPr>
                <w:rFonts w:hint="eastAsia" w:ascii="宋体" w:hAnsi="宋体" w:cs="宋体"/>
                <w:kern w:val="0"/>
                <w:sz w:val="20"/>
                <w:szCs w:val="20"/>
              </w:rPr>
              <w:br w:type="textWrapping"/>
            </w:r>
            <w:r>
              <w:rPr>
                <w:rFonts w:hint="eastAsia" w:ascii="宋体" w:hAnsi="宋体" w:cs="宋体"/>
                <w:kern w:val="0"/>
                <w:sz w:val="20"/>
                <w:szCs w:val="20"/>
              </w:rPr>
              <w:t>指标</w:t>
            </w: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指标1：</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对文物保护单位保护范围有效保护</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同时保护了周边生态环境</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可持续影响</w:t>
            </w:r>
            <w:r>
              <w:rPr>
                <w:rFonts w:hint="eastAsia" w:ascii="宋体" w:hAnsi="宋体" w:cs="宋体"/>
                <w:kern w:val="0"/>
                <w:sz w:val="20"/>
                <w:szCs w:val="20"/>
              </w:rPr>
              <w:br w:type="textWrapping"/>
            </w:r>
            <w:r>
              <w:rPr>
                <w:rFonts w:hint="eastAsia" w:ascii="宋体" w:hAnsi="宋体" w:cs="宋体"/>
                <w:kern w:val="0"/>
                <w:sz w:val="20"/>
                <w:szCs w:val="20"/>
              </w:rPr>
              <w:t>指标</w:t>
            </w: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指标1：</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保障全州区级以上文物保护单位安全</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发挥文物传承和发扬历史文化的作用</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满意度</w:t>
            </w:r>
            <w:r>
              <w:rPr>
                <w:rFonts w:hint="eastAsia" w:ascii="宋体" w:hAnsi="宋体" w:cs="宋体"/>
                <w:kern w:val="0"/>
                <w:sz w:val="20"/>
                <w:szCs w:val="20"/>
              </w:rPr>
              <w:br w:type="textWrapping"/>
            </w:r>
            <w:r>
              <w:rPr>
                <w:rFonts w:hint="eastAsia" w:ascii="宋体" w:hAnsi="宋体" w:cs="宋体"/>
                <w:kern w:val="0"/>
                <w:sz w:val="20"/>
                <w:szCs w:val="20"/>
              </w:rPr>
              <w:t>指标</w:t>
            </w:r>
          </w:p>
        </w:tc>
        <w:tc>
          <w:tcPr>
            <w:tcW w:w="13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满意度指标</w:t>
            </w: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指标1：</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群众对文物保护的满意度　</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100%</w:t>
            </w:r>
          </w:p>
        </w:tc>
      </w:tr>
      <w:tr>
        <w:tblPrEx>
          <w:tblLayout w:type="fixed"/>
          <w:tblCellMar>
            <w:top w:w="0" w:type="dxa"/>
            <w:left w:w="108" w:type="dxa"/>
            <w:bottom w:w="0" w:type="dxa"/>
            <w:right w:w="108" w:type="dxa"/>
          </w:tblCellMar>
        </w:tblPrEx>
        <w:trPr>
          <w:trHeight w:val="480" w:hRule="atLeast"/>
        </w:trPr>
        <w:tc>
          <w:tcPr>
            <w:tcW w:w="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3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9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指标2：</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全社会对加强文物保护的满意度　</w:t>
            </w:r>
          </w:p>
        </w:tc>
        <w:tc>
          <w:tcPr>
            <w:tcW w:w="1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100%</w:t>
            </w:r>
          </w:p>
        </w:tc>
      </w:tr>
    </w:tbl>
    <w:p>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仿宋">
    <w:altName w:val="Arial Unicode MS"/>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华文隶书">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docPartObj>
        <w:docPartGallery w:val="autotext"/>
      </w:docPartObj>
    </w:sdtPr>
    <w:sdtContent>
      <w:p>
        <w:pPr>
          <w:pStyle w:val="12"/>
          <w:jc w:val="center"/>
        </w:pPr>
        <w:r>
          <w:fldChar w:fldCharType="begin"/>
        </w:r>
        <w:r>
          <w:instrText xml:space="preserve">PAGE   \* MERGEFORMAT</w:instrText>
        </w:r>
        <w:r>
          <w:fldChar w:fldCharType="separate"/>
        </w:r>
        <w:r>
          <w:rPr>
            <w:lang w:val="zh-CN"/>
          </w:rPr>
          <w:t>1</w:t>
        </w:r>
        <w:r>
          <w:fldChar w:fldCharType="end"/>
        </w:r>
      </w:p>
    </w:sdtContent>
  </w:sdt>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A6457"/>
    <w:rsid w:val="00056465"/>
    <w:rsid w:val="00091D38"/>
    <w:rsid w:val="001029AF"/>
    <w:rsid w:val="00121AE4"/>
    <w:rsid w:val="00146AAD"/>
    <w:rsid w:val="001B3A40"/>
    <w:rsid w:val="0025696B"/>
    <w:rsid w:val="00321AEB"/>
    <w:rsid w:val="00332D90"/>
    <w:rsid w:val="004366A8"/>
    <w:rsid w:val="00502BA7"/>
    <w:rsid w:val="005162F1"/>
    <w:rsid w:val="00535153"/>
    <w:rsid w:val="00554F82"/>
    <w:rsid w:val="0056390D"/>
    <w:rsid w:val="005719B0"/>
    <w:rsid w:val="005B0FAD"/>
    <w:rsid w:val="005D10D6"/>
    <w:rsid w:val="00771EC9"/>
    <w:rsid w:val="00790178"/>
    <w:rsid w:val="00854B49"/>
    <w:rsid w:val="00855E3A"/>
    <w:rsid w:val="00922CB9"/>
    <w:rsid w:val="009E5CD9"/>
    <w:rsid w:val="00A13698"/>
    <w:rsid w:val="00A26421"/>
    <w:rsid w:val="00A4293B"/>
    <w:rsid w:val="00A64F7A"/>
    <w:rsid w:val="00A67D50"/>
    <w:rsid w:val="00A8691A"/>
    <w:rsid w:val="00AC1946"/>
    <w:rsid w:val="00AD2D98"/>
    <w:rsid w:val="00AE1668"/>
    <w:rsid w:val="00B40063"/>
    <w:rsid w:val="00B41F61"/>
    <w:rsid w:val="00B626BE"/>
    <w:rsid w:val="00BA46E6"/>
    <w:rsid w:val="00C25AFD"/>
    <w:rsid w:val="00C56C72"/>
    <w:rsid w:val="00C73568"/>
    <w:rsid w:val="00CA6457"/>
    <w:rsid w:val="00CC4F32"/>
    <w:rsid w:val="00D17F2E"/>
    <w:rsid w:val="00D30354"/>
    <w:rsid w:val="00DD326D"/>
    <w:rsid w:val="00DF42A0"/>
    <w:rsid w:val="00E769FE"/>
    <w:rsid w:val="00EA2CBE"/>
    <w:rsid w:val="00F32FEE"/>
    <w:rsid w:val="00F739A4"/>
    <w:rsid w:val="00F85FEC"/>
    <w:rsid w:val="00FB10BB"/>
    <w:rsid w:val="00FE353B"/>
    <w:rsid w:val="3D9A47C5"/>
    <w:rsid w:val="44192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uiPriority w:val="9"/>
    <w:rPr>
      <w:b/>
      <w:bCs/>
      <w:i/>
      <w:iCs/>
      <w:sz w:val="26"/>
      <w:szCs w:val="26"/>
    </w:rPr>
  </w:style>
  <w:style w:type="character" w:customStyle="1" w:styleId="25">
    <w:name w:val="标题 6 Char"/>
    <w:basedOn w:val="17"/>
    <w:link w:val="7"/>
    <w:semiHidden/>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uiPriority w:val="9"/>
    <w:rPr>
      <w:i/>
      <w:iCs/>
      <w:sz w:val="24"/>
      <w:szCs w:val="24"/>
    </w:rPr>
  </w:style>
  <w:style w:type="character" w:customStyle="1" w:styleId="28">
    <w:name w:val="标题 9 Char"/>
    <w:basedOn w:val="17"/>
    <w:link w:val="10"/>
    <w:semiHidden/>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85858" w:themeColor="text1" w:themeTint="A6"/>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457</Words>
  <Characters>2609</Characters>
  <Lines>21</Lines>
  <Paragraphs>6</Paragraphs>
  <TotalTime>5</TotalTime>
  <ScaleCrop>false</ScaleCrop>
  <LinksUpToDate>false</LinksUpToDate>
  <CharactersWithSpaces>3060</CharactersWithSpaces>
  <Application>WPS Office_11.1.0.8389_F1E327BC-269C-435d-A152-05C5408002CA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2019-03-16T13:17:00Z</dcterms:created>
  <dc:creator>赵 恺（预算处）</dc:creator>
  <cp:lastModifiedBy>昌吉州文化体育广播影视局办公室主任 曹璐</cp:lastModifiedBy>
  <cp:lastPrinted>2019-03-18T08:30:18Z</cp:lastPrinted>
  <dcterms:modified xsi:type="dcterms:W3CDTF">2019-03-18T08:30:23Z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2052-11.1.0.8389</vt:lpwstr>
  </property>
</Properties>
</file>