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vanish/>
          <w:sz w:val="24"/>
          <w:szCs w:val="24"/>
        </w:rPr>
      </w:pPr>
    </w:p>
    <w:p>
      <w:pPr>
        <w:rPr>
          <w:vanish/>
          <w:sz w:val="24"/>
          <w:szCs w:val="24"/>
        </w:rPr>
      </w:pPr>
    </w:p>
    <w:p>
      <w:pPr>
        <w:rPr>
          <w:vanish/>
          <w:sz w:val="24"/>
          <w:szCs w:val="24"/>
        </w:rPr>
      </w:pPr>
    </w:p>
    <w:p>
      <w:pPr>
        <w:rPr>
          <w:vanish/>
          <w:sz w:val="24"/>
          <w:szCs w:val="24"/>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0"/>
        <w:gridCol w:w="658"/>
        <w:gridCol w:w="1026"/>
        <w:gridCol w:w="1304"/>
        <w:gridCol w:w="871"/>
        <w:gridCol w:w="1004"/>
        <w:gridCol w:w="709"/>
        <w:gridCol w:w="1087"/>
        <w:gridCol w:w="12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05" w:hRule="atLeast"/>
        </w:trPr>
        <w:tc>
          <w:tcPr>
            <w:tcW w:w="5000" w:type="pct"/>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bookmarkStart w:id="0" w:name="_Toc24143"/>
            <w:bookmarkEnd w:id="0"/>
            <w:bookmarkStart w:id="1" w:name="_Toc3250"/>
            <w:r>
              <w:rPr>
                <w:rFonts w:hint="eastAsia" w:ascii="宋体" w:hAnsi="宋体" w:eastAsia="宋体" w:cs="宋体"/>
                <w:b/>
                <w:bCs/>
                <w:i w:val="0"/>
                <w:iCs w:val="0"/>
                <w:color w:val="000000"/>
                <w:kern w:val="0"/>
                <w:sz w:val="32"/>
                <w:szCs w:val="32"/>
                <w:u w:val="none"/>
                <w:lang w:val="en-US" w:eastAsia="zh-CN" w:bidi="ar"/>
              </w:rPr>
              <w:t>中共昌吉回族自治州委员会党校“图书馆装修项目”支出绩效自评表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05" w:hRule="atLeast"/>
        </w:trPr>
        <w:tc>
          <w:tcPr>
            <w:tcW w:w="5000" w:type="pct"/>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426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中共昌吉回族自治州委员会党校“图书馆装修项目”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18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实施单位</w:t>
            </w:r>
          </w:p>
        </w:tc>
        <w:tc>
          <w:tcPr>
            <w:tcW w:w="180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中共昌吉回族自治州委员会党校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08" w:hRule="atLeast"/>
        </w:trPr>
        <w:tc>
          <w:tcPr>
            <w:tcW w:w="73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项目资金       （万元）</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年初预算数</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全年执行数</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73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年度资金总额</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73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其中：当年财政拨款</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58" w:hRule="atLeast"/>
        </w:trPr>
        <w:tc>
          <w:tcPr>
            <w:tcW w:w="73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上年结转资金</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73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18" w:hRule="atLeast"/>
        </w:trPr>
        <w:tc>
          <w:tcPr>
            <w:tcW w:w="3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w:t>
            </w:r>
          </w:p>
        </w:tc>
        <w:tc>
          <w:tcPr>
            <w:tcW w:w="226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预期目标</w:t>
            </w:r>
          </w:p>
        </w:tc>
        <w:tc>
          <w:tcPr>
            <w:tcW w:w="23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75" w:hRule="atLeast"/>
        </w:trPr>
        <w:tc>
          <w:tcPr>
            <w:tcW w:w="3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26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昌吉州党校“图书馆装修项目”，2020年主要完成内容为：1）图书馆整体装修（包括图纸内装修，涵盖施工图和效果图上所有内容）。2）图书馆办公区隔断。3）供电系统改造。主要内容包括主线路、配电箱、引入至室内外机组接线端、吧台灯线路以及相应配套设施、材料等。4）效果图中的所有各种字画等装饰件。5）设计费用。该项目建成后，提升教职工备课及阅读的空间及体验感，也为学员在校期间教学活动的开展提供了更多选择。</w:t>
            </w:r>
          </w:p>
        </w:tc>
        <w:tc>
          <w:tcPr>
            <w:tcW w:w="23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完成图书馆整体装修做好了图书馆办公区隔断并且进行供电系统改造。主要内容包括主线路、配电箱、引入至室内外机组接线端、吧台灯线路以及相应配套设施、材料等。为了提升阅读环境将各种字画装饰。该项目建成后，提升教职工备课及阅读的空间及体验感，为本单位教师的教学科研水平提到了辅助作用，入馆人员的综合满意度较高，也为学员在校期间教学活动的开展提供了更多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18" w:hRule="atLeast"/>
        </w:trPr>
        <w:tc>
          <w:tcPr>
            <w:tcW w:w="34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              效    指    标</w:t>
            </w:r>
          </w:p>
        </w:tc>
        <w:tc>
          <w:tcPr>
            <w:tcW w:w="3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6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7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6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18" w:hRule="atLeast"/>
        </w:trPr>
        <w:tc>
          <w:tcPr>
            <w:tcW w:w="34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完成值</w:t>
            </w: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18" w:hRule="atLeast"/>
        </w:trPr>
        <w:tc>
          <w:tcPr>
            <w:tcW w:w="34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装修改造覆盖总面积</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r>
              <w:rPr>
                <w:rStyle w:val="6"/>
                <w:lang w:val="en-US" w:eastAsia="zh-CN" w:bidi="ar"/>
              </w:rPr>
              <w:t>30平方米</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r>
              <w:rPr>
                <w:rStyle w:val="6"/>
                <w:lang w:val="en-US" w:eastAsia="zh-CN" w:bidi="ar"/>
              </w:rPr>
              <w:t>30平方米</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18" w:hRule="atLeast"/>
        </w:trPr>
        <w:tc>
          <w:tcPr>
            <w:tcW w:w="34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验收合格率</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18" w:hRule="atLeast"/>
        </w:trPr>
        <w:tc>
          <w:tcPr>
            <w:tcW w:w="34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完工时限</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r>
              <w:rPr>
                <w:rStyle w:val="6"/>
                <w:lang w:val="en-US" w:eastAsia="zh-CN" w:bidi="ar"/>
              </w:rPr>
              <w:t>0天</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r>
              <w:rPr>
                <w:rStyle w:val="6"/>
                <w:lang w:val="en-US" w:eastAsia="zh-CN" w:bidi="ar"/>
              </w:rPr>
              <w:t>0天</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18" w:hRule="atLeast"/>
        </w:trPr>
        <w:tc>
          <w:tcPr>
            <w:tcW w:w="34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图书馆装修项目总花费</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r>
              <w:rPr>
                <w:rStyle w:val="6"/>
                <w:lang w:val="en-US" w:eastAsia="zh-CN" w:bidi="ar"/>
              </w:rPr>
              <w:t>2万元</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Style w:val="6"/>
                <w:lang w:val="en-US" w:eastAsia="zh-CN" w:bidi="ar"/>
              </w:rPr>
              <w:t>6.2万</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18" w:hRule="atLeast"/>
        </w:trPr>
        <w:tc>
          <w:tcPr>
            <w:tcW w:w="34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60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提升入馆人员阅读体验</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较高</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18" w:hRule="atLeast"/>
        </w:trPr>
        <w:tc>
          <w:tcPr>
            <w:tcW w:w="34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提供服务，提高本单位教学科研水平</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长期</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18" w:hRule="atLeast"/>
        </w:trPr>
        <w:tc>
          <w:tcPr>
            <w:tcW w:w="34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8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入馆人员满意度</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18" w:hRule="atLeast"/>
        </w:trPr>
        <w:tc>
          <w:tcPr>
            <w:tcW w:w="319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总分</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99.1</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450" w:afterAutospacing="0" w:line="450" w:lineRule="atLeast"/>
        <w:ind w:left="0" w:right="0" w:firstLine="420"/>
        <w:rPr>
          <w:rFonts w:hint="eastAsia" w:ascii="宋体" w:hAnsi="宋体" w:eastAsia="宋体" w:cs="宋体"/>
          <w:i w:val="0"/>
          <w:iCs w:val="0"/>
          <w:caps w:val="0"/>
          <w:color w:val="000000"/>
          <w:spacing w:val="0"/>
          <w:sz w:val="24"/>
          <w:szCs w:val="24"/>
          <w:u w:val="none"/>
          <w:shd w:val="clear" w:fill="FFFFFF"/>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5"/>
        <w:gridCol w:w="665"/>
        <w:gridCol w:w="1041"/>
        <w:gridCol w:w="1213"/>
        <w:gridCol w:w="987"/>
        <w:gridCol w:w="1040"/>
        <w:gridCol w:w="717"/>
        <w:gridCol w:w="889"/>
        <w:gridCol w:w="1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中共昌吉回族自治州委员会党校室外拓展设备采购项目支出绩效自评表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中共昌吉回族自治州委员会党校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实施单位</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项目资金       （万元）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其中：当年财政拨款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预期目标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昌吉州党校室外拓展设备采购项目包括：一、场地项目。包括1、毕业墙；2、信任背摔；3、齐心协力；4、乘风破浪；5、盲目障碍；6、生死电网；7、孤岛求生；8、礼让通行；9、平衡板；10、移花接木；11、有轨电车。二、综合素质拓展项目。1、重走长征路。三、综合素质拓展项目。包括1、勇往直前。四、高空组合架项目。包括：1、高空断桥；2、高空抓杠；3、天使之手；4、高空缅甸桥。五、拓展教具。包括1、能量传输；2、击鼓颠球；3、团队打拼图；4、无敌风火轮；5、手脚并用；6、背夹球；7、急速60秒；长条凳。年底前完成设备部分采购及安装。该项目建成后，大幅提高学员在校培训的积极性，增加学员培训的项目，提高学员身体素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度完成室外拓展场地改造2700平方米，采购设备25台，包括1、毕业墙；2、信任背摔；3、齐心协力；4、乘风破浪；5、盲目障碍；6、生死电网；7、孤岛求生；8、礼让通行；9、平衡板；10、移花接木；11、有轨电车。二、综合素质拓展项目。1、重走长征路。三、综合素质拓展项目。包括1、勇往直前。四、高空组合架项目。包括：1、高空断桥；2、高空抓杠；3、天使之手；4、高空缅甸桥。五、拓展教具。包括1、能量传输；2、击鼓颠球；3、团队打拼图；4、无敌风火轮；5、手脚并用；6、背夹球；7、急速60秒；长条凳。于12月完成设备采购和安装工作，设备验收合理率达到100%。由于季节影响，将于2021年投入使用，预期将会提高学员身体素质，增强团队凝聚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              效    指    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完成值</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设备施工面积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设备采数量购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学员拓展设备使用人数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12"/>
                <w:szCs w:val="12"/>
                <w:u w:val="none"/>
                <w:lang w:val="en-US" w:eastAsia="zh-CN" w:bidi="ar"/>
              </w:rPr>
              <w:t>12月项目完工，受到疫情和天气的影响尚未使用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设备验收合理率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设备维修及时率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昌吉州党校室外拓展设备采购项目总费用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提高培训学员的拓展能力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提高学员身体素质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受训人员满意度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450" w:afterAutospacing="0" w:line="450" w:lineRule="atLeast"/>
        <w:ind w:left="0" w:right="0" w:firstLine="420"/>
        <w:rPr>
          <w:rFonts w:hint="eastAsia" w:ascii="宋体" w:hAnsi="宋体" w:eastAsia="宋体" w:cs="宋体"/>
          <w:i w:val="0"/>
          <w:iCs w:val="0"/>
          <w:caps w:val="0"/>
          <w:color w:val="000000"/>
          <w:spacing w:val="0"/>
          <w:sz w:val="24"/>
          <w:szCs w:val="24"/>
          <w:u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450" w:afterAutospacing="0" w:line="450" w:lineRule="atLeast"/>
        <w:ind w:left="0" w:right="0" w:firstLine="420"/>
        <w:rPr>
          <w:rFonts w:hint="eastAsia" w:ascii="宋体" w:hAnsi="宋体" w:eastAsia="宋体" w:cs="宋体"/>
          <w:i w:val="0"/>
          <w:iCs w:val="0"/>
          <w:caps w:val="0"/>
          <w:color w:val="000000"/>
          <w:spacing w:val="0"/>
          <w:sz w:val="24"/>
          <w:szCs w:val="24"/>
          <w:u w:val="none"/>
          <w:shd w:val="clear" w:fill="FFFFFF"/>
        </w:rPr>
      </w:pPr>
    </w:p>
    <w:tbl>
      <w:tblPr>
        <w:tblStyle w:val="3"/>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4"/>
        <w:gridCol w:w="572"/>
        <w:gridCol w:w="886"/>
        <w:gridCol w:w="1482"/>
        <w:gridCol w:w="783"/>
        <w:gridCol w:w="1109"/>
        <w:gridCol w:w="740"/>
        <w:gridCol w:w="740"/>
        <w:gridCol w:w="918"/>
        <w:gridCol w:w="6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10"/>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中共昌吉回族自治州委员会党校访惠聚工作经费项目支出绩效自评表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10"/>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0" w:type="auto"/>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中共昌吉回族自治州委员会党校访惠聚工作经费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中共昌吉回族自治州委员会党校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项目资金       （万元）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年初预算数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全年执行数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其中：当年财政拨款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区州“访惠聚”办规定，组织年度实事好事不少于10件，经费25%用于访贫问苦，为群众送信息、送服务、送温暖；25%用于补充村级组织工作经费，积极组织开展各类活动；50%用于困难群众房屋修缮，村道、桥涵、引水渠维修，小磨坊、小作坊修缮，支持小型种植养殖、家庭旅游、农产品加工业发展，组织群众参观学习，开展就业创业技能培训，更新村（社区）“两委”办公设施，党内激励关怀帮扶等。</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理实事好事15件，其中：开展针对特殊群体的节庆慰问、为辖区小学生赠送书籍、为低收入家庭购置赠送鸡苗、现金资助等访贫问苦类5件；开展协调支持村两委赴奇台和吉木萨尔观摩壮大集体经济典型、维修村委会洗手间等补充村级组织工作经费类3件.开展为低收入家庭修建彩钢房、修建取暖锅炉、为辖区村民购置赠送环卫小推车等7件。全年投入经费19.665万元，含年初结余1.665万元，提升了村民群众对村两委工作认可度和满意度，充分使用财政资金，产生良好的社会效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              效    指    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完成值</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0" w:type="auto"/>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开展慰问帮扶活动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0" w:type="auto"/>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为民办实事件数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0" w:type="auto"/>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积极组织村两委干部开展各类活动</w:t>
            </w:r>
          </w:p>
        </w:tc>
        <w:tc>
          <w:tcPr>
            <w:tcW w:w="0" w:type="auto"/>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0" w:type="auto"/>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开展全覆盖走访入户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nil"/>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0" w:type="auto"/>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参与开展流动人口清查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nil"/>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0" w:type="auto"/>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针对团结关爱户走访</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nil"/>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0" w:type="auto"/>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走访入户覆盖率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0" w:type="auto"/>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各项工作完成时限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12月31日</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12月31日</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0" w:type="auto"/>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“访惠聚”工作经费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0" w:type="auto"/>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提升村民群众对村两委工作认可度和满意度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0" w:type="auto"/>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提升村两委干部队伍综合能力，提升村两委班子凝聚力、战斗力</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长期</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0" w:type="auto"/>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村两委干部、党员代表、群众代表满意度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450" w:afterAutospacing="0" w:line="450" w:lineRule="atLeast"/>
        <w:ind w:left="0" w:right="0" w:firstLine="420"/>
        <w:rPr>
          <w:rFonts w:hint="eastAsia" w:ascii="宋体" w:hAnsi="宋体" w:eastAsia="宋体" w:cs="宋体"/>
          <w:i w:val="0"/>
          <w:iCs w:val="0"/>
          <w:caps w:val="0"/>
          <w:color w:val="000000"/>
          <w:spacing w:val="0"/>
          <w:sz w:val="24"/>
          <w:szCs w:val="24"/>
          <w:u w:val="none"/>
          <w:shd w:val="clear" w:fill="FFFFFF"/>
        </w:rPr>
      </w:pPr>
    </w:p>
    <w:tbl>
      <w:tblPr>
        <w:tblStyle w:val="3"/>
        <w:tblW w:w="100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8"/>
        <w:gridCol w:w="423"/>
        <w:gridCol w:w="461"/>
        <w:gridCol w:w="397"/>
        <w:gridCol w:w="571"/>
        <w:gridCol w:w="1157"/>
        <w:gridCol w:w="1157"/>
        <w:gridCol w:w="418"/>
        <w:gridCol w:w="422"/>
        <w:gridCol w:w="294"/>
        <w:gridCol w:w="450"/>
        <w:gridCol w:w="783"/>
        <w:gridCol w:w="13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405" w:hRule="atLeast"/>
        </w:trPr>
        <w:tc>
          <w:tcPr>
            <w:tcW w:w="8515" w:type="dxa"/>
            <w:gridSpan w:val="13"/>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中共昌吉回族自治州委员会党校干部培训经费项目支出绩效自评表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405" w:hRule="atLeast"/>
        </w:trPr>
        <w:tc>
          <w:tcPr>
            <w:tcW w:w="8515" w:type="dxa"/>
            <w:gridSpan w:val="13"/>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318" w:hRule="atLeast"/>
        </w:trPr>
        <w:tc>
          <w:tcPr>
            <w:tcW w:w="105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7464"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干部培训经费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318" w:hRule="atLeast"/>
        </w:trPr>
        <w:tc>
          <w:tcPr>
            <w:tcW w:w="105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258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昌吉州党委</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实施单位</w:t>
            </w:r>
          </w:p>
        </w:tc>
        <w:tc>
          <w:tcPr>
            <w:tcW w:w="330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中共昌吉回族自治州委员会党校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318" w:hRule="atLeast"/>
        </w:trPr>
        <w:tc>
          <w:tcPr>
            <w:tcW w:w="1051"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项目资金       （万元）</w:t>
            </w:r>
          </w:p>
        </w:tc>
        <w:tc>
          <w:tcPr>
            <w:tcW w:w="8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年初预算数</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全年执行数</w:t>
            </w: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318" w:hRule="atLeast"/>
        </w:trPr>
        <w:tc>
          <w:tcPr>
            <w:tcW w:w="1051"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8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年度资金总额</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95.3</w:t>
            </w: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318" w:hRule="atLeast"/>
        </w:trPr>
        <w:tc>
          <w:tcPr>
            <w:tcW w:w="1051"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8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其中：当年财政拨款</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95.3</w:t>
            </w: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318" w:hRule="atLeast"/>
        </w:trPr>
        <w:tc>
          <w:tcPr>
            <w:tcW w:w="1051"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8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上年结转资金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318" w:hRule="atLeast"/>
        </w:trPr>
        <w:tc>
          <w:tcPr>
            <w:tcW w:w="1051"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8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318" w:hRule="atLeast"/>
        </w:trPr>
        <w:tc>
          <w:tcPr>
            <w:tcW w:w="6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w:t>
            </w:r>
          </w:p>
        </w:tc>
        <w:tc>
          <w:tcPr>
            <w:tcW w:w="300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预期目标</w:t>
            </w:r>
          </w:p>
        </w:tc>
        <w:tc>
          <w:tcPr>
            <w:tcW w:w="4878"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3480" w:hRule="atLeast"/>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300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本单位职能：提升培训学员的党性修养和政治素养，及时完成州党委轮训调训任务；提升理论水平，加强受训学员培训质量；做好干部轮训工作，完成本年度干部培训班次人次工作。</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度预期组织13个培训班次，预期培训270天，开设习近平7年知青岁月、中国共产党支部工作条例等270门课程，实现三联教学法、项目化运作、课堂+等新的教学模式创新课程，在培训过程中充分利用财政资金，提高资金的时效性，提升资金使用效率，保障完成年度培训任务。</w:t>
            </w:r>
          </w:p>
        </w:tc>
        <w:tc>
          <w:tcPr>
            <w:tcW w:w="4878"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度组织开展12个主体班培训班次，48个专题班，共计培训人次650次，培训270天，开设习近平7年知青岁月、中国共产党支部工作条例等270门课程，实现三联教学法、项目化运作、课堂+等新的教学模式创新课程，按期完成了主体班培训，培训覆盖率达到100%，提升了受训人员的理论水平，提升了管理能力，受训学员满意度达到100%，客观由于疫情的影响，基本完成本年度培训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318" w:hRule="atLeast"/>
        </w:trPr>
        <w:tc>
          <w:tcPr>
            <w:tcW w:w="628" w:type="dxa"/>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              效    指    标</w:t>
            </w:r>
          </w:p>
        </w:tc>
        <w:tc>
          <w:tcPr>
            <w:tcW w:w="4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4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96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w:t>
            </w:r>
          </w:p>
        </w:tc>
        <w:tc>
          <w:tcPr>
            <w:tcW w:w="84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744"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c>
          <w:tcPr>
            <w:tcW w:w="2137"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318"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6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完成值</w:t>
            </w:r>
          </w:p>
        </w:tc>
        <w:tc>
          <w:tcPr>
            <w:tcW w:w="84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744"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2137"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4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习近平7年知青岁月、中国共产党支部工作条例等开设课程数量（门）</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000000"/>
                <w:sz w:val="24"/>
                <w:szCs w:val="24"/>
                <w:u w:val="none"/>
              </w:rPr>
            </w:pPr>
            <w:r>
              <w:rPr>
                <w:rStyle w:val="7"/>
                <w:rFonts w:eastAsia="宋体"/>
                <w:lang w:val="en-US" w:eastAsia="zh-CN" w:bidi="ar"/>
              </w:rPr>
              <w:t>270</w:t>
            </w:r>
            <w:r>
              <w:rPr>
                <w:rStyle w:val="8"/>
                <w:lang w:val="en-US" w:eastAsia="zh-CN" w:bidi="ar"/>
              </w:rPr>
              <w:t>门</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4"/>
                <w:szCs w:val="24"/>
                <w:u w:val="none"/>
              </w:rPr>
            </w:pPr>
            <w:r>
              <w:rPr>
                <w:rStyle w:val="7"/>
                <w:rFonts w:eastAsia="宋体"/>
                <w:lang w:val="en-US" w:eastAsia="zh-CN" w:bidi="ar"/>
              </w:rPr>
              <w:t>270</w:t>
            </w:r>
            <w:r>
              <w:rPr>
                <w:rStyle w:val="8"/>
                <w:lang w:val="en-US" w:eastAsia="zh-CN" w:bidi="ar"/>
              </w:rPr>
              <w:t>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组织培训班次（次）主体班次：县级班、政法班、党务班、中青班等</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4"/>
                <w:szCs w:val="24"/>
                <w:u w:val="none"/>
              </w:rPr>
            </w:pPr>
            <w:r>
              <w:rPr>
                <w:rStyle w:val="7"/>
                <w:rFonts w:eastAsia="宋体"/>
                <w:lang w:val="en-US" w:eastAsia="zh-CN" w:bidi="ar"/>
              </w:rPr>
              <w:t>13</w:t>
            </w:r>
            <w:r>
              <w:rPr>
                <w:rStyle w:val="8"/>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12个</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三联教学法、项目化运作、课堂施教学模式创新数量（门）</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4"/>
                <w:szCs w:val="24"/>
                <w:u w:val="none"/>
              </w:rPr>
            </w:pPr>
            <w:r>
              <w:rPr>
                <w:rStyle w:val="7"/>
                <w:rFonts w:eastAsia="宋体"/>
                <w:lang w:val="en-US" w:eastAsia="zh-CN" w:bidi="ar"/>
              </w:rPr>
              <w:t>56</w:t>
            </w:r>
            <w:r>
              <w:rPr>
                <w:rStyle w:val="8"/>
                <w:lang w:val="en-US" w:eastAsia="zh-CN" w:bidi="ar"/>
              </w:rPr>
              <w:t>门</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4"/>
                <w:szCs w:val="24"/>
                <w:u w:val="none"/>
              </w:rPr>
            </w:pPr>
            <w:r>
              <w:rPr>
                <w:rStyle w:val="7"/>
                <w:rFonts w:eastAsia="宋体"/>
                <w:lang w:val="en-US" w:eastAsia="zh-CN" w:bidi="ar"/>
              </w:rPr>
              <w:t>56</w:t>
            </w:r>
            <w:r>
              <w:rPr>
                <w:rStyle w:val="8"/>
                <w:lang w:val="en-US" w:eastAsia="zh-CN" w:bidi="ar"/>
              </w:rPr>
              <w:t>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培训天数</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4"/>
                <w:szCs w:val="24"/>
                <w:u w:val="none"/>
              </w:rPr>
            </w:pPr>
            <w:r>
              <w:rPr>
                <w:rStyle w:val="7"/>
                <w:rFonts w:eastAsia="宋体"/>
                <w:lang w:val="en-US" w:eastAsia="zh-CN" w:bidi="ar"/>
              </w:rPr>
              <w:t>270</w:t>
            </w:r>
            <w:r>
              <w:rPr>
                <w:rStyle w:val="8"/>
                <w:lang w:val="en-US" w:eastAsia="zh-CN" w:bidi="ar"/>
              </w:rPr>
              <w:t>天</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4"/>
                <w:szCs w:val="24"/>
                <w:u w:val="none"/>
              </w:rPr>
            </w:pPr>
            <w:r>
              <w:rPr>
                <w:rStyle w:val="7"/>
                <w:rFonts w:eastAsia="宋体"/>
                <w:lang w:val="en-US" w:eastAsia="zh-CN" w:bidi="ar"/>
              </w:rPr>
              <w:t>270</w:t>
            </w:r>
            <w:r>
              <w:rPr>
                <w:rStyle w:val="8"/>
                <w:lang w:val="en-US" w:eastAsia="zh-CN" w:bidi="ar"/>
              </w:rPr>
              <w:t>天</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培训参加人次</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4"/>
                <w:szCs w:val="24"/>
                <w:u w:val="none"/>
              </w:rPr>
            </w:pPr>
            <w:r>
              <w:rPr>
                <w:rStyle w:val="7"/>
                <w:rFonts w:eastAsia="宋体"/>
                <w:lang w:val="en-US" w:eastAsia="zh-CN" w:bidi="ar"/>
              </w:rPr>
              <w:t>650</w:t>
            </w:r>
            <w:r>
              <w:rPr>
                <w:rStyle w:val="8"/>
                <w:lang w:val="en-US" w:eastAsia="zh-CN" w:bidi="ar"/>
              </w:rPr>
              <w:t>人次</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4"/>
                <w:szCs w:val="24"/>
                <w:u w:val="none"/>
              </w:rPr>
            </w:pPr>
            <w:r>
              <w:rPr>
                <w:rStyle w:val="7"/>
                <w:rFonts w:eastAsia="宋体"/>
                <w:lang w:val="en-US" w:eastAsia="zh-CN" w:bidi="ar"/>
              </w:rPr>
              <w:t>650</w:t>
            </w:r>
            <w:r>
              <w:rPr>
                <w:rStyle w:val="8"/>
                <w:lang w:val="en-US" w:eastAsia="zh-CN" w:bidi="ar"/>
              </w:rPr>
              <w:t>人次</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对全体一线教师进行至少一轮师资业务培训</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4"/>
                <w:szCs w:val="24"/>
                <w:u w:val="none"/>
              </w:rPr>
            </w:pPr>
            <w:r>
              <w:rPr>
                <w:rStyle w:val="7"/>
                <w:rFonts w:eastAsia="宋体"/>
                <w:lang w:val="en-US" w:eastAsia="zh-CN" w:bidi="ar"/>
              </w:rPr>
              <w:t>24</w:t>
            </w:r>
            <w:r>
              <w:rPr>
                <w:rStyle w:val="8"/>
                <w:lang w:val="en-US" w:eastAsia="zh-CN" w:bidi="ar"/>
              </w:rPr>
              <w:t>人次</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4"/>
                <w:szCs w:val="24"/>
                <w:u w:val="none"/>
              </w:rPr>
            </w:pPr>
            <w:r>
              <w:rPr>
                <w:rStyle w:val="7"/>
                <w:rFonts w:eastAsia="宋体"/>
                <w:lang w:val="en-US" w:eastAsia="zh-CN" w:bidi="ar"/>
              </w:rPr>
              <w:t>12</w:t>
            </w:r>
            <w:r>
              <w:rPr>
                <w:rStyle w:val="8"/>
                <w:lang w:val="en-US" w:eastAsia="zh-CN" w:bidi="ar"/>
              </w:rPr>
              <w:t>人次</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完成科研课题研究</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4"/>
                <w:szCs w:val="24"/>
                <w:u w:val="none"/>
              </w:rPr>
            </w:pPr>
            <w:r>
              <w:rPr>
                <w:rStyle w:val="7"/>
                <w:rFonts w:eastAsia="宋体"/>
                <w:lang w:val="en-US" w:eastAsia="zh-CN" w:bidi="ar"/>
              </w:rPr>
              <w:t>15</w:t>
            </w:r>
            <w:r>
              <w:rPr>
                <w:rStyle w:val="8"/>
                <w:lang w:val="en-US" w:eastAsia="zh-CN" w:bidi="ar"/>
              </w:rPr>
              <w:t>个</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26个</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培训覆盖率（%）</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培训出勤率</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培训计划按期完成率（%）</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培训合格率（%）</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按期组织开展轮训班春秋主体班2次</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2季</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2季</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主体班培训费（万元）</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220万元</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95.3万元</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461"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提升受训学员的理论水平，提升管理能力</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较高</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受训学员在工作中将理论运用于实践水平</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长期</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628"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423"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4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受训学员满意度（%）</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1518" w:type="dxa"/>
          <w:trHeight w:val="900" w:hRule="atLeast"/>
        </w:trPr>
        <w:tc>
          <w:tcPr>
            <w:tcW w:w="4794"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总分</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100.00 </w:t>
            </w:r>
          </w:p>
        </w:tc>
        <w:tc>
          <w:tcPr>
            <w:tcW w:w="7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87.20 </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bookmarkEnd w:id="1"/>
    </w:tbl>
    <w:tbl>
      <w:tblPr>
        <w:tblW w:w="1003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580"/>
        <w:gridCol w:w="660"/>
        <w:gridCol w:w="720"/>
        <w:gridCol w:w="1840"/>
        <w:gridCol w:w="760"/>
        <w:gridCol w:w="500"/>
        <w:gridCol w:w="780"/>
        <w:gridCol w:w="840"/>
        <w:gridCol w:w="460"/>
        <w:gridCol w:w="360"/>
        <w:gridCol w:w="360"/>
        <w:gridCol w:w="340"/>
        <w:gridCol w:w="400"/>
        <w:gridCol w:w="700"/>
        <w:gridCol w:w="6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405" w:hRule="atLeast"/>
        </w:trPr>
        <w:tc>
          <w:tcPr>
            <w:tcW w:w="9300" w:type="dxa"/>
            <w:gridSpan w:val="14"/>
            <w:tcBorders>
              <w:top w:val="nil"/>
              <w:left w:val="nil"/>
              <w:bottom w:val="nil"/>
              <w:right w:val="nil"/>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　</w:t>
            </w:r>
          </w:p>
        </w:tc>
        <w:tc>
          <w:tcPr>
            <w:tcW w:w="640"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405" w:hRule="atLeast"/>
        </w:trPr>
        <w:tc>
          <w:tcPr>
            <w:tcW w:w="9940" w:type="dxa"/>
            <w:gridSpan w:val="15"/>
            <w:tcBorders>
              <w:top w:val="nil"/>
              <w:left w:val="nil"/>
              <w:bottom w:val="nil"/>
              <w:right w:val="nil"/>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中共昌吉回族自治州委员会党校水电暖物业费及托管费用项目支出绩效自评表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270" w:hRule="atLeast"/>
        </w:trPr>
        <w:tc>
          <w:tcPr>
            <w:tcW w:w="9300" w:type="dxa"/>
            <w:gridSpan w:val="14"/>
            <w:tcBorders>
              <w:top w:val="nil"/>
              <w:left w:val="nil"/>
              <w:bottom w:val="nil"/>
              <w:right w:val="nil"/>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（2020年度）</w:t>
            </w:r>
          </w:p>
        </w:tc>
        <w:tc>
          <w:tcPr>
            <w:tcW w:w="640"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270" w:hRule="atLeast"/>
        </w:trPr>
        <w:tc>
          <w:tcPr>
            <w:tcW w:w="124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项目名称</w:t>
            </w:r>
          </w:p>
        </w:tc>
        <w:tc>
          <w:tcPr>
            <w:tcW w:w="8060" w:type="dxa"/>
            <w:gridSpan w:val="1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干部培训经费</w:t>
            </w:r>
          </w:p>
        </w:tc>
        <w:tc>
          <w:tcPr>
            <w:tcW w:w="640" w:type="dxa"/>
            <w:tcBorders>
              <w:top w:val="single" w:color="auto" w:sz="4" w:space="0"/>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270" w:hRule="atLeast"/>
        </w:trPr>
        <w:tc>
          <w:tcPr>
            <w:tcW w:w="124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主管部门</w:t>
            </w:r>
          </w:p>
        </w:tc>
        <w:tc>
          <w:tcPr>
            <w:tcW w:w="4600" w:type="dxa"/>
            <w:gridSpan w:val="5"/>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昌吉州党委</w:t>
            </w:r>
          </w:p>
        </w:tc>
        <w:tc>
          <w:tcPr>
            <w:tcW w:w="13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实施单位</w:t>
            </w:r>
          </w:p>
        </w:tc>
        <w:tc>
          <w:tcPr>
            <w:tcW w:w="2160" w:type="dxa"/>
            <w:gridSpan w:val="5"/>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中共昌吉回族自治州委员会党校</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540" w:hRule="atLeast"/>
        </w:trPr>
        <w:tc>
          <w:tcPr>
            <w:tcW w:w="124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项目资金       （万元）</w:t>
            </w:r>
          </w:p>
        </w:tc>
        <w:tc>
          <w:tcPr>
            <w:tcW w:w="256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c>
          <w:tcPr>
            <w:tcW w:w="76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年初预算数</w:t>
            </w:r>
          </w:p>
        </w:tc>
        <w:tc>
          <w:tcPr>
            <w:tcW w:w="128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全年预算数</w:t>
            </w:r>
          </w:p>
        </w:tc>
        <w:tc>
          <w:tcPr>
            <w:tcW w:w="13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全年执行数</w:t>
            </w:r>
          </w:p>
        </w:tc>
        <w:tc>
          <w:tcPr>
            <w:tcW w:w="7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分值</w:t>
            </w:r>
          </w:p>
        </w:tc>
        <w:tc>
          <w:tcPr>
            <w:tcW w:w="144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执行率</w:t>
            </w:r>
          </w:p>
        </w:tc>
        <w:tc>
          <w:tcPr>
            <w:tcW w:w="6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270" w:hRule="atLeast"/>
        </w:trPr>
        <w:tc>
          <w:tcPr>
            <w:tcW w:w="1240" w:type="dxa"/>
            <w:gridSpan w:val="2"/>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256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年度资金总额</w:t>
            </w:r>
          </w:p>
        </w:tc>
        <w:tc>
          <w:tcPr>
            <w:tcW w:w="76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380</w:t>
            </w:r>
          </w:p>
        </w:tc>
        <w:tc>
          <w:tcPr>
            <w:tcW w:w="128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380</w:t>
            </w:r>
          </w:p>
        </w:tc>
        <w:tc>
          <w:tcPr>
            <w:tcW w:w="13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320</w:t>
            </w:r>
          </w:p>
        </w:tc>
        <w:tc>
          <w:tcPr>
            <w:tcW w:w="7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144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6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270" w:hRule="atLeast"/>
        </w:trPr>
        <w:tc>
          <w:tcPr>
            <w:tcW w:w="1240" w:type="dxa"/>
            <w:gridSpan w:val="2"/>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256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其中：当年财政拨款</w:t>
            </w:r>
          </w:p>
        </w:tc>
        <w:tc>
          <w:tcPr>
            <w:tcW w:w="76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380</w:t>
            </w:r>
          </w:p>
        </w:tc>
        <w:tc>
          <w:tcPr>
            <w:tcW w:w="128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380</w:t>
            </w:r>
          </w:p>
        </w:tc>
        <w:tc>
          <w:tcPr>
            <w:tcW w:w="13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320</w:t>
            </w:r>
          </w:p>
        </w:tc>
        <w:tc>
          <w:tcPr>
            <w:tcW w:w="7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144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c>
          <w:tcPr>
            <w:tcW w:w="6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270" w:hRule="atLeast"/>
        </w:trPr>
        <w:tc>
          <w:tcPr>
            <w:tcW w:w="1240" w:type="dxa"/>
            <w:gridSpan w:val="2"/>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256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上年结转资金</w:t>
            </w:r>
          </w:p>
        </w:tc>
        <w:tc>
          <w:tcPr>
            <w:tcW w:w="76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c>
          <w:tcPr>
            <w:tcW w:w="128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c>
          <w:tcPr>
            <w:tcW w:w="13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c>
          <w:tcPr>
            <w:tcW w:w="7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144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6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270" w:hRule="atLeast"/>
        </w:trPr>
        <w:tc>
          <w:tcPr>
            <w:tcW w:w="1240" w:type="dxa"/>
            <w:gridSpan w:val="2"/>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256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其他资金</w:t>
            </w:r>
          </w:p>
        </w:tc>
        <w:tc>
          <w:tcPr>
            <w:tcW w:w="76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c>
          <w:tcPr>
            <w:tcW w:w="128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c>
          <w:tcPr>
            <w:tcW w:w="13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c>
          <w:tcPr>
            <w:tcW w:w="7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74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270" w:hRule="atLeast"/>
        </w:trPr>
        <w:tc>
          <w:tcPr>
            <w:tcW w:w="580"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年度总体目标</w:t>
            </w:r>
          </w:p>
        </w:tc>
        <w:tc>
          <w:tcPr>
            <w:tcW w:w="5260" w:type="dxa"/>
            <w:gridSpan w:val="6"/>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预期目标</w:t>
            </w:r>
          </w:p>
        </w:tc>
        <w:tc>
          <w:tcPr>
            <w:tcW w:w="3460" w:type="dxa"/>
            <w:gridSpan w:val="7"/>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实际完成情况</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1950" w:hRule="atLeast"/>
        </w:trPr>
        <w:tc>
          <w:tcPr>
            <w:tcW w:w="58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5260" w:type="dxa"/>
            <w:gridSpan w:val="6"/>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单位职能：提升培训学员的党性修养和政治素养，及时完成州党委轮训调训任务；提升理论水平，加强受训学员培训质量；做好干部轮训工作，完成本年度干部培训班次人次工作。为保证完成州党委调训任务，改善培训环境和条件，在物业方面提供安保、园林绿化、消防维保、培训及会务保障、设施设备日常维修保养，学员宿舍楼方面园林托管。</w:t>
            </w:r>
          </w:p>
        </w:tc>
        <w:tc>
          <w:tcPr>
            <w:tcW w:w="3460" w:type="dxa"/>
            <w:gridSpan w:val="7"/>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年度圆满完成州党委调训任务，改善了培训环境和条件，在物业方面提供安保、园林绿化、消防维保、培训及会务保障、设施设备日常维修保养，学员宿舍楼方面园林托管。本年度完成校园绿化面积43671万平方米，完成绿化覆盖率35%，在向教职工及受训学员提供服务期间保证卫生质量，在社会效益方面，吸纳社会有劳动力的有职业需求人员，在一定程度上缓解就业压力。充分利用财政资金，提高资金的时效性，提升资金使用效率。</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1260" w:hRule="atLeast"/>
        </w:trPr>
        <w:tc>
          <w:tcPr>
            <w:tcW w:w="58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5260" w:type="dxa"/>
            <w:gridSpan w:val="6"/>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年度预期完成校园绿化面积43671万平方米，完成绿化覆盖率35%，在向教职工及受训学员提供服务期间保证卫生质量，在社会效益方面，吸纳社会有劳动力的有职业需求人员，在一定程度上缓解就业压力。本年度充分利用财政资金，提高资金的时效性，提升资金使用效率。</w:t>
            </w:r>
          </w:p>
        </w:tc>
        <w:tc>
          <w:tcPr>
            <w:tcW w:w="3460" w:type="dxa"/>
            <w:gridSpan w:val="7"/>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hint="eastAsia" w:ascii="宋体" w:hAnsi="宋体" w:eastAsia="宋体" w:cs="宋体"/>
                <w:i w:val="0"/>
                <w:iCs w:val="0"/>
                <w:color w:val="000000"/>
                <w:sz w:val="18"/>
                <w:szCs w:val="18"/>
                <w:u w:val="none"/>
              </w:rPr>
            </w:pP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270" w:hRule="atLeast"/>
        </w:trPr>
        <w:tc>
          <w:tcPr>
            <w:tcW w:w="580"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绩              效    指    标</w:t>
            </w:r>
          </w:p>
        </w:tc>
        <w:tc>
          <w:tcPr>
            <w:tcW w:w="660"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一级指标</w:t>
            </w:r>
          </w:p>
        </w:tc>
        <w:tc>
          <w:tcPr>
            <w:tcW w:w="720"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二级指标</w:t>
            </w:r>
          </w:p>
        </w:tc>
        <w:tc>
          <w:tcPr>
            <w:tcW w:w="310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三级指标</w:t>
            </w:r>
          </w:p>
        </w:tc>
        <w:tc>
          <w:tcPr>
            <w:tcW w:w="78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年度</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实际</w:t>
            </w:r>
          </w:p>
        </w:tc>
        <w:tc>
          <w:tcPr>
            <w:tcW w:w="82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分值</w:t>
            </w:r>
          </w:p>
        </w:tc>
        <w:tc>
          <w:tcPr>
            <w:tcW w:w="70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得分</w:t>
            </w:r>
          </w:p>
        </w:tc>
        <w:tc>
          <w:tcPr>
            <w:tcW w:w="110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偏差原因分析及改进措施</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270" w:hRule="atLeast"/>
        </w:trPr>
        <w:tc>
          <w:tcPr>
            <w:tcW w:w="58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66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72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3100" w:type="dxa"/>
            <w:gridSpan w:val="3"/>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78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指标值</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完成值</w:t>
            </w:r>
          </w:p>
        </w:tc>
        <w:tc>
          <w:tcPr>
            <w:tcW w:w="820" w:type="dxa"/>
            <w:gridSpan w:val="2"/>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700" w:type="dxa"/>
            <w:gridSpan w:val="2"/>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1100" w:type="dxa"/>
            <w:gridSpan w:val="2"/>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810" w:hRule="atLeast"/>
        </w:trPr>
        <w:tc>
          <w:tcPr>
            <w:tcW w:w="58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660"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产出指标</w:t>
            </w:r>
          </w:p>
        </w:tc>
        <w:tc>
          <w:tcPr>
            <w:tcW w:w="720"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数量指标</w:t>
            </w:r>
          </w:p>
        </w:tc>
        <w:tc>
          <w:tcPr>
            <w:tcW w:w="310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组织培训班次（次）主体班：县级班、中青班、党务班、宣传班、妇干班（个）</w:t>
            </w:r>
          </w:p>
        </w:tc>
        <w:tc>
          <w:tcPr>
            <w:tcW w:w="78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13个</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12个</w:t>
            </w:r>
          </w:p>
        </w:tc>
        <w:tc>
          <w:tcPr>
            <w:tcW w:w="8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7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c>
          <w:tcPr>
            <w:tcW w:w="11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540" w:hRule="atLeast"/>
        </w:trPr>
        <w:tc>
          <w:tcPr>
            <w:tcW w:w="58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66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72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310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校园绿化面积</w:t>
            </w:r>
          </w:p>
        </w:tc>
        <w:tc>
          <w:tcPr>
            <w:tcW w:w="78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23300平方米</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23300平方米</w:t>
            </w:r>
          </w:p>
        </w:tc>
        <w:tc>
          <w:tcPr>
            <w:tcW w:w="8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7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1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540" w:hRule="atLeast"/>
        </w:trPr>
        <w:tc>
          <w:tcPr>
            <w:tcW w:w="58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66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72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310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校园建筑面积</w:t>
            </w:r>
          </w:p>
        </w:tc>
        <w:tc>
          <w:tcPr>
            <w:tcW w:w="78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43671平方米</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43671平方米</w:t>
            </w:r>
          </w:p>
        </w:tc>
        <w:tc>
          <w:tcPr>
            <w:tcW w:w="8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7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1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270" w:hRule="atLeast"/>
        </w:trPr>
        <w:tc>
          <w:tcPr>
            <w:tcW w:w="58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66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720"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质量指标</w:t>
            </w:r>
          </w:p>
        </w:tc>
        <w:tc>
          <w:tcPr>
            <w:tcW w:w="310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绿化覆盖率（%）</w:t>
            </w:r>
          </w:p>
        </w:tc>
        <w:tc>
          <w:tcPr>
            <w:tcW w:w="78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7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1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270" w:hRule="atLeast"/>
        </w:trPr>
        <w:tc>
          <w:tcPr>
            <w:tcW w:w="58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66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72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310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卫生合格率（%）</w:t>
            </w:r>
          </w:p>
        </w:tc>
        <w:tc>
          <w:tcPr>
            <w:tcW w:w="78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7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1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1020" w:hRule="atLeast"/>
        </w:trPr>
        <w:tc>
          <w:tcPr>
            <w:tcW w:w="58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66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72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310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托管指标（学员餐厅和宿舍托管，保障培训正常进行）（%）</w:t>
            </w:r>
          </w:p>
        </w:tc>
        <w:tc>
          <w:tcPr>
            <w:tcW w:w="78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7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1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960" w:hRule="atLeast"/>
        </w:trPr>
        <w:tc>
          <w:tcPr>
            <w:tcW w:w="58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66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时效指标</w:t>
            </w:r>
          </w:p>
        </w:tc>
        <w:tc>
          <w:tcPr>
            <w:tcW w:w="310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本年度按时按期完成项目，保障校园正常运转（%）</w:t>
            </w:r>
          </w:p>
        </w:tc>
        <w:tc>
          <w:tcPr>
            <w:tcW w:w="78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7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1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1080" w:hRule="atLeast"/>
        </w:trPr>
        <w:tc>
          <w:tcPr>
            <w:tcW w:w="58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66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成本指标</w:t>
            </w:r>
          </w:p>
        </w:tc>
        <w:tc>
          <w:tcPr>
            <w:tcW w:w="310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核定托管费及物业费，包括物业人员工资及相关开支</w:t>
            </w:r>
          </w:p>
        </w:tc>
        <w:tc>
          <w:tcPr>
            <w:tcW w:w="78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380万</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320万</w:t>
            </w:r>
          </w:p>
        </w:tc>
        <w:tc>
          <w:tcPr>
            <w:tcW w:w="8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7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1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1080" w:hRule="atLeast"/>
        </w:trPr>
        <w:tc>
          <w:tcPr>
            <w:tcW w:w="58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660"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效益指标</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社会效益指标</w:t>
            </w:r>
          </w:p>
        </w:tc>
        <w:tc>
          <w:tcPr>
            <w:tcW w:w="310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党校餐厅宾馆托管模式、物业公司等一定程度上缓解社会就业压力</w:t>
            </w:r>
          </w:p>
        </w:tc>
        <w:tc>
          <w:tcPr>
            <w:tcW w:w="78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缓解</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95%</w:t>
            </w:r>
          </w:p>
        </w:tc>
        <w:tc>
          <w:tcPr>
            <w:tcW w:w="8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7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11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1140" w:hRule="atLeast"/>
        </w:trPr>
        <w:tc>
          <w:tcPr>
            <w:tcW w:w="58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66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可持续影响指标</w:t>
            </w:r>
          </w:p>
        </w:tc>
        <w:tc>
          <w:tcPr>
            <w:tcW w:w="310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维持校园绿化，改善校园环境物业等</w:t>
            </w:r>
          </w:p>
        </w:tc>
        <w:tc>
          <w:tcPr>
            <w:tcW w:w="78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改善</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95%</w:t>
            </w:r>
          </w:p>
        </w:tc>
        <w:tc>
          <w:tcPr>
            <w:tcW w:w="8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7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11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810" w:hRule="atLeast"/>
        </w:trPr>
        <w:tc>
          <w:tcPr>
            <w:tcW w:w="580" w:type="dxa"/>
            <w:vMerge w:val="continue"/>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i w:val="0"/>
                <w:iCs w:val="0"/>
                <w:color w:val="000000"/>
                <w:sz w:val="22"/>
                <w:szCs w:val="22"/>
                <w:u w:val="none"/>
              </w:rPr>
            </w:pPr>
          </w:p>
        </w:tc>
        <w:tc>
          <w:tcPr>
            <w:tcW w:w="66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满意度指标</w:t>
            </w:r>
          </w:p>
        </w:tc>
        <w:tc>
          <w:tcPr>
            <w:tcW w:w="72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服务对象满意度指标</w:t>
            </w:r>
          </w:p>
        </w:tc>
        <w:tc>
          <w:tcPr>
            <w:tcW w:w="3100" w:type="dxa"/>
            <w:gridSpan w:val="3"/>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受训学员及教职工满意度（%）</w:t>
            </w:r>
          </w:p>
        </w:tc>
        <w:tc>
          <w:tcPr>
            <w:tcW w:w="78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7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11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93" w:type="dxa"/>
          <w:trHeight w:val="270" w:hRule="atLeast"/>
        </w:trPr>
        <w:tc>
          <w:tcPr>
            <w:tcW w:w="6680"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总分</w:t>
            </w:r>
          </w:p>
        </w:tc>
        <w:tc>
          <w:tcPr>
            <w:tcW w:w="82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7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96.9</w:t>
            </w:r>
          </w:p>
        </w:tc>
        <w:tc>
          <w:tcPr>
            <w:tcW w:w="1100"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640" w:type="dxa"/>
            <w:tcBorders>
              <w:top w:val="nil"/>
              <w:left w:val="nil"/>
              <w:bottom w:val="single" w:color="auto" w:sz="4" w:space="0"/>
              <w:right w:val="single" w:color="auto"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w:t>
            </w:r>
          </w:p>
        </w:tc>
      </w:tr>
    </w:tbl>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A86320"/>
    <w:rsid w:val="121B1A13"/>
    <w:rsid w:val="28907AF6"/>
    <w:rsid w:val="32DE7854"/>
    <w:rsid w:val="399A59A4"/>
    <w:rsid w:val="48205C0E"/>
    <w:rsid w:val="58D1360A"/>
    <w:rsid w:val="5D825417"/>
    <w:rsid w:val="7855070D"/>
    <w:rsid w:val="79C45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 w:type="character" w:customStyle="1" w:styleId="6">
    <w:name w:val="font01"/>
    <w:basedOn w:val="4"/>
    <w:qFormat/>
    <w:uiPriority w:val="0"/>
    <w:rPr>
      <w:rFonts w:hint="eastAsia" w:ascii="宋体" w:hAnsi="宋体" w:eastAsia="宋体" w:cs="宋体"/>
      <w:color w:val="000000"/>
      <w:sz w:val="22"/>
      <w:szCs w:val="22"/>
      <w:u w:val="none"/>
    </w:rPr>
  </w:style>
  <w:style w:type="character" w:customStyle="1" w:styleId="7">
    <w:name w:val="font31"/>
    <w:basedOn w:val="4"/>
    <w:uiPriority w:val="0"/>
    <w:rPr>
      <w:rFonts w:hint="default" w:ascii="Arial" w:hAnsi="Arial" w:cs="Arial"/>
      <w:color w:val="000000"/>
      <w:sz w:val="24"/>
      <w:szCs w:val="24"/>
      <w:u w:val="none"/>
    </w:rPr>
  </w:style>
  <w:style w:type="character" w:customStyle="1" w:styleId="8">
    <w:name w:val="font41"/>
    <w:basedOn w:val="4"/>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45</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2021-10-20T02:03:00Z</dcterms:created>
  <dc:creator>Administrator</dc:creator>
  <cp:lastModifiedBy>Administrator</cp:lastModifiedBy>
  <dcterms:modified xsi:type="dcterms:W3CDTF">2021-12-06T03:37:55Z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8F11008116124945A7F46C74E3216ECD</vt:lpwstr>
  </property>
</Properties>
</file>