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widowControl/>
        <w:spacing w:before="100" w:beforeAutospacing="1" w:after="100" w:afterAutospacing="1"/>
        <w:ind w:firstLine="442" w:firstLineChars="100"/>
        <w:outlineLvl w:val="1"/>
        <w:rPr>
          <w:rFonts w:ascii="宋体" w:hAnsi="宋体" w:cs="宋体"/>
          <w:b/>
          <w:bCs/>
          <w:kern w:val="0"/>
          <w:sz w:val="44"/>
          <w:szCs w:val="44"/>
        </w:rPr>
      </w:pPr>
    </w:p>
    <w:p>
      <w:pPr>
        <w:widowControl/>
        <w:spacing w:before="100" w:beforeAutospacing="1" w:after="100" w:afterAutospacing="1"/>
        <w:ind w:firstLine="360" w:firstLineChars="100"/>
        <w:jc w:val="center"/>
        <w:outlineLvl w:val="1"/>
        <w:rPr>
          <w:rFonts w:ascii="方正小标宋_GBK" w:hAnsi="宋体" w:eastAsia="方正小标宋_GBK"/>
          <w:kern w:val="0"/>
          <w:sz w:val="36"/>
          <w:szCs w:val="36"/>
        </w:rPr>
      </w:pPr>
      <w:r>
        <w:rPr>
          <w:rFonts w:hint="eastAsia" w:ascii="方正小标宋_GBK" w:hAnsi="宋体" w:eastAsia="方正小标宋_GBK"/>
          <w:kern w:val="0"/>
          <w:sz w:val="36"/>
          <w:szCs w:val="36"/>
        </w:rPr>
        <w:t>新疆昌吉职业技术学院2021年</w:t>
      </w:r>
      <w:r>
        <w:rPr>
          <w:rFonts w:hint="eastAsia" w:ascii="方正小标宋_GBK" w:hAnsi="宋体" w:eastAsia="方正小标宋_GBK"/>
          <w:kern w:val="0"/>
          <w:sz w:val="36"/>
          <w:szCs w:val="36"/>
          <w:lang w:eastAsia="zh-CN"/>
        </w:rPr>
        <w:t>单位</w:t>
      </w:r>
      <w:r>
        <w:rPr>
          <w:rFonts w:hint="eastAsia" w:ascii="方正小标宋_GBK" w:hAnsi="宋体" w:eastAsia="方正小标宋_GBK"/>
          <w:kern w:val="0"/>
          <w:sz w:val="36"/>
          <w:szCs w:val="36"/>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 w:hAnsi="仿宋" w:eastAsia="仿宋" w:cs="仿宋"/>
          <w:b/>
          <w:kern w:val="0"/>
          <w:sz w:val="32"/>
          <w:szCs w:val="32"/>
        </w:rPr>
      </w:pPr>
      <w:r>
        <w:rPr>
          <w:rFonts w:hint="eastAsia" w:ascii="仿宋" w:hAnsi="仿宋" w:eastAsia="仿宋" w:cs="仿宋"/>
          <w:b/>
          <w:kern w:val="0"/>
          <w:sz w:val="32"/>
          <w:szCs w:val="32"/>
        </w:rPr>
        <w:t>第一部分  新疆昌吉职业技术学院</w:t>
      </w:r>
      <w:r>
        <w:rPr>
          <w:rFonts w:hint="eastAsia" w:ascii="仿宋" w:hAnsi="仿宋" w:eastAsia="仿宋" w:cs="仿宋"/>
          <w:b/>
          <w:kern w:val="0"/>
          <w:sz w:val="32"/>
          <w:szCs w:val="32"/>
          <w:lang w:eastAsia="zh-CN"/>
        </w:rPr>
        <w:t>单位</w:t>
      </w:r>
      <w:r>
        <w:rPr>
          <w:rFonts w:hint="eastAsia" w:ascii="仿宋" w:hAnsi="仿宋" w:eastAsia="仿宋" w:cs="仿宋"/>
          <w:b/>
          <w:kern w:val="0"/>
          <w:sz w:val="32"/>
          <w:szCs w:val="32"/>
        </w:rPr>
        <w:t>概况</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一、主要职能</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二、机构设置及人员情况</w:t>
      </w:r>
    </w:p>
    <w:p>
      <w:pPr>
        <w:widowControl/>
        <w:spacing w:line="480" w:lineRule="exact"/>
        <w:ind w:firstLine="643" w:firstLineChars="200"/>
        <w:outlineLvl w:val="1"/>
        <w:rPr>
          <w:rFonts w:ascii="仿宋" w:hAnsi="仿宋" w:eastAsia="仿宋" w:cs="仿宋"/>
          <w:b/>
          <w:kern w:val="0"/>
          <w:sz w:val="32"/>
          <w:szCs w:val="32"/>
        </w:rPr>
      </w:pPr>
      <w:r>
        <w:rPr>
          <w:rFonts w:hint="eastAsia" w:ascii="仿宋" w:hAnsi="仿宋" w:eastAsia="仿宋" w:cs="仿宋"/>
          <w:b/>
          <w:kern w:val="0"/>
          <w:sz w:val="32"/>
          <w:szCs w:val="32"/>
        </w:rPr>
        <w:t>第二部分  2021年单位预算公开表</w:t>
      </w:r>
    </w:p>
    <w:p>
      <w:pPr>
        <w:widowControl/>
        <w:spacing w:line="480" w:lineRule="exact"/>
        <w:ind w:firstLine="640" w:firstLineChars="200"/>
        <w:outlineLvl w:val="1"/>
        <w:rPr>
          <w:rFonts w:ascii="仿宋" w:hAnsi="仿宋" w:eastAsia="仿宋" w:cs="仿宋"/>
          <w:b/>
          <w:kern w:val="0"/>
          <w:sz w:val="32"/>
          <w:szCs w:val="32"/>
        </w:rPr>
      </w:pPr>
      <w:r>
        <w:rPr>
          <w:rFonts w:hint="eastAsia" w:ascii="仿宋" w:hAnsi="仿宋" w:eastAsia="仿宋" w:cs="仿宋"/>
          <w:kern w:val="0"/>
          <w:sz w:val="32"/>
          <w:szCs w:val="32"/>
        </w:rPr>
        <w:t>一、新疆昌吉职业技术学院收支总体情况表</w:t>
      </w:r>
    </w:p>
    <w:p>
      <w:pPr>
        <w:widowControl/>
        <w:spacing w:line="480" w:lineRule="exact"/>
        <w:ind w:firstLine="643" w:firstLineChars="200"/>
        <w:outlineLvl w:val="1"/>
        <w:rPr>
          <w:rFonts w:ascii="仿宋" w:hAnsi="仿宋" w:eastAsia="仿宋" w:cs="仿宋"/>
          <w:kern w:val="0"/>
          <w:sz w:val="32"/>
          <w:szCs w:val="32"/>
        </w:rPr>
      </w:pPr>
      <w:r>
        <w:rPr>
          <w:rFonts w:hint="eastAsia" w:ascii="仿宋" w:hAnsi="仿宋" w:eastAsia="仿宋" w:cs="仿宋"/>
          <w:b/>
          <w:kern w:val="0"/>
          <w:sz w:val="32"/>
          <w:szCs w:val="32"/>
        </w:rPr>
        <w:t>二、</w:t>
      </w:r>
      <w:r>
        <w:rPr>
          <w:rFonts w:hint="eastAsia" w:ascii="仿宋" w:hAnsi="仿宋" w:eastAsia="仿宋" w:cs="仿宋"/>
          <w:kern w:val="0"/>
          <w:sz w:val="32"/>
          <w:szCs w:val="32"/>
        </w:rPr>
        <w:t>新疆昌吉职业技术学院收入总体情况表</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三、新疆昌吉职业技术学院支出总体情况表</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四、财政拨款收支总体情况表</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五、一般公共预算支出情况表</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六、一般公共预算基本支出情况表</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七、一般公共预算</w:t>
      </w:r>
      <w:r>
        <w:rPr>
          <w:rFonts w:hint="eastAsia" w:ascii="仿宋" w:hAnsi="仿宋" w:eastAsia="仿宋" w:cs="仿宋"/>
          <w:bCs/>
          <w:kern w:val="0"/>
          <w:sz w:val="32"/>
          <w:szCs w:val="32"/>
        </w:rPr>
        <w:t>项目支出情况表</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八、一般公共预算“三公”经费支出情况表</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九、政府性基金预算支出情况表</w:t>
      </w:r>
    </w:p>
    <w:p>
      <w:pPr>
        <w:widowControl/>
        <w:spacing w:line="480" w:lineRule="exact"/>
        <w:ind w:firstLine="643" w:firstLineChars="200"/>
        <w:outlineLvl w:val="1"/>
        <w:rPr>
          <w:rFonts w:ascii="仿宋" w:hAnsi="仿宋" w:eastAsia="仿宋" w:cs="仿宋"/>
          <w:b/>
          <w:kern w:val="0"/>
          <w:sz w:val="32"/>
          <w:szCs w:val="32"/>
        </w:rPr>
      </w:pPr>
      <w:r>
        <w:rPr>
          <w:rFonts w:hint="eastAsia" w:ascii="仿宋" w:hAnsi="仿宋" w:eastAsia="仿宋" w:cs="仿宋"/>
          <w:b/>
          <w:kern w:val="0"/>
          <w:sz w:val="32"/>
          <w:szCs w:val="32"/>
        </w:rPr>
        <w:t>第三部分  2021年单位预算情况说明</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一、关于新疆昌吉职业技术学院2021年收支预算情况的总体说明</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二、关于新疆昌吉职业技术学院2021年收入预算情况说明</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三、关于新疆昌吉职业技术学院2021年支出预算情况说明</w:t>
      </w:r>
    </w:p>
    <w:p>
      <w:pPr>
        <w:widowControl/>
        <w:spacing w:line="480" w:lineRule="exact"/>
        <w:ind w:firstLine="640" w:firstLineChars="200"/>
        <w:outlineLvl w:val="1"/>
        <w:rPr>
          <w:rFonts w:ascii="仿宋" w:hAnsi="仿宋" w:eastAsia="仿宋" w:cs="仿宋"/>
          <w:bCs/>
          <w:kern w:val="0"/>
          <w:sz w:val="32"/>
          <w:szCs w:val="32"/>
        </w:rPr>
      </w:pPr>
      <w:r>
        <w:rPr>
          <w:rFonts w:hint="eastAsia" w:ascii="仿宋" w:hAnsi="仿宋" w:eastAsia="仿宋" w:cs="仿宋"/>
          <w:bCs/>
          <w:kern w:val="0"/>
          <w:sz w:val="32"/>
          <w:szCs w:val="32"/>
        </w:rPr>
        <w:t>四、关于</w:t>
      </w:r>
      <w:r>
        <w:rPr>
          <w:rFonts w:hint="eastAsia" w:ascii="仿宋" w:hAnsi="仿宋" w:eastAsia="仿宋" w:cs="仿宋"/>
          <w:kern w:val="0"/>
          <w:sz w:val="32"/>
          <w:szCs w:val="32"/>
        </w:rPr>
        <w:t>新疆昌吉职业技术学院2021</w:t>
      </w:r>
      <w:r>
        <w:rPr>
          <w:rFonts w:hint="eastAsia" w:ascii="仿宋" w:hAnsi="仿宋" w:eastAsia="仿宋" w:cs="仿宋"/>
          <w:bCs/>
          <w:kern w:val="0"/>
          <w:sz w:val="32"/>
          <w:szCs w:val="32"/>
        </w:rPr>
        <w:t>年财政拨款收支预算情况的总体说明</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五、关于新疆昌吉职业技术学院2021年一般公共预算当年拨款情况说明</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六、关于新疆昌吉职业技术学院2021年一般公共预算基本支出情况说明</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七、关于新疆昌吉职业技术学院2021年一般公共预算项目支出情况说明</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八、关于新疆昌吉职业技术学院2021年一般公共预算“三公”经费预算情况说明</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九、关于新疆昌吉职业技术学院2021年政府性基金预算拨款情况说明</w:t>
      </w:r>
    </w:p>
    <w:p>
      <w:pPr>
        <w:widowControl/>
        <w:spacing w:line="480" w:lineRule="exact"/>
        <w:ind w:firstLine="640" w:firstLineChars="200"/>
        <w:outlineLvl w:val="1"/>
        <w:rPr>
          <w:rFonts w:ascii="仿宋" w:hAnsi="仿宋" w:eastAsia="仿宋" w:cs="仿宋"/>
          <w:kern w:val="0"/>
          <w:sz w:val="32"/>
          <w:szCs w:val="32"/>
        </w:rPr>
      </w:pPr>
      <w:r>
        <w:rPr>
          <w:rFonts w:hint="eastAsia" w:ascii="仿宋" w:hAnsi="仿宋" w:eastAsia="仿宋" w:cs="仿宋"/>
          <w:kern w:val="0"/>
          <w:sz w:val="32"/>
          <w:szCs w:val="32"/>
        </w:rPr>
        <w:t>十、其他重要事项的情况说明</w:t>
      </w:r>
    </w:p>
    <w:p>
      <w:pPr>
        <w:widowControl/>
        <w:spacing w:line="480" w:lineRule="exact"/>
        <w:ind w:firstLine="643" w:firstLineChars="200"/>
        <w:outlineLvl w:val="1"/>
        <w:rPr>
          <w:rFonts w:ascii="仿宋" w:hAnsi="仿宋" w:eastAsia="仿宋" w:cs="仿宋"/>
          <w:b/>
          <w:kern w:val="0"/>
          <w:sz w:val="32"/>
          <w:szCs w:val="32"/>
        </w:rPr>
      </w:pPr>
      <w:r>
        <w:rPr>
          <w:rFonts w:hint="eastAsia" w:ascii="仿宋" w:hAnsi="仿宋" w:eastAsia="仿宋" w:cs="仿宋"/>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新疆昌吉职业技术学院单位概况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仿宋" w:hAnsi="仿宋" w:eastAsia="仿宋" w:cs="仿宋"/>
          <w:b/>
          <w:bCs/>
          <w:kern w:val="0"/>
          <w:sz w:val="32"/>
          <w:szCs w:val="32"/>
        </w:rPr>
      </w:pPr>
      <w:r>
        <w:rPr>
          <w:rFonts w:hint="eastAsia" w:ascii="仿宋_GB2312" w:hAnsi="宋体" w:eastAsia="仿宋_GB2312" w:cs="宋体"/>
          <w:b/>
          <w:bCs/>
          <w:kern w:val="0"/>
          <w:sz w:val="32"/>
          <w:szCs w:val="32"/>
        </w:rPr>
        <w:t>　</w:t>
      </w:r>
      <w:r>
        <w:rPr>
          <w:rFonts w:hint="eastAsia" w:ascii="仿宋" w:hAnsi="仿宋" w:eastAsia="仿宋" w:cs="仿宋"/>
          <w:b/>
          <w:bCs/>
          <w:kern w:val="0"/>
          <w:sz w:val="32"/>
          <w:szCs w:val="32"/>
        </w:rPr>
        <w:t xml:space="preserve">  一、主要职能</w:t>
      </w:r>
    </w:p>
    <w:p>
      <w:pPr>
        <w:spacing w:line="560" w:lineRule="exact"/>
        <w:ind w:firstLine="630"/>
        <w:rPr>
          <w:rFonts w:ascii="仿宋" w:hAnsi="仿宋" w:eastAsia="仿宋" w:cs="仿宋"/>
          <w:kern w:val="0"/>
          <w:sz w:val="32"/>
          <w:szCs w:val="32"/>
        </w:rPr>
      </w:pPr>
      <w:r>
        <w:rPr>
          <w:rFonts w:hint="eastAsia" w:ascii="仿宋" w:hAnsi="仿宋" w:eastAsia="仿宋" w:cs="仿宋"/>
          <w:bCs/>
          <w:kern w:val="0"/>
          <w:sz w:val="32"/>
          <w:szCs w:val="32"/>
        </w:rPr>
        <w:t>新疆昌吉职业技术学院是2001年6月经新疆维吾尔自治区人民政府批准，国家教育部备案的一所以工科为主的全日制公办高等职业技术学院。2013年，自治区人民政府将昌吉州卫生学校、昌吉市中等职业技术学校与昌吉职业技术学院整合，组建了新的昌吉职业技术学院，形成规模更大、专业门类更加齐全的中高职教一体化发展的院校。</w:t>
      </w:r>
      <w:r>
        <w:rPr>
          <w:rFonts w:hint="eastAsia" w:ascii="仿宋" w:hAnsi="仿宋" w:eastAsia="仿宋" w:cs="仿宋"/>
          <w:color w:val="2B2B2B"/>
          <w:sz w:val="32"/>
          <w:szCs w:val="32"/>
          <w:shd w:val="clear" w:color="auto" w:fill="FFFFFF"/>
        </w:rPr>
        <w:t>新疆昌吉职业技术学院是2001年6月经新疆维吾尔自治区人民政府批准，国家教育部备案的一所以工科为主的全日制公办高等职业技术学院。2013年，昌吉州党委、政府将昌吉州卫生学校、昌吉市中等职业技术学校与昌吉职业技术学院整合，组建了新的昌吉职业技术学院，形成中高职一体化协调发展、以服务二三产业为主的综合性普通高等职业院校。学院履行高等职业专科学历教育，中等职业学历教育，继续教育，初中高级技师学制培训及职业技能短期培训，职业资格鉴定、相关科学研究、学术交流等职责。</w:t>
      </w:r>
      <w:r>
        <w:rPr>
          <w:rFonts w:hint="eastAsia" w:ascii="仿宋" w:hAnsi="仿宋" w:eastAsia="仿宋" w:cs="仿宋"/>
          <w:sz w:val="32"/>
          <w:szCs w:val="32"/>
        </w:rPr>
        <w:t>学院在区州党委、人民政府的正确领导下，在主管部门的大力支持和指导下，以党建工作为引领，以立德树人为根本任务，坚持“质量、开放、融合、共享”的发展主题，聚焦总目标，紧紧围绕“办学跟着就业走、专业跟着产业走、课程跟着岗位走、人才培养跟着社会稳定和长治久安的总目标走”的办学思路，坚持服务于“一带一路”建设、昌吉州产业转型升级和总目标人才培养，全力推进“全国优质高职院校”建设，高质量完成了全年各项工作任务，取得了显著成绩。</w:t>
      </w:r>
      <w:r>
        <w:rPr>
          <w:rFonts w:hint="eastAsia" w:ascii="仿宋" w:hAnsi="仿宋" w:eastAsia="仿宋" w:cs="仿宋"/>
          <w:kern w:val="0"/>
          <w:sz w:val="32"/>
          <w:szCs w:val="32"/>
        </w:rPr>
        <w:t>学院先后被评为全国职业教育先进单位、国家首批高技能人才培训基地、自治区首批高职高专示范校：荣获自治区开发建设新疆奖状，成为自治区首批优质高职院校建设单位。2020年</w:t>
      </w:r>
      <w:r>
        <w:rPr>
          <w:rFonts w:hint="eastAsia" w:ascii="仿宋" w:hAnsi="仿宋" w:eastAsia="仿宋" w:cs="仿宋"/>
          <w:sz w:val="32"/>
          <w:szCs w:val="32"/>
        </w:rPr>
        <w:t>入选教育部第一批示范性职业教育集团（联盟）培育单位。</w:t>
      </w:r>
      <w:r>
        <w:rPr>
          <w:rFonts w:hint="eastAsia" w:ascii="仿宋" w:hAnsi="仿宋" w:eastAsia="仿宋" w:cs="仿宋"/>
          <w:kern w:val="0"/>
          <w:sz w:val="32"/>
          <w:szCs w:val="32"/>
        </w:rPr>
        <w:t xml:space="preserve">　  </w:t>
      </w:r>
    </w:p>
    <w:p>
      <w:pPr>
        <w:widowControl/>
        <w:spacing w:line="480" w:lineRule="exact"/>
        <w:ind w:firstLine="640"/>
        <w:jc w:val="left"/>
        <w:rPr>
          <w:rFonts w:ascii="仿宋" w:hAnsi="仿宋" w:eastAsia="仿宋" w:cs="仿宋"/>
          <w:b/>
          <w:kern w:val="0"/>
          <w:sz w:val="32"/>
          <w:szCs w:val="32"/>
        </w:rPr>
      </w:pPr>
      <w:r>
        <w:rPr>
          <w:rFonts w:hint="eastAsia" w:ascii="仿宋" w:hAnsi="仿宋" w:eastAsia="仿宋" w:cs="仿宋"/>
          <w:b/>
          <w:kern w:val="0"/>
          <w:sz w:val="32"/>
          <w:szCs w:val="32"/>
        </w:rPr>
        <w:t>二、机构设置及人员情况</w:t>
      </w:r>
    </w:p>
    <w:p>
      <w:pPr>
        <w:widowControl/>
        <w:spacing w:line="560" w:lineRule="exact"/>
        <w:ind w:firstLine="640"/>
        <w:jc w:val="left"/>
        <w:rPr>
          <w:rFonts w:ascii="仿宋" w:hAnsi="仿宋" w:eastAsia="仿宋" w:cs="仿宋"/>
          <w:bCs/>
          <w:kern w:val="0"/>
          <w:sz w:val="32"/>
          <w:szCs w:val="32"/>
        </w:rPr>
      </w:pPr>
      <w:r>
        <w:rPr>
          <w:rFonts w:hint="eastAsia" w:ascii="仿宋" w:hAnsi="仿宋" w:eastAsia="仿宋" w:cs="仿宋"/>
          <w:bCs/>
          <w:kern w:val="0"/>
          <w:sz w:val="32"/>
          <w:szCs w:val="32"/>
        </w:rPr>
        <w:t>新疆</w:t>
      </w:r>
      <w:r>
        <w:rPr>
          <w:rFonts w:hint="eastAsia" w:ascii="仿宋" w:hAnsi="仿宋" w:eastAsia="仿宋" w:cs="仿宋"/>
          <w:kern w:val="0"/>
          <w:sz w:val="32"/>
          <w:szCs w:val="32"/>
        </w:rPr>
        <w:t>昌吉职业技术学院</w:t>
      </w:r>
      <w:r>
        <w:rPr>
          <w:rFonts w:hint="eastAsia" w:ascii="仿宋" w:hAnsi="仿宋" w:eastAsia="仿宋" w:cs="仿宋"/>
          <w:bCs/>
          <w:kern w:val="0"/>
          <w:sz w:val="32"/>
          <w:szCs w:val="32"/>
        </w:rPr>
        <w:t>无下属预算单位，学院内设机构分为两块，包括15个党政管理机构和19个教育以及辅助机构，机构级别为科级。其中党政管理机构包括：党（院）办（外事办）、组织人事处、宣传处、纪检监察室（审计处）、教务处（校企合作处）、学生处、计划财务处（项目办）、保卫处、招生就业处、资产管理处、总务处、科研处、质量控制处、工会、团委。教学及辅助机构包括：电气工程分院、能源动力分院、建筑工程分院、机械工程分院、经济管理分院、旅游分院、体育艺术分院、继续教育分院、信息科学与工程分院、基础教育分院（医学基础部）、思想政治教育与研究部（大学生心理健康教育与咨询中心）、中等职业教育分院、护理分院、临床与医学技术分院、药学分院、职业教育研究所、图书馆、实训中心（实习工厂）、驾驶培训学校。</w:t>
      </w:r>
    </w:p>
    <w:p>
      <w:pPr>
        <w:widowControl/>
        <w:spacing w:line="560" w:lineRule="exact"/>
        <w:ind w:firstLine="480" w:firstLineChars="150"/>
        <w:jc w:val="left"/>
        <w:rPr>
          <w:rFonts w:ascii="仿宋" w:hAnsi="仿宋" w:eastAsia="仿宋" w:cs="仿宋"/>
          <w:bCs/>
          <w:color w:val="000000"/>
          <w:kern w:val="0"/>
          <w:sz w:val="32"/>
          <w:szCs w:val="32"/>
        </w:rPr>
      </w:pPr>
      <w:r>
        <w:rPr>
          <w:rFonts w:hint="eastAsia" w:ascii="仿宋" w:hAnsi="仿宋" w:eastAsia="仿宋" w:cs="仿宋"/>
          <w:color w:val="000000"/>
          <w:kern w:val="0"/>
          <w:sz w:val="32"/>
          <w:szCs w:val="32"/>
        </w:rPr>
        <w:t>新疆昌吉职业技术学院编制数764，实有人数1194人，其中：在职703人，增加11人；退休488人，增加26人；离休3人，减少1人。</w:t>
      </w:r>
    </w:p>
    <w:p>
      <w:pPr>
        <w:widowControl/>
        <w:spacing w:line="440" w:lineRule="exact"/>
        <w:jc w:val="center"/>
        <w:outlineLvl w:val="1"/>
        <w:rPr>
          <w:rFonts w:hint="eastAsia" w:ascii="黑体" w:hAnsi="黑体" w:eastAsia="黑体" w:cs="黑体"/>
          <w:b/>
          <w:kern w:val="0"/>
          <w:sz w:val="32"/>
          <w:szCs w:val="32"/>
        </w:rPr>
      </w:pPr>
      <w:r>
        <w:rPr>
          <w:rFonts w:hint="eastAsia" w:ascii="黑体" w:hAnsi="黑体" w:eastAsia="黑体" w:cs="黑体"/>
          <w:b/>
          <w:kern w:val="0"/>
          <w:sz w:val="32"/>
          <w:szCs w:val="32"/>
        </w:rPr>
        <w:t>第二部分  2021年</w:t>
      </w:r>
      <w:r>
        <w:rPr>
          <w:rFonts w:hint="eastAsia" w:ascii="黑体" w:hAnsi="黑体" w:eastAsia="黑体" w:cs="黑体"/>
          <w:b/>
          <w:kern w:val="0"/>
          <w:sz w:val="32"/>
          <w:szCs w:val="32"/>
          <w:lang w:eastAsia="zh-CN"/>
        </w:rPr>
        <w:t>单位</w:t>
      </w:r>
      <w:r>
        <w:rPr>
          <w:rFonts w:hint="eastAsia" w:ascii="黑体" w:hAnsi="黑体" w:eastAsia="黑体" w:cs="黑体"/>
          <w:b/>
          <w:kern w:val="0"/>
          <w:sz w:val="32"/>
          <w:szCs w:val="32"/>
        </w:rPr>
        <w:t>预算公开表</w:t>
      </w:r>
    </w:p>
    <w:p>
      <w:pPr>
        <w:widowControl/>
        <w:spacing w:line="440" w:lineRule="exact"/>
        <w:outlineLvl w:val="1"/>
        <w:rPr>
          <w:rFonts w:ascii="仿宋" w:hAnsi="仿宋" w:eastAsia="仿宋" w:cs="仿宋"/>
          <w:b/>
          <w:kern w:val="0"/>
          <w:sz w:val="32"/>
          <w:szCs w:val="32"/>
        </w:rPr>
      </w:pPr>
      <w:r>
        <w:rPr>
          <w:rFonts w:hint="eastAsia" w:ascii="仿宋" w:hAnsi="仿宋" w:eastAsia="仿宋" w:cs="仿宋"/>
          <w:b/>
          <w:kern w:val="0"/>
          <w:sz w:val="32"/>
          <w:szCs w:val="32"/>
        </w:rPr>
        <w:t>表一：</w:t>
      </w:r>
    </w:p>
    <w:p>
      <w:pPr>
        <w:widowControl/>
        <w:spacing w:line="440" w:lineRule="exact"/>
        <w:jc w:val="center"/>
        <w:outlineLvl w:val="1"/>
        <w:rPr>
          <w:rFonts w:ascii="仿宋" w:hAnsi="仿宋" w:eastAsia="仿宋" w:cs="仿宋"/>
          <w:b/>
          <w:kern w:val="0"/>
          <w:sz w:val="32"/>
          <w:szCs w:val="32"/>
        </w:rPr>
      </w:pPr>
      <w:r>
        <w:rPr>
          <w:rFonts w:hint="eastAsia" w:ascii="仿宋" w:hAnsi="仿宋" w:eastAsia="仿宋" w:cs="仿宋"/>
          <w:b/>
          <w:kern w:val="0"/>
          <w:sz w:val="32"/>
          <w:szCs w:val="32"/>
          <w:lang w:eastAsia="zh-CN"/>
        </w:rPr>
        <w:t>单位</w:t>
      </w:r>
      <w:r>
        <w:rPr>
          <w:rFonts w:hint="eastAsia" w:ascii="仿宋" w:hAnsi="仿宋" w:eastAsia="仿宋" w:cs="仿宋"/>
          <w:b/>
          <w:kern w:val="0"/>
          <w:sz w:val="32"/>
          <w:szCs w:val="32"/>
        </w:rPr>
        <w:t>收支总体情况表</w:t>
      </w:r>
    </w:p>
    <w:p>
      <w:pPr>
        <w:widowControl/>
        <w:spacing w:line="440" w:lineRule="exact"/>
        <w:outlineLvl w:val="1"/>
        <w:rPr>
          <w:rFonts w:ascii="仿宋" w:hAnsi="仿宋" w:eastAsia="仿宋" w:cs="仿宋"/>
          <w:kern w:val="0"/>
          <w:sz w:val="24"/>
        </w:rPr>
      </w:pPr>
      <w:r>
        <w:rPr>
          <w:rFonts w:hint="eastAsia" w:ascii="仿宋" w:hAnsi="仿宋" w:eastAsia="仿宋" w:cs="仿宋"/>
          <w:kern w:val="0"/>
          <w:sz w:val="24"/>
        </w:rPr>
        <w:t xml:space="preserve">编制单位： 新疆昌吉职业技术学院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 xml:space="preserve">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 xml:space="preserve">    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 w:hAnsi="仿宋" w:eastAsia="仿宋" w:cs="仿宋"/>
                <w:b/>
                <w:bCs/>
                <w:kern w:val="0"/>
                <w:sz w:val="18"/>
                <w:szCs w:val="18"/>
              </w:rPr>
            </w:pPr>
            <w:r>
              <w:rPr>
                <w:rFonts w:hint="eastAsia" w:ascii="仿宋" w:hAnsi="仿宋" w:eastAsia="仿宋" w:cs="仿宋"/>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 w:hAnsi="仿宋" w:eastAsia="仿宋" w:cs="仿宋"/>
                <w:b/>
                <w:bCs/>
                <w:kern w:val="0"/>
                <w:sz w:val="18"/>
                <w:szCs w:val="18"/>
              </w:rPr>
            </w:pPr>
            <w:r>
              <w:rPr>
                <w:rFonts w:hint="eastAsia" w:ascii="仿宋" w:hAnsi="仿宋" w:eastAsia="仿宋" w:cs="仿宋"/>
                <w:b/>
                <w:bCs/>
                <w:kern w:val="0"/>
                <w:sz w:val="18"/>
                <w:szCs w:val="18"/>
              </w:rPr>
              <w:t>支     出</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kern w:val="0"/>
                <w:sz w:val="18"/>
                <w:szCs w:val="18"/>
              </w:rPr>
            </w:pPr>
            <w:r>
              <w:rPr>
                <w:rFonts w:hint="eastAsia" w:ascii="仿宋" w:hAnsi="仿宋" w:eastAsia="仿宋" w:cs="仿宋"/>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kern w:val="0"/>
                <w:sz w:val="18"/>
                <w:szCs w:val="18"/>
              </w:rPr>
            </w:pPr>
            <w:r>
              <w:rPr>
                <w:rFonts w:hint="eastAsia" w:ascii="仿宋" w:hAnsi="仿宋" w:eastAsia="仿宋" w:cs="仿宋"/>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kern w:val="0"/>
                <w:sz w:val="18"/>
                <w:szCs w:val="18"/>
              </w:rPr>
            </w:pPr>
            <w:r>
              <w:rPr>
                <w:rFonts w:hint="eastAsia" w:ascii="仿宋" w:hAnsi="仿宋" w:eastAsia="仿宋" w:cs="仿宋"/>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kern w:val="0"/>
                <w:sz w:val="18"/>
                <w:szCs w:val="18"/>
              </w:rPr>
            </w:pPr>
            <w:r>
              <w:rPr>
                <w:rFonts w:hint="eastAsia" w:ascii="仿宋" w:hAnsi="仿宋" w:eastAsia="仿宋" w:cs="仿宋"/>
                <w:b/>
                <w:kern w:val="0"/>
                <w:sz w:val="18"/>
                <w:szCs w:val="18"/>
              </w:rPr>
              <w:t>预算数</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11381.66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11381.66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8726.83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1441.77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1213.06</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 w:hAnsi="仿宋" w:eastAsia="仿宋" w:cs="仿宋"/>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 w:hAnsi="仿宋" w:eastAsia="仿宋" w:cs="仿宋"/>
                <w:kern w:val="0"/>
                <w:sz w:val="18"/>
                <w:szCs w:val="18"/>
              </w:rPr>
            </w:pPr>
            <w:r>
              <w:rPr>
                <w:rFonts w:hint="eastAsia" w:ascii="仿宋" w:hAnsi="仿宋" w:eastAsia="仿宋" w:cs="仿宋"/>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11381.66</w:t>
            </w:r>
          </w:p>
        </w:tc>
        <w:tc>
          <w:tcPr>
            <w:tcW w:w="3260" w:type="dxa"/>
            <w:tcBorders>
              <w:top w:val="nil"/>
              <w:left w:val="nil"/>
              <w:bottom w:val="single" w:color="auto" w:sz="4" w:space="0"/>
              <w:right w:val="nil"/>
            </w:tcBorders>
            <w:vAlign w:val="center"/>
          </w:tcPr>
          <w:p>
            <w:pPr>
              <w:widowControl/>
              <w:spacing w:line="280" w:lineRule="exact"/>
              <w:jc w:val="center"/>
              <w:rPr>
                <w:rFonts w:ascii="仿宋" w:hAnsi="仿宋" w:eastAsia="仿宋" w:cs="仿宋"/>
                <w:kern w:val="0"/>
                <w:sz w:val="18"/>
                <w:szCs w:val="18"/>
              </w:rPr>
            </w:pPr>
            <w:r>
              <w:rPr>
                <w:rFonts w:hint="eastAsia" w:ascii="仿宋" w:hAnsi="仿宋" w:eastAsia="仿宋" w:cs="仿宋"/>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11381.66</w:t>
            </w:r>
          </w:p>
        </w:tc>
      </w:tr>
    </w:tbl>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表二：</w:t>
      </w:r>
    </w:p>
    <w:p>
      <w:pPr>
        <w:widowControl/>
        <w:jc w:val="center"/>
        <w:outlineLvl w:val="1"/>
        <w:rPr>
          <w:rFonts w:hint="eastAsia" w:ascii="仿宋" w:hAnsi="仿宋" w:eastAsia="仿宋" w:cs="仿宋"/>
          <w:b/>
          <w:kern w:val="0"/>
          <w:sz w:val="32"/>
          <w:szCs w:val="32"/>
        </w:rPr>
      </w:pPr>
      <w:r>
        <w:rPr>
          <w:rFonts w:hint="eastAsia" w:ascii="仿宋" w:hAnsi="仿宋" w:eastAsia="仿宋" w:cs="仿宋"/>
          <w:b/>
          <w:kern w:val="0"/>
          <w:sz w:val="32"/>
          <w:szCs w:val="32"/>
          <w:lang w:eastAsia="zh-CN"/>
        </w:rPr>
        <w:t>单位</w:t>
      </w:r>
      <w:r>
        <w:rPr>
          <w:rFonts w:hint="eastAsia" w:ascii="仿宋" w:hAnsi="仿宋" w:eastAsia="仿宋" w:cs="仿宋"/>
          <w:b/>
          <w:kern w:val="0"/>
          <w:sz w:val="32"/>
          <w:szCs w:val="32"/>
        </w:rPr>
        <w:t>收入总体情况</w:t>
      </w:r>
    </w:p>
    <w:p>
      <w:pPr>
        <w:pStyle w:val="2"/>
        <w:rPr>
          <w:rFonts w:hint="eastAsia"/>
        </w:rPr>
      </w:pPr>
    </w:p>
    <w:p>
      <w:pPr>
        <w:widowControl/>
        <w:jc w:val="both"/>
        <w:outlineLvl w:val="1"/>
        <w:rPr>
          <w:rFonts w:ascii="仿宋" w:hAnsi="仿宋" w:eastAsia="仿宋" w:cs="仿宋"/>
          <w:kern w:val="0"/>
          <w:sz w:val="24"/>
        </w:rPr>
      </w:pPr>
      <w:r>
        <w:rPr>
          <w:rFonts w:hint="eastAsia" w:ascii="仿宋" w:hAnsi="仿宋" w:eastAsia="仿宋" w:cs="仿宋"/>
          <w:kern w:val="0"/>
          <w:sz w:val="24"/>
        </w:rPr>
        <w:t xml:space="preserve">编制单位：新疆昌吉职业技术学院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 xml:space="preserve">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单位：万元</w:t>
      </w:r>
    </w:p>
    <w:tbl>
      <w:tblPr>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2004"/>
        <w:gridCol w:w="1110"/>
        <w:gridCol w:w="1020"/>
        <w:gridCol w:w="288"/>
        <w:gridCol w:w="795"/>
        <w:gridCol w:w="921"/>
        <w:gridCol w:w="660"/>
        <w:gridCol w:w="708"/>
        <w:gridCol w:w="684"/>
      </w:tblGrid>
      <w:tr>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功能分类科目编码</w:t>
            </w:r>
          </w:p>
        </w:tc>
        <w:tc>
          <w:tcPr>
            <w:tcW w:w="200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功能分类科目名称</w:t>
            </w:r>
          </w:p>
        </w:tc>
        <w:tc>
          <w:tcPr>
            <w:tcW w:w="11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总  计</w:t>
            </w:r>
          </w:p>
        </w:tc>
        <w:tc>
          <w:tcPr>
            <w:tcW w:w="10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一般公共预算拨款</w:t>
            </w:r>
          </w:p>
        </w:tc>
        <w:tc>
          <w:tcPr>
            <w:tcW w:w="28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单位其他资金收入</w:t>
            </w:r>
          </w:p>
        </w:tc>
      </w:tr>
      <w:tr>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b/>
                <w:color w:val="000000"/>
                <w:sz w:val="18"/>
                <w:szCs w:val="18"/>
              </w:rPr>
            </w:pPr>
            <w:r>
              <w:rPr>
                <w:rFonts w:hint="eastAsia" w:ascii="仿宋" w:hAnsi="仿宋" w:eastAsia="仿宋" w:cs="仿宋"/>
                <w:b/>
                <w:color w:val="000000"/>
                <w:sz w:val="18"/>
                <w:szCs w:val="18"/>
              </w:rPr>
              <w:t>项</w:t>
            </w:r>
          </w:p>
        </w:tc>
        <w:tc>
          <w:tcPr>
            <w:tcW w:w="20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18"/>
                <w:szCs w:val="18"/>
              </w:rPr>
            </w:pPr>
          </w:p>
        </w:tc>
        <w:tc>
          <w:tcPr>
            <w:tcW w:w="11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18"/>
                <w:szCs w:val="18"/>
              </w:rPr>
            </w:pPr>
          </w:p>
        </w:tc>
        <w:tc>
          <w:tcPr>
            <w:tcW w:w="10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18"/>
                <w:szCs w:val="18"/>
              </w:rPr>
            </w:pPr>
          </w:p>
        </w:tc>
        <w:tc>
          <w:tcPr>
            <w:tcW w:w="28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kern w:val="0"/>
                <w:sz w:val="20"/>
                <w:szCs w:val="20"/>
              </w:rPr>
              <w:t>205</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p>
        </w:tc>
        <w:tc>
          <w:tcPr>
            <w:tcW w:w="200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kern w:val="0"/>
                <w:sz w:val="20"/>
                <w:szCs w:val="20"/>
              </w:rPr>
              <w:t xml:space="preserve"> 教育支出</w:t>
            </w:r>
          </w:p>
        </w:tc>
        <w:tc>
          <w:tcPr>
            <w:tcW w:w="1110" w:type="dxa"/>
            <w:tcBorders>
              <w:top w:val="nil"/>
              <w:left w:val="nil"/>
              <w:bottom w:val="single" w:color="auto" w:sz="4" w:space="0"/>
              <w:right w:val="single" w:color="auto" w:sz="4" w:space="0"/>
            </w:tcBorders>
            <w:shd w:val="clear" w:color="000000" w:fill="FFFFFF"/>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8726.83</w:t>
            </w:r>
          </w:p>
        </w:tc>
        <w:tc>
          <w:tcPr>
            <w:tcW w:w="1020" w:type="dxa"/>
            <w:tcBorders>
              <w:top w:val="nil"/>
              <w:left w:val="nil"/>
              <w:bottom w:val="single" w:color="auto" w:sz="4" w:space="0"/>
              <w:right w:val="single" w:color="auto" w:sz="4" w:space="0"/>
            </w:tcBorders>
            <w:shd w:val="clear" w:color="000000" w:fill="FFFFFF"/>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8726.83</w:t>
            </w:r>
          </w:p>
        </w:tc>
        <w:tc>
          <w:tcPr>
            <w:tcW w:w="288"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205</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03</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p>
        </w:tc>
        <w:tc>
          <w:tcPr>
            <w:tcW w:w="200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职业教育</w:t>
            </w:r>
          </w:p>
        </w:tc>
        <w:tc>
          <w:tcPr>
            <w:tcW w:w="1110" w:type="dxa"/>
            <w:tcBorders>
              <w:top w:val="nil"/>
              <w:left w:val="nil"/>
              <w:bottom w:val="single" w:color="auto" w:sz="4" w:space="0"/>
              <w:right w:val="single" w:color="auto" w:sz="4" w:space="0"/>
            </w:tcBorders>
            <w:shd w:val="clear" w:color="000000" w:fill="FFFFFF"/>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8726.83</w:t>
            </w:r>
          </w:p>
        </w:tc>
        <w:tc>
          <w:tcPr>
            <w:tcW w:w="1020" w:type="dxa"/>
            <w:tcBorders>
              <w:top w:val="nil"/>
              <w:left w:val="nil"/>
              <w:bottom w:val="single" w:color="auto" w:sz="4" w:space="0"/>
              <w:right w:val="single" w:color="auto" w:sz="4" w:space="0"/>
            </w:tcBorders>
            <w:shd w:val="clear" w:color="000000" w:fill="FFFFFF"/>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8726.83</w:t>
            </w:r>
          </w:p>
        </w:tc>
        <w:tc>
          <w:tcPr>
            <w:tcW w:w="288"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205</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03</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02</w:t>
            </w:r>
          </w:p>
        </w:tc>
        <w:tc>
          <w:tcPr>
            <w:tcW w:w="200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中等职业教育</w:t>
            </w:r>
          </w:p>
        </w:tc>
        <w:tc>
          <w:tcPr>
            <w:tcW w:w="1110" w:type="dxa"/>
            <w:tcBorders>
              <w:top w:val="nil"/>
              <w:left w:val="nil"/>
              <w:bottom w:val="single" w:color="auto" w:sz="4" w:space="0"/>
              <w:right w:val="single" w:color="auto" w:sz="4" w:space="0"/>
            </w:tcBorders>
            <w:shd w:val="clear" w:color="000000" w:fill="FFFFFF"/>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3284.25</w:t>
            </w:r>
          </w:p>
        </w:tc>
        <w:tc>
          <w:tcPr>
            <w:tcW w:w="1020" w:type="dxa"/>
            <w:tcBorders>
              <w:top w:val="nil"/>
              <w:left w:val="nil"/>
              <w:bottom w:val="single" w:color="auto" w:sz="4" w:space="0"/>
              <w:right w:val="single" w:color="auto" w:sz="4" w:space="0"/>
            </w:tcBorders>
            <w:shd w:val="clear" w:color="000000" w:fill="FFFFFF"/>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3284.25</w:t>
            </w:r>
          </w:p>
        </w:tc>
        <w:tc>
          <w:tcPr>
            <w:tcW w:w="288"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205</w:t>
            </w: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03</w:t>
            </w: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05</w:t>
            </w: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高等职业教育</w:t>
            </w:r>
          </w:p>
        </w:tc>
        <w:tc>
          <w:tcPr>
            <w:tcW w:w="1110"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5442.58</w:t>
            </w:r>
          </w:p>
        </w:tc>
        <w:tc>
          <w:tcPr>
            <w:tcW w:w="1020"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5442.58</w:t>
            </w: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kern w:val="0"/>
                <w:sz w:val="20"/>
                <w:szCs w:val="20"/>
              </w:rPr>
              <w:t>208</w:t>
            </w: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2004" w:type="dxa"/>
            <w:tcBorders>
              <w:top w:val="nil"/>
              <w:left w:val="nil"/>
              <w:bottom w:val="single" w:color="auto" w:sz="4" w:space="0"/>
              <w:right w:val="single" w:color="auto" w:sz="4" w:space="0"/>
            </w:tcBorders>
            <w:vAlign w:val="center"/>
          </w:tcPr>
          <w:p>
            <w:pPr>
              <w:rPr>
                <w:rFonts w:ascii="仿宋" w:hAnsi="仿宋" w:eastAsia="仿宋" w:cs="仿宋"/>
                <w:color w:val="000000"/>
                <w:sz w:val="20"/>
                <w:szCs w:val="20"/>
              </w:rPr>
            </w:pPr>
            <w:r>
              <w:rPr>
                <w:rFonts w:hint="eastAsia" w:ascii="仿宋" w:hAnsi="仿宋" w:eastAsia="仿宋" w:cs="仿宋"/>
                <w:kern w:val="0"/>
                <w:sz w:val="20"/>
                <w:szCs w:val="20"/>
              </w:rPr>
              <w:t xml:space="preserve"> 社会保障和就业支出</w:t>
            </w: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1441.77</w:t>
            </w: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1441.77</w:t>
            </w: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208</w:t>
            </w: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2004" w:type="dxa"/>
            <w:tcBorders>
              <w:top w:val="nil"/>
              <w:left w:val="nil"/>
              <w:bottom w:val="single" w:color="auto" w:sz="4" w:space="0"/>
              <w:right w:val="single" w:color="auto" w:sz="4" w:space="0"/>
            </w:tcBorders>
            <w:vAlign w:val="center"/>
          </w:tcPr>
          <w:p>
            <w:pPr>
              <w:rPr>
                <w:rFonts w:ascii="仿宋" w:hAnsi="仿宋" w:eastAsia="仿宋" w:cs="仿宋"/>
                <w:color w:val="000000"/>
                <w:sz w:val="20"/>
                <w:szCs w:val="20"/>
              </w:rPr>
            </w:pPr>
            <w:r>
              <w:rPr>
                <w:rFonts w:hint="eastAsia" w:ascii="仿宋" w:hAnsi="仿宋" w:eastAsia="仿宋" w:cs="仿宋"/>
                <w:color w:val="000000"/>
                <w:sz w:val="20"/>
                <w:szCs w:val="20"/>
              </w:rPr>
              <w:t>行政事业单位养老支出</w:t>
            </w: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1441.77</w:t>
            </w: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1441.77</w:t>
            </w: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208</w:t>
            </w: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05</w:t>
            </w:r>
          </w:p>
        </w:tc>
        <w:tc>
          <w:tcPr>
            <w:tcW w:w="2004" w:type="dxa"/>
            <w:tcBorders>
              <w:top w:val="nil"/>
              <w:left w:val="nil"/>
              <w:bottom w:val="single" w:color="auto" w:sz="4" w:space="0"/>
              <w:right w:val="single" w:color="auto" w:sz="4" w:space="0"/>
            </w:tcBorders>
            <w:vAlign w:val="center"/>
          </w:tcPr>
          <w:p>
            <w:pPr>
              <w:rPr>
                <w:rFonts w:ascii="仿宋" w:hAnsi="仿宋" w:eastAsia="仿宋" w:cs="仿宋"/>
                <w:color w:val="000000"/>
                <w:sz w:val="20"/>
                <w:szCs w:val="20"/>
              </w:rPr>
            </w:pPr>
            <w:r>
              <w:rPr>
                <w:rFonts w:hint="eastAsia" w:ascii="仿宋" w:hAnsi="仿宋" w:eastAsia="仿宋" w:cs="仿宋"/>
                <w:color w:val="000000"/>
                <w:sz w:val="20"/>
                <w:szCs w:val="20"/>
              </w:rPr>
              <w:t>机关事业单位基本养老保险缴费支出</w:t>
            </w: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961.18</w:t>
            </w: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961.18</w:t>
            </w: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208</w:t>
            </w: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06</w:t>
            </w: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机关事业单位职业年金缴费支出</w:t>
            </w: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480.59</w:t>
            </w: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480.59</w:t>
            </w: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kern w:val="0"/>
                <w:sz w:val="20"/>
                <w:szCs w:val="20"/>
              </w:rPr>
              <w:t>210</w:t>
            </w: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kern w:val="0"/>
                <w:sz w:val="20"/>
                <w:szCs w:val="20"/>
              </w:rPr>
              <w:t>卫生健康支出</w:t>
            </w: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1213.06</w:t>
            </w: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1213.06</w:t>
            </w: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210</w:t>
            </w: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行政事业单位医疗</w:t>
            </w: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1213.06</w:t>
            </w: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1213.06</w:t>
            </w: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210</w:t>
            </w: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02</w:t>
            </w: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事业单位医疗</w:t>
            </w: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895.82</w:t>
            </w: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895.82</w:t>
            </w: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210</w:t>
            </w: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03</w:t>
            </w: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公务员医疗补助</w:t>
            </w: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288.59</w:t>
            </w: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288.59</w:t>
            </w: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210</w:t>
            </w: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99</w:t>
            </w: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其他行政事业单位医疗支出</w:t>
            </w: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28.65</w:t>
            </w: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28.65</w:t>
            </w: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p>
        </w:tc>
        <w:tc>
          <w:tcPr>
            <w:tcW w:w="20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18"/>
                <w:szCs w:val="18"/>
              </w:rPr>
            </w:pPr>
            <w:r>
              <w:rPr>
                <w:rFonts w:hint="eastAsia" w:ascii="仿宋" w:hAnsi="仿宋" w:eastAsia="仿宋" w:cs="仿宋"/>
                <w:b/>
                <w:bCs/>
                <w:color w:val="000000"/>
                <w:sz w:val="18"/>
                <w:szCs w:val="18"/>
              </w:rPr>
              <w:t>合  计</w:t>
            </w:r>
          </w:p>
        </w:tc>
        <w:tc>
          <w:tcPr>
            <w:tcW w:w="111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11381.66</w:t>
            </w:r>
          </w:p>
        </w:tc>
        <w:tc>
          <w:tcPr>
            <w:tcW w:w="102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20"/>
                <w:szCs w:val="20"/>
              </w:rPr>
            </w:pPr>
            <w:r>
              <w:rPr>
                <w:rFonts w:hint="eastAsia" w:ascii="仿宋" w:hAnsi="仿宋" w:eastAsia="仿宋" w:cs="仿宋"/>
                <w:color w:val="000000"/>
                <w:sz w:val="20"/>
                <w:szCs w:val="20"/>
              </w:rPr>
              <w:t>11381.66</w:t>
            </w:r>
          </w:p>
        </w:tc>
        <w:tc>
          <w:tcPr>
            <w:tcW w:w="28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 w:hAnsi="仿宋" w:eastAsia="仿宋" w:cs="仿宋"/>
                <w:color w:val="000000"/>
                <w:sz w:val="18"/>
                <w:szCs w:val="18"/>
              </w:rPr>
            </w:pPr>
          </w:p>
        </w:tc>
      </w:tr>
    </w:tbl>
    <w:p>
      <w:pPr>
        <w:widowControl/>
        <w:spacing w:line="360" w:lineRule="exact"/>
        <w:jc w:val="left"/>
        <w:outlineLvl w:val="1"/>
        <w:rPr>
          <w:rFonts w:ascii="仿宋" w:hAnsi="仿宋" w:eastAsia="仿宋" w:cs="仿宋"/>
          <w:b/>
          <w:kern w:val="0"/>
          <w:sz w:val="32"/>
          <w:szCs w:val="32"/>
        </w:rPr>
      </w:pPr>
      <w:r>
        <w:rPr>
          <w:rFonts w:hint="eastAsia" w:ascii="仿宋" w:hAnsi="仿宋" w:eastAsia="仿宋" w:cs="仿宋"/>
          <w:b/>
          <w:kern w:val="0"/>
          <w:sz w:val="32"/>
          <w:szCs w:val="32"/>
        </w:rPr>
        <w:t>表三：</w:t>
      </w:r>
    </w:p>
    <w:p>
      <w:pPr>
        <w:widowControl/>
        <w:spacing w:line="360" w:lineRule="exact"/>
        <w:jc w:val="center"/>
        <w:outlineLvl w:val="1"/>
        <w:rPr>
          <w:rFonts w:ascii="仿宋" w:hAnsi="仿宋" w:eastAsia="仿宋" w:cs="仿宋"/>
          <w:b/>
          <w:kern w:val="0"/>
          <w:sz w:val="32"/>
          <w:szCs w:val="32"/>
        </w:rPr>
      </w:pPr>
      <w:r>
        <w:rPr>
          <w:rFonts w:hint="eastAsia" w:ascii="仿宋" w:hAnsi="仿宋" w:eastAsia="仿宋" w:cs="仿宋"/>
          <w:b/>
          <w:kern w:val="0"/>
          <w:sz w:val="32"/>
          <w:szCs w:val="32"/>
          <w:lang w:eastAsia="zh-CN"/>
        </w:rPr>
        <w:t>单位</w:t>
      </w:r>
      <w:r>
        <w:rPr>
          <w:rFonts w:hint="eastAsia" w:ascii="仿宋" w:hAnsi="仿宋" w:eastAsia="仿宋" w:cs="仿宋"/>
          <w:b/>
          <w:kern w:val="0"/>
          <w:sz w:val="32"/>
          <w:szCs w:val="32"/>
        </w:rPr>
        <w:t>支出总体情况表</w:t>
      </w:r>
    </w:p>
    <w:p>
      <w:pPr>
        <w:widowControl/>
        <w:spacing w:line="280" w:lineRule="exact"/>
        <w:jc w:val="center"/>
        <w:outlineLvl w:val="1"/>
        <w:rPr>
          <w:rFonts w:ascii="仿宋" w:hAnsi="仿宋" w:eastAsia="仿宋" w:cs="仿宋"/>
          <w:b/>
          <w:kern w:val="0"/>
          <w:sz w:val="32"/>
          <w:szCs w:val="32"/>
        </w:rPr>
      </w:pPr>
    </w:p>
    <w:p>
      <w:pPr>
        <w:widowControl/>
        <w:spacing w:line="280" w:lineRule="exact"/>
        <w:jc w:val="left"/>
        <w:outlineLvl w:val="1"/>
        <w:rPr>
          <w:rFonts w:ascii="仿宋" w:hAnsi="仿宋" w:eastAsia="仿宋" w:cs="仿宋"/>
          <w:kern w:val="0"/>
          <w:sz w:val="24"/>
        </w:rPr>
      </w:pPr>
      <w:r>
        <w:rPr>
          <w:rFonts w:hint="eastAsia" w:ascii="仿宋" w:hAnsi="仿宋" w:eastAsia="仿宋" w:cs="仿宋"/>
          <w:kern w:val="0"/>
          <w:sz w:val="24"/>
        </w:rPr>
        <w:t xml:space="preserve">编制单位：新疆昌吉职业技术学院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 xml:space="preserve">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 xml:space="preserve">   单位：万元</w:t>
      </w:r>
    </w:p>
    <w:tbl>
      <w:tblPr>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8"/>
        <w:gridCol w:w="500"/>
        <w:gridCol w:w="420"/>
        <w:gridCol w:w="2397"/>
        <w:gridCol w:w="1855"/>
        <w:gridCol w:w="1856"/>
        <w:gridCol w:w="1904"/>
      </w:tblGrid>
      <w:tr>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支出预算</w:t>
            </w:r>
          </w:p>
        </w:tc>
      </w:tr>
      <w:tr>
        <w:trPr>
          <w:trHeight w:val="480" w:hRule="atLeast"/>
        </w:trPr>
        <w:tc>
          <w:tcPr>
            <w:tcW w:w="140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功能分类科目编码</w:t>
            </w:r>
          </w:p>
        </w:tc>
        <w:tc>
          <w:tcPr>
            <w:tcW w:w="239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项目支出</w:t>
            </w:r>
          </w:p>
        </w:tc>
      </w:tr>
      <w:tr>
        <w:trPr>
          <w:trHeight w:val="270" w:hRule="atLeast"/>
        </w:trPr>
        <w:tc>
          <w:tcPr>
            <w:tcW w:w="4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类</w:t>
            </w:r>
          </w:p>
        </w:tc>
        <w:tc>
          <w:tcPr>
            <w:tcW w:w="50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款</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项</w:t>
            </w:r>
          </w:p>
        </w:tc>
        <w:tc>
          <w:tcPr>
            <w:tcW w:w="239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 w:hAnsi="仿宋" w:eastAsia="仿宋" w:cs="仿宋"/>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 w:hAnsi="仿宋" w:eastAsia="仿宋" w:cs="仿宋"/>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 w:hAnsi="仿宋" w:eastAsia="仿宋" w:cs="仿宋"/>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 w:hAnsi="仿宋" w:eastAsia="仿宋" w:cs="仿宋"/>
                <w:b/>
                <w:bCs/>
                <w:color w:val="000000"/>
                <w:kern w:val="0"/>
                <w:sz w:val="18"/>
                <w:szCs w:val="18"/>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kern w:val="0"/>
                <w:sz w:val="18"/>
                <w:szCs w:val="18"/>
              </w:rPr>
              <w:t>205</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 xml:space="preserve"> 教育支出</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8726.83</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6706.83</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2020.00</w:t>
            </w: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205</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03</w:t>
            </w: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职业教育</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8726.83</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6706.83</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2020.00</w:t>
            </w: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205</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03</w:t>
            </w: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02</w:t>
            </w: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中等职业教育</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3284.25</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2565.65</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718.60</w:t>
            </w: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205</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03</w:t>
            </w: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05</w:t>
            </w: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高等职业教育</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5442.58</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4141.18</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1301.40</w:t>
            </w: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kern w:val="0"/>
                <w:sz w:val="18"/>
                <w:szCs w:val="18"/>
              </w:rPr>
              <w:t>208</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 xml:space="preserve"> 社会保障和就业支出</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1441.77</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1441.77</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208</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05</w:t>
            </w: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行政事业单位养老支出</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1441.77</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1441.77</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208</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05</w:t>
            </w: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05</w:t>
            </w: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机关事业单位基本养老保险缴费支出</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961.18</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961.18</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208</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05</w:t>
            </w: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06</w:t>
            </w: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机关事业单位职业年金缴费支出</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480.59</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480.59</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kern w:val="0"/>
                <w:sz w:val="18"/>
                <w:szCs w:val="18"/>
              </w:rPr>
              <w:t>210</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卫生健康支出</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1213.06</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1213.06</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210</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11</w:t>
            </w: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行政事业单位医疗</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1213.06</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1213.06</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210</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11</w:t>
            </w: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02</w:t>
            </w: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事业单位医疗</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895.82</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895.82</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210</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11</w:t>
            </w: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03</w:t>
            </w: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公务员医疗补助</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288.59</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288.59</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210</w:t>
            </w:r>
          </w:p>
        </w:tc>
        <w:tc>
          <w:tcPr>
            <w:tcW w:w="50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11</w:t>
            </w:r>
          </w:p>
        </w:tc>
        <w:tc>
          <w:tcPr>
            <w:tcW w:w="420" w:type="dxa"/>
            <w:tcBorders>
              <w:top w:val="nil"/>
              <w:left w:val="nil"/>
              <w:bottom w:val="single" w:color="auto" w:sz="4" w:space="0"/>
              <w:right w:val="single" w:color="auto" w:sz="4" w:space="0"/>
            </w:tcBorders>
            <w:vAlign w:val="center"/>
          </w:tcPr>
          <w:p>
            <w:pPr>
              <w:jc w:val="center"/>
              <w:rPr>
                <w:rFonts w:ascii="仿宋" w:hAnsi="仿宋" w:eastAsia="仿宋" w:cs="仿宋"/>
                <w:b/>
                <w:bCs/>
                <w:color w:val="000000"/>
                <w:kern w:val="0"/>
                <w:sz w:val="18"/>
                <w:szCs w:val="18"/>
              </w:rPr>
            </w:pPr>
            <w:r>
              <w:rPr>
                <w:rFonts w:hint="eastAsia" w:ascii="仿宋" w:hAnsi="仿宋" w:eastAsia="仿宋" w:cs="仿宋"/>
                <w:color w:val="000000"/>
                <w:sz w:val="18"/>
                <w:szCs w:val="18"/>
              </w:rPr>
              <w:t>99</w:t>
            </w:r>
          </w:p>
        </w:tc>
        <w:tc>
          <w:tcPr>
            <w:tcW w:w="2397"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其他行政事业单位医疗支出</w:t>
            </w: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28.65</w:t>
            </w: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r>
              <w:rPr>
                <w:rFonts w:hint="eastAsia" w:ascii="仿宋" w:hAnsi="仿宋" w:eastAsia="仿宋" w:cs="仿宋"/>
                <w:color w:val="000000"/>
                <w:sz w:val="20"/>
                <w:szCs w:val="20"/>
              </w:rPr>
              <w:t>28.65</w:t>
            </w: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1856"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1904" w:type="dxa"/>
            <w:tcBorders>
              <w:top w:val="nil"/>
              <w:left w:val="nil"/>
              <w:bottom w:val="single" w:color="auto" w:sz="4" w:space="0"/>
              <w:right w:val="single" w:color="auto" w:sz="4" w:space="0"/>
            </w:tcBorders>
            <w:vAlign w:val="center"/>
          </w:tcPr>
          <w:p>
            <w:pPr>
              <w:jc w:val="center"/>
              <w:rPr>
                <w:rFonts w:ascii="仿宋" w:hAnsi="仿宋" w:eastAsia="仿宋" w:cs="仿宋"/>
                <w:color w:val="000000"/>
                <w:sz w:val="20"/>
                <w:szCs w:val="20"/>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39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405" w:hRule="atLeast"/>
        </w:trPr>
        <w:tc>
          <w:tcPr>
            <w:tcW w:w="4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239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r>
              <w:rPr>
                <w:rFonts w:hint="eastAsia" w:ascii="仿宋" w:hAnsi="仿宋" w:eastAsia="仿宋" w:cs="仿宋"/>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sz w:val="20"/>
                <w:szCs w:val="20"/>
              </w:rPr>
              <w:t>11381.66</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9361.66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2020.00</w:t>
            </w:r>
          </w:p>
        </w:tc>
      </w:tr>
    </w:tbl>
    <w:p>
      <w:pPr>
        <w:widowControl/>
        <w:spacing w:beforeLines="50" w:line="280" w:lineRule="exact"/>
        <w:outlineLvl w:val="1"/>
        <w:rPr>
          <w:rFonts w:ascii="仿宋" w:hAnsi="仿宋" w:eastAsia="仿宋" w:cs="仿宋"/>
          <w:b/>
          <w:kern w:val="0"/>
          <w:sz w:val="32"/>
          <w:szCs w:val="32"/>
        </w:rPr>
      </w:pPr>
    </w:p>
    <w:p>
      <w:pPr>
        <w:widowControl/>
        <w:spacing w:beforeLines="50" w:line="280" w:lineRule="exact"/>
        <w:outlineLvl w:val="1"/>
        <w:rPr>
          <w:rFonts w:ascii="仿宋" w:hAnsi="仿宋" w:eastAsia="仿宋" w:cs="仿宋"/>
          <w:b/>
          <w:kern w:val="0"/>
          <w:sz w:val="32"/>
          <w:szCs w:val="32"/>
        </w:rPr>
      </w:pPr>
    </w:p>
    <w:p>
      <w:pPr>
        <w:widowControl/>
        <w:spacing w:beforeLines="50" w:line="280" w:lineRule="exact"/>
        <w:outlineLvl w:val="1"/>
        <w:rPr>
          <w:rFonts w:ascii="仿宋" w:hAnsi="仿宋" w:eastAsia="仿宋" w:cs="仿宋"/>
          <w:b/>
          <w:kern w:val="0"/>
          <w:sz w:val="32"/>
          <w:szCs w:val="32"/>
        </w:rPr>
      </w:pPr>
      <w:r>
        <w:rPr>
          <w:rFonts w:hint="eastAsia" w:ascii="仿宋" w:hAnsi="仿宋" w:eastAsia="仿宋" w:cs="仿宋"/>
          <w:b/>
          <w:kern w:val="0"/>
          <w:sz w:val="32"/>
          <w:szCs w:val="32"/>
        </w:rPr>
        <w:t>表四：</w:t>
      </w:r>
    </w:p>
    <w:p>
      <w:pPr>
        <w:widowControl/>
        <w:spacing w:beforeLines="50" w:line="280" w:lineRule="exact"/>
        <w:jc w:val="center"/>
        <w:outlineLvl w:val="1"/>
        <w:rPr>
          <w:rFonts w:ascii="仿宋" w:hAnsi="仿宋" w:eastAsia="仿宋" w:cs="仿宋"/>
          <w:b/>
          <w:kern w:val="0"/>
          <w:sz w:val="32"/>
          <w:szCs w:val="32"/>
        </w:rPr>
      </w:pPr>
      <w:r>
        <w:rPr>
          <w:rFonts w:hint="eastAsia" w:ascii="仿宋" w:hAnsi="仿宋" w:eastAsia="仿宋" w:cs="仿宋"/>
          <w:b/>
          <w:kern w:val="0"/>
          <w:sz w:val="32"/>
          <w:szCs w:val="32"/>
        </w:rPr>
        <w:t>财政拨款收支预算总体情况表</w:t>
      </w:r>
    </w:p>
    <w:p>
      <w:pPr>
        <w:widowControl/>
        <w:spacing w:beforeLines="50" w:line="280" w:lineRule="exact"/>
        <w:outlineLvl w:val="1"/>
        <w:rPr>
          <w:rFonts w:ascii="仿宋" w:hAnsi="仿宋" w:eastAsia="仿宋" w:cs="仿宋"/>
          <w:kern w:val="0"/>
          <w:szCs w:val="21"/>
        </w:rPr>
      </w:pPr>
      <w:r>
        <w:rPr>
          <w:rFonts w:hint="eastAsia" w:ascii="仿宋" w:hAnsi="仿宋" w:eastAsia="仿宋" w:cs="仿宋"/>
          <w:kern w:val="0"/>
          <w:szCs w:val="21"/>
        </w:rPr>
        <w:t xml:space="preserve">编制单位：新疆昌吉职业技术学院                       </w:t>
      </w:r>
      <w:r>
        <w:rPr>
          <w:rFonts w:hint="eastAsia" w:ascii="仿宋" w:hAnsi="仿宋" w:eastAsia="仿宋" w:cs="仿宋"/>
          <w:kern w:val="0"/>
          <w:szCs w:val="21"/>
          <w:lang w:val="en-US" w:eastAsia="zh-CN"/>
        </w:rPr>
        <w:t xml:space="preserve">       </w:t>
      </w:r>
      <w:r>
        <w:rPr>
          <w:rFonts w:hint="eastAsia" w:ascii="仿宋" w:hAnsi="仿宋" w:eastAsia="仿宋" w:cs="仿宋"/>
          <w:kern w:val="0"/>
          <w:szCs w:val="21"/>
        </w:rPr>
        <w:t xml:space="preserve">        </w:t>
      </w:r>
      <w:r>
        <w:rPr>
          <w:rFonts w:hint="eastAsia" w:ascii="仿宋" w:hAnsi="仿宋" w:eastAsia="仿宋" w:cs="仿宋"/>
          <w:kern w:val="0"/>
          <w:szCs w:val="21"/>
          <w:lang w:val="en-US" w:eastAsia="zh-CN"/>
        </w:rPr>
        <w:t xml:space="preserve">  </w:t>
      </w:r>
      <w:r>
        <w:rPr>
          <w:rFonts w:hint="eastAsia" w:ascii="仿宋" w:hAnsi="仿宋" w:eastAsia="仿宋" w:cs="仿宋"/>
          <w:kern w:val="0"/>
          <w:szCs w:val="21"/>
        </w:rPr>
        <w:t xml:space="preserve">  单位：万元</w:t>
      </w:r>
    </w:p>
    <w:tbl>
      <w:tblPr>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1078"/>
        <w:gridCol w:w="990"/>
        <w:gridCol w:w="817"/>
        <w:gridCol w:w="903"/>
        <w:gridCol w:w="1365"/>
      </w:tblGrid>
      <w:tr>
        <w:trPr>
          <w:gridAfter w:val="1"/>
          <w:wAfter w:w="1365"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 w:hAnsi="仿宋" w:eastAsia="仿宋" w:cs="仿宋"/>
                <w:b/>
                <w:bCs/>
                <w:kern w:val="0"/>
                <w:sz w:val="24"/>
              </w:rPr>
            </w:pPr>
            <w:r>
              <w:rPr>
                <w:rFonts w:hint="eastAsia" w:ascii="仿宋" w:hAnsi="仿宋" w:eastAsia="仿宋" w:cs="仿宋"/>
                <w:b/>
                <w:bCs/>
                <w:kern w:val="0"/>
                <w:sz w:val="24"/>
              </w:rPr>
              <w:t>财政拨款收入</w:t>
            </w:r>
          </w:p>
        </w:tc>
        <w:tc>
          <w:tcPr>
            <w:tcW w:w="6176"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 w:hAnsi="仿宋" w:eastAsia="仿宋" w:cs="仿宋"/>
                <w:b/>
                <w:bCs/>
                <w:kern w:val="0"/>
                <w:sz w:val="24"/>
              </w:rPr>
            </w:pPr>
            <w:r>
              <w:rPr>
                <w:rFonts w:hint="eastAsia" w:ascii="仿宋" w:hAnsi="仿宋" w:eastAsia="仿宋" w:cs="仿宋"/>
                <w:b/>
                <w:bCs/>
                <w:kern w:val="0"/>
                <w:sz w:val="24"/>
              </w:rPr>
              <w:t>财政拨款支出</w:t>
            </w:r>
          </w:p>
        </w:tc>
      </w:tr>
      <w:tr>
        <w:trPr>
          <w:gridAfter w:val="1"/>
          <w:wAfter w:w="1365"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kern w:val="0"/>
                <w:sz w:val="20"/>
                <w:szCs w:val="20"/>
              </w:rPr>
            </w:pPr>
            <w:r>
              <w:rPr>
                <w:rFonts w:hint="eastAsia" w:ascii="仿宋" w:hAnsi="仿宋" w:eastAsia="仿宋" w:cs="仿宋"/>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kern w:val="0"/>
                <w:sz w:val="20"/>
                <w:szCs w:val="20"/>
              </w:rPr>
            </w:pPr>
            <w:r>
              <w:rPr>
                <w:rFonts w:hint="eastAsia" w:ascii="仿宋" w:hAnsi="仿宋" w:eastAsia="仿宋" w:cs="仿宋"/>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kern w:val="0"/>
                <w:sz w:val="20"/>
                <w:szCs w:val="20"/>
              </w:rPr>
            </w:pPr>
            <w:r>
              <w:rPr>
                <w:rFonts w:hint="eastAsia" w:ascii="仿宋" w:hAnsi="仿宋" w:eastAsia="仿宋" w:cs="仿宋"/>
                <w:b/>
                <w:kern w:val="0"/>
                <w:sz w:val="20"/>
                <w:szCs w:val="20"/>
              </w:rPr>
              <w:t>功  能  分  类</w:t>
            </w: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kern w:val="0"/>
                <w:sz w:val="20"/>
                <w:szCs w:val="20"/>
              </w:rPr>
            </w:pPr>
            <w:r>
              <w:rPr>
                <w:rFonts w:hint="eastAsia" w:ascii="仿宋" w:hAnsi="仿宋" w:eastAsia="仿宋" w:cs="仿宋"/>
                <w:b/>
                <w:kern w:val="0"/>
                <w:sz w:val="20"/>
                <w:szCs w:val="20"/>
              </w:rPr>
              <w:t>合 计</w:t>
            </w:r>
          </w:p>
        </w:tc>
        <w:tc>
          <w:tcPr>
            <w:tcW w:w="99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kern w:val="0"/>
                <w:sz w:val="20"/>
                <w:szCs w:val="20"/>
              </w:rPr>
            </w:pPr>
            <w:r>
              <w:rPr>
                <w:rFonts w:hint="eastAsia" w:ascii="仿宋" w:hAnsi="仿宋" w:eastAsia="仿宋" w:cs="仿宋"/>
                <w:b/>
                <w:kern w:val="0"/>
                <w:sz w:val="20"/>
                <w:szCs w:val="20"/>
              </w:rPr>
              <w:t>一般公共预算</w:t>
            </w:r>
          </w:p>
        </w:tc>
        <w:tc>
          <w:tcPr>
            <w:tcW w:w="81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kern w:val="0"/>
                <w:sz w:val="20"/>
                <w:szCs w:val="20"/>
              </w:rPr>
            </w:pPr>
            <w:r>
              <w:rPr>
                <w:rFonts w:hint="eastAsia" w:ascii="仿宋" w:hAnsi="仿宋" w:eastAsia="仿宋" w:cs="仿宋"/>
                <w:b/>
                <w:kern w:val="0"/>
                <w:sz w:val="20"/>
                <w:szCs w:val="20"/>
              </w:rPr>
              <w:t>政府性基金预算</w:t>
            </w:r>
          </w:p>
        </w:tc>
        <w:tc>
          <w:tcPr>
            <w:tcW w:w="903"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kern w:val="0"/>
                <w:sz w:val="20"/>
                <w:szCs w:val="20"/>
              </w:rPr>
            </w:pPr>
            <w:r>
              <w:rPr>
                <w:rFonts w:hint="eastAsia" w:ascii="仿宋" w:hAnsi="仿宋" w:eastAsia="仿宋" w:cs="仿宋"/>
                <w:b/>
                <w:kern w:val="0"/>
                <w:sz w:val="20"/>
                <w:szCs w:val="20"/>
              </w:rPr>
              <w:t>国有资本经营预算</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color w:val="000000"/>
                <w:kern w:val="0"/>
                <w:sz w:val="20"/>
                <w:szCs w:val="20"/>
              </w:rPr>
            </w:pPr>
            <w:r>
              <w:rPr>
                <w:rFonts w:hint="eastAsia" w:ascii="仿宋" w:hAnsi="仿宋" w:eastAsia="仿宋" w:cs="仿宋"/>
                <w:color w:val="000000"/>
                <w:kern w:val="0"/>
                <w:sz w:val="20"/>
                <w:szCs w:val="20"/>
              </w:rPr>
              <w:t>11381.66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201 一般公共服务支出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color w:val="000000"/>
                <w:kern w:val="0"/>
                <w:sz w:val="20"/>
                <w:szCs w:val="20"/>
              </w:rPr>
            </w:pPr>
            <w:r>
              <w:rPr>
                <w:rFonts w:hint="eastAsia" w:ascii="仿宋" w:hAnsi="仿宋" w:eastAsia="仿宋" w:cs="仿宋"/>
                <w:color w:val="000000"/>
                <w:sz w:val="20"/>
                <w:szCs w:val="20"/>
              </w:rPr>
              <w:t>11381.66</w:t>
            </w:r>
            <w:r>
              <w:rPr>
                <w:rFonts w:hint="eastAsia" w:ascii="仿宋" w:hAnsi="仿宋" w:eastAsia="仿宋" w:cs="仿宋"/>
                <w:color w:val="000000"/>
                <w:kern w:val="0"/>
                <w:sz w:val="20"/>
                <w:szCs w:val="20"/>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202 外交支出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203 国防支出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 w:hAnsi="仿宋" w:eastAsia="仿宋" w:cs="仿宋"/>
                <w:kern w:val="0"/>
                <w:sz w:val="18"/>
                <w:szCs w:val="18"/>
              </w:rPr>
            </w:pPr>
            <w:r>
              <w:rPr>
                <w:rFonts w:hint="eastAsia" w:ascii="仿宋" w:hAnsi="仿宋" w:eastAsia="仿宋" w:cs="仿宋"/>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204 公共安全支出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205 教育支出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8726.83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8726.83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206 科学技术支出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207 文化旅游体育与传媒支出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208 社会保障和就业支出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1441.77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1441.77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209 社会保险基金支出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210卫生健康支出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1213.06</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1213.06</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211 节能环保支出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20"/>
                <w:szCs w:val="20"/>
              </w:rPr>
            </w:pPr>
            <w:r>
              <w:rPr>
                <w:rFonts w:hint="eastAsia" w:ascii="仿宋" w:hAnsi="仿宋" w:eastAsia="仿宋" w:cs="仿宋"/>
                <w:kern w:val="0"/>
                <w:sz w:val="20"/>
                <w:szCs w:val="20"/>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212 城乡社区支出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213 农林水支出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214 交通运输支出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215 资源勘探工业信息等支出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216 商业服务业等支出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217 金融支出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219 援助其他地区支出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220 自然资源海洋气象等支出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221 住房保障支出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222 粮油物资储备支出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223 国有资本经营预算支出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224灾害防治及应急管理支出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227 预备费</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229 其他支出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230转移性支出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231 债务还本支出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color w:val="000000"/>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232 债务付息支出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color w:val="000000"/>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233 债务发行费用支出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spacing w:line="28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trPr>
          <w:gridAfter w:val="1"/>
          <w:wAfter w:w="1365"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 w:hAnsi="仿宋" w:eastAsia="仿宋" w:cs="仿宋"/>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 w:hAnsi="仿宋" w:eastAsia="仿宋" w:cs="仿宋"/>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 w:hAnsi="仿宋" w:eastAsia="仿宋" w:cs="仿宋"/>
                <w:kern w:val="0"/>
                <w:sz w:val="18"/>
                <w:szCs w:val="18"/>
              </w:rPr>
            </w:pPr>
            <w:r>
              <w:rPr>
                <w:rFonts w:hint="eastAsia" w:ascii="仿宋" w:hAnsi="仿宋" w:eastAsia="仿宋" w:cs="仿宋"/>
                <w:kern w:val="0"/>
                <w:sz w:val="18"/>
                <w:szCs w:val="18"/>
              </w:rPr>
              <w:t>234 抗疫特别国债还本支出</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r>
      <w:tr>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kern w:val="0"/>
                <w:sz w:val="18"/>
                <w:szCs w:val="18"/>
              </w:rPr>
            </w:pPr>
            <w:r>
              <w:rPr>
                <w:rFonts w:hint="eastAsia" w:ascii="仿宋" w:hAnsi="仿宋" w:eastAsia="仿宋" w:cs="仿宋"/>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color w:val="000000"/>
                <w:kern w:val="0"/>
                <w:sz w:val="18"/>
                <w:szCs w:val="18"/>
              </w:rPr>
            </w:pPr>
            <w:r>
              <w:rPr>
                <w:rFonts w:hint="eastAsia" w:ascii="仿宋" w:hAnsi="仿宋" w:eastAsia="仿宋" w:cs="仿宋"/>
                <w:color w:val="000000"/>
                <w:sz w:val="18"/>
                <w:szCs w:val="18"/>
              </w:rPr>
              <w:t>11381.66</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kern w:val="0"/>
                <w:sz w:val="18"/>
                <w:szCs w:val="18"/>
              </w:rPr>
            </w:pPr>
            <w:r>
              <w:rPr>
                <w:rFonts w:hint="eastAsia" w:ascii="仿宋" w:hAnsi="仿宋" w:eastAsia="仿宋" w:cs="仿宋"/>
                <w:kern w:val="0"/>
                <w:sz w:val="18"/>
                <w:szCs w:val="18"/>
              </w:rPr>
              <w:t>支  出  总  计</w:t>
            </w:r>
          </w:p>
        </w:tc>
        <w:tc>
          <w:tcPr>
            <w:tcW w:w="1078"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color w:val="000000"/>
                <w:sz w:val="18"/>
                <w:szCs w:val="18"/>
              </w:rPr>
              <w:t>11381.66</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r>
              <w:rPr>
                <w:rFonts w:hint="eastAsia" w:ascii="仿宋" w:hAnsi="仿宋" w:eastAsia="仿宋" w:cs="仿宋"/>
                <w:color w:val="000000"/>
                <w:sz w:val="18"/>
                <w:szCs w:val="18"/>
              </w:rPr>
              <w:t>11381.66</w:t>
            </w:r>
            <w:r>
              <w:rPr>
                <w:rFonts w:hint="eastAsia" w:ascii="仿宋" w:hAnsi="仿宋" w:eastAsia="仿宋" w:cs="仿宋"/>
                <w:color w:val="000000"/>
                <w:kern w:val="0"/>
                <w:sz w:val="18"/>
                <w:szCs w:val="18"/>
              </w:rPr>
              <w:t>　</w:t>
            </w:r>
          </w:p>
        </w:tc>
        <w:tc>
          <w:tcPr>
            <w:tcW w:w="817"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903" w:type="dxa"/>
            <w:tcBorders>
              <w:top w:val="nil"/>
              <w:left w:val="nil"/>
              <w:bottom w:val="single" w:color="auto" w:sz="4" w:space="0"/>
              <w:right w:val="single" w:color="auto" w:sz="4" w:space="0"/>
            </w:tcBorders>
            <w:vAlign w:val="center"/>
          </w:tcPr>
          <w:p>
            <w:pPr>
              <w:widowControl/>
              <w:spacing w:line="280" w:lineRule="exact"/>
              <w:jc w:val="right"/>
              <w:rPr>
                <w:rFonts w:ascii="仿宋" w:hAnsi="仿宋" w:eastAsia="仿宋" w:cs="仿宋"/>
                <w:kern w:val="0"/>
                <w:sz w:val="18"/>
                <w:szCs w:val="18"/>
              </w:rPr>
            </w:pPr>
          </w:p>
        </w:tc>
        <w:tc>
          <w:tcPr>
            <w:tcW w:w="1365" w:type="dxa"/>
            <w:vAlign w:val="center"/>
          </w:tcPr>
          <w:p>
            <w:pPr>
              <w:widowControl/>
              <w:spacing w:line="280" w:lineRule="exact"/>
              <w:jc w:val="right"/>
              <w:rPr>
                <w:rFonts w:ascii="仿宋" w:hAnsi="仿宋" w:eastAsia="仿宋" w:cs="仿宋"/>
                <w:kern w:val="0"/>
                <w:sz w:val="18"/>
                <w:szCs w:val="18"/>
              </w:rPr>
            </w:pPr>
          </w:p>
        </w:tc>
      </w:tr>
    </w:tbl>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表五：</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905"/>
        <w:gridCol w:w="779"/>
        <w:gridCol w:w="216"/>
        <w:gridCol w:w="1626"/>
        <w:gridCol w:w="1701"/>
      </w:tblGrid>
      <w:tr>
        <w:trPr>
          <w:trHeight w:val="450" w:hRule="atLeast"/>
        </w:trPr>
        <w:tc>
          <w:tcPr>
            <w:tcW w:w="9214" w:type="dxa"/>
            <w:gridSpan w:val="9"/>
            <w:tcBorders>
              <w:top w:val="nil"/>
              <w:left w:val="nil"/>
              <w:bottom w:val="nil"/>
              <w:right w:val="nil"/>
            </w:tcBorders>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一般公共预算支出情况表</w:t>
            </w:r>
          </w:p>
        </w:tc>
      </w:tr>
      <w:tr>
        <w:trPr>
          <w:trHeight w:val="285" w:hRule="atLeast"/>
        </w:trPr>
        <w:tc>
          <w:tcPr>
            <w:tcW w:w="4892" w:type="dxa"/>
            <w:gridSpan w:val="5"/>
            <w:tcBorders>
              <w:top w:val="nil"/>
              <w:left w:val="nil"/>
              <w:bottom w:val="nil"/>
              <w:right w:val="nil"/>
            </w:tcBorders>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编制单位：新疆昌吉职业技术学院</w:t>
            </w:r>
          </w:p>
        </w:tc>
        <w:tc>
          <w:tcPr>
            <w:tcW w:w="995" w:type="dxa"/>
            <w:gridSpan w:val="2"/>
            <w:tcBorders>
              <w:top w:val="nil"/>
              <w:left w:val="nil"/>
              <w:bottom w:val="nil"/>
              <w:right w:val="nil"/>
            </w:tcBorders>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 w:hAnsi="仿宋" w:eastAsia="仿宋" w:cs="仿宋"/>
                <w:color w:val="000000"/>
                <w:kern w:val="0"/>
                <w:sz w:val="24"/>
              </w:rPr>
            </w:pPr>
            <w:r>
              <w:rPr>
                <w:rFonts w:hint="eastAsia" w:ascii="仿宋" w:hAnsi="仿宋" w:eastAsia="仿宋" w:cs="仿宋"/>
                <w:color w:val="000000"/>
                <w:kern w:val="0"/>
                <w:sz w:val="24"/>
              </w:rPr>
              <w:t>单位：万元</w:t>
            </w:r>
          </w:p>
        </w:tc>
      </w:tr>
      <w:tr>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一般公共预算支出</w:t>
            </w:r>
          </w:p>
        </w:tc>
      </w:tr>
      <w:tr>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项目支出</w:t>
            </w:r>
          </w:p>
        </w:tc>
      </w:tr>
      <w:tr>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b/>
                <w:color w:val="000000"/>
                <w:kern w:val="0"/>
                <w:sz w:val="20"/>
                <w:szCs w:val="20"/>
              </w:rPr>
            </w:pPr>
            <w:r>
              <w:rPr>
                <w:rFonts w:hint="eastAsia" w:ascii="仿宋" w:hAnsi="仿宋" w:eastAsia="仿宋" w:cs="仿宋"/>
                <w:kern w:val="0"/>
                <w:sz w:val="20"/>
                <w:szCs w:val="20"/>
              </w:rPr>
              <w:t>205</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b/>
                <w:color w:val="000000"/>
                <w:kern w:val="0"/>
                <w:sz w:val="20"/>
                <w:szCs w:val="20"/>
              </w:rPr>
            </w:pPr>
            <w:r>
              <w:rPr>
                <w:rFonts w:hint="eastAsia" w:ascii="仿宋" w:hAnsi="仿宋" w:eastAsia="仿宋" w:cs="仿宋"/>
                <w:color w:val="000000"/>
                <w:sz w:val="20"/>
                <w:szCs w:val="20"/>
              </w:rPr>
              <w:t xml:space="preserve"> 教育支出</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b/>
                <w:color w:val="000000"/>
                <w:kern w:val="0"/>
                <w:sz w:val="20"/>
                <w:szCs w:val="20"/>
              </w:rPr>
            </w:pPr>
            <w:r>
              <w:rPr>
                <w:rFonts w:hint="eastAsia" w:ascii="仿宋" w:hAnsi="仿宋" w:eastAsia="仿宋" w:cs="仿宋"/>
                <w:color w:val="000000"/>
                <w:sz w:val="20"/>
                <w:szCs w:val="20"/>
              </w:rPr>
              <w:t>8726.83</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b/>
                <w:color w:val="000000"/>
                <w:kern w:val="0"/>
                <w:sz w:val="20"/>
                <w:szCs w:val="20"/>
              </w:rPr>
            </w:pPr>
            <w:r>
              <w:rPr>
                <w:rFonts w:hint="eastAsia" w:ascii="仿宋" w:hAnsi="仿宋" w:eastAsia="仿宋" w:cs="仿宋"/>
                <w:bCs/>
                <w:color w:val="000000"/>
                <w:kern w:val="0"/>
                <w:sz w:val="20"/>
                <w:szCs w:val="20"/>
              </w:rPr>
              <w:t>6706.83</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bCs/>
                <w:color w:val="000000"/>
                <w:kern w:val="0"/>
                <w:sz w:val="20"/>
                <w:szCs w:val="20"/>
              </w:rPr>
            </w:pPr>
            <w:r>
              <w:rPr>
                <w:rFonts w:hint="eastAsia" w:ascii="仿宋" w:hAnsi="仿宋" w:eastAsia="仿宋" w:cs="仿宋"/>
                <w:bCs/>
                <w:color w:val="000000"/>
                <w:kern w:val="0"/>
                <w:sz w:val="20"/>
                <w:szCs w:val="20"/>
              </w:rPr>
              <w:t>2020.00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205</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03</w:t>
            </w: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职业教育</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8726.83</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6706.83</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bCs/>
                <w:color w:val="000000"/>
                <w:kern w:val="0"/>
                <w:sz w:val="20"/>
                <w:szCs w:val="20"/>
              </w:rPr>
            </w:pPr>
            <w:r>
              <w:rPr>
                <w:rFonts w:hint="eastAsia" w:ascii="仿宋" w:hAnsi="仿宋" w:eastAsia="仿宋" w:cs="仿宋"/>
                <w:bCs/>
                <w:color w:val="000000"/>
                <w:kern w:val="0"/>
                <w:sz w:val="20"/>
                <w:szCs w:val="20"/>
              </w:rPr>
              <w:t>2020.00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205</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03</w:t>
            </w: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02</w:t>
            </w: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中等职业教育</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3284.25</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2565.65</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bCs/>
                <w:color w:val="000000"/>
                <w:kern w:val="0"/>
                <w:sz w:val="20"/>
                <w:szCs w:val="20"/>
              </w:rPr>
            </w:pPr>
            <w:r>
              <w:rPr>
                <w:rFonts w:hint="eastAsia" w:ascii="仿宋" w:hAnsi="仿宋" w:eastAsia="仿宋" w:cs="仿宋"/>
                <w:bCs/>
                <w:color w:val="000000"/>
                <w:sz w:val="20"/>
                <w:szCs w:val="20"/>
              </w:rPr>
              <w:t>718.60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205</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03</w:t>
            </w: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05</w:t>
            </w: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高等职业教育</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5442.58</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4141.18</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bCs/>
                <w:color w:val="000000"/>
                <w:kern w:val="0"/>
                <w:sz w:val="20"/>
                <w:szCs w:val="20"/>
              </w:rPr>
            </w:pPr>
            <w:r>
              <w:rPr>
                <w:rFonts w:hint="eastAsia" w:ascii="仿宋" w:hAnsi="仿宋" w:eastAsia="仿宋" w:cs="仿宋"/>
                <w:bCs/>
                <w:color w:val="000000"/>
                <w:sz w:val="20"/>
                <w:szCs w:val="20"/>
              </w:rPr>
              <w:t>1301.40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kern w:val="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 xml:space="preserve"> 社会保障和就业支出</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1441.77</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1441.77</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行政事业单位养老支出</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1441.77</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1441.77</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05</w:t>
            </w: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961.18</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961.18</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06</w:t>
            </w: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机关事业单位职业年金缴费支出</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480.59</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480.59</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kern w:val="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卫生健康支出</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1213.06</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1213.06</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行政事业单位医疗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1213.06</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1213.06</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02</w:t>
            </w: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895.82</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895.82</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03</w:t>
            </w: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288.59</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288.59</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99</w:t>
            </w:r>
          </w:p>
        </w:tc>
        <w:tc>
          <w:tcPr>
            <w:tcW w:w="2510"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其他行政事业单位医疗支出</w:t>
            </w:r>
          </w:p>
        </w:tc>
        <w:tc>
          <w:tcPr>
            <w:tcW w:w="1684"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28.65</w:t>
            </w:r>
          </w:p>
        </w:tc>
        <w:tc>
          <w:tcPr>
            <w:tcW w:w="1842" w:type="dxa"/>
            <w:gridSpan w:val="2"/>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28.65</w:t>
            </w: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sz w:val="20"/>
                <w:szCs w:val="20"/>
              </w:rPr>
              <w:t>11381.66</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9361.66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2020.00</w:t>
            </w:r>
          </w:p>
        </w:tc>
      </w:tr>
    </w:tbl>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hint="eastAsia" w:ascii="仿宋" w:hAnsi="仿宋" w:eastAsia="仿宋" w:cs="仿宋"/>
          <w:b/>
          <w:kern w:val="0"/>
          <w:sz w:val="32"/>
          <w:szCs w:val="32"/>
        </w:rPr>
      </w:pP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表六：</w:t>
      </w: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rPr>
          <w:trHeight w:val="375" w:hRule="atLeast"/>
        </w:trPr>
        <w:tc>
          <w:tcPr>
            <w:tcW w:w="9328" w:type="dxa"/>
            <w:gridSpan w:val="8"/>
            <w:tcBorders>
              <w:top w:val="nil"/>
              <w:left w:val="nil"/>
              <w:bottom w:val="nil"/>
              <w:right w:val="nil"/>
            </w:tcBorders>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一般公共预算基本支出情况表</w:t>
            </w:r>
          </w:p>
        </w:tc>
      </w:tr>
      <w:tr>
        <w:trPr>
          <w:trHeight w:val="405" w:hRule="atLeast"/>
        </w:trPr>
        <w:tc>
          <w:tcPr>
            <w:tcW w:w="5220" w:type="dxa"/>
            <w:gridSpan w:val="4"/>
            <w:tcBorders>
              <w:top w:val="nil"/>
              <w:left w:val="nil"/>
              <w:bottom w:val="nil"/>
              <w:right w:val="nil"/>
            </w:tcBorders>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编制单位：新疆昌吉职业技术学院</w:t>
            </w:r>
          </w:p>
        </w:tc>
        <w:tc>
          <w:tcPr>
            <w:tcW w:w="1682" w:type="dxa"/>
            <w:gridSpan w:val="2"/>
            <w:tcBorders>
              <w:top w:val="nil"/>
              <w:left w:val="nil"/>
              <w:bottom w:val="nil"/>
              <w:right w:val="nil"/>
            </w:tcBorders>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 w:hAnsi="仿宋" w:eastAsia="仿宋" w:cs="仿宋"/>
                <w:color w:val="000000"/>
                <w:kern w:val="0"/>
                <w:sz w:val="24"/>
              </w:rPr>
            </w:pPr>
            <w:r>
              <w:rPr>
                <w:rFonts w:hint="eastAsia" w:ascii="仿宋" w:hAnsi="仿宋" w:eastAsia="仿宋" w:cs="仿宋"/>
                <w:color w:val="000000"/>
                <w:kern w:val="0"/>
                <w:sz w:val="24"/>
              </w:rPr>
              <w:t xml:space="preserve">  单位：万元</w:t>
            </w:r>
          </w:p>
        </w:tc>
      </w:tr>
      <w:tr>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一般公共预算基本支出</w:t>
            </w:r>
          </w:p>
        </w:tc>
      </w:tr>
      <w:tr>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仿宋"/>
                <w:b/>
                <w:bCs/>
                <w:color w:val="000000"/>
                <w:kern w:val="0"/>
                <w:szCs w:val="21"/>
              </w:rPr>
            </w:pPr>
            <w:r>
              <w:rPr>
                <w:rFonts w:hint="eastAsia" w:ascii="仿宋" w:hAnsi="仿宋" w:eastAsia="仿宋" w:cs="仿宋"/>
                <w:b/>
                <w:bCs/>
                <w:color w:val="000000"/>
                <w:kern w:val="0"/>
                <w:szCs w:val="21"/>
              </w:rPr>
              <w:t>公用经费</w:t>
            </w: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仿宋"/>
                <w:b/>
                <w:bCs/>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9038.83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9038.83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2274.3</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2274.3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1553.66</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1553.66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46.2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46.2</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24.1</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24.1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156.22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156.22</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109.26</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109.26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294.21</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294.21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151.83</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151.83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379.21</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379.21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197.81</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197.81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252.81</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252.81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131.88</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131.88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438.79</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438.79</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18"/>
                <w:szCs w:val="18"/>
                <w:highlight w:val="yellow"/>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282.1</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282.1</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18"/>
                <w:szCs w:val="18"/>
                <w:highlight w:val="yellow"/>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5.22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5.22</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18"/>
                <w:szCs w:val="18"/>
                <w:highlight w:val="yellow"/>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43.2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43.2</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18"/>
                <w:szCs w:val="18"/>
                <w:highlight w:val="yellow"/>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43.2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43.2</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18"/>
                <w:szCs w:val="18"/>
                <w:highlight w:val="yellow"/>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585.05</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585.05</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376.13</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376.13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职业年金缴费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292.52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292.52</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职业年金缴费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188.07</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188.07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672.49</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672.49</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223.33</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223.33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bl>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1701"/>
        <w:gridCol w:w="1701"/>
        <w:gridCol w:w="1701"/>
      </w:tblGrid>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公务员医疗补助缴费</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218.07</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218.07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公务员医疗补助缴费</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70.52</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70.52</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其他社会保障缴费</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12.15</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12.15</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其他社会保障缴费</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4.86</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4.86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其他社会保障缴费</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8.31</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8.31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其他社会保障缴费</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3.33</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3.33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商品和服务支出</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222.66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highlight w:val="yellow"/>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222.66</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培训费</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14.45</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14.45</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培训费</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0.34</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0.34</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福利费</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104.62</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104.62</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福利费</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highlight w:val="yellow"/>
              </w:rPr>
            </w:pPr>
            <w:r>
              <w:rPr>
                <w:rFonts w:hint="eastAsia" w:ascii="仿宋" w:hAnsi="仿宋" w:eastAsia="仿宋" w:cs="仿宋"/>
                <w:color w:val="000000"/>
                <w:kern w:val="0"/>
                <w:sz w:val="20"/>
                <w:szCs w:val="20"/>
              </w:rPr>
              <w:t>71.47</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highlight w:val="yellow"/>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71.47</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商品和服务支出</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31.78</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31.78</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对个人和家庭的补助</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100.17</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100.17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对个人和家庭的补助支出</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1.38</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离休费</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7.8</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7.8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生活补助</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2.83</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2.83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奖励金</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39.76</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39.76</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14</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对个人和家庭的补助支出</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48.4</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48.4</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9361.66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9139.00</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222.66</w:t>
            </w:r>
          </w:p>
        </w:tc>
      </w:tr>
    </w:tbl>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表七：</w:t>
      </w:r>
    </w:p>
    <w:tbl>
      <w:tblPr>
        <w:tblW w:w="9461"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532"/>
        <w:gridCol w:w="510"/>
        <w:gridCol w:w="465"/>
        <w:gridCol w:w="861"/>
        <w:gridCol w:w="1122"/>
        <w:gridCol w:w="972"/>
        <w:gridCol w:w="975"/>
        <w:gridCol w:w="1110"/>
        <w:gridCol w:w="240"/>
        <w:gridCol w:w="480"/>
        <w:gridCol w:w="240"/>
        <w:gridCol w:w="330"/>
        <w:gridCol w:w="387"/>
        <w:gridCol w:w="420"/>
        <w:gridCol w:w="420"/>
        <w:gridCol w:w="327"/>
        <w:gridCol w:w="62"/>
      </w:tblGrid>
      <w:tr>
        <w:trPr>
          <w:gridBefore w:val="1"/>
          <w:wBefore w:w="8" w:type="dxa"/>
          <w:trHeight w:val="375" w:hRule="atLeast"/>
        </w:trPr>
        <w:tc>
          <w:tcPr>
            <w:tcW w:w="9453" w:type="dxa"/>
            <w:gridSpan w:val="17"/>
            <w:tcBorders>
              <w:top w:val="nil"/>
              <w:left w:val="nil"/>
              <w:bottom w:val="nil"/>
              <w:right w:val="nil"/>
            </w:tcBorders>
            <w:vAlign w:val="center"/>
          </w:tcPr>
          <w:p>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一般公共预算项目支出情况表</w:t>
            </w:r>
          </w:p>
        </w:tc>
      </w:tr>
      <w:tr>
        <w:trPr>
          <w:gridBefore w:val="1"/>
          <w:wBefore w:w="8" w:type="dxa"/>
          <w:trHeight w:val="405" w:hRule="atLeast"/>
        </w:trPr>
        <w:tc>
          <w:tcPr>
            <w:tcW w:w="6547" w:type="dxa"/>
            <w:gridSpan w:val="8"/>
            <w:tcBorders>
              <w:top w:val="nil"/>
              <w:left w:val="nil"/>
              <w:bottom w:val="nil"/>
              <w:right w:val="nil"/>
            </w:tcBorders>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编制单位：新疆昌吉职业技术学院</w:t>
            </w:r>
          </w:p>
        </w:tc>
        <w:tc>
          <w:tcPr>
            <w:tcW w:w="720" w:type="dxa"/>
            <w:gridSpan w:val="2"/>
            <w:tcBorders>
              <w:top w:val="nil"/>
              <w:left w:val="nil"/>
              <w:bottom w:val="nil"/>
              <w:right w:val="nil"/>
            </w:tcBorders>
            <w:vAlign w:val="center"/>
          </w:tcPr>
          <w:p>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2186" w:type="dxa"/>
            <w:gridSpan w:val="7"/>
            <w:tcBorders>
              <w:top w:val="nil"/>
              <w:left w:val="nil"/>
              <w:bottom w:val="nil"/>
              <w:right w:val="nil"/>
            </w:tcBorders>
            <w:vAlign w:val="center"/>
          </w:tcPr>
          <w:p>
            <w:pPr>
              <w:widowControl/>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630" w:hRule="atLeast"/>
        </w:trPr>
        <w:tc>
          <w:tcPr>
            <w:tcW w:w="1515" w:type="dxa"/>
            <w:gridSpan w:val="4"/>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科 目 编 码</w:t>
            </w:r>
          </w:p>
        </w:tc>
        <w:tc>
          <w:tcPr>
            <w:tcW w:w="861"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科目</w:t>
            </w:r>
          </w:p>
        </w:tc>
        <w:tc>
          <w:tcPr>
            <w:tcW w:w="1122" w:type="dxa"/>
            <w:vMerge w:val="restart"/>
            <w:vAlign w:val="center"/>
          </w:tcPr>
          <w:p>
            <w:pPr>
              <w:jc w:val="center"/>
              <w:rPr>
                <w:rFonts w:ascii="仿宋" w:hAnsi="仿宋" w:eastAsia="仿宋" w:cs="仿宋"/>
                <w:sz w:val="24"/>
              </w:rPr>
            </w:pPr>
            <w:r>
              <w:rPr>
                <w:rFonts w:hint="eastAsia" w:ascii="仿宋" w:hAnsi="仿宋" w:eastAsia="仿宋" w:cs="仿宋"/>
                <w:b/>
                <w:kern w:val="0"/>
                <w:sz w:val="24"/>
              </w:rPr>
              <w:t>项目名称</w:t>
            </w:r>
          </w:p>
        </w:tc>
        <w:tc>
          <w:tcPr>
            <w:tcW w:w="972"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项目支出合计</w:t>
            </w:r>
          </w:p>
        </w:tc>
        <w:tc>
          <w:tcPr>
            <w:tcW w:w="975"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工资福利支出</w:t>
            </w:r>
          </w:p>
        </w:tc>
        <w:tc>
          <w:tcPr>
            <w:tcW w:w="1110"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商品和服务支出</w:t>
            </w:r>
          </w:p>
        </w:tc>
        <w:tc>
          <w:tcPr>
            <w:tcW w:w="240"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对个人和家庭的补助</w:t>
            </w:r>
          </w:p>
        </w:tc>
        <w:tc>
          <w:tcPr>
            <w:tcW w:w="480"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债务利息及费用支出</w:t>
            </w:r>
          </w:p>
        </w:tc>
        <w:tc>
          <w:tcPr>
            <w:tcW w:w="240"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资本性支出（基本建设）</w:t>
            </w:r>
          </w:p>
        </w:tc>
        <w:tc>
          <w:tcPr>
            <w:tcW w:w="330"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资本性支出</w:t>
            </w:r>
          </w:p>
        </w:tc>
        <w:tc>
          <w:tcPr>
            <w:tcW w:w="387"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对企业补助（基本建设）</w:t>
            </w:r>
          </w:p>
        </w:tc>
        <w:tc>
          <w:tcPr>
            <w:tcW w:w="420"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对企业补助</w:t>
            </w:r>
          </w:p>
        </w:tc>
        <w:tc>
          <w:tcPr>
            <w:tcW w:w="420"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对社会保障基金补助</w:t>
            </w:r>
          </w:p>
        </w:tc>
        <w:tc>
          <w:tcPr>
            <w:tcW w:w="327" w:type="dxa"/>
            <w:vMerge w:val="restart"/>
            <w:vAlign w:val="center"/>
          </w:tcPr>
          <w:p>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1367" w:hRule="atLeast"/>
        </w:trPr>
        <w:tc>
          <w:tcPr>
            <w:tcW w:w="540" w:type="dxa"/>
            <w:gridSpan w:val="2"/>
            <w:tcBorders>
              <w:bottom w:val="single" w:color="auto" w:sz="4" w:space="0"/>
            </w:tcBorders>
            <w:vAlign w:val="center"/>
          </w:tcPr>
          <w:p>
            <w:pPr>
              <w:widowControl/>
              <w:jc w:val="left"/>
              <w:outlineLvl w:val="1"/>
              <w:rPr>
                <w:rFonts w:ascii="仿宋" w:hAnsi="仿宋" w:eastAsia="仿宋" w:cs="仿宋"/>
                <w:b/>
                <w:kern w:val="0"/>
                <w:sz w:val="18"/>
                <w:szCs w:val="18"/>
              </w:rPr>
            </w:pPr>
            <w:r>
              <w:rPr>
                <w:rFonts w:hint="eastAsia" w:ascii="仿宋" w:hAnsi="仿宋" w:eastAsia="仿宋" w:cs="仿宋"/>
                <w:b/>
                <w:kern w:val="0"/>
                <w:sz w:val="18"/>
                <w:szCs w:val="18"/>
              </w:rPr>
              <w:t>类</w:t>
            </w:r>
          </w:p>
        </w:tc>
        <w:tc>
          <w:tcPr>
            <w:tcW w:w="510" w:type="dxa"/>
            <w:tcBorders>
              <w:bottom w:val="single" w:color="auto" w:sz="4" w:space="0"/>
            </w:tcBorders>
            <w:vAlign w:val="center"/>
          </w:tcPr>
          <w:p>
            <w:pPr>
              <w:widowControl/>
              <w:jc w:val="left"/>
              <w:outlineLvl w:val="1"/>
              <w:rPr>
                <w:rFonts w:ascii="仿宋" w:hAnsi="仿宋" w:eastAsia="仿宋" w:cs="仿宋"/>
                <w:b/>
                <w:kern w:val="0"/>
                <w:sz w:val="18"/>
                <w:szCs w:val="18"/>
              </w:rPr>
            </w:pPr>
            <w:r>
              <w:rPr>
                <w:rFonts w:hint="eastAsia" w:ascii="仿宋" w:hAnsi="仿宋" w:eastAsia="仿宋" w:cs="仿宋"/>
                <w:b/>
                <w:kern w:val="0"/>
                <w:sz w:val="18"/>
                <w:szCs w:val="18"/>
              </w:rPr>
              <w:t>款</w:t>
            </w:r>
          </w:p>
        </w:tc>
        <w:tc>
          <w:tcPr>
            <w:tcW w:w="465" w:type="dxa"/>
            <w:tcBorders>
              <w:bottom w:val="single" w:color="auto" w:sz="4" w:space="0"/>
            </w:tcBorders>
            <w:vAlign w:val="center"/>
          </w:tcPr>
          <w:p>
            <w:pPr>
              <w:widowControl/>
              <w:jc w:val="left"/>
              <w:outlineLvl w:val="1"/>
              <w:rPr>
                <w:rFonts w:ascii="仿宋" w:hAnsi="仿宋" w:eastAsia="仿宋" w:cs="仿宋"/>
                <w:b/>
                <w:kern w:val="0"/>
                <w:sz w:val="18"/>
                <w:szCs w:val="18"/>
              </w:rPr>
            </w:pPr>
            <w:r>
              <w:rPr>
                <w:rFonts w:hint="eastAsia" w:ascii="仿宋" w:hAnsi="仿宋" w:eastAsia="仿宋" w:cs="仿宋"/>
                <w:b/>
                <w:kern w:val="0"/>
                <w:sz w:val="18"/>
                <w:szCs w:val="18"/>
              </w:rPr>
              <w:t>项</w:t>
            </w:r>
          </w:p>
        </w:tc>
        <w:tc>
          <w:tcPr>
            <w:tcW w:w="861" w:type="dxa"/>
            <w:vMerge w:val="continue"/>
            <w:tcBorders>
              <w:bottom w:val="single" w:color="auto" w:sz="4" w:space="0"/>
            </w:tcBorders>
            <w:vAlign w:val="center"/>
          </w:tcPr>
          <w:p>
            <w:pPr>
              <w:widowControl/>
              <w:jc w:val="left"/>
              <w:outlineLvl w:val="1"/>
              <w:rPr>
                <w:rFonts w:ascii="仿宋" w:hAnsi="仿宋" w:eastAsia="仿宋" w:cs="仿宋"/>
                <w:b/>
                <w:kern w:val="0"/>
                <w:sz w:val="18"/>
                <w:szCs w:val="18"/>
              </w:rPr>
            </w:pPr>
          </w:p>
        </w:tc>
        <w:tc>
          <w:tcPr>
            <w:tcW w:w="1122"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c>
          <w:tcPr>
            <w:tcW w:w="972"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c>
          <w:tcPr>
            <w:tcW w:w="975"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c>
          <w:tcPr>
            <w:tcW w:w="1110"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c>
          <w:tcPr>
            <w:tcW w:w="240"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c>
          <w:tcPr>
            <w:tcW w:w="480"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c>
          <w:tcPr>
            <w:tcW w:w="240"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c>
          <w:tcPr>
            <w:tcW w:w="330"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c>
          <w:tcPr>
            <w:tcW w:w="387"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c>
          <w:tcPr>
            <w:tcW w:w="420"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c>
          <w:tcPr>
            <w:tcW w:w="420"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c>
          <w:tcPr>
            <w:tcW w:w="327" w:type="dxa"/>
            <w:vMerge w:val="continue"/>
            <w:tcBorders>
              <w:bottom w:val="single" w:color="auto" w:sz="4" w:space="0"/>
            </w:tcBorders>
            <w:vAlign w:val="top"/>
          </w:tcPr>
          <w:p>
            <w:pPr>
              <w:widowControl/>
              <w:jc w:val="left"/>
              <w:outlineLvl w:val="1"/>
              <w:rPr>
                <w:rFonts w:ascii="仿宋" w:hAnsi="仿宋" w:eastAsia="仿宋" w:cs="仿宋"/>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205</w:t>
            </w:r>
          </w:p>
        </w:tc>
        <w:tc>
          <w:tcPr>
            <w:tcW w:w="510" w:type="dxa"/>
            <w:vAlign w:val="center"/>
          </w:tcPr>
          <w:p>
            <w:pPr>
              <w:widowControl/>
              <w:jc w:val="center"/>
              <w:outlineLvl w:val="1"/>
              <w:rPr>
                <w:rFonts w:ascii="仿宋" w:hAnsi="仿宋" w:eastAsia="仿宋" w:cs="仿宋"/>
                <w:kern w:val="0"/>
                <w:sz w:val="20"/>
                <w:szCs w:val="20"/>
              </w:rPr>
            </w:pPr>
          </w:p>
        </w:tc>
        <w:tc>
          <w:tcPr>
            <w:tcW w:w="465" w:type="dxa"/>
            <w:vAlign w:val="center"/>
          </w:tcPr>
          <w:p>
            <w:pPr>
              <w:widowControl/>
              <w:jc w:val="center"/>
              <w:outlineLvl w:val="1"/>
              <w:rPr>
                <w:rFonts w:ascii="仿宋" w:hAnsi="仿宋" w:eastAsia="仿宋" w:cs="仿宋"/>
                <w:kern w:val="0"/>
                <w:sz w:val="20"/>
                <w:szCs w:val="20"/>
              </w:rPr>
            </w:pPr>
          </w:p>
        </w:tc>
        <w:tc>
          <w:tcPr>
            <w:tcW w:w="861" w:type="dxa"/>
            <w:vAlign w:val="center"/>
          </w:tcPr>
          <w:p>
            <w:pPr>
              <w:jc w:val="center"/>
              <w:rPr>
                <w:rFonts w:ascii="仿宋" w:hAnsi="仿宋" w:eastAsia="仿宋" w:cs="仿宋"/>
                <w:kern w:val="0"/>
                <w:sz w:val="20"/>
                <w:szCs w:val="20"/>
              </w:rPr>
            </w:pPr>
            <w:r>
              <w:rPr>
                <w:rFonts w:hint="eastAsia" w:ascii="仿宋" w:hAnsi="仿宋" w:eastAsia="仿宋" w:cs="仿宋"/>
                <w:color w:val="000000"/>
                <w:sz w:val="20"/>
                <w:szCs w:val="20"/>
              </w:rPr>
              <w:t>教育支出</w:t>
            </w:r>
          </w:p>
        </w:tc>
        <w:tc>
          <w:tcPr>
            <w:tcW w:w="1122" w:type="dxa"/>
            <w:vAlign w:val="center"/>
          </w:tcPr>
          <w:p>
            <w:pPr>
              <w:widowControl/>
              <w:jc w:val="center"/>
              <w:outlineLvl w:val="1"/>
              <w:rPr>
                <w:rFonts w:ascii="仿宋" w:hAnsi="仿宋" w:eastAsia="仿宋" w:cs="仿宋"/>
                <w:kern w:val="0"/>
                <w:sz w:val="20"/>
                <w:szCs w:val="20"/>
              </w:rPr>
            </w:pPr>
          </w:p>
        </w:tc>
        <w:tc>
          <w:tcPr>
            <w:tcW w:w="972"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2020.00</w:t>
            </w:r>
          </w:p>
        </w:tc>
        <w:tc>
          <w:tcPr>
            <w:tcW w:w="975"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1301.40</w:t>
            </w:r>
          </w:p>
        </w:tc>
        <w:tc>
          <w:tcPr>
            <w:tcW w:w="1110" w:type="dxa"/>
            <w:vAlign w:val="center"/>
          </w:tcPr>
          <w:p>
            <w:pPr>
              <w:widowControl/>
              <w:jc w:val="center"/>
              <w:outlineLvl w:val="1"/>
              <w:rPr>
                <w:rFonts w:ascii="仿宋" w:hAnsi="仿宋" w:eastAsia="仿宋" w:cs="仿宋"/>
                <w:sz w:val="20"/>
                <w:szCs w:val="20"/>
              </w:rPr>
            </w:pPr>
            <w:r>
              <w:rPr>
                <w:rFonts w:hint="eastAsia" w:ascii="仿宋" w:hAnsi="仿宋" w:eastAsia="仿宋" w:cs="仿宋"/>
                <w:sz w:val="20"/>
                <w:szCs w:val="20"/>
              </w:rPr>
              <w:t>718.60</w:t>
            </w: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205</w:t>
            </w:r>
          </w:p>
        </w:tc>
        <w:tc>
          <w:tcPr>
            <w:tcW w:w="510"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03</w:t>
            </w:r>
          </w:p>
        </w:tc>
        <w:tc>
          <w:tcPr>
            <w:tcW w:w="465" w:type="dxa"/>
            <w:vAlign w:val="center"/>
          </w:tcPr>
          <w:p>
            <w:pPr>
              <w:widowControl/>
              <w:jc w:val="center"/>
              <w:outlineLvl w:val="1"/>
              <w:rPr>
                <w:rFonts w:ascii="仿宋" w:hAnsi="仿宋" w:eastAsia="仿宋" w:cs="仿宋"/>
                <w:kern w:val="0"/>
                <w:sz w:val="20"/>
                <w:szCs w:val="20"/>
              </w:rPr>
            </w:pPr>
          </w:p>
        </w:tc>
        <w:tc>
          <w:tcPr>
            <w:tcW w:w="861" w:type="dxa"/>
            <w:vAlign w:val="center"/>
          </w:tcPr>
          <w:p>
            <w:pPr>
              <w:jc w:val="center"/>
              <w:rPr>
                <w:rFonts w:ascii="仿宋" w:hAnsi="仿宋" w:eastAsia="仿宋" w:cs="仿宋"/>
                <w:kern w:val="0"/>
                <w:sz w:val="20"/>
                <w:szCs w:val="20"/>
              </w:rPr>
            </w:pPr>
            <w:r>
              <w:rPr>
                <w:rFonts w:hint="eastAsia" w:ascii="仿宋" w:hAnsi="仿宋" w:eastAsia="仿宋" w:cs="仿宋"/>
                <w:color w:val="000000"/>
                <w:sz w:val="20"/>
                <w:szCs w:val="20"/>
              </w:rPr>
              <w:t>职业教育</w:t>
            </w:r>
          </w:p>
        </w:tc>
        <w:tc>
          <w:tcPr>
            <w:tcW w:w="1122" w:type="dxa"/>
            <w:vAlign w:val="center"/>
          </w:tcPr>
          <w:p>
            <w:pPr>
              <w:widowControl/>
              <w:jc w:val="center"/>
              <w:outlineLvl w:val="1"/>
              <w:rPr>
                <w:rFonts w:ascii="仿宋" w:hAnsi="仿宋" w:eastAsia="仿宋" w:cs="仿宋"/>
                <w:kern w:val="0"/>
                <w:sz w:val="20"/>
                <w:szCs w:val="20"/>
              </w:rPr>
            </w:pPr>
          </w:p>
        </w:tc>
        <w:tc>
          <w:tcPr>
            <w:tcW w:w="972"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2020.00</w:t>
            </w:r>
          </w:p>
        </w:tc>
        <w:tc>
          <w:tcPr>
            <w:tcW w:w="975"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1301.40</w:t>
            </w:r>
          </w:p>
        </w:tc>
        <w:tc>
          <w:tcPr>
            <w:tcW w:w="1110"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718.60</w:t>
            </w: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205</w:t>
            </w:r>
          </w:p>
        </w:tc>
        <w:tc>
          <w:tcPr>
            <w:tcW w:w="510"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03</w:t>
            </w:r>
          </w:p>
        </w:tc>
        <w:tc>
          <w:tcPr>
            <w:tcW w:w="465"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05</w:t>
            </w:r>
          </w:p>
        </w:tc>
        <w:tc>
          <w:tcPr>
            <w:tcW w:w="861"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高等职业教育</w:t>
            </w:r>
          </w:p>
        </w:tc>
        <w:tc>
          <w:tcPr>
            <w:tcW w:w="1122"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运转类高等职业教育生均拨款</w:t>
            </w:r>
          </w:p>
        </w:tc>
        <w:tc>
          <w:tcPr>
            <w:tcW w:w="972"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1281.40</w:t>
            </w:r>
          </w:p>
        </w:tc>
        <w:tc>
          <w:tcPr>
            <w:tcW w:w="975"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1281.40</w:t>
            </w:r>
          </w:p>
        </w:tc>
        <w:tc>
          <w:tcPr>
            <w:tcW w:w="1110" w:type="dxa"/>
            <w:vAlign w:val="center"/>
          </w:tcPr>
          <w:p>
            <w:pPr>
              <w:widowControl/>
              <w:jc w:val="center"/>
              <w:outlineLvl w:val="1"/>
              <w:rPr>
                <w:rFonts w:ascii="仿宋" w:hAnsi="仿宋" w:eastAsia="仿宋" w:cs="仿宋"/>
                <w:kern w:val="0"/>
                <w:sz w:val="20"/>
                <w:szCs w:val="20"/>
              </w:rPr>
            </w:pP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205</w:t>
            </w:r>
          </w:p>
        </w:tc>
        <w:tc>
          <w:tcPr>
            <w:tcW w:w="510"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03</w:t>
            </w:r>
          </w:p>
        </w:tc>
        <w:tc>
          <w:tcPr>
            <w:tcW w:w="465"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05</w:t>
            </w:r>
          </w:p>
        </w:tc>
        <w:tc>
          <w:tcPr>
            <w:tcW w:w="861"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高等职业教育</w:t>
            </w:r>
          </w:p>
        </w:tc>
        <w:tc>
          <w:tcPr>
            <w:tcW w:w="1122"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疫情防控等运转经费</w:t>
            </w:r>
          </w:p>
        </w:tc>
        <w:tc>
          <w:tcPr>
            <w:tcW w:w="972"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20.00</w:t>
            </w:r>
          </w:p>
        </w:tc>
        <w:tc>
          <w:tcPr>
            <w:tcW w:w="975"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20.00</w:t>
            </w:r>
          </w:p>
        </w:tc>
        <w:tc>
          <w:tcPr>
            <w:tcW w:w="1110" w:type="dxa"/>
            <w:vAlign w:val="center"/>
          </w:tcPr>
          <w:p>
            <w:pPr>
              <w:widowControl/>
              <w:jc w:val="center"/>
              <w:outlineLvl w:val="1"/>
              <w:rPr>
                <w:rFonts w:ascii="仿宋" w:hAnsi="仿宋" w:eastAsia="仿宋" w:cs="仿宋"/>
                <w:kern w:val="0"/>
                <w:sz w:val="20"/>
                <w:szCs w:val="20"/>
              </w:rPr>
            </w:pP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205</w:t>
            </w:r>
          </w:p>
        </w:tc>
        <w:tc>
          <w:tcPr>
            <w:tcW w:w="510"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03</w:t>
            </w:r>
          </w:p>
        </w:tc>
        <w:tc>
          <w:tcPr>
            <w:tcW w:w="465"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02</w:t>
            </w:r>
          </w:p>
        </w:tc>
        <w:tc>
          <w:tcPr>
            <w:tcW w:w="861"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中等职业教育</w:t>
            </w:r>
          </w:p>
        </w:tc>
        <w:tc>
          <w:tcPr>
            <w:tcW w:w="1122"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运转类中等职业教育学校生均公用经费</w:t>
            </w:r>
          </w:p>
        </w:tc>
        <w:tc>
          <w:tcPr>
            <w:tcW w:w="972"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718.60</w:t>
            </w:r>
          </w:p>
        </w:tc>
        <w:tc>
          <w:tcPr>
            <w:tcW w:w="975" w:type="dxa"/>
            <w:vAlign w:val="center"/>
          </w:tcPr>
          <w:p>
            <w:pPr>
              <w:widowControl/>
              <w:jc w:val="center"/>
              <w:outlineLvl w:val="1"/>
              <w:rPr>
                <w:rFonts w:ascii="仿宋" w:hAnsi="仿宋" w:eastAsia="仿宋" w:cs="仿宋"/>
                <w:kern w:val="0"/>
                <w:sz w:val="20"/>
                <w:szCs w:val="20"/>
              </w:rPr>
            </w:pPr>
          </w:p>
        </w:tc>
        <w:tc>
          <w:tcPr>
            <w:tcW w:w="1110" w:type="dxa"/>
            <w:vAlign w:val="center"/>
          </w:tcPr>
          <w:p>
            <w:pPr>
              <w:widowControl/>
              <w:jc w:val="center"/>
              <w:outlineLvl w:val="1"/>
              <w:rPr>
                <w:rFonts w:ascii="仿宋" w:hAnsi="仿宋" w:eastAsia="仿宋" w:cs="仿宋"/>
                <w:kern w:val="0"/>
                <w:sz w:val="20"/>
                <w:szCs w:val="20"/>
              </w:rPr>
            </w:pPr>
            <w:r>
              <w:rPr>
                <w:rFonts w:hint="eastAsia" w:ascii="仿宋" w:hAnsi="仿宋" w:eastAsia="仿宋" w:cs="仿宋"/>
                <w:kern w:val="0"/>
                <w:sz w:val="20"/>
                <w:szCs w:val="20"/>
              </w:rPr>
              <w:t>718.60</w:t>
            </w: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18"/>
                <w:szCs w:val="18"/>
              </w:rPr>
            </w:pPr>
          </w:p>
        </w:tc>
        <w:tc>
          <w:tcPr>
            <w:tcW w:w="510" w:type="dxa"/>
            <w:vAlign w:val="center"/>
          </w:tcPr>
          <w:p>
            <w:pPr>
              <w:widowControl/>
              <w:jc w:val="center"/>
              <w:outlineLvl w:val="1"/>
              <w:rPr>
                <w:rFonts w:ascii="仿宋" w:hAnsi="仿宋" w:eastAsia="仿宋" w:cs="仿宋"/>
                <w:kern w:val="0"/>
                <w:sz w:val="18"/>
                <w:szCs w:val="18"/>
              </w:rPr>
            </w:pPr>
          </w:p>
        </w:tc>
        <w:tc>
          <w:tcPr>
            <w:tcW w:w="465" w:type="dxa"/>
            <w:vAlign w:val="center"/>
          </w:tcPr>
          <w:p>
            <w:pPr>
              <w:widowControl/>
              <w:jc w:val="center"/>
              <w:outlineLvl w:val="1"/>
              <w:rPr>
                <w:rFonts w:ascii="仿宋" w:hAnsi="仿宋" w:eastAsia="仿宋" w:cs="仿宋"/>
                <w:kern w:val="0"/>
                <w:sz w:val="18"/>
                <w:szCs w:val="18"/>
              </w:rPr>
            </w:pPr>
          </w:p>
        </w:tc>
        <w:tc>
          <w:tcPr>
            <w:tcW w:w="861" w:type="dxa"/>
            <w:vAlign w:val="center"/>
          </w:tcPr>
          <w:p>
            <w:pPr>
              <w:widowControl/>
              <w:jc w:val="center"/>
              <w:outlineLvl w:val="1"/>
              <w:rPr>
                <w:rFonts w:ascii="仿宋" w:hAnsi="仿宋" w:eastAsia="仿宋" w:cs="仿宋"/>
                <w:kern w:val="0"/>
                <w:sz w:val="18"/>
                <w:szCs w:val="18"/>
              </w:rPr>
            </w:pPr>
          </w:p>
        </w:tc>
        <w:tc>
          <w:tcPr>
            <w:tcW w:w="1122" w:type="dxa"/>
            <w:vAlign w:val="center"/>
          </w:tcPr>
          <w:p>
            <w:pPr>
              <w:widowControl/>
              <w:jc w:val="center"/>
              <w:outlineLvl w:val="1"/>
              <w:rPr>
                <w:rFonts w:ascii="仿宋" w:hAnsi="仿宋" w:eastAsia="仿宋" w:cs="仿宋"/>
                <w:kern w:val="0"/>
                <w:sz w:val="18"/>
                <w:szCs w:val="18"/>
              </w:rPr>
            </w:pPr>
          </w:p>
        </w:tc>
        <w:tc>
          <w:tcPr>
            <w:tcW w:w="972" w:type="dxa"/>
            <w:vAlign w:val="center"/>
          </w:tcPr>
          <w:p>
            <w:pPr>
              <w:widowControl/>
              <w:jc w:val="center"/>
              <w:outlineLvl w:val="1"/>
              <w:rPr>
                <w:rFonts w:ascii="仿宋" w:hAnsi="仿宋" w:eastAsia="仿宋" w:cs="仿宋"/>
                <w:kern w:val="0"/>
                <w:sz w:val="18"/>
                <w:szCs w:val="18"/>
              </w:rPr>
            </w:pPr>
          </w:p>
        </w:tc>
        <w:tc>
          <w:tcPr>
            <w:tcW w:w="975" w:type="dxa"/>
            <w:vAlign w:val="center"/>
          </w:tcPr>
          <w:p>
            <w:pPr>
              <w:widowControl/>
              <w:jc w:val="center"/>
              <w:outlineLvl w:val="1"/>
              <w:rPr>
                <w:rFonts w:ascii="仿宋" w:hAnsi="仿宋" w:eastAsia="仿宋" w:cs="仿宋"/>
                <w:kern w:val="0"/>
                <w:sz w:val="18"/>
                <w:szCs w:val="18"/>
              </w:rPr>
            </w:pPr>
          </w:p>
        </w:tc>
        <w:tc>
          <w:tcPr>
            <w:tcW w:w="111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18"/>
                <w:szCs w:val="18"/>
              </w:rPr>
            </w:pPr>
          </w:p>
        </w:tc>
        <w:tc>
          <w:tcPr>
            <w:tcW w:w="510" w:type="dxa"/>
            <w:vAlign w:val="center"/>
          </w:tcPr>
          <w:p>
            <w:pPr>
              <w:widowControl/>
              <w:jc w:val="center"/>
              <w:outlineLvl w:val="1"/>
              <w:rPr>
                <w:rFonts w:ascii="仿宋" w:hAnsi="仿宋" w:eastAsia="仿宋" w:cs="仿宋"/>
                <w:kern w:val="0"/>
                <w:sz w:val="18"/>
                <w:szCs w:val="18"/>
              </w:rPr>
            </w:pPr>
          </w:p>
        </w:tc>
        <w:tc>
          <w:tcPr>
            <w:tcW w:w="465" w:type="dxa"/>
            <w:vAlign w:val="center"/>
          </w:tcPr>
          <w:p>
            <w:pPr>
              <w:widowControl/>
              <w:jc w:val="center"/>
              <w:outlineLvl w:val="1"/>
              <w:rPr>
                <w:rFonts w:ascii="仿宋" w:hAnsi="仿宋" w:eastAsia="仿宋" w:cs="仿宋"/>
                <w:kern w:val="0"/>
                <w:sz w:val="18"/>
                <w:szCs w:val="18"/>
              </w:rPr>
            </w:pPr>
          </w:p>
        </w:tc>
        <w:tc>
          <w:tcPr>
            <w:tcW w:w="861" w:type="dxa"/>
            <w:vAlign w:val="center"/>
          </w:tcPr>
          <w:p>
            <w:pPr>
              <w:widowControl/>
              <w:jc w:val="center"/>
              <w:outlineLvl w:val="1"/>
              <w:rPr>
                <w:rFonts w:ascii="仿宋" w:hAnsi="仿宋" w:eastAsia="仿宋" w:cs="仿宋"/>
                <w:kern w:val="0"/>
                <w:sz w:val="18"/>
                <w:szCs w:val="18"/>
              </w:rPr>
            </w:pPr>
          </w:p>
        </w:tc>
        <w:tc>
          <w:tcPr>
            <w:tcW w:w="1122" w:type="dxa"/>
            <w:vAlign w:val="center"/>
          </w:tcPr>
          <w:p>
            <w:pPr>
              <w:widowControl/>
              <w:jc w:val="center"/>
              <w:outlineLvl w:val="1"/>
              <w:rPr>
                <w:rFonts w:ascii="仿宋" w:hAnsi="仿宋" w:eastAsia="仿宋" w:cs="仿宋"/>
                <w:kern w:val="0"/>
                <w:sz w:val="18"/>
                <w:szCs w:val="18"/>
              </w:rPr>
            </w:pPr>
          </w:p>
        </w:tc>
        <w:tc>
          <w:tcPr>
            <w:tcW w:w="972" w:type="dxa"/>
            <w:vAlign w:val="center"/>
          </w:tcPr>
          <w:p>
            <w:pPr>
              <w:widowControl/>
              <w:jc w:val="center"/>
              <w:outlineLvl w:val="1"/>
              <w:rPr>
                <w:rFonts w:ascii="仿宋" w:hAnsi="仿宋" w:eastAsia="仿宋" w:cs="仿宋"/>
                <w:kern w:val="0"/>
                <w:sz w:val="18"/>
                <w:szCs w:val="18"/>
              </w:rPr>
            </w:pPr>
          </w:p>
        </w:tc>
        <w:tc>
          <w:tcPr>
            <w:tcW w:w="975" w:type="dxa"/>
            <w:vAlign w:val="center"/>
          </w:tcPr>
          <w:p>
            <w:pPr>
              <w:widowControl/>
              <w:jc w:val="center"/>
              <w:outlineLvl w:val="1"/>
              <w:rPr>
                <w:rFonts w:ascii="仿宋" w:hAnsi="仿宋" w:eastAsia="仿宋" w:cs="仿宋"/>
                <w:kern w:val="0"/>
                <w:sz w:val="18"/>
                <w:szCs w:val="18"/>
              </w:rPr>
            </w:pPr>
          </w:p>
        </w:tc>
        <w:tc>
          <w:tcPr>
            <w:tcW w:w="111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18"/>
                <w:szCs w:val="18"/>
              </w:rPr>
            </w:pPr>
          </w:p>
        </w:tc>
        <w:tc>
          <w:tcPr>
            <w:tcW w:w="510" w:type="dxa"/>
            <w:vAlign w:val="center"/>
          </w:tcPr>
          <w:p>
            <w:pPr>
              <w:widowControl/>
              <w:jc w:val="center"/>
              <w:outlineLvl w:val="1"/>
              <w:rPr>
                <w:rFonts w:ascii="仿宋" w:hAnsi="仿宋" w:eastAsia="仿宋" w:cs="仿宋"/>
                <w:kern w:val="0"/>
                <w:sz w:val="18"/>
                <w:szCs w:val="18"/>
              </w:rPr>
            </w:pPr>
          </w:p>
        </w:tc>
        <w:tc>
          <w:tcPr>
            <w:tcW w:w="465" w:type="dxa"/>
            <w:vAlign w:val="center"/>
          </w:tcPr>
          <w:p>
            <w:pPr>
              <w:widowControl/>
              <w:jc w:val="center"/>
              <w:outlineLvl w:val="1"/>
              <w:rPr>
                <w:rFonts w:ascii="仿宋" w:hAnsi="仿宋" w:eastAsia="仿宋" w:cs="仿宋"/>
                <w:kern w:val="0"/>
                <w:sz w:val="18"/>
                <w:szCs w:val="18"/>
              </w:rPr>
            </w:pPr>
          </w:p>
        </w:tc>
        <w:tc>
          <w:tcPr>
            <w:tcW w:w="861" w:type="dxa"/>
            <w:vAlign w:val="center"/>
          </w:tcPr>
          <w:p>
            <w:pPr>
              <w:widowControl/>
              <w:jc w:val="center"/>
              <w:outlineLvl w:val="1"/>
              <w:rPr>
                <w:rFonts w:ascii="仿宋" w:hAnsi="仿宋" w:eastAsia="仿宋" w:cs="仿宋"/>
                <w:kern w:val="0"/>
                <w:sz w:val="18"/>
                <w:szCs w:val="18"/>
              </w:rPr>
            </w:pPr>
          </w:p>
        </w:tc>
        <w:tc>
          <w:tcPr>
            <w:tcW w:w="1122" w:type="dxa"/>
            <w:vAlign w:val="center"/>
          </w:tcPr>
          <w:p>
            <w:pPr>
              <w:widowControl/>
              <w:jc w:val="center"/>
              <w:outlineLvl w:val="1"/>
              <w:rPr>
                <w:rFonts w:ascii="仿宋" w:hAnsi="仿宋" w:eastAsia="仿宋" w:cs="仿宋"/>
                <w:kern w:val="0"/>
                <w:sz w:val="18"/>
                <w:szCs w:val="18"/>
              </w:rPr>
            </w:pPr>
          </w:p>
        </w:tc>
        <w:tc>
          <w:tcPr>
            <w:tcW w:w="972" w:type="dxa"/>
            <w:vAlign w:val="center"/>
          </w:tcPr>
          <w:p>
            <w:pPr>
              <w:widowControl/>
              <w:jc w:val="center"/>
              <w:outlineLvl w:val="1"/>
              <w:rPr>
                <w:rFonts w:ascii="仿宋" w:hAnsi="仿宋" w:eastAsia="仿宋" w:cs="仿宋"/>
                <w:kern w:val="0"/>
                <w:sz w:val="18"/>
                <w:szCs w:val="18"/>
              </w:rPr>
            </w:pPr>
          </w:p>
        </w:tc>
        <w:tc>
          <w:tcPr>
            <w:tcW w:w="975" w:type="dxa"/>
            <w:vAlign w:val="center"/>
          </w:tcPr>
          <w:p>
            <w:pPr>
              <w:widowControl/>
              <w:jc w:val="center"/>
              <w:outlineLvl w:val="1"/>
              <w:rPr>
                <w:rFonts w:ascii="仿宋" w:hAnsi="仿宋" w:eastAsia="仿宋" w:cs="仿宋"/>
                <w:kern w:val="0"/>
                <w:sz w:val="18"/>
                <w:szCs w:val="18"/>
              </w:rPr>
            </w:pPr>
          </w:p>
        </w:tc>
        <w:tc>
          <w:tcPr>
            <w:tcW w:w="111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18"/>
                <w:szCs w:val="18"/>
              </w:rPr>
            </w:pPr>
          </w:p>
        </w:tc>
        <w:tc>
          <w:tcPr>
            <w:tcW w:w="510" w:type="dxa"/>
            <w:vAlign w:val="center"/>
          </w:tcPr>
          <w:p>
            <w:pPr>
              <w:widowControl/>
              <w:jc w:val="center"/>
              <w:outlineLvl w:val="1"/>
              <w:rPr>
                <w:rFonts w:ascii="仿宋" w:hAnsi="仿宋" w:eastAsia="仿宋" w:cs="仿宋"/>
                <w:kern w:val="0"/>
                <w:sz w:val="18"/>
                <w:szCs w:val="18"/>
              </w:rPr>
            </w:pPr>
          </w:p>
        </w:tc>
        <w:tc>
          <w:tcPr>
            <w:tcW w:w="465" w:type="dxa"/>
            <w:vAlign w:val="center"/>
          </w:tcPr>
          <w:p>
            <w:pPr>
              <w:widowControl/>
              <w:jc w:val="center"/>
              <w:outlineLvl w:val="1"/>
              <w:rPr>
                <w:rFonts w:ascii="仿宋" w:hAnsi="仿宋" w:eastAsia="仿宋" w:cs="仿宋"/>
                <w:kern w:val="0"/>
                <w:sz w:val="18"/>
                <w:szCs w:val="18"/>
              </w:rPr>
            </w:pPr>
          </w:p>
        </w:tc>
        <w:tc>
          <w:tcPr>
            <w:tcW w:w="861" w:type="dxa"/>
            <w:vAlign w:val="center"/>
          </w:tcPr>
          <w:p>
            <w:pPr>
              <w:widowControl/>
              <w:jc w:val="center"/>
              <w:outlineLvl w:val="1"/>
              <w:rPr>
                <w:rFonts w:ascii="仿宋" w:hAnsi="仿宋" w:eastAsia="仿宋" w:cs="仿宋"/>
                <w:kern w:val="0"/>
                <w:sz w:val="18"/>
                <w:szCs w:val="18"/>
              </w:rPr>
            </w:pPr>
          </w:p>
        </w:tc>
        <w:tc>
          <w:tcPr>
            <w:tcW w:w="1122" w:type="dxa"/>
            <w:vAlign w:val="center"/>
          </w:tcPr>
          <w:p>
            <w:pPr>
              <w:widowControl/>
              <w:jc w:val="center"/>
              <w:outlineLvl w:val="1"/>
              <w:rPr>
                <w:rFonts w:ascii="仿宋" w:hAnsi="仿宋" w:eastAsia="仿宋" w:cs="仿宋"/>
                <w:kern w:val="0"/>
                <w:sz w:val="18"/>
                <w:szCs w:val="18"/>
              </w:rPr>
            </w:pPr>
          </w:p>
        </w:tc>
        <w:tc>
          <w:tcPr>
            <w:tcW w:w="972" w:type="dxa"/>
            <w:vAlign w:val="center"/>
          </w:tcPr>
          <w:p>
            <w:pPr>
              <w:widowControl/>
              <w:jc w:val="center"/>
              <w:outlineLvl w:val="1"/>
              <w:rPr>
                <w:rFonts w:ascii="仿宋" w:hAnsi="仿宋" w:eastAsia="仿宋" w:cs="仿宋"/>
                <w:kern w:val="0"/>
                <w:sz w:val="18"/>
                <w:szCs w:val="18"/>
              </w:rPr>
            </w:pPr>
          </w:p>
        </w:tc>
        <w:tc>
          <w:tcPr>
            <w:tcW w:w="975" w:type="dxa"/>
            <w:vAlign w:val="center"/>
          </w:tcPr>
          <w:p>
            <w:pPr>
              <w:widowControl/>
              <w:jc w:val="center"/>
              <w:outlineLvl w:val="1"/>
              <w:rPr>
                <w:rFonts w:ascii="仿宋" w:hAnsi="仿宋" w:eastAsia="仿宋" w:cs="仿宋"/>
                <w:kern w:val="0"/>
                <w:sz w:val="18"/>
                <w:szCs w:val="18"/>
              </w:rPr>
            </w:pPr>
          </w:p>
        </w:tc>
        <w:tc>
          <w:tcPr>
            <w:tcW w:w="111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18"/>
                <w:szCs w:val="18"/>
              </w:rPr>
            </w:pPr>
          </w:p>
        </w:tc>
        <w:tc>
          <w:tcPr>
            <w:tcW w:w="510" w:type="dxa"/>
            <w:vAlign w:val="center"/>
          </w:tcPr>
          <w:p>
            <w:pPr>
              <w:widowControl/>
              <w:jc w:val="center"/>
              <w:outlineLvl w:val="1"/>
              <w:rPr>
                <w:rFonts w:ascii="仿宋" w:hAnsi="仿宋" w:eastAsia="仿宋" w:cs="仿宋"/>
                <w:kern w:val="0"/>
                <w:sz w:val="18"/>
                <w:szCs w:val="18"/>
              </w:rPr>
            </w:pPr>
          </w:p>
        </w:tc>
        <w:tc>
          <w:tcPr>
            <w:tcW w:w="465" w:type="dxa"/>
            <w:vAlign w:val="center"/>
          </w:tcPr>
          <w:p>
            <w:pPr>
              <w:widowControl/>
              <w:jc w:val="center"/>
              <w:outlineLvl w:val="1"/>
              <w:rPr>
                <w:rFonts w:ascii="仿宋" w:hAnsi="仿宋" w:eastAsia="仿宋" w:cs="仿宋"/>
                <w:kern w:val="0"/>
                <w:sz w:val="18"/>
                <w:szCs w:val="18"/>
              </w:rPr>
            </w:pPr>
          </w:p>
        </w:tc>
        <w:tc>
          <w:tcPr>
            <w:tcW w:w="861" w:type="dxa"/>
            <w:vAlign w:val="center"/>
          </w:tcPr>
          <w:p>
            <w:pPr>
              <w:widowControl/>
              <w:jc w:val="center"/>
              <w:outlineLvl w:val="1"/>
              <w:rPr>
                <w:rFonts w:ascii="仿宋" w:hAnsi="仿宋" w:eastAsia="仿宋" w:cs="仿宋"/>
                <w:kern w:val="0"/>
                <w:sz w:val="18"/>
                <w:szCs w:val="18"/>
              </w:rPr>
            </w:pPr>
          </w:p>
        </w:tc>
        <w:tc>
          <w:tcPr>
            <w:tcW w:w="1122" w:type="dxa"/>
            <w:vAlign w:val="center"/>
          </w:tcPr>
          <w:p>
            <w:pPr>
              <w:widowControl/>
              <w:jc w:val="center"/>
              <w:outlineLvl w:val="1"/>
              <w:rPr>
                <w:rFonts w:ascii="仿宋" w:hAnsi="仿宋" w:eastAsia="仿宋" w:cs="仿宋"/>
                <w:kern w:val="0"/>
                <w:sz w:val="18"/>
                <w:szCs w:val="18"/>
              </w:rPr>
            </w:pPr>
          </w:p>
        </w:tc>
        <w:tc>
          <w:tcPr>
            <w:tcW w:w="972" w:type="dxa"/>
            <w:vAlign w:val="center"/>
          </w:tcPr>
          <w:p>
            <w:pPr>
              <w:widowControl/>
              <w:jc w:val="center"/>
              <w:outlineLvl w:val="1"/>
              <w:rPr>
                <w:rFonts w:ascii="仿宋" w:hAnsi="仿宋" w:eastAsia="仿宋" w:cs="仿宋"/>
                <w:kern w:val="0"/>
                <w:sz w:val="18"/>
                <w:szCs w:val="18"/>
              </w:rPr>
            </w:pPr>
          </w:p>
        </w:tc>
        <w:tc>
          <w:tcPr>
            <w:tcW w:w="975" w:type="dxa"/>
            <w:vAlign w:val="center"/>
          </w:tcPr>
          <w:p>
            <w:pPr>
              <w:widowControl/>
              <w:jc w:val="center"/>
              <w:outlineLvl w:val="1"/>
              <w:rPr>
                <w:rFonts w:ascii="仿宋" w:hAnsi="仿宋" w:eastAsia="仿宋" w:cs="仿宋"/>
                <w:kern w:val="0"/>
                <w:sz w:val="18"/>
                <w:szCs w:val="18"/>
              </w:rPr>
            </w:pPr>
          </w:p>
        </w:tc>
        <w:tc>
          <w:tcPr>
            <w:tcW w:w="111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18"/>
                <w:szCs w:val="18"/>
              </w:rPr>
            </w:pPr>
          </w:p>
        </w:tc>
        <w:tc>
          <w:tcPr>
            <w:tcW w:w="510" w:type="dxa"/>
            <w:vAlign w:val="center"/>
          </w:tcPr>
          <w:p>
            <w:pPr>
              <w:widowControl/>
              <w:jc w:val="center"/>
              <w:outlineLvl w:val="1"/>
              <w:rPr>
                <w:rFonts w:ascii="仿宋" w:hAnsi="仿宋" w:eastAsia="仿宋" w:cs="仿宋"/>
                <w:kern w:val="0"/>
                <w:sz w:val="18"/>
                <w:szCs w:val="18"/>
              </w:rPr>
            </w:pPr>
          </w:p>
        </w:tc>
        <w:tc>
          <w:tcPr>
            <w:tcW w:w="465" w:type="dxa"/>
            <w:vAlign w:val="center"/>
          </w:tcPr>
          <w:p>
            <w:pPr>
              <w:widowControl/>
              <w:jc w:val="center"/>
              <w:outlineLvl w:val="1"/>
              <w:rPr>
                <w:rFonts w:ascii="仿宋" w:hAnsi="仿宋" w:eastAsia="仿宋" w:cs="仿宋"/>
                <w:kern w:val="0"/>
                <w:sz w:val="18"/>
                <w:szCs w:val="18"/>
              </w:rPr>
            </w:pPr>
          </w:p>
        </w:tc>
        <w:tc>
          <w:tcPr>
            <w:tcW w:w="861" w:type="dxa"/>
            <w:vAlign w:val="center"/>
          </w:tcPr>
          <w:p>
            <w:pPr>
              <w:widowControl/>
              <w:jc w:val="center"/>
              <w:outlineLvl w:val="1"/>
              <w:rPr>
                <w:rFonts w:ascii="仿宋" w:hAnsi="仿宋" w:eastAsia="仿宋" w:cs="仿宋"/>
                <w:kern w:val="0"/>
                <w:sz w:val="18"/>
                <w:szCs w:val="18"/>
              </w:rPr>
            </w:pPr>
          </w:p>
        </w:tc>
        <w:tc>
          <w:tcPr>
            <w:tcW w:w="1122" w:type="dxa"/>
            <w:vAlign w:val="center"/>
          </w:tcPr>
          <w:p>
            <w:pPr>
              <w:widowControl/>
              <w:jc w:val="center"/>
              <w:outlineLvl w:val="1"/>
              <w:rPr>
                <w:rFonts w:ascii="仿宋" w:hAnsi="仿宋" w:eastAsia="仿宋" w:cs="仿宋"/>
                <w:kern w:val="0"/>
                <w:sz w:val="18"/>
                <w:szCs w:val="18"/>
              </w:rPr>
            </w:pPr>
          </w:p>
        </w:tc>
        <w:tc>
          <w:tcPr>
            <w:tcW w:w="972" w:type="dxa"/>
            <w:vAlign w:val="center"/>
          </w:tcPr>
          <w:p>
            <w:pPr>
              <w:widowControl/>
              <w:jc w:val="center"/>
              <w:outlineLvl w:val="1"/>
              <w:rPr>
                <w:rFonts w:ascii="仿宋" w:hAnsi="仿宋" w:eastAsia="仿宋" w:cs="仿宋"/>
                <w:kern w:val="0"/>
                <w:sz w:val="18"/>
                <w:szCs w:val="18"/>
              </w:rPr>
            </w:pPr>
          </w:p>
        </w:tc>
        <w:tc>
          <w:tcPr>
            <w:tcW w:w="975" w:type="dxa"/>
            <w:vAlign w:val="center"/>
          </w:tcPr>
          <w:p>
            <w:pPr>
              <w:widowControl/>
              <w:jc w:val="center"/>
              <w:outlineLvl w:val="1"/>
              <w:rPr>
                <w:rFonts w:ascii="仿宋" w:hAnsi="仿宋" w:eastAsia="仿宋" w:cs="仿宋"/>
                <w:kern w:val="0"/>
                <w:sz w:val="18"/>
                <w:szCs w:val="18"/>
              </w:rPr>
            </w:pPr>
          </w:p>
        </w:tc>
        <w:tc>
          <w:tcPr>
            <w:tcW w:w="111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62" w:type="dxa"/>
          <w:trHeight w:val="585" w:hRule="atLeast"/>
        </w:trPr>
        <w:tc>
          <w:tcPr>
            <w:tcW w:w="540" w:type="dxa"/>
            <w:gridSpan w:val="2"/>
            <w:vAlign w:val="center"/>
          </w:tcPr>
          <w:p>
            <w:pPr>
              <w:widowControl/>
              <w:jc w:val="center"/>
              <w:outlineLvl w:val="1"/>
              <w:rPr>
                <w:rFonts w:ascii="仿宋" w:hAnsi="仿宋" w:eastAsia="仿宋" w:cs="仿宋"/>
                <w:kern w:val="0"/>
                <w:sz w:val="18"/>
                <w:szCs w:val="18"/>
              </w:rPr>
            </w:pPr>
          </w:p>
        </w:tc>
        <w:tc>
          <w:tcPr>
            <w:tcW w:w="510" w:type="dxa"/>
            <w:vAlign w:val="center"/>
          </w:tcPr>
          <w:p>
            <w:pPr>
              <w:widowControl/>
              <w:jc w:val="center"/>
              <w:outlineLvl w:val="1"/>
              <w:rPr>
                <w:rFonts w:ascii="仿宋" w:hAnsi="仿宋" w:eastAsia="仿宋" w:cs="仿宋"/>
                <w:kern w:val="0"/>
                <w:sz w:val="18"/>
                <w:szCs w:val="18"/>
              </w:rPr>
            </w:pPr>
          </w:p>
        </w:tc>
        <w:tc>
          <w:tcPr>
            <w:tcW w:w="465" w:type="dxa"/>
            <w:vAlign w:val="center"/>
          </w:tcPr>
          <w:p>
            <w:pPr>
              <w:widowControl/>
              <w:jc w:val="center"/>
              <w:outlineLvl w:val="1"/>
              <w:rPr>
                <w:rFonts w:ascii="仿宋" w:hAnsi="仿宋" w:eastAsia="仿宋" w:cs="仿宋"/>
                <w:kern w:val="0"/>
                <w:sz w:val="18"/>
                <w:szCs w:val="18"/>
              </w:rPr>
            </w:pPr>
          </w:p>
        </w:tc>
        <w:tc>
          <w:tcPr>
            <w:tcW w:w="861" w:type="dxa"/>
            <w:vAlign w:val="center"/>
          </w:tcPr>
          <w:p>
            <w:pPr>
              <w:widowControl/>
              <w:jc w:val="center"/>
              <w:outlineLvl w:val="1"/>
              <w:rPr>
                <w:rFonts w:ascii="仿宋" w:hAnsi="仿宋" w:eastAsia="仿宋" w:cs="仿宋"/>
                <w:kern w:val="0"/>
                <w:sz w:val="18"/>
                <w:szCs w:val="18"/>
              </w:rPr>
            </w:pPr>
          </w:p>
        </w:tc>
        <w:tc>
          <w:tcPr>
            <w:tcW w:w="1122" w:type="dxa"/>
            <w:vAlign w:val="center"/>
          </w:tcPr>
          <w:p>
            <w:pPr>
              <w:widowControl/>
              <w:jc w:val="center"/>
              <w:outlineLvl w:val="1"/>
              <w:rPr>
                <w:rFonts w:ascii="仿宋" w:hAnsi="仿宋" w:eastAsia="仿宋" w:cs="仿宋"/>
                <w:kern w:val="0"/>
                <w:sz w:val="18"/>
                <w:szCs w:val="18"/>
              </w:rPr>
            </w:pPr>
            <w:r>
              <w:rPr>
                <w:rFonts w:hint="eastAsia" w:ascii="仿宋" w:hAnsi="仿宋" w:eastAsia="仿宋" w:cs="仿宋"/>
                <w:b/>
                <w:bCs/>
                <w:kern w:val="0"/>
                <w:sz w:val="18"/>
                <w:szCs w:val="18"/>
              </w:rPr>
              <w:t>合 计</w:t>
            </w:r>
          </w:p>
        </w:tc>
        <w:tc>
          <w:tcPr>
            <w:tcW w:w="972" w:type="dxa"/>
            <w:vAlign w:val="center"/>
          </w:tcPr>
          <w:p>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2020.00</w:t>
            </w:r>
          </w:p>
        </w:tc>
        <w:tc>
          <w:tcPr>
            <w:tcW w:w="975" w:type="dxa"/>
            <w:vAlign w:val="center"/>
          </w:tcPr>
          <w:p>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1301.40</w:t>
            </w:r>
          </w:p>
        </w:tc>
        <w:tc>
          <w:tcPr>
            <w:tcW w:w="1110" w:type="dxa"/>
            <w:vAlign w:val="center"/>
          </w:tcPr>
          <w:p>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718.60</w:t>
            </w:r>
          </w:p>
        </w:tc>
        <w:tc>
          <w:tcPr>
            <w:tcW w:w="240" w:type="dxa"/>
            <w:vAlign w:val="center"/>
          </w:tcPr>
          <w:p>
            <w:pPr>
              <w:widowControl/>
              <w:jc w:val="center"/>
              <w:outlineLvl w:val="1"/>
              <w:rPr>
                <w:rFonts w:ascii="仿宋" w:hAnsi="仿宋" w:eastAsia="仿宋" w:cs="仿宋"/>
                <w:kern w:val="0"/>
                <w:sz w:val="18"/>
                <w:szCs w:val="18"/>
              </w:rPr>
            </w:pPr>
          </w:p>
        </w:tc>
        <w:tc>
          <w:tcPr>
            <w:tcW w:w="480" w:type="dxa"/>
            <w:vAlign w:val="center"/>
          </w:tcPr>
          <w:p>
            <w:pPr>
              <w:widowControl/>
              <w:jc w:val="center"/>
              <w:outlineLvl w:val="1"/>
              <w:rPr>
                <w:rFonts w:ascii="仿宋" w:hAnsi="仿宋" w:eastAsia="仿宋" w:cs="仿宋"/>
                <w:kern w:val="0"/>
                <w:sz w:val="18"/>
                <w:szCs w:val="18"/>
              </w:rPr>
            </w:pPr>
          </w:p>
        </w:tc>
        <w:tc>
          <w:tcPr>
            <w:tcW w:w="240" w:type="dxa"/>
            <w:vAlign w:val="center"/>
          </w:tcPr>
          <w:p>
            <w:pPr>
              <w:widowControl/>
              <w:jc w:val="center"/>
              <w:outlineLvl w:val="1"/>
              <w:rPr>
                <w:rFonts w:ascii="仿宋" w:hAnsi="仿宋" w:eastAsia="仿宋" w:cs="仿宋"/>
                <w:kern w:val="0"/>
                <w:sz w:val="18"/>
                <w:szCs w:val="18"/>
              </w:rPr>
            </w:pPr>
          </w:p>
        </w:tc>
        <w:tc>
          <w:tcPr>
            <w:tcW w:w="330" w:type="dxa"/>
            <w:vAlign w:val="center"/>
          </w:tcPr>
          <w:p>
            <w:pPr>
              <w:widowControl/>
              <w:jc w:val="center"/>
              <w:outlineLvl w:val="1"/>
              <w:rPr>
                <w:rFonts w:ascii="仿宋" w:hAnsi="仿宋" w:eastAsia="仿宋" w:cs="仿宋"/>
                <w:kern w:val="0"/>
                <w:sz w:val="18"/>
                <w:szCs w:val="18"/>
              </w:rPr>
            </w:pPr>
          </w:p>
        </w:tc>
        <w:tc>
          <w:tcPr>
            <w:tcW w:w="387"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420" w:type="dxa"/>
            <w:vAlign w:val="center"/>
          </w:tcPr>
          <w:p>
            <w:pPr>
              <w:widowControl/>
              <w:jc w:val="center"/>
              <w:outlineLvl w:val="1"/>
              <w:rPr>
                <w:rFonts w:ascii="仿宋" w:hAnsi="仿宋" w:eastAsia="仿宋" w:cs="仿宋"/>
                <w:kern w:val="0"/>
                <w:sz w:val="18"/>
                <w:szCs w:val="18"/>
              </w:rPr>
            </w:pPr>
          </w:p>
        </w:tc>
        <w:tc>
          <w:tcPr>
            <w:tcW w:w="327" w:type="dxa"/>
            <w:vAlign w:val="center"/>
          </w:tcPr>
          <w:p>
            <w:pPr>
              <w:widowControl/>
              <w:jc w:val="center"/>
              <w:outlineLvl w:val="1"/>
              <w:rPr>
                <w:rFonts w:ascii="仿宋" w:hAnsi="仿宋" w:eastAsia="仿宋" w:cs="仿宋"/>
                <w:kern w:val="0"/>
                <w:sz w:val="18"/>
                <w:szCs w:val="18"/>
              </w:rPr>
            </w:pPr>
          </w:p>
        </w:tc>
      </w:tr>
    </w:tbl>
    <w:p>
      <w:pPr>
        <w:widowControl/>
        <w:jc w:val="left"/>
        <w:outlineLvl w:val="1"/>
        <w:rPr>
          <w:rFonts w:ascii="仿宋" w:hAnsi="仿宋" w:eastAsia="仿宋" w:cs="仿宋"/>
          <w:b/>
          <w:kern w:val="0"/>
          <w:sz w:val="28"/>
          <w:szCs w:val="32"/>
        </w:rPr>
      </w:pPr>
    </w:p>
    <w:p>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表八：</w:t>
      </w:r>
    </w:p>
    <w:p>
      <w:pPr>
        <w:widowControl/>
        <w:jc w:val="center"/>
        <w:outlineLvl w:val="1"/>
        <w:rPr>
          <w:rFonts w:hint="eastAsia" w:ascii="仿宋" w:hAnsi="仿宋" w:eastAsia="仿宋" w:cs="仿宋"/>
          <w:b/>
          <w:kern w:val="0"/>
          <w:sz w:val="32"/>
          <w:szCs w:val="32"/>
        </w:rPr>
      </w:pPr>
      <w:r>
        <w:rPr>
          <w:rFonts w:hint="eastAsia" w:ascii="仿宋" w:hAnsi="仿宋" w:eastAsia="仿宋" w:cs="仿宋"/>
          <w:b/>
          <w:kern w:val="0"/>
          <w:sz w:val="32"/>
          <w:szCs w:val="32"/>
        </w:rPr>
        <w:t>一般公共预算“三公”经费支出情况表</w:t>
      </w:r>
    </w:p>
    <w:p>
      <w:pPr>
        <w:pStyle w:val="2"/>
      </w:pPr>
    </w:p>
    <w:p>
      <w:pPr>
        <w:widowControl/>
        <w:jc w:val="left"/>
        <w:outlineLvl w:val="1"/>
        <w:rPr>
          <w:rFonts w:ascii="仿宋" w:hAnsi="仿宋" w:eastAsia="仿宋" w:cs="仿宋"/>
          <w:kern w:val="0"/>
          <w:sz w:val="24"/>
        </w:rPr>
      </w:pPr>
      <w:r>
        <w:rPr>
          <w:rFonts w:hint="eastAsia" w:ascii="仿宋" w:hAnsi="仿宋" w:eastAsia="仿宋" w:cs="仿宋"/>
          <w:kern w:val="0"/>
          <w:sz w:val="24"/>
        </w:rPr>
        <w:t xml:space="preserve">编制单位： 新疆昌吉职业技术学院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 xml:space="preserve">                单位：万元</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b/>
                <w:bCs/>
                <w:color w:val="000000"/>
                <w:kern w:val="0"/>
                <w:sz w:val="22"/>
                <w:szCs w:val="22"/>
              </w:rPr>
            </w:pP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 w:val="18"/>
                <w:szCs w:val="18"/>
              </w:rPr>
            </w:pPr>
          </w:p>
        </w:tc>
      </w:tr>
    </w:tbl>
    <w:p>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备注：我单位无“三公”经费预算，此表为空表</w:t>
      </w:r>
    </w:p>
    <w:p>
      <w:pPr>
        <w:widowControl/>
        <w:outlineLvl w:val="1"/>
        <w:rPr>
          <w:rFonts w:ascii="仿宋" w:hAnsi="仿宋" w:eastAsia="仿宋" w:cs="仿宋"/>
          <w:b/>
          <w:kern w:val="0"/>
          <w:sz w:val="28"/>
          <w:szCs w:val="32"/>
        </w:rPr>
      </w:pPr>
    </w:p>
    <w:p>
      <w:pPr>
        <w:widowControl/>
        <w:outlineLvl w:val="1"/>
        <w:rPr>
          <w:rFonts w:ascii="仿宋" w:hAnsi="仿宋" w:eastAsia="仿宋" w:cs="仿宋"/>
          <w:b/>
          <w:kern w:val="0"/>
          <w:sz w:val="28"/>
          <w:szCs w:val="32"/>
        </w:rPr>
      </w:pPr>
    </w:p>
    <w:p>
      <w:pPr>
        <w:widowControl/>
        <w:outlineLvl w:val="1"/>
        <w:rPr>
          <w:rFonts w:ascii="仿宋" w:hAnsi="仿宋" w:eastAsia="仿宋" w:cs="仿宋"/>
          <w:b/>
          <w:kern w:val="0"/>
          <w:sz w:val="28"/>
          <w:szCs w:val="32"/>
        </w:rPr>
      </w:pPr>
    </w:p>
    <w:p>
      <w:pPr>
        <w:pStyle w:val="2"/>
        <w:rPr>
          <w:rFonts w:ascii="仿宋" w:hAnsi="仿宋" w:eastAsia="仿宋" w:cs="仿宋"/>
          <w:b/>
          <w:kern w:val="0"/>
          <w:sz w:val="28"/>
          <w:szCs w:val="32"/>
        </w:rPr>
      </w:pPr>
    </w:p>
    <w:p>
      <w:pPr>
        <w:pStyle w:val="2"/>
        <w:rPr>
          <w:rFonts w:ascii="仿宋" w:hAnsi="仿宋" w:eastAsia="仿宋" w:cs="仿宋"/>
          <w:b/>
          <w:kern w:val="0"/>
          <w:sz w:val="28"/>
          <w:szCs w:val="32"/>
        </w:rPr>
      </w:pPr>
    </w:p>
    <w:p>
      <w:pPr>
        <w:pStyle w:val="2"/>
        <w:rPr>
          <w:rFonts w:ascii="仿宋" w:hAnsi="仿宋" w:eastAsia="仿宋" w:cs="仿宋"/>
          <w:b/>
          <w:kern w:val="0"/>
          <w:sz w:val="28"/>
          <w:szCs w:val="32"/>
        </w:rPr>
      </w:pPr>
    </w:p>
    <w:p>
      <w:pPr>
        <w:pStyle w:val="2"/>
        <w:rPr>
          <w:rFonts w:ascii="仿宋" w:hAnsi="仿宋" w:eastAsia="仿宋" w:cs="仿宋"/>
          <w:b/>
          <w:kern w:val="0"/>
          <w:sz w:val="28"/>
          <w:szCs w:val="32"/>
        </w:rPr>
      </w:pPr>
    </w:p>
    <w:p>
      <w:pPr>
        <w:pStyle w:val="2"/>
        <w:rPr>
          <w:rFonts w:ascii="仿宋" w:hAnsi="仿宋" w:eastAsia="仿宋" w:cs="仿宋"/>
          <w:b/>
          <w:kern w:val="0"/>
          <w:sz w:val="28"/>
          <w:szCs w:val="32"/>
        </w:rPr>
      </w:pPr>
    </w:p>
    <w:p>
      <w:pPr>
        <w:pStyle w:val="2"/>
        <w:rPr>
          <w:rFonts w:ascii="仿宋" w:hAnsi="仿宋" w:eastAsia="仿宋" w:cs="仿宋"/>
          <w:b/>
          <w:kern w:val="0"/>
          <w:sz w:val="28"/>
          <w:szCs w:val="32"/>
        </w:rPr>
      </w:pPr>
    </w:p>
    <w:p>
      <w:pPr>
        <w:pStyle w:val="2"/>
        <w:rPr>
          <w:rFonts w:ascii="仿宋" w:hAnsi="仿宋" w:eastAsia="仿宋" w:cs="仿宋"/>
          <w:b/>
          <w:kern w:val="0"/>
          <w:sz w:val="28"/>
          <w:szCs w:val="32"/>
        </w:rPr>
      </w:pPr>
    </w:p>
    <w:p>
      <w:pPr>
        <w:pStyle w:val="2"/>
        <w:rPr>
          <w:rFonts w:ascii="仿宋" w:hAnsi="仿宋" w:eastAsia="仿宋" w:cs="仿宋"/>
          <w:b/>
          <w:kern w:val="0"/>
          <w:sz w:val="28"/>
          <w:szCs w:val="32"/>
        </w:rPr>
      </w:pPr>
    </w:p>
    <w:p>
      <w:pPr>
        <w:pStyle w:val="2"/>
        <w:rPr>
          <w:rFonts w:ascii="仿宋" w:hAnsi="仿宋" w:eastAsia="仿宋" w:cs="仿宋"/>
          <w:b/>
          <w:kern w:val="0"/>
          <w:sz w:val="28"/>
          <w:szCs w:val="32"/>
        </w:rPr>
      </w:pPr>
    </w:p>
    <w:p>
      <w:pPr>
        <w:widowControl/>
        <w:outlineLvl w:val="1"/>
        <w:rPr>
          <w:rFonts w:ascii="仿宋" w:hAnsi="仿宋" w:eastAsia="仿宋" w:cs="仿宋"/>
          <w:b/>
          <w:kern w:val="0"/>
          <w:sz w:val="28"/>
          <w:szCs w:val="32"/>
        </w:rPr>
      </w:pPr>
    </w:p>
    <w:p>
      <w:pPr>
        <w:widowControl/>
        <w:outlineLvl w:val="1"/>
        <w:rPr>
          <w:rFonts w:ascii="仿宋" w:hAnsi="仿宋" w:eastAsia="仿宋" w:cs="仿宋"/>
          <w:kern w:val="0"/>
          <w:sz w:val="32"/>
          <w:szCs w:val="32"/>
        </w:rPr>
      </w:pPr>
    </w:p>
    <w:p>
      <w:pPr>
        <w:widowControl/>
        <w:outlineLvl w:val="1"/>
        <w:rPr>
          <w:rFonts w:ascii="仿宋" w:hAnsi="仿宋" w:eastAsia="仿宋" w:cs="仿宋"/>
          <w:kern w:val="0"/>
          <w:sz w:val="32"/>
          <w:szCs w:val="32"/>
        </w:rPr>
      </w:pPr>
    </w:p>
    <w:p>
      <w:pPr>
        <w:widowControl/>
        <w:outlineLvl w:val="1"/>
        <w:rPr>
          <w:rFonts w:ascii="仿宋" w:hAnsi="仿宋" w:eastAsia="仿宋" w:cs="仿宋"/>
          <w:kern w:val="0"/>
          <w:sz w:val="32"/>
          <w:szCs w:val="32"/>
        </w:rPr>
      </w:pPr>
    </w:p>
    <w:p>
      <w:pPr>
        <w:widowControl/>
        <w:spacing w:line="360" w:lineRule="exact"/>
        <w:jc w:val="left"/>
        <w:outlineLvl w:val="1"/>
        <w:rPr>
          <w:rFonts w:ascii="仿宋" w:hAnsi="仿宋" w:eastAsia="仿宋" w:cs="仿宋"/>
          <w:b/>
          <w:kern w:val="0"/>
          <w:sz w:val="32"/>
          <w:szCs w:val="32"/>
        </w:rPr>
      </w:pPr>
    </w:p>
    <w:p>
      <w:pPr>
        <w:widowControl/>
        <w:spacing w:line="360" w:lineRule="exact"/>
        <w:jc w:val="left"/>
        <w:outlineLvl w:val="1"/>
        <w:rPr>
          <w:rFonts w:ascii="仿宋" w:hAnsi="仿宋" w:eastAsia="仿宋" w:cs="仿宋"/>
          <w:b/>
          <w:kern w:val="0"/>
          <w:sz w:val="32"/>
          <w:szCs w:val="32"/>
        </w:rPr>
      </w:pPr>
    </w:p>
    <w:p>
      <w:pPr>
        <w:widowControl/>
        <w:spacing w:line="360" w:lineRule="exact"/>
        <w:jc w:val="left"/>
        <w:outlineLvl w:val="1"/>
        <w:rPr>
          <w:rFonts w:ascii="仿宋" w:hAnsi="仿宋" w:eastAsia="仿宋" w:cs="仿宋"/>
          <w:b/>
          <w:kern w:val="0"/>
          <w:sz w:val="32"/>
          <w:szCs w:val="32"/>
        </w:rPr>
      </w:pPr>
    </w:p>
    <w:p>
      <w:pPr>
        <w:widowControl/>
        <w:spacing w:line="360" w:lineRule="exact"/>
        <w:jc w:val="left"/>
        <w:outlineLvl w:val="1"/>
        <w:rPr>
          <w:rFonts w:ascii="仿宋" w:hAnsi="仿宋" w:eastAsia="仿宋" w:cs="仿宋"/>
          <w:b/>
          <w:kern w:val="0"/>
          <w:sz w:val="32"/>
          <w:szCs w:val="32"/>
        </w:rPr>
      </w:pPr>
      <w:r>
        <w:rPr>
          <w:rFonts w:hint="eastAsia" w:ascii="仿宋" w:hAnsi="仿宋" w:eastAsia="仿宋" w:cs="仿宋"/>
          <w:b/>
          <w:kern w:val="0"/>
          <w:sz w:val="32"/>
          <w:szCs w:val="32"/>
        </w:rPr>
        <w:t>表九：</w:t>
      </w:r>
    </w:p>
    <w:p>
      <w:pPr>
        <w:widowControl/>
        <w:spacing w:line="360" w:lineRule="exact"/>
        <w:jc w:val="center"/>
        <w:outlineLvl w:val="1"/>
        <w:rPr>
          <w:rFonts w:ascii="仿宋" w:hAnsi="仿宋" w:eastAsia="仿宋" w:cs="仿宋"/>
          <w:b/>
          <w:kern w:val="0"/>
          <w:sz w:val="32"/>
          <w:szCs w:val="32"/>
        </w:rPr>
      </w:pPr>
      <w:r>
        <w:rPr>
          <w:rFonts w:hint="eastAsia" w:ascii="仿宋" w:hAnsi="仿宋" w:eastAsia="仿宋" w:cs="仿宋"/>
          <w:b/>
          <w:kern w:val="0"/>
          <w:sz w:val="32"/>
          <w:szCs w:val="32"/>
        </w:rPr>
        <w:t>政府性基金预算支出情况表</w:t>
      </w:r>
    </w:p>
    <w:p>
      <w:pPr>
        <w:widowControl/>
        <w:spacing w:line="280" w:lineRule="exact"/>
        <w:outlineLvl w:val="1"/>
        <w:rPr>
          <w:rFonts w:ascii="仿宋" w:hAnsi="仿宋" w:eastAsia="仿宋" w:cs="仿宋"/>
          <w:kern w:val="0"/>
          <w:sz w:val="24"/>
        </w:rPr>
      </w:pPr>
      <w:r>
        <w:rPr>
          <w:rFonts w:hint="eastAsia" w:ascii="仿宋" w:hAnsi="仿宋" w:eastAsia="仿宋" w:cs="仿宋"/>
          <w:kern w:val="0"/>
          <w:sz w:val="24"/>
        </w:rPr>
        <w:t xml:space="preserve">编制单位：新疆昌吉职业技术学院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 xml:space="preserve">         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24"/>
              </w:rPr>
            </w:pPr>
            <w:r>
              <w:rPr>
                <w:rFonts w:hint="eastAsia" w:ascii="仿宋" w:hAnsi="仿宋" w:eastAsia="仿宋" w:cs="仿宋"/>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24"/>
              </w:rPr>
            </w:pPr>
            <w:r>
              <w:rPr>
                <w:rFonts w:hint="eastAsia" w:ascii="仿宋" w:hAnsi="仿宋" w:eastAsia="仿宋" w:cs="仿宋"/>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 w:hAnsi="仿宋" w:eastAsia="仿宋" w:cs="仿宋"/>
                <w:b/>
                <w:bCs/>
                <w:color w:val="000000"/>
                <w:kern w:val="0"/>
                <w:sz w:val="24"/>
              </w:rPr>
            </w:pPr>
            <w:r>
              <w:rPr>
                <w:rFonts w:hint="eastAsia" w:ascii="仿宋" w:hAnsi="仿宋" w:eastAsia="仿宋" w:cs="仿宋"/>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 w:hAnsi="仿宋" w:eastAsia="仿宋" w:cs="仿宋"/>
                <w:b/>
                <w:bCs/>
                <w:color w:val="000000"/>
                <w:kern w:val="0"/>
                <w:sz w:val="24"/>
              </w:rPr>
            </w:pPr>
            <w:r>
              <w:rPr>
                <w:rFonts w:hint="eastAsia" w:ascii="仿宋" w:hAnsi="仿宋" w:eastAsia="仿宋" w:cs="仿宋"/>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 w:hAnsi="仿宋" w:eastAsia="仿宋" w:cs="仿宋"/>
                <w:b/>
                <w:bCs/>
                <w:color w:val="000000"/>
                <w:kern w:val="0"/>
                <w:sz w:val="24"/>
              </w:rPr>
            </w:pPr>
            <w:r>
              <w:rPr>
                <w:rFonts w:hint="eastAsia" w:ascii="仿宋" w:hAnsi="仿宋" w:eastAsia="仿宋" w:cs="仿宋"/>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 w:hAnsi="仿宋" w:eastAsia="仿宋" w:cs="仿宋"/>
                <w:b/>
                <w:bCs/>
                <w:color w:val="000000"/>
                <w:kern w:val="0"/>
                <w:sz w:val="24"/>
              </w:rPr>
            </w:pPr>
            <w:r>
              <w:rPr>
                <w:rFonts w:hint="eastAsia" w:ascii="仿宋" w:hAnsi="仿宋" w:eastAsia="仿宋" w:cs="仿宋"/>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24"/>
              </w:rPr>
            </w:pPr>
            <w:r>
              <w:rPr>
                <w:rFonts w:hint="eastAsia" w:ascii="仿宋" w:hAnsi="仿宋" w:eastAsia="仿宋" w:cs="仿宋"/>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24"/>
              </w:rPr>
            </w:pPr>
            <w:r>
              <w:rPr>
                <w:rFonts w:hint="eastAsia" w:ascii="仿宋" w:hAnsi="仿宋" w:eastAsia="仿宋" w:cs="仿宋"/>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24"/>
              </w:rPr>
            </w:pPr>
            <w:r>
              <w:rPr>
                <w:rFonts w:hint="eastAsia" w:ascii="仿宋" w:hAnsi="仿宋" w:eastAsia="仿宋" w:cs="仿宋"/>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 w:hAnsi="仿宋" w:eastAsia="仿宋" w:cs="仿宋"/>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 w:hAnsi="仿宋" w:eastAsia="仿宋" w:cs="仿宋"/>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 w:hAnsi="仿宋" w:eastAsia="仿宋" w:cs="仿宋"/>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 w:hAnsi="仿宋" w:eastAsia="仿宋" w:cs="仿宋"/>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563"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r>
              <w:rPr>
                <w:rFonts w:hint="eastAsia" w:ascii="仿宋" w:hAnsi="仿宋" w:eastAsia="仿宋" w:cs="仿宋"/>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仿宋"/>
                <w:color w:val="000000"/>
                <w:kern w:val="0"/>
                <w:sz w:val="18"/>
                <w:szCs w:val="18"/>
              </w:rPr>
            </w:pPr>
          </w:p>
        </w:tc>
      </w:tr>
    </w:tbl>
    <w:p>
      <w:pPr>
        <w:widowControl/>
        <w:spacing w:line="280" w:lineRule="exact"/>
        <w:outlineLvl w:val="1"/>
        <w:rPr>
          <w:rFonts w:ascii="仿宋" w:hAnsi="仿宋" w:eastAsia="仿宋" w:cs="仿宋"/>
          <w:b/>
          <w:kern w:val="0"/>
          <w:sz w:val="28"/>
          <w:szCs w:val="32"/>
        </w:rPr>
      </w:pPr>
      <w:r>
        <w:rPr>
          <w:rFonts w:hint="eastAsia" w:ascii="仿宋" w:hAnsi="仿宋" w:eastAsia="仿宋" w:cs="仿宋"/>
          <w:b/>
          <w:kern w:val="0"/>
          <w:sz w:val="28"/>
          <w:szCs w:val="32"/>
        </w:rPr>
        <w:t>备注：我单位无政府性基金预算，此表为空表。</w:t>
      </w:r>
    </w:p>
    <w:p>
      <w:pPr>
        <w:widowControl/>
        <w:spacing w:line="280" w:lineRule="exact"/>
        <w:jc w:val="left"/>
        <w:outlineLvl w:val="1"/>
        <w:sectPr>
          <w:footerReference r:id="rId4" w:type="even"/>
          <w:pgSz w:w="11906" w:h="16838"/>
          <w:pgMar w:top="2098" w:right="1418" w:bottom="1928" w:left="1588" w:header="851" w:footer="992" w:gutter="0"/>
          <w:pgNumType w:start="1"/>
          <w:cols w:space="720" w:num="1"/>
          <w:docGrid w:linePitch="312"/>
        </w:sectPr>
      </w:pPr>
    </w:p>
    <w:p>
      <w:pPr>
        <w:spacing w:line="560" w:lineRule="exact"/>
        <w:jc w:val="center"/>
        <w:rPr>
          <w:rFonts w:ascii="黑体" w:hAnsi="黑体" w:eastAsia="黑体" w:cs="仿宋"/>
          <w:b/>
          <w:kern w:val="0"/>
          <w:sz w:val="32"/>
          <w:szCs w:val="32"/>
        </w:rPr>
      </w:pPr>
      <w:r>
        <w:rPr>
          <w:rFonts w:hint="eastAsia" w:ascii="黑体" w:hAnsi="黑体" w:eastAsia="黑体" w:cs="仿宋"/>
          <w:b/>
          <w:kern w:val="0"/>
          <w:sz w:val="32"/>
          <w:szCs w:val="32"/>
        </w:rPr>
        <w:t>第三部分  2021年新疆昌吉职业技术学院预算情况说明</w:t>
      </w:r>
    </w:p>
    <w:p>
      <w:pPr>
        <w:spacing w:line="560" w:lineRule="exact"/>
        <w:jc w:val="center"/>
        <w:rPr>
          <w:rFonts w:ascii="仿宋" w:hAnsi="仿宋" w:eastAsia="仿宋" w:cs="仿宋"/>
          <w:kern w:val="0"/>
          <w:sz w:val="32"/>
          <w:szCs w:val="32"/>
        </w:rPr>
      </w:pPr>
    </w:p>
    <w:p>
      <w:pPr>
        <w:spacing w:line="560" w:lineRule="exact"/>
        <w:ind w:firstLine="643" w:firstLineChars="200"/>
        <w:rPr>
          <w:rFonts w:ascii="黑体" w:hAnsi="黑体" w:eastAsia="黑体" w:cs="仿宋"/>
          <w:b/>
          <w:kern w:val="0"/>
          <w:sz w:val="32"/>
          <w:szCs w:val="32"/>
        </w:rPr>
      </w:pPr>
      <w:r>
        <w:rPr>
          <w:rFonts w:hint="eastAsia" w:ascii="黑体" w:hAnsi="黑体" w:eastAsia="黑体" w:cs="仿宋"/>
          <w:b/>
          <w:bCs/>
          <w:kern w:val="0"/>
          <w:sz w:val="32"/>
          <w:szCs w:val="32"/>
        </w:rPr>
        <w:t>一、</w:t>
      </w:r>
      <w:r>
        <w:rPr>
          <w:rFonts w:hint="eastAsia" w:ascii="黑体" w:hAnsi="黑体" w:eastAsia="黑体" w:cs="仿宋"/>
          <w:b/>
          <w:kern w:val="0"/>
          <w:sz w:val="32"/>
          <w:szCs w:val="32"/>
        </w:rPr>
        <w:t>关于新疆昌吉职业技术学院2021年收支预算情况的总体说明</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按照全口径预算的原则，新疆昌吉职业技术学院2021年所有收入和支出均纳入</w:t>
      </w:r>
      <w:r>
        <w:rPr>
          <w:rFonts w:hint="eastAsia" w:ascii="仿宋" w:hAnsi="仿宋" w:eastAsia="仿宋" w:cs="仿宋"/>
          <w:kern w:val="0"/>
          <w:sz w:val="32"/>
          <w:szCs w:val="32"/>
          <w:lang w:eastAsia="zh-CN"/>
        </w:rPr>
        <w:t>单位</w:t>
      </w:r>
      <w:r>
        <w:rPr>
          <w:rFonts w:hint="eastAsia" w:ascii="仿宋" w:hAnsi="仿宋" w:eastAsia="仿宋" w:cs="仿宋"/>
          <w:kern w:val="0"/>
          <w:sz w:val="32"/>
          <w:szCs w:val="32"/>
        </w:rPr>
        <w:t>预算管理。收支总预算11381.66万元。</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收入预算包括：一般公共预算11381.66万元。</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支出预算包括：教育支出8726.83万元、社会保障和就业支出1441.77万元、卫生健康支出1213.06万元。</w:t>
      </w:r>
    </w:p>
    <w:p>
      <w:pPr>
        <w:spacing w:line="560" w:lineRule="exact"/>
        <w:ind w:firstLine="643" w:firstLineChars="200"/>
        <w:rPr>
          <w:rFonts w:ascii="黑体" w:hAnsi="黑体" w:eastAsia="黑体" w:cs="仿宋"/>
          <w:b/>
          <w:kern w:val="0"/>
          <w:sz w:val="32"/>
          <w:szCs w:val="32"/>
        </w:rPr>
      </w:pPr>
      <w:r>
        <w:rPr>
          <w:rFonts w:hint="eastAsia" w:ascii="黑体" w:hAnsi="黑体" w:eastAsia="黑体" w:cs="仿宋"/>
          <w:b/>
          <w:kern w:val="0"/>
          <w:sz w:val="32"/>
          <w:szCs w:val="32"/>
        </w:rPr>
        <w:t>二、关于新疆昌吉职业技术学院2021年收入预算情况说明</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新疆昌吉职业技术学院收入预算11381.66万元，其中：</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一般公共预算11381.66万元，占100%，比上年预算增加2577.71万元</w:t>
      </w:r>
      <w:r>
        <w:rPr>
          <w:rFonts w:hint="eastAsia" w:ascii="仿宋" w:hAnsi="仿宋" w:eastAsia="仿宋" w:cs="仿宋"/>
          <w:color w:val="000000"/>
          <w:kern w:val="0"/>
          <w:sz w:val="32"/>
          <w:szCs w:val="32"/>
        </w:rPr>
        <w:t>，</w:t>
      </w:r>
      <w:r>
        <w:rPr>
          <w:rFonts w:hint="eastAsia" w:ascii="仿宋" w:hAnsi="仿宋" w:eastAsia="仿宋" w:cs="仿宋"/>
          <w:kern w:val="0"/>
          <w:sz w:val="32"/>
          <w:szCs w:val="32"/>
        </w:rPr>
        <w:t>主要原因是根据财政相关政策其他财政供养人员校园保安经费增加、新引进人员增加</w:t>
      </w:r>
      <w:r>
        <w:rPr>
          <w:rFonts w:hint="eastAsia" w:ascii="仿宋" w:hAnsi="仿宋" w:eastAsia="仿宋" w:cs="仿宋"/>
          <w:color w:val="000000"/>
          <w:sz w:val="32"/>
          <w:szCs w:val="32"/>
        </w:rPr>
        <w:t>医疗补助和职工基本医疗保险缴费支出等相关费用</w:t>
      </w:r>
      <w:r>
        <w:rPr>
          <w:rFonts w:hint="eastAsia" w:ascii="仿宋" w:hAnsi="仿宋" w:eastAsia="仿宋" w:cs="仿宋"/>
          <w:kern w:val="0"/>
          <w:sz w:val="32"/>
          <w:szCs w:val="32"/>
        </w:rPr>
        <w:t>增加；拨付运转类高、中等职业教育生均拨款及疫情防控等项目经费增加。</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政府性基金预算未安排。</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国有资本经营预算未安排。</w:t>
      </w:r>
    </w:p>
    <w:p>
      <w:pPr>
        <w:spacing w:line="560" w:lineRule="exact"/>
        <w:ind w:firstLine="640" w:firstLineChars="200"/>
        <w:rPr>
          <w:rFonts w:ascii="黑体" w:hAnsi="黑体" w:eastAsia="黑体" w:cs="仿宋"/>
          <w:kern w:val="0"/>
          <w:sz w:val="32"/>
          <w:szCs w:val="32"/>
        </w:rPr>
      </w:pPr>
      <w:r>
        <w:rPr>
          <w:rFonts w:hint="eastAsia" w:ascii="黑体" w:hAnsi="黑体" w:eastAsia="黑体" w:cs="仿宋"/>
          <w:kern w:val="0"/>
          <w:sz w:val="32"/>
          <w:szCs w:val="32"/>
        </w:rPr>
        <w:t>三、关于新疆昌吉职业技术学院2021年支出预算情况说明</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新疆昌吉职业技术学院2021年支出预算11381.66万元，其中：</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基本支出9361.66万元，占82.25%，比上年预算增加557.71万元，主要原因是根据财政相关政策其他财政供养人员校园保安经费增加及新引进人员增加</w:t>
      </w:r>
      <w:r>
        <w:rPr>
          <w:rFonts w:hint="eastAsia" w:ascii="仿宋" w:hAnsi="仿宋" w:eastAsia="仿宋" w:cs="仿宋"/>
          <w:color w:val="000000"/>
          <w:sz w:val="32"/>
          <w:szCs w:val="32"/>
        </w:rPr>
        <w:t>医疗补助和职工基本医疗保险缴费支出等相关费用</w:t>
      </w:r>
      <w:r>
        <w:rPr>
          <w:rFonts w:hint="eastAsia" w:ascii="仿宋" w:hAnsi="仿宋" w:eastAsia="仿宋" w:cs="仿宋"/>
          <w:kern w:val="0"/>
          <w:sz w:val="32"/>
          <w:szCs w:val="32"/>
        </w:rPr>
        <w:t>增加。</w:t>
      </w:r>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kern w:val="0"/>
          <w:sz w:val="32"/>
          <w:szCs w:val="32"/>
        </w:rPr>
        <w:t>项目支出2020万元，占17.75%，比上年预算数增加2020万元，主要原因是</w:t>
      </w:r>
      <w:r>
        <w:rPr>
          <w:rFonts w:hint="eastAsia" w:ascii="仿宋" w:hAnsi="仿宋" w:eastAsia="仿宋" w:cs="仿宋"/>
          <w:color w:val="000000"/>
          <w:kern w:val="0"/>
          <w:sz w:val="32"/>
          <w:szCs w:val="32"/>
        </w:rPr>
        <w:t>拨付</w:t>
      </w:r>
      <w:r>
        <w:rPr>
          <w:rFonts w:hint="eastAsia" w:ascii="仿宋" w:hAnsi="仿宋" w:eastAsia="仿宋" w:cs="仿宋"/>
          <w:kern w:val="0"/>
          <w:sz w:val="32"/>
          <w:szCs w:val="32"/>
        </w:rPr>
        <w:t>运转类高、中等职业教育生均拨款及疫情防控等项目经费增加。</w:t>
      </w:r>
    </w:p>
    <w:p>
      <w:pPr>
        <w:spacing w:line="560" w:lineRule="exact"/>
        <w:ind w:firstLine="640" w:firstLineChars="200"/>
        <w:rPr>
          <w:rFonts w:ascii="黑体" w:hAnsi="黑体" w:eastAsia="黑体" w:cs="仿宋"/>
          <w:bCs/>
          <w:kern w:val="0"/>
          <w:sz w:val="32"/>
          <w:szCs w:val="32"/>
        </w:rPr>
      </w:pPr>
      <w:r>
        <w:rPr>
          <w:rFonts w:hint="eastAsia" w:ascii="黑体" w:hAnsi="黑体" w:eastAsia="黑体" w:cs="仿宋"/>
          <w:bCs/>
          <w:kern w:val="0"/>
          <w:sz w:val="32"/>
          <w:szCs w:val="32"/>
        </w:rPr>
        <w:t>四、关于</w:t>
      </w:r>
      <w:r>
        <w:rPr>
          <w:rFonts w:hint="eastAsia" w:ascii="黑体" w:hAnsi="黑体" w:eastAsia="黑体" w:cs="仿宋"/>
          <w:kern w:val="0"/>
          <w:sz w:val="32"/>
          <w:szCs w:val="32"/>
        </w:rPr>
        <w:t>新疆昌吉职业技术学院2021年</w:t>
      </w:r>
      <w:r>
        <w:rPr>
          <w:rFonts w:hint="eastAsia" w:ascii="黑体" w:hAnsi="黑体" w:eastAsia="黑体" w:cs="仿宋"/>
          <w:bCs/>
          <w:kern w:val="0"/>
          <w:sz w:val="32"/>
          <w:szCs w:val="32"/>
        </w:rPr>
        <w:t>财政拨款收支预算情况的总体说明</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新疆昌吉职业技术学院2021年财政拨款收支总预算11381.66万元。</w:t>
      </w:r>
    </w:p>
    <w:p>
      <w:pPr>
        <w:spacing w:line="560" w:lineRule="exact"/>
        <w:ind w:firstLine="616" w:firstLineChars="200"/>
        <w:rPr>
          <w:rFonts w:ascii="仿宋" w:hAnsi="仿宋" w:eastAsia="仿宋" w:cs="仿宋"/>
          <w:spacing w:val="-6"/>
          <w:kern w:val="0"/>
          <w:sz w:val="32"/>
          <w:szCs w:val="32"/>
        </w:rPr>
      </w:pPr>
      <w:r>
        <w:rPr>
          <w:rFonts w:hint="eastAsia" w:ascii="仿宋" w:hAnsi="仿宋" w:eastAsia="仿宋" w:cs="仿宋"/>
          <w:spacing w:val="-6"/>
          <w:kern w:val="0"/>
          <w:sz w:val="32"/>
          <w:szCs w:val="32"/>
        </w:rPr>
        <w:t>收入全部为一般公共预算拨款，无政府性基金预算和国有资本经营预算拨款。</w:t>
      </w:r>
    </w:p>
    <w:p>
      <w:pPr>
        <w:spacing w:line="560" w:lineRule="exact"/>
        <w:ind w:firstLine="616" w:firstLineChars="200"/>
        <w:rPr>
          <w:rFonts w:ascii="仿宋" w:hAnsi="仿宋" w:eastAsia="仿宋" w:cs="仿宋"/>
          <w:spacing w:val="-6"/>
          <w:kern w:val="0"/>
          <w:sz w:val="32"/>
          <w:szCs w:val="32"/>
        </w:rPr>
      </w:pPr>
      <w:r>
        <w:rPr>
          <w:rFonts w:hint="eastAsia" w:ascii="仿宋" w:hAnsi="仿宋" w:eastAsia="仿宋" w:cs="仿宋"/>
          <w:spacing w:val="-6"/>
          <w:kern w:val="0"/>
          <w:sz w:val="32"/>
          <w:szCs w:val="32"/>
        </w:rPr>
        <w:t>收入预算包括：一般公共预算拨款11381.66万元。</w:t>
      </w:r>
    </w:p>
    <w:p>
      <w:pPr>
        <w:spacing w:line="560" w:lineRule="exact"/>
        <w:ind w:firstLine="616" w:firstLineChars="200"/>
        <w:rPr>
          <w:rFonts w:ascii="仿宋" w:hAnsi="仿宋" w:eastAsia="仿宋" w:cs="仿宋"/>
          <w:kern w:val="0"/>
          <w:sz w:val="32"/>
          <w:szCs w:val="32"/>
        </w:rPr>
      </w:pPr>
      <w:r>
        <w:rPr>
          <w:rFonts w:hint="eastAsia" w:ascii="仿宋" w:hAnsi="仿宋" w:eastAsia="仿宋" w:cs="仿宋"/>
          <w:spacing w:val="-6"/>
          <w:kern w:val="0"/>
          <w:sz w:val="32"/>
          <w:szCs w:val="32"/>
        </w:rPr>
        <w:t>一般公共预算支出包括：</w:t>
      </w:r>
      <w:r>
        <w:rPr>
          <w:rFonts w:hint="eastAsia" w:ascii="仿宋" w:hAnsi="仿宋" w:eastAsia="仿宋" w:cs="仿宋"/>
          <w:kern w:val="0"/>
          <w:sz w:val="32"/>
          <w:szCs w:val="32"/>
        </w:rPr>
        <w:t>教育支出8726.83万元，主要用于中、高职人员经费和公用经费</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社会保障和就业支出1441.77万元，主要用于中、高职人员基本养老保险及职业年金缴费支出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卫生健康支出1213.06万元，主要用于中、高职人员基本医疗保险、公务员医疗补助及其他医疗缴费支出。</w:t>
      </w:r>
    </w:p>
    <w:p>
      <w:pPr>
        <w:spacing w:line="560" w:lineRule="exact"/>
        <w:ind w:firstLine="640" w:firstLineChars="200"/>
        <w:rPr>
          <w:rFonts w:ascii="黑体" w:hAnsi="黑体" w:eastAsia="黑体" w:cs="仿宋"/>
          <w:kern w:val="0"/>
          <w:sz w:val="32"/>
          <w:szCs w:val="32"/>
        </w:rPr>
      </w:pPr>
      <w:r>
        <w:rPr>
          <w:rFonts w:hint="eastAsia" w:ascii="黑体" w:hAnsi="黑体" w:eastAsia="黑体" w:cs="仿宋"/>
          <w:kern w:val="0"/>
          <w:sz w:val="32"/>
          <w:szCs w:val="32"/>
        </w:rPr>
        <w:t>五、关于新疆昌吉职业技术学院2021年一般公共预算当年拨款情况说明</w:t>
      </w:r>
    </w:p>
    <w:p>
      <w:pPr>
        <w:spacing w:line="560" w:lineRule="exact"/>
        <w:ind w:firstLine="643" w:firstLineChars="200"/>
        <w:rPr>
          <w:rFonts w:ascii="仿宋" w:hAnsi="仿宋" w:eastAsia="仿宋" w:cs="仿宋"/>
          <w:b/>
          <w:kern w:val="0"/>
          <w:sz w:val="32"/>
          <w:szCs w:val="32"/>
        </w:rPr>
      </w:pPr>
      <w:r>
        <w:rPr>
          <w:rFonts w:hint="eastAsia" w:ascii="仿宋" w:hAnsi="仿宋" w:eastAsia="仿宋" w:cs="仿宋"/>
          <w:b/>
          <w:kern w:val="0"/>
          <w:sz w:val="32"/>
          <w:szCs w:val="32"/>
        </w:rPr>
        <w:t>（一）一般公共预算当年拨款规模变化情况</w:t>
      </w:r>
    </w:p>
    <w:p>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新疆昌吉职业技术学院2021年一般公共预算拨款合计11381.66万元，其中：</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基本支出9361.66万元，比上年预算增加557.71万元，增长6.33%。主要原因是：根据财政相关政策其他财政供养人员校园保安经费增加及新引进人员增加</w:t>
      </w:r>
      <w:r>
        <w:rPr>
          <w:rFonts w:hint="eastAsia" w:ascii="仿宋" w:hAnsi="仿宋" w:eastAsia="仿宋" w:cs="仿宋"/>
          <w:color w:val="000000"/>
          <w:sz w:val="32"/>
          <w:szCs w:val="32"/>
        </w:rPr>
        <w:t>医疗补助和职工基本医疗保险缴费支出等相关费用</w:t>
      </w:r>
      <w:r>
        <w:rPr>
          <w:rFonts w:hint="eastAsia" w:ascii="仿宋" w:hAnsi="仿宋" w:eastAsia="仿宋" w:cs="仿宋"/>
          <w:kern w:val="0"/>
          <w:sz w:val="32"/>
          <w:szCs w:val="32"/>
        </w:rPr>
        <w:t>增加。</w:t>
      </w:r>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kern w:val="0"/>
          <w:sz w:val="32"/>
          <w:szCs w:val="32"/>
        </w:rPr>
        <w:t>项目支出2020万元，比上年预算增加2020万元，增长100%，主要原因是</w:t>
      </w:r>
      <w:r>
        <w:rPr>
          <w:rFonts w:hint="eastAsia" w:ascii="仿宋" w:hAnsi="仿宋" w:eastAsia="仿宋" w:cs="仿宋"/>
          <w:color w:val="000000"/>
          <w:kern w:val="0"/>
          <w:sz w:val="32"/>
          <w:szCs w:val="32"/>
        </w:rPr>
        <w:t>拨付</w:t>
      </w:r>
      <w:r>
        <w:rPr>
          <w:rFonts w:hint="eastAsia" w:ascii="仿宋" w:hAnsi="仿宋" w:eastAsia="仿宋" w:cs="仿宋"/>
          <w:kern w:val="0"/>
          <w:sz w:val="32"/>
          <w:szCs w:val="32"/>
        </w:rPr>
        <w:t>运转类高、中等职业教育生均拨款及疫情防控等项目经费增加。</w:t>
      </w:r>
    </w:p>
    <w:p>
      <w:pPr>
        <w:spacing w:line="560" w:lineRule="exact"/>
        <w:ind w:firstLine="643" w:firstLineChars="200"/>
        <w:rPr>
          <w:rFonts w:ascii="仿宋" w:hAnsi="仿宋" w:eastAsia="仿宋" w:cs="仿宋"/>
          <w:b/>
          <w:kern w:val="0"/>
          <w:sz w:val="32"/>
          <w:szCs w:val="32"/>
        </w:rPr>
      </w:pPr>
      <w:r>
        <w:rPr>
          <w:rFonts w:hint="eastAsia" w:ascii="仿宋" w:hAnsi="仿宋" w:eastAsia="仿宋" w:cs="仿宋"/>
          <w:b/>
          <w:kern w:val="0"/>
          <w:sz w:val="32"/>
          <w:szCs w:val="32"/>
        </w:rPr>
        <w:t>（二）一般公共预算当年拨款结构情况</w:t>
      </w:r>
    </w:p>
    <w:p>
      <w:pPr>
        <w:spacing w:line="580" w:lineRule="exact"/>
        <w:ind w:firstLine="640"/>
        <w:rPr>
          <w:rFonts w:ascii="仿宋" w:hAnsi="仿宋" w:eastAsia="仿宋" w:cs="仿宋"/>
          <w:kern w:val="0"/>
          <w:sz w:val="32"/>
          <w:szCs w:val="32"/>
        </w:rPr>
      </w:pPr>
      <w:r>
        <w:rPr>
          <w:rFonts w:hint="eastAsia" w:ascii="仿宋" w:hAnsi="仿宋" w:eastAsia="仿宋" w:cs="仿宋"/>
          <w:kern w:val="0"/>
          <w:sz w:val="32"/>
          <w:szCs w:val="32"/>
        </w:rPr>
        <w:t>1.教育支出8726.83万元，占76.67%。</w:t>
      </w:r>
    </w:p>
    <w:p>
      <w:pPr>
        <w:spacing w:line="580" w:lineRule="exact"/>
        <w:ind w:firstLine="640"/>
        <w:rPr>
          <w:rFonts w:ascii="仿宋" w:hAnsi="仿宋" w:eastAsia="仿宋" w:cs="仿宋"/>
          <w:kern w:val="0"/>
          <w:sz w:val="32"/>
          <w:szCs w:val="32"/>
        </w:rPr>
      </w:pPr>
      <w:r>
        <w:rPr>
          <w:rFonts w:hint="eastAsia" w:ascii="仿宋" w:hAnsi="仿宋" w:eastAsia="仿宋" w:cs="仿宋"/>
          <w:kern w:val="0"/>
          <w:sz w:val="32"/>
          <w:szCs w:val="32"/>
        </w:rPr>
        <w:t>2.社会保障和就业支出1441.77万元，占12.67%。</w:t>
      </w:r>
    </w:p>
    <w:p>
      <w:pPr>
        <w:spacing w:line="580" w:lineRule="exact"/>
        <w:ind w:firstLine="640"/>
        <w:rPr>
          <w:rFonts w:ascii="仿宋" w:hAnsi="仿宋" w:eastAsia="仿宋" w:cs="仿宋"/>
          <w:kern w:val="0"/>
          <w:sz w:val="32"/>
          <w:szCs w:val="32"/>
        </w:rPr>
      </w:pPr>
      <w:r>
        <w:rPr>
          <w:rFonts w:hint="eastAsia" w:ascii="仿宋" w:hAnsi="仿宋" w:eastAsia="仿宋" w:cs="仿宋"/>
          <w:kern w:val="0"/>
          <w:sz w:val="32"/>
          <w:szCs w:val="32"/>
        </w:rPr>
        <w:t>3.卫生健康支出1213.06万元，占10.66%。</w:t>
      </w:r>
    </w:p>
    <w:p>
      <w:pPr>
        <w:spacing w:line="560" w:lineRule="exact"/>
        <w:ind w:firstLine="643" w:firstLineChars="200"/>
        <w:rPr>
          <w:rFonts w:ascii="仿宋" w:hAnsi="仿宋" w:eastAsia="仿宋" w:cs="仿宋"/>
        </w:rPr>
      </w:pPr>
      <w:r>
        <w:rPr>
          <w:rFonts w:hint="eastAsia" w:ascii="仿宋" w:hAnsi="仿宋" w:eastAsia="仿宋" w:cs="仿宋"/>
          <w:b/>
          <w:kern w:val="0"/>
          <w:sz w:val="32"/>
          <w:szCs w:val="32"/>
        </w:rPr>
        <w:t>（三）一般公共预算当年拨款具体使用情况</w:t>
      </w:r>
    </w:p>
    <w:p>
      <w:pPr>
        <w:widowControl/>
        <w:spacing w:line="58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1.教育支出（类）职业教育（款）中专教育（项）:2021年预算数为3284.25万元，比上年预算数增加703.92万元，增长27.28%，主要原因是：中专身份教职工退休，中专招生人数减少，对应的支出减少及</w:t>
      </w:r>
      <w:r>
        <w:rPr>
          <w:rFonts w:hint="eastAsia" w:ascii="仿宋" w:hAnsi="仿宋" w:eastAsia="仿宋" w:cs="仿宋"/>
          <w:color w:val="000000"/>
          <w:kern w:val="0"/>
          <w:sz w:val="32"/>
          <w:szCs w:val="32"/>
        </w:rPr>
        <w:t>拨付</w:t>
      </w:r>
      <w:r>
        <w:rPr>
          <w:rFonts w:hint="eastAsia" w:ascii="仿宋" w:hAnsi="仿宋" w:eastAsia="仿宋" w:cs="仿宋"/>
          <w:kern w:val="0"/>
          <w:sz w:val="32"/>
          <w:szCs w:val="32"/>
        </w:rPr>
        <w:t>运转类高、中等职业教育生均拨款及疫情防控等项目经费增加。</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2.教育支出（类）职业教育（款）高等职业教育（项）：2021年预算数为5442.58万元，比上年预算数增加1634.53万元，增长42.92%，主要原因是：校园保安经费增加及</w:t>
      </w:r>
      <w:r>
        <w:rPr>
          <w:rFonts w:hint="eastAsia" w:ascii="仿宋" w:hAnsi="仿宋" w:eastAsia="仿宋" w:cs="仿宋"/>
          <w:color w:val="000000"/>
          <w:kern w:val="0"/>
          <w:sz w:val="32"/>
          <w:szCs w:val="32"/>
        </w:rPr>
        <w:t>拨付</w:t>
      </w:r>
      <w:r>
        <w:rPr>
          <w:rFonts w:hint="eastAsia" w:ascii="仿宋" w:hAnsi="仿宋" w:eastAsia="仿宋" w:cs="仿宋"/>
          <w:kern w:val="0"/>
          <w:sz w:val="32"/>
          <w:szCs w:val="32"/>
        </w:rPr>
        <w:t>运转类高、中等职业教育生均拨款及疫情防控等项目经费增加。</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3.</w:t>
      </w:r>
      <w:r>
        <w:rPr>
          <w:rFonts w:hint="eastAsia" w:ascii="仿宋_GB2312" w:hAnsi="宋体" w:eastAsia="仿宋_GB2312" w:cs="宋体"/>
          <w:kern w:val="0"/>
          <w:sz w:val="32"/>
          <w:szCs w:val="32"/>
        </w:rPr>
        <w:t xml:space="preserve"> 社会保障和就业支出（类）行政事业单位离退休（款）机关事业单位基本养老保险缴费支出（项）</w:t>
      </w:r>
      <w:r>
        <w:rPr>
          <w:rFonts w:hint="eastAsia" w:ascii="仿宋" w:hAnsi="仿宋" w:eastAsia="仿宋" w:cs="仿宋"/>
          <w:kern w:val="0"/>
          <w:sz w:val="32"/>
          <w:szCs w:val="32"/>
        </w:rPr>
        <w:t>：2021年预算数为961.18万元，比上年预算数增加9.25万元，增长0.97%，主要原因是：新引进人员增加导致基本养老保险缴费支出增加。</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4.</w:t>
      </w:r>
      <w:r>
        <w:rPr>
          <w:rFonts w:hint="eastAsia" w:ascii="仿宋_GB2312" w:hAnsi="宋体" w:eastAsia="仿宋_GB2312" w:cs="宋体"/>
          <w:kern w:val="0"/>
          <w:sz w:val="32"/>
          <w:szCs w:val="32"/>
        </w:rPr>
        <w:t xml:space="preserve"> 社会保障和就业支出（类）行政事业单位离退休（款）机关事业单位职业年金缴费支出（项）</w:t>
      </w:r>
      <w:r>
        <w:rPr>
          <w:rFonts w:hint="eastAsia" w:ascii="仿宋" w:hAnsi="仿宋" w:eastAsia="仿宋" w:cs="仿宋"/>
          <w:kern w:val="0"/>
          <w:sz w:val="32"/>
          <w:szCs w:val="32"/>
        </w:rPr>
        <w:t>：2021年预算数为480.59万元，比上年预算数增加4.63万元，增长9.73%，主要原因是：新引进人员增加导致职业年金缴费支出增加。</w:t>
      </w:r>
    </w:p>
    <w:p>
      <w:pPr>
        <w:spacing w:line="560" w:lineRule="exact"/>
        <w:ind w:firstLine="640" w:firstLineChars="200"/>
        <w:rPr>
          <w:rFonts w:ascii="仿宋" w:hAnsi="仿宋" w:eastAsia="仿宋" w:cs="仿宋"/>
          <w:kern w:val="0"/>
          <w:sz w:val="32"/>
          <w:szCs w:val="32"/>
          <w:highlight w:val="red"/>
        </w:rPr>
      </w:pPr>
      <w:r>
        <w:rPr>
          <w:rFonts w:hint="eastAsia" w:ascii="仿宋" w:hAnsi="仿宋" w:eastAsia="仿宋" w:cs="仿宋"/>
          <w:kern w:val="0"/>
          <w:sz w:val="32"/>
          <w:szCs w:val="32"/>
        </w:rPr>
        <w:t>5.</w:t>
      </w:r>
      <w:r>
        <w:rPr>
          <w:rFonts w:hint="eastAsia" w:ascii="仿宋_GB2312" w:hAnsi="宋体" w:eastAsia="仿宋_GB2312" w:cs="宋体"/>
          <w:kern w:val="0"/>
          <w:sz w:val="32"/>
          <w:szCs w:val="32"/>
        </w:rPr>
        <w:t xml:space="preserve"> 卫生健康支出（类）行政事业单位医疗（款）事业单位医疗（项）</w:t>
      </w:r>
      <w:r>
        <w:rPr>
          <w:rFonts w:hint="eastAsia" w:ascii="仿宋" w:hAnsi="仿宋" w:eastAsia="仿宋" w:cs="仿宋"/>
          <w:kern w:val="0"/>
          <w:sz w:val="32"/>
          <w:szCs w:val="32"/>
        </w:rPr>
        <w:t>：2021年预算数为895.82万元，比上年预算数增加235.18万元，增长35.6%，主要原因是：新引进人员增加导致事业单位医疗缴费支出增加。</w:t>
      </w:r>
    </w:p>
    <w:p>
      <w:pPr>
        <w:spacing w:line="560" w:lineRule="exact"/>
        <w:ind w:firstLine="640" w:firstLineChars="200"/>
        <w:rPr>
          <w:rFonts w:ascii="仿宋" w:hAnsi="仿宋" w:eastAsia="仿宋" w:cs="仿宋"/>
          <w:kern w:val="0"/>
          <w:sz w:val="32"/>
          <w:szCs w:val="32"/>
          <w:highlight w:val="red"/>
        </w:rPr>
      </w:pPr>
      <w:r>
        <w:rPr>
          <w:rFonts w:hint="eastAsia" w:ascii="仿宋" w:hAnsi="仿宋" w:eastAsia="仿宋" w:cs="仿宋"/>
          <w:kern w:val="0"/>
          <w:sz w:val="32"/>
          <w:szCs w:val="32"/>
        </w:rPr>
        <w:t>6.</w:t>
      </w:r>
      <w:r>
        <w:rPr>
          <w:rFonts w:hint="eastAsia" w:ascii="仿宋_GB2312" w:hAnsi="宋体" w:eastAsia="仿宋_GB2312" w:cs="宋体"/>
          <w:kern w:val="0"/>
          <w:sz w:val="32"/>
          <w:szCs w:val="32"/>
        </w:rPr>
        <w:t xml:space="preserve"> 卫生健康支出（类）行政事业单位医疗（款）</w:t>
      </w:r>
      <w:r>
        <w:rPr>
          <w:rFonts w:hint="eastAsia" w:ascii="仿宋" w:hAnsi="仿宋" w:eastAsia="仿宋" w:cs="仿宋"/>
          <w:kern w:val="0"/>
          <w:sz w:val="32"/>
          <w:szCs w:val="32"/>
        </w:rPr>
        <w:t>公务员医疗补助（项）：2021年预算数为288.59万元，比上年预算数增加10.42万元，增长3.75%，主要原因是：新引进人员增加导致公务员医疗补助缴费支出增加。</w:t>
      </w:r>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kern w:val="0"/>
          <w:sz w:val="32"/>
          <w:szCs w:val="32"/>
        </w:rPr>
        <w:t>7.</w:t>
      </w:r>
      <w:r>
        <w:rPr>
          <w:rFonts w:hint="eastAsia" w:ascii="仿宋_GB2312" w:hAnsi="宋体" w:eastAsia="仿宋_GB2312" w:cs="宋体"/>
          <w:kern w:val="0"/>
          <w:sz w:val="32"/>
          <w:szCs w:val="32"/>
        </w:rPr>
        <w:t xml:space="preserve"> 卫生健康支出（类）行政事业单位医疗（款）</w:t>
      </w:r>
      <w:r>
        <w:rPr>
          <w:rFonts w:hint="eastAsia" w:ascii="仿宋" w:hAnsi="仿宋" w:eastAsia="仿宋" w:cs="仿宋"/>
          <w:kern w:val="0"/>
          <w:sz w:val="32"/>
          <w:szCs w:val="32"/>
        </w:rPr>
        <w:t>其他行政事业单位医疗支出（项）：2021年预算数为28.65万元，比上年预算数减少20.22万元，下降41.38%，主要原因是：</w:t>
      </w:r>
      <w:r>
        <w:rPr>
          <w:rFonts w:hint="eastAsia" w:ascii="仿宋" w:hAnsi="仿宋" w:eastAsia="仿宋" w:cs="仿宋"/>
          <w:color w:val="000000"/>
          <w:kern w:val="0"/>
          <w:sz w:val="32"/>
          <w:szCs w:val="32"/>
        </w:rPr>
        <w:t>其他</w:t>
      </w:r>
      <w:r>
        <w:rPr>
          <w:rFonts w:hint="eastAsia" w:ascii="仿宋" w:hAnsi="仿宋" w:eastAsia="仿宋" w:cs="仿宋"/>
          <w:color w:val="000000"/>
          <w:kern w:val="0"/>
          <w:sz w:val="32"/>
          <w:szCs w:val="32"/>
          <w:lang w:eastAsia="zh-CN"/>
        </w:rPr>
        <w:t>行</w:t>
      </w:r>
      <w:r>
        <w:rPr>
          <w:rFonts w:hint="eastAsia" w:ascii="仿宋" w:hAnsi="仿宋" w:eastAsia="仿宋" w:cs="仿宋"/>
          <w:color w:val="000000"/>
          <w:kern w:val="0"/>
          <w:sz w:val="32"/>
          <w:szCs w:val="32"/>
        </w:rPr>
        <w:t>政事业单位医疗支出</w:t>
      </w:r>
      <w:r>
        <w:rPr>
          <w:rFonts w:hint="eastAsia" w:ascii="仿宋" w:hAnsi="仿宋" w:eastAsia="仿宋" w:cs="仿宋"/>
          <w:color w:val="000000"/>
          <w:kern w:val="0"/>
          <w:sz w:val="32"/>
          <w:szCs w:val="32"/>
          <w:lang w:eastAsia="zh-CN"/>
        </w:rPr>
        <w:t>减少</w:t>
      </w:r>
      <w:r>
        <w:rPr>
          <w:rFonts w:hint="eastAsia" w:ascii="仿宋" w:hAnsi="仿宋" w:eastAsia="仿宋" w:cs="仿宋"/>
          <w:color w:val="000000"/>
          <w:kern w:val="0"/>
          <w:sz w:val="32"/>
          <w:szCs w:val="32"/>
        </w:rPr>
        <w:t>。</w:t>
      </w:r>
    </w:p>
    <w:p>
      <w:pPr>
        <w:spacing w:line="560" w:lineRule="exact"/>
        <w:ind w:firstLine="640" w:firstLineChars="200"/>
        <w:rPr>
          <w:rFonts w:ascii="黑体" w:hAnsi="黑体" w:eastAsia="黑体" w:cs="仿宋"/>
          <w:kern w:val="0"/>
          <w:sz w:val="32"/>
          <w:szCs w:val="32"/>
        </w:rPr>
      </w:pPr>
      <w:r>
        <w:rPr>
          <w:rFonts w:hint="eastAsia" w:ascii="黑体" w:hAnsi="黑体" w:eastAsia="黑体" w:cs="仿宋"/>
          <w:kern w:val="0"/>
          <w:sz w:val="32"/>
          <w:szCs w:val="32"/>
        </w:rPr>
        <w:t>六、关于新疆昌吉职业技术学院2021年一般公共预算基本支出情况说明</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新疆昌吉职业技术学院2021年一般公共预算基本支出9361.66万元， 其中：</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人员经费9139万元，主要包括：基本工资3827.96万元、津贴补贴70.3万元、奖金265.48万元、伙食补助费446.04万元、绩效工资961.71万元、机关事业单位基本养老保险缴费961.18万元、职业年金缴费480.59万元、职工基本医疗保险缴费895.82万元、公务员医疗补助缴费288.59万元、其他社会保障缴费28.65万元、住房公积金720.89万元、其他工资福利支出91.62万元、离休费7.8万元、生活补助2.83万元、奖励金39.76万元、对个人和家庭的补助支出49.78万元。</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公用经费222.66万元，主要包括：培训费14.79万元、福利费176.09万元、商品和服务支出31.78万元。</w:t>
      </w:r>
    </w:p>
    <w:p>
      <w:pPr>
        <w:spacing w:line="560" w:lineRule="exact"/>
        <w:ind w:firstLine="640" w:firstLineChars="200"/>
        <w:rPr>
          <w:rFonts w:ascii="黑体" w:hAnsi="黑体" w:eastAsia="黑体" w:cs="仿宋"/>
          <w:kern w:val="0"/>
          <w:sz w:val="32"/>
          <w:szCs w:val="32"/>
        </w:rPr>
      </w:pPr>
      <w:r>
        <w:rPr>
          <w:rFonts w:hint="eastAsia" w:ascii="黑体" w:hAnsi="黑体" w:eastAsia="黑体" w:cs="仿宋"/>
          <w:kern w:val="0"/>
          <w:sz w:val="32"/>
          <w:szCs w:val="32"/>
        </w:rPr>
        <w:t>七、关于新疆昌吉职业技术学院2021年一般公共预算项目支出情况说明</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1.项目名称：中职生均公用经费</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设立的政策依据：财教〔2015〕448号财政部教育部人力资源和社会保障部关于建立完善中等职业学校生均拨款制度的指导意见。维持学院教育教学工作正常运转。提高师资质量，促进办学水平整体提高和可持续发展。促进教育公平、义务教育均衡发展。</w:t>
      </w:r>
    </w:p>
    <w:p>
      <w:pPr>
        <w:spacing w:line="560" w:lineRule="exact"/>
        <w:ind w:firstLine="640" w:firstLineChars="200"/>
        <w:rPr>
          <w:rFonts w:ascii="仿宋" w:hAnsi="仿宋" w:eastAsia="仿宋" w:cs="仿宋"/>
          <w:color w:val="000000"/>
          <w:sz w:val="18"/>
          <w:szCs w:val="18"/>
        </w:rPr>
      </w:pPr>
      <w:r>
        <w:rPr>
          <w:rFonts w:hint="eastAsia" w:ascii="仿宋" w:hAnsi="仿宋" w:eastAsia="仿宋" w:cs="仿宋"/>
          <w:sz w:val="32"/>
          <w:szCs w:val="32"/>
        </w:rPr>
        <w:t>预算安排规模：718.6万元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项目承担单位：新疆昌吉职业技术学院</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资金分配情况：718.6万元用于公用经费，维持学院教育教学工作正常运转。</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sz w:val="32"/>
          <w:szCs w:val="32"/>
        </w:rPr>
        <w:t>资金执行时间：</w:t>
      </w:r>
      <w:r>
        <w:rPr>
          <w:rFonts w:hint="eastAsia" w:ascii="仿宋" w:hAnsi="仿宋" w:eastAsia="仿宋" w:cs="仿宋"/>
          <w:kern w:val="0"/>
          <w:sz w:val="32"/>
          <w:szCs w:val="32"/>
        </w:rPr>
        <w:t>2021年1-12月</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2.项目名称：高职公用经费</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设立的政策依据：保障人员工资正常发放，确保学院教育教学工作正常运转。提升办学质量，促进办学水平整体提高和可持续发展。</w:t>
      </w:r>
    </w:p>
    <w:p>
      <w:pPr>
        <w:spacing w:line="560" w:lineRule="exact"/>
        <w:ind w:firstLine="640" w:firstLineChars="200"/>
        <w:rPr>
          <w:rFonts w:ascii="仿宋" w:hAnsi="仿宋" w:eastAsia="仿宋" w:cs="仿宋"/>
          <w:color w:val="000000"/>
          <w:sz w:val="18"/>
          <w:szCs w:val="18"/>
        </w:rPr>
      </w:pPr>
      <w:r>
        <w:rPr>
          <w:rFonts w:hint="eastAsia" w:ascii="仿宋" w:hAnsi="仿宋" w:eastAsia="仿宋" w:cs="仿宋"/>
          <w:sz w:val="32"/>
          <w:szCs w:val="32"/>
        </w:rPr>
        <w:t>预算安排规模：1281.4万元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项目承担单位：新疆昌吉职业技术学院</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资金分配情况：1281.4万元用于保障人员工资正常发放，维持学院教育教学工作正常运转。</w:t>
      </w:r>
    </w:p>
    <w:p>
      <w:pPr>
        <w:spacing w:line="560" w:lineRule="exact"/>
        <w:ind w:firstLine="640" w:firstLineChars="200"/>
        <w:rPr>
          <w:rFonts w:ascii="仿宋" w:hAnsi="仿宋" w:eastAsia="仿宋" w:cs="仿宋"/>
          <w:b/>
          <w:sz w:val="32"/>
          <w:szCs w:val="32"/>
        </w:rPr>
      </w:pPr>
      <w:r>
        <w:rPr>
          <w:rFonts w:hint="eastAsia" w:ascii="仿宋" w:hAnsi="仿宋" w:eastAsia="仿宋" w:cs="仿宋"/>
          <w:sz w:val="32"/>
          <w:szCs w:val="32"/>
        </w:rPr>
        <w:t>资金执行时间：</w:t>
      </w:r>
      <w:r>
        <w:rPr>
          <w:rFonts w:hint="eastAsia" w:ascii="仿宋" w:hAnsi="仿宋" w:eastAsia="仿宋" w:cs="仿宋"/>
          <w:kern w:val="0"/>
          <w:sz w:val="32"/>
          <w:szCs w:val="32"/>
        </w:rPr>
        <w:t>2021年1-12月</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3.项目名称：疫情防控等运转经费</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设立的政策依据：结合疫情防控工作特点和实际需求，统筹资金，确保疫情防控工作有序有效推进。落实好疫情防控物资采购、在校学生和教职工餐饮、医疗、日用品等后勤保障所需资金，全力保障当前各项疫情防控工作。做好疫情防控物资保障，严防疫情向校园扩散。</w:t>
      </w:r>
    </w:p>
    <w:p>
      <w:pPr>
        <w:spacing w:line="560" w:lineRule="exact"/>
        <w:ind w:firstLine="640" w:firstLineChars="200"/>
        <w:rPr>
          <w:rFonts w:ascii="仿宋" w:hAnsi="仿宋" w:eastAsia="仿宋" w:cs="仿宋"/>
          <w:color w:val="000000"/>
          <w:sz w:val="18"/>
          <w:szCs w:val="18"/>
        </w:rPr>
      </w:pPr>
      <w:r>
        <w:rPr>
          <w:rFonts w:hint="eastAsia" w:ascii="仿宋" w:hAnsi="仿宋" w:eastAsia="仿宋" w:cs="仿宋"/>
          <w:sz w:val="32"/>
          <w:szCs w:val="32"/>
        </w:rPr>
        <w:t>预算安排规模：20万元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项目承担单位：新疆昌吉职业技术学院</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资金分配情况：20万元用于疫情防控相关物资等。</w:t>
      </w:r>
    </w:p>
    <w:p>
      <w:pPr>
        <w:spacing w:line="560" w:lineRule="exact"/>
        <w:ind w:firstLine="640" w:firstLineChars="200"/>
        <w:rPr>
          <w:rFonts w:ascii="仿宋" w:hAnsi="仿宋" w:eastAsia="仿宋" w:cs="仿宋"/>
        </w:rPr>
      </w:pPr>
      <w:r>
        <w:rPr>
          <w:rFonts w:hint="eastAsia" w:ascii="仿宋" w:hAnsi="仿宋" w:eastAsia="仿宋" w:cs="仿宋"/>
          <w:sz w:val="32"/>
          <w:szCs w:val="32"/>
        </w:rPr>
        <w:t>资金执行时间：</w:t>
      </w:r>
      <w:r>
        <w:rPr>
          <w:rFonts w:hint="eastAsia" w:ascii="仿宋" w:hAnsi="仿宋" w:eastAsia="仿宋" w:cs="仿宋"/>
          <w:kern w:val="0"/>
          <w:sz w:val="32"/>
          <w:szCs w:val="32"/>
        </w:rPr>
        <w:t>2021年1-12月</w:t>
      </w:r>
    </w:p>
    <w:p>
      <w:pPr>
        <w:spacing w:line="560" w:lineRule="exact"/>
        <w:ind w:firstLine="640" w:firstLineChars="200"/>
        <w:rPr>
          <w:rFonts w:ascii="黑体" w:hAnsi="黑体" w:eastAsia="黑体" w:cs="仿宋"/>
          <w:kern w:val="0"/>
          <w:sz w:val="32"/>
          <w:szCs w:val="32"/>
        </w:rPr>
      </w:pPr>
      <w:r>
        <w:rPr>
          <w:rFonts w:hint="eastAsia" w:ascii="黑体" w:hAnsi="黑体" w:eastAsia="黑体" w:cs="仿宋"/>
          <w:kern w:val="0"/>
          <w:sz w:val="32"/>
          <w:szCs w:val="32"/>
        </w:rPr>
        <w:t>八、关于新疆昌吉职业技术学院2021年一般公共预算“三公”经费预算情况说明</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新疆昌吉职业技术学院2021年一般公共预算“三公”经费数为0万元，其中：因公出国（境）费0万元，公务用车购置0万元，公务用车运行费0万元，公务接待费0万元。</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2021年一般公共预算“三公”经费比上年增加0万元，其中：因公出国（境）费增加0万元，主要原因是我单位是差额拨款预算单位，未安排预算；公务用车购置费为0万元，未安排预算。公务用车运行费增加0万元，主要原因是我单位是差额拨款预算单位，未安排预算；公务接待费增加0万元，主要原因是我单位是差额拨款预算单位，未安排预算。</w:t>
      </w:r>
    </w:p>
    <w:p>
      <w:pPr>
        <w:spacing w:line="560" w:lineRule="exact"/>
        <w:ind w:firstLine="640" w:firstLineChars="200"/>
        <w:rPr>
          <w:rFonts w:ascii="黑体" w:hAnsi="黑体" w:eastAsia="黑体" w:cs="仿宋"/>
          <w:kern w:val="0"/>
          <w:sz w:val="32"/>
          <w:szCs w:val="32"/>
        </w:rPr>
      </w:pPr>
      <w:r>
        <w:rPr>
          <w:rFonts w:hint="eastAsia" w:ascii="黑体" w:hAnsi="黑体" w:eastAsia="黑体" w:cs="仿宋"/>
          <w:kern w:val="0"/>
          <w:sz w:val="32"/>
          <w:szCs w:val="32"/>
        </w:rPr>
        <w:t>九、关于新疆昌吉职业技术学院2021年政府性基金预算拨款情况说明</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新疆昌吉职业技术学院2021年没有使用政府性基金预算拨款安排的支出，政府性基金预算支出情况表为空表。</w:t>
      </w:r>
    </w:p>
    <w:p>
      <w:pPr>
        <w:spacing w:line="560" w:lineRule="exact"/>
        <w:ind w:firstLine="640" w:firstLineChars="200"/>
        <w:rPr>
          <w:rFonts w:ascii="黑体" w:hAnsi="黑体" w:eastAsia="黑体" w:cs="仿宋"/>
          <w:kern w:val="0"/>
          <w:sz w:val="32"/>
          <w:szCs w:val="32"/>
        </w:rPr>
      </w:pPr>
      <w:r>
        <w:rPr>
          <w:rFonts w:hint="eastAsia" w:ascii="黑体" w:hAnsi="黑体" w:eastAsia="黑体" w:cs="仿宋"/>
          <w:kern w:val="0"/>
          <w:sz w:val="32"/>
          <w:szCs w:val="32"/>
        </w:rPr>
        <w:t>十、其他重要事项的情况说明</w:t>
      </w:r>
    </w:p>
    <w:p>
      <w:pPr>
        <w:spacing w:line="560" w:lineRule="exact"/>
        <w:ind w:firstLine="643" w:firstLineChars="200"/>
        <w:rPr>
          <w:rFonts w:ascii="仿宋" w:hAnsi="仿宋" w:eastAsia="仿宋" w:cs="仿宋"/>
          <w:b/>
          <w:kern w:val="0"/>
          <w:sz w:val="32"/>
          <w:szCs w:val="32"/>
        </w:rPr>
      </w:pPr>
      <w:r>
        <w:rPr>
          <w:rFonts w:hint="eastAsia" w:ascii="仿宋" w:hAnsi="仿宋" w:eastAsia="仿宋" w:cs="仿宋"/>
          <w:b/>
          <w:kern w:val="0"/>
          <w:sz w:val="32"/>
          <w:szCs w:val="32"/>
        </w:rPr>
        <w:t>（一）机关运行经费情况</w:t>
      </w:r>
    </w:p>
    <w:p>
      <w:pPr>
        <w:spacing w:line="580" w:lineRule="exact"/>
        <w:ind w:firstLine="640" w:firstLineChars="200"/>
        <w:rPr>
          <w:rFonts w:ascii="仿宋_GB2312" w:hAnsi="宋体" w:eastAsia="仿宋_GB2312" w:cs="宋体"/>
          <w:kern w:val="0"/>
          <w:sz w:val="32"/>
          <w:szCs w:val="32"/>
        </w:rPr>
      </w:pPr>
      <w:r>
        <w:rPr>
          <w:rFonts w:hint="eastAsia" w:ascii="仿宋" w:hAnsi="仿宋" w:eastAsia="仿宋" w:cs="仿宋"/>
          <w:kern w:val="0"/>
          <w:sz w:val="32"/>
          <w:szCs w:val="32"/>
        </w:rPr>
        <w:t>2021年，新疆昌吉职业技术学院的机关运行经费财政拨款预算222.6</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万元，比上年预算减少0.25万元，减少0.11%。主要原因是人员变动，核定基数减少，</w:t>
      </w:r>
      <w:r>
        <w:rPr>
          <w:rFonts w:hint="eastAsia" w:ascii="仿宋_GB2312" w:hAnsi="宋体" w:eastAsia="仿宋_GB2312" w:cs="宋体"/>
          <w:kern w:val="0"/>
          <w:sz w:val="32"/>
          <w:szCs w:val="32"/>
        </w:rPr>
        <w:t>工会经费、福利费等公用经费支出减少。</w:t>
      </w:r>
    </w:p>
    <w:p>
      <w:pPr>
        <w:spacing w:line="560" w:lineRule="exact"/>
        <w:ind w:firstLine="643" w:firstLineChars="200"/>
        <w:rPr>
          <w:rFonts w:ascii="仿宋" w:hAnsi="仿宋" w:eastAsia="仿宋" w:cs="仿宋"/>
          <w:kern w:val="0"/>
          <w:sz w:val="32"/>
          <w:szCs w:val="32"/>
        </w:rPr>
      </w:pPr>
      <w:r>
        <w:rPr>
          <w:rFonts w:hint="eastAsia" w:ascii="仿宋" w:hAnsi="仿宋" w:eastAsia="仿宋" w:cs="仿宋"/>
          <w:b/>
          <w:kern w:val="0"/>
          <w:sz w:val="32"/>
          <w:szCs w:val="32"/>
        </w:rPr>
        <w:t>（二）政府采购情况</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2021年，新疆昌吉职业技术学院政府采购预算1773万元，其中：政府采购货物预算1275.2万元，政府采购工程预算13.8万元，政府采购服务预算484万元。</w:t>
      </w:r>
      <w:r>
        <w:rPr>
          <w:rFonts w:hint="eastAsia" w:ascii="仿宋" w:hAnsi="仿宋" w:eastAsia="仿宋" w:cs="仿宋"/>
          <w:kern w:val="0"/>
          <w:sz w:val="32"/>
          <w:szCs w:val="32"/>
        </w:rPr>
        <w:br/>
      </w:r>
      <w:r>
        <w:rPr>
          <w:rFonts w:hint="eastAsia" w:ascii="仿宋" w:hAnsi="仿宋" w:eastAsia="仿宋" w:cs="仿宋"/>
          <w:kern w:val="0"/>
          <w:sz w:val="32"/>
          <w:szCs w:val="32"/>
        </w:rPr>
        <w:t xml:space="preserve">    2021年度本部门面向中小企业预留政府采购项目预算金额0万元，其中：面向小微企业预留政府采购项目预算金额0万元。</w:t>
      </w:r>
    </w:p>
    <w:p>
      <w:pPr>
        <w:spacing w:line="560" w:lineRule="exact"/>
        <w:rPr>
          <w:rFonts w:ascii="仿宋" w:hAnsi="仿宋" w:eastAsia="仿宋" w:cs="仿宋"/>
          <w:kern w:val="0"/>
          <w:sz w:val="32"/>
          <w:szCs w:val="32"/>
        </w:rPr>
      </w:pPr>
      <w:r>
        <w:rPr>
          <w:rFonts w:hint="eastAsia" w:ascii="仿宋" w:hAnsi="仿宋" w:eastAsia="仿宋" w:cs="仿宋"/>
          <w:kern w:val="0"/>
          <w:sz w:val="32"/>
          <w:szCs w:val="32"/>
        </w:rPr>
        <w:t xml:space="preserve">   </w:t>
      </w:r>
      <w:r>
        <w:rPr>
          <w:rFonts w:hint="eastAsia" w:ascii="仿宋" w:hAnsi="仿宋" w:eastAsia="仿宋" w:cs="仿宋"/>
          <w:b/>
          <w:kern w:val="0"/>
          <w:sz w:val="32"/>
          <w:szCs w:val="32"/>
        </w:rPr>
        <w:t>（三）国有资产占用使用情况</w:t>
      </w:r>
    </w:p>
    <w:p>
      <w:pPr>
        <w:widowControl/>
        <w:spacing w:line="58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截至2020年底，新疆昌吉职业技术学院占用使用国有资产总体情况为</w:t>
      </w:r>
      <w:r>
        <w:rPr>
          <w:rFonts w:hint="eastAsia" w:ascii="仿宋" w:hAnsi="仿宋" w:eastAsia="仿宋" w:cs="仿宋"/>
          <w:kern w:val="0"/>
          <w:sz w:val="32"/>
          <w:szCs w:val="32"/>
        </w:rPr>
        <w:br/>
      </w:r>
      <w:r>
        <w:rPr>
          <w:rFonts w:hint="eastAsia" w:ascii="仿宋" w:hAnsi="仿宋" w:eastAsia="仿宋" w:cs="仿宋"/>
          <w:kern w:val="0"/>
          <w:sz w:val="32"/>
          <w:szCs w:val="32"/>
        </w:rPr>
        <w:t xml:space="preserve">    1.房屋307655.43平方米，价值61569.65万元。</w:t>
      </w:r>
      <w:r>
        <w:rPr>
          <w:rFonts w:hint="eastAsia" w:ascii="仿宋" w:hAnsi="仿宋" w:eastAsia="仿宋" w:cs="仿宋"/>
          <w:kern w:val="0"/>
          <w:sz w:val="32"/>
          <w:szCs w:val="32"/>
        </w:rPr>
        <w:br/>
      </w:r>
      <w:r>
        <w:rPr>
          <w:rFonts w:hint="eastAsia" w:ascii="仿宋" w:hAnsi="仿宋" w:eastAsia="仿宋" w:cs="仿宋"/>
          <w:kern w:val="0"/>
          <w:sz w:val="32"/>
          <w:szCs w:val="32"/>
        </w:rPr>
        <w:t xml:space="preserve">    2.车辆42辆，价值813.7万元；其中：一般公务用车0辆，价值0万元；执法执勤用车0辆，价值0万元；其他车辆42辆，价值813.7万元。</w:t>
      </w:r>
      <w:r>
        <w:rPr>
          <w:rFonts w:hint="eastAsia" w:ascii="仿宋" w:hAnsi="仿宋" w:eastAsia="仿宋" w:cs="仿宋"/>
          <w:kern w:val="0"/>
          <w:sz w:val="32"/>
          <w:szCs w:val="32"/>
        </w:rPr>
        <w:br/>
      </w:r>
      <w:r>
        <w:rPr>
          <w:rFonts w:hint="eastAsia" w:ascii="仿宋" w:hAnsi="仿宋" w:eastAsia="仿宋" w:cs="仿宋"/>
          <w:kern w:val="0"/>
          <w:sz w:val="32"/>
          <w:szCs w:val="32"/>
        </w:rPr>
        <w:t xml:space="preserve">    3.办公家具价值2301.16万元。</w:t>
      </w:r>
      <w:r>
        <w:rPr>
          <w:rFonts w:hint="eastAsia" w:ascii="仿宋" w:hAnsi="仿宋" w:eastAsia="仿宋" w:cs="仿宋"/>
          <w:kern w:val="0"/>
          <w:sz w:val="32"/>
          <w:szCs w:val="32"/>
        </w:rPr>
        <w:br/>
      </w:r>
      <w:r>
        <w:rPr>
          <w:rFonts w:hint="eastAsia" w:ascii="仿宋" w:hAnsi="仿宋" w:eastAsia="仿宋" w:cs="仿宋"/>
          <w:kern w:val="0"/>
          <w:sz w:val="32"/>
          <w:szCs w:val="32"/>
        </w:rPr>
        <w:t xml:space="preserve">    4.其他资产价值33425.09万元。</w:t>
      </w:r>
      <w:r>
        <w:rPr>
          <w:rFonts w:hint="eastAsia" w:ascii="仿宋" w:hAnsi="仿宋" w:eastAsia="仿宋" w:cs="仿宋"/>
          <w:kern w:val="0"/>
          <w:sz w:val="32"/>
          <w:szCs w:val="32"/>
        </w:rPr>
        <w:br/>
      </w:r>
      <w:r>
        <w:rPr>
          <w:rFonts w:hint="eastAsia" w:ascii="仿宋" w:hAnsi="仿宋" w:eastAsia="仿宋" w:cs="仿宋"/>
          <w:kern w:val="0"/>
          <w:sz w:val="32"/>
          <w:szCs w:val="32"/>
        </w:rPr>
        <w:t xml:space="preserve">    单位价值50万元以上大型设备12台（套），单位价值100万元以上大型设备6台（套）。</w:t>
      </w:r>
      <w:r>
        <w:rPr>
          <w:rFonts w:hint="eastAsia" w:ascii="仿宋" w:hAnsi="仿宋" w:eastAsia="仿宋" w:cs="仿宋"/>
          <w:kern w:val="0"/>
          <w:sz w:val="32"/>
          <w:szCs w:val="32"/>
        </w:rPr>
        <w:br/>
      </w:r>
      <w:r>
        <w:rPr>
          <w:rFonts w:hint="eastAsia" w:ascii="仿宋" w:hAnsi="仿宋" w:eastAsia="仿宋" w:cs="仿宋"/>
          <w:kern w:val="0"/>
          <w:sz w:val="32"/>
          <w:szCs w:val="32"/>
        </w:rPr>
        <w:t xml:space="preserve">    2021年新疆昌吉职业技术学院部门预算未安排购置车辆经费，安排购置50万元以上大型设备0台（套），单位价值100万元以上大型设备0台（套）。</w:t>
      </w:r>
    </w:p>
    <w:p>
      <w:pPr>
        <w:spacing w:line="560" w:lineRule="exact"/>
        <w:rPr>
          <w:rFonts w:ascii="仿宋" w:hAnsi="仿宋" w:eastAsia="仿宋" w:cs="仿宋"/>
          <w:b/>
          <w:kern w:val="0"/>
          <w:sz w:val="32"/>
          <w:szCs w:val="32"/>
        </w:rPr>
      </w:pPr>
      <w:r>
        <w:rPr>
          <w:rFonts w:hint="eastAsia" w:ascii="仿宋" w:hAnsi="仿宋" w:eastAsia="仿宋" w:cs="仿宋"/>
          <w:b/>
          <w:kern w:val="0"/>
          <w:sz w:val="32"/>
          <w:szCs w:val="32"/>
          <w:lang w:val="en-US" w:eastAsia="zh-CN"/>
        </w:rPr>
        <w:t xml:space="preserve">   </w:t>
      </w:r>
      <w:r>
        <w:rPr>
          <w:rFonts w:hint="eastAsia" w:ascii="仿宋" w:hAnsi="仿宋" w:eastAsia="仿宋" w:cs="仿宋"/>
          <w:b/>
          <w:kern w:val="0"/>
          <w:sz w:val="32"/>
          <w:szCs w:val="32"/>
        </w:rPr>
        <w:t>（四）预算绩效情况</w:t>
      </w:r>
    </w:p>
    <w:p>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2021年度，本年度实行绩效管理的一般公共预算项目   3个，涉及预算金额2020万元。具体情况见下表（按项目分别填报）：</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tbl>
      <w:tblPr>
        <w:tblpPr w:leftFromText="180" w:rightFromText="180" w:vertAnchor="text" w:horzAnchor="page" w:tblpX="1818" w:tblpY="896"/>
        <w:tblOverlap w:val="never"/>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ind w:firstLine="1285" w:firstLineChars="400"/>
              <w:textAlignment w:val="bottom"/>
              <w:rPr>
                <w:rFonts w:ascii="仿宋" w:hAnsi="仿宋" w:eastAsia="仿宋" w:cs="仿宋"/>
                <w:b/>
                <w:color w:val="000000"/>
                <w:sz w:val="32"/>
                <w:szCs w:val="32"/>
              </w:rPr>
            </w:pPr>
            <w:r>
              <w:rPr>
                <w:rFonts w:hint="eastAsia" w:ascii="仿宋" w:hAnsi="仿宋" w:eastAsia="仿宋" w:cs="仿宋"/>
                <w:b/>
                <w:color w:val="000000"/>
                <w:kern w:val="0"/>
                <w:sz w:val="32"/>
                <w:szCs w:val="32"/>
              </w:rPr>
              <w:t>项  目  支  出  绩  效  目  标  表</w:t>
            </w:r>
          </w:p>
        </w:tc>
      </w:tr>
      <w:tr>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 w:hAnsi="仿宋" w:eastAsia="仿宋" w:cs="仿宋"/>
                <w:color w:val="000000"/>
                <w:sz w:val="22"/>
                <w:szCs w:val="22"/>
              </w:rPr>
            </w:pPr>
            <w:r>
              <w:rPr>
                <w:rFonts w:hint="eastAsia" w:ascii="仿宋" w:hAnsi="仿宋" w:eastAsia="仿宋" w:cs="仿宋"/>
                <w:color w:val="000000"/>
                <w:kern w:val="0"/>
                <w:sz w:val="22"/>
                <w:szCs w:val="22"/>
              </w:rPr>
              <w:t>（2021年）</w:t>
            </w:r>
          </w:p>
        </w:tc>
      </w:tr>
      <w:tr>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昌吉州昌吉职业技术学院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中职生均公用经费</w:t>
            </w:r>
          </w:p>
        </w:tc>
      </w:tr>
      <w:tr>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718.6</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718.6</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0</w:t>
            </w:r>
          </w:p>
        </w:tc>
      </w:tr>
      <w:tr>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仿宋" w:hAnsi="仿宋" w:eastAsia="仿宋" w:cs="仿宋"/>
                <w:color w:val="000000"/>
                <w:sz w:val="18"/>
                <w:szCs w:val="18"/>
              </w:rPr>
            </w:pPr>
            <w:r>
              <w:rPr>
                <w:rFonts w:hint="eastAsia" w:ascii="仿宋" w:hAnsi="仿宋" w:eastAsia="仿宋" w:cs="仿宋"/>
                <w:color w:val="000000"/>
                <w:sz w:val="18"/>
                <w:szCs w:val="18"/>
              </w:rPr>
              <w:t>1.维持学院教育教学工作正常运转。2.提高师资质量，促进办学水平整体提高和可持续发展。3.促进教育公平、义务教育均衡发展。</w:t>
            </w:r>
          </w:p>
        </w:tc>
      </w:tr>
      <w:tr>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指标值（包含数字及文字描述）</w:t>
            </w:r>
          </w:p>
        </w:tc>
      </w:tr>
      <w:tr>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中职在校生人数（人）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3593人</w:t>
            </w:r>
          </w:p>
        </w:tc>
      </w:tr>
      <w:tr>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在校学生覆盖率（%）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100%</w:t>
            </w:r>
          </w:p>
        </w:tc>
      </w:tr>
      <w:tr>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2021年12月</w:t>
            </w:r>
          </w:p>
        </w:tc>
      </w:tr>
      <w:tr>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每生每年补助标准（元）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2000元</w:t>
            </w:r>
          </w:p>
        </w:tc>
      </w:tr>
      <w:tr>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项目总投入（万元）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718.6万元</w:t>
            </w:r>
          </w:p>
        </w:tc>
      </w:tr>
      <w:tr>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学生宿舍取暖费（万元）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≥200万元</w:t>
            </w: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为昌吉州输送技能型人才</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不断增加</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维持学院教育教学正常可持续运转年限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1年</w:t>
            </w:r>
          </w:p>
        </w:tc>
      </w:tr>
      <w:tr>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师生满意度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≥95%</w:t>
            </w:r>
          </w:p>
        </w:tc>
      </w:tr>
      <w:tr>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 w:hAnsi="仿宋" w:eastAsia="仿宋" w:cs="仿宋"/>
                <w:b/>
                <w:color w:val="000000"/>
                <w:kern w:val="0"/>
                <w:sz w:val="32"/>
                <w:szCs w:val="32"/>
              </w:rPr>
            </w:pPr>
          </w:p>
          <w:p>
            <w:pPr>
              <w:widowControl/>
              <w:spacing w:line="480" w:lineRule="exact"/>
              <w:jc w:val="center"/>
              <w:textAlignment w:val="bottom"/>
              <w:rPr>
                <w:rFonts w:ascii="仿宋" w:hAnsi="仿宋" w:eastAsia="仿宋" w:cs="仿宋"/>
                <w:b/>
                <w:color w:val="000000"/>
                <w:kern w:val="0"/>
                <w:sz w:val="32"/>
                <w:szCs w:val="32"/>
              </w:rPr>
            </w:pPr>
          </w:p>
          <w:p>
            <w:pPr>
              <w:widowControl/>
              <w:spacing w:line="480" w:lineRule="exact"/>
              <w:jc w:val="center"/>
              <w:textAlignment w:val="bottom"/>
              <w:rPr>
                <w:rFonts w:ascii="仿宋" w:hAnsi="仿宋" w:eastAsia="仿宋" w:cs="仿宋"/>
                <w:b/>
                <w:color w:val="000000"/>
                <w:kern w:val="0"/>
                <w:sz w:val="32"/>
                <w:szCs w:val="32"/>
              </w:rPr>
            </w:pPr>
          </w:p>
          <w:p>
            <w:pPr>
              <w:widowControl/>
              <w:spacing w:line="480" w:lineRule="exact"/>
              <w:jc w:val="center"/>
              <w:textAlignment w:val="bottom"/>
              <w:rPr>
                <w:rFonts w:ascii="仿宋" w:hAnsi="仿宋" w:eastAsia="仿宋" w:cs="仿宋"/>
                <w:b/>
                <w:color w:val="000000"/>
                <w:kern w:val="0"/>
                <w:sz w:val="32"/>
                <w:szCs w:val="32"/>
              </w:rPr>
            </w:pPr>
          </w:p>
          <w:p>
            <w:pPr>
              <w:widowControl/>
              <w:spacing w:line="480" w:lineRule="exact"/>
              <w:jc w:val="center"/>
              <w:textAlignment w:val="bottom"/>
              <w:rPr>
                <w:rFonts w:ascii="仿宋" w:hAnsi="仿宋" w:eastAsia="仿宋" w:cs="仿宋"/>
                <w:b/>
                <w:color w:val="000000"/>
                <w:kern w:val="0"/>
                <w:sz w:val="32"/>
                <w:szCs w:val="32"/>
              </w:rPr>
            </w:pPr>
          </w:p>
          <w:p>
            <w:pPr>
              <w:widowControl/>
              <w:spacing w:line="480" w:lineRule="exact"/>
              <w:jc w:val="center"/>
              <w:textAlignment w:val="bottom"/>
              <w:rPr>
                <w:rFonts w:ascii="仿宋" w:hAnsi="仿宋" w:eastAsia="仿宋" w:cs="仿宋"/>
                <w:b/>
                <w:color w:val="000000"/>
                <w:kern w:val="0"/>
                <w:sz w:val="32"/>
                <w:szCs w:val="32"/>
              </w:rPr>
            </w:pPr>
          </w:p>
          <w:p>
            <w:pPr>
              <w:widowControl/>
              <w:spacing w:line="480" w:lineRule="exact"/>
              <w:jc w:val="center"/>
              <w:textAlignment w:val="bottom"/>
              <w:rPr>
                <w:rFonts w:ascii="仿宋" w:hAnsi="仿宋" w:eastAsia="仿宋" w:cs="仿宋"/>
                <w:b/>
                <w:color w:val="000000"/>
                <w:kern w:val="0"/>
                <w:sz w:val="32"/>
                <w:szCs w:val="32"/>
              </w:rPr>
            </w:pPr>
          </w:p>
          <w:p>
            <w:pPr>
              <w:widowControl/>
              <w:spacing w:line="480" w:lineRule="exact"/>
              <w:jc w:val="center"/>
              <w:textAlignment w:val="bottom"/>
              <w:rPr>
                <w:rFonts w:ascii="仿宋" w:hAnsi="仿宋" w:eastAsia="仿宋" w:cs="仿宋"/>
                <w:b/>
                <w:color w:val="000000"/>
                <w:sz w:val="32"/>
                <w:szCs w:val="32"/>
              </w:rPr>
            </w:pPr>
            <w:r>
              <w:rPr>
                <w:rFonts w:hint="eastAsia" w:ascii="仿宋" w:hAnsi="仿宋" w:eastAsia="仿宋" w:cs="仿宋"/>
                <w:b/>
                <w:color w:val="000000"/>
                <w:kern w:val="0"/>
                <w:sz w:val="32"/>
                <w:szCs w:val="32"/>
              </w:rPr>
              <w:t>项  目  支  出  绩  效  目  标  表</w:t>
            </w:r>
          </w:p>
        </w:tc>
      </w:tr>
      <w:tr>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 w:hAnsi="仿宋" w:eastAsia="仿宋" w:cs="仿宋"/>
                <w:color w:val="000000"/>
                <w:sz w:val="22"/>
                <w:szCs w:val="22"/>
              </w:rPr>
            </w:pPr>
            <w:r>
              <w:rPr>
                <w:rFonts w:hint="eastAsia" w:ascii="仿宋" w:hAnsi="仿宋" w:eastAsia="仿宋" w:cs="仿宋"/>
                <w:color w:val="000000"/>
                <w:kern w:val="0"/>
                <w:sz w:val="22"/>
                <w:szCs w:val="22"/>
              </w:rPr>
              <w:t>（2021年）</w:t>
            </w:r>
          </w:p>
        </w:tc>
      </w:tr>
      <w:tr>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昌吉州昌吉职业技术学院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高职生均经费</w:t>
            </w:r>
          </w:p>
        </w:tc>
      </w:tr>
      <w:tr>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1281.4</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1281.4</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0</w:t>
            </w:r>
          </w:p>
        </w:tc>
      </w:tr>
      <w:tr>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仿宋" w:hAnsi="仿宋" w:eastAsia="仿宋" w:cs="仿宋"/>
                <w:color w:val="000000"/>
                <w:sz w:val="18"/>
                <w:szCs w:val="18"/>
              </w:rPr>
            </w:pPr>
            <w:r>
              <w:rPr>
                <w:rFonts w:hint="eastAsia" w:ascii="仿宋" w:hAnsi="仿宋" w:eastAsia="仿宋" w:cs="仿宋"/>
                <w:color w:val="000000"/>
                <w:sz w:val="18"/>
                <w:szCs w:val="18"/>
              </w:rPr>
              <w:t xml:space="preserve">1.保障人员工资正常发放，确保学院教育教学工作正常运转。2.提升办学质量，促进办学水平整体提高和可持续发展。3.缩小地区间差异，促进教育公平。 </w:t>
            </w:r>
          </w:p>
        </w:tc>
      </w:tr>
      <w:tr>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指标值（包含数字及文字描述）</w:t>
            </w:r>
          </w:p>
        </w:tc>
      </w:tr>
      <w:tr>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高职在校生人数（人）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12504人</w:t>
            </w:r>
          </w:p>
        </w:tc>
      </w:tr>
      <w:tr>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kern w:val="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在职教师人数（人）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703人</w:t>
            </w:r>
          </w:p>
        </w:tc>
      </w:tr>
      <w:tr>
        <w:trPr>
          <w:trHeight w:val="539"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在职教师覆盖率（%）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100%</w:t>
            </w:r>
          </w:p>
        </w:tc>
      </w:tr>
      <w:tr>
        <w:trPr>
          <w:trHeight w:val="539"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教育教学质量水平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有效提升</w:t>
            </w:r>
          </w:p>
        </w:tc>
      </w:tr>
      <w:tr>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2021年12月</w:t>
            </w:r>
          </w:p>
        </w:tc>
      </w:tr>
      <w:tr>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项目总投入（万元）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1281.4万元</w:t>
            </w: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为昌吉州输送技能型人才</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不断增加</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维持学院教育教学正常可持续运转年限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1年</w:t>
            </w:r>
          </w:p>
        </w:tc>
      </w:tr>
      <w:tr>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教师满意度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≥95%</w:t>
            </w:r>
          </w:p>
        </w:tc>
      </w:tr>
      <w:tr>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 w:hAnsi="仿宋" w:eastAsia="仿宋" w:cs="仿宋"/>
                <w:b/>
                <w:color w:val="000000"/>
                <w:kern w:val="0"/>
                <w:sz w:val="32"/>
                <w:szCs w:val="32"/>
              </w:rPr>
            </w:pPr>
          </w:p>
          <w:p>
            <w:pPr>
              <w:widowControl/>
              <w:spacing w:line="480" w:lineRule="exact"/>
              <w:jc w:val="center"/>
              <w:textAlignment w:val="bottom"/>
              <w:rPr>
                <w:rFonts w:ascii="仿宋" w:hAnsi="仿宋" w:eastAsia="仿宋" w:cs="仿宋"/>
                <w:b/>
                <w:color w:val="000000"/>
                <w:kern w:val="0"/>
                <w:sz w:val="32"/>
                <w:szCs w:val="32"/>
              </w:rPr>
            </w:pPr>
          </w:p>
          <w:p>
            <w:pPr>
              <w:widowControl/>
              <w:spacing w:line="480" w:lineRule="exact"/>
              <w:jc w:val="center"/>
              <w:textAlignment w:val="bottom"/>
              <w:rPr>
                <w:rFonts w:ascii="仿宋" w:hAnsi="仿宋" w:eastAsia="仿宋" w:cs="仿宋"/>
                <w:b/>
                <w:color w:val="000000"/>
                <w:kern w:val="0"/>
                <w:sz w:val="32"/>
                <w:szCs w:val="32"/>
              </w:rPr>
            </w:pPr>
          </w:p>
          <w:p>
            <w:pPr>
              <w:widowControl/>
              <w:spacing w:line="480" w:lineRule="exact"/>
              <w:jc w:val="both"/>
              <w:textAlignment w:val="bottom"/>
              <w:rPr>
                <w:rFonts w:ascii="仿宋" w:hAnsi="仿宋" w:eastAsia="仿宋" w:cs="仿宋"/>
                <w:b/>
                <w:color w:val="000000"/>
                <w:kern w:val="0"/>
                <w:sz w:val="32"/>
                <w:szCs w:val="32"/>
              </w:rPr>
            </w:pPr>
          </w:p>
          <w:p>
            <w:pPr>
              <w:widowControl/>
              <w:spacing w:line="480" w:lineRule="exact"/>
              <w:jc w:val="center"/>
              <w:textAlignment w:val="bottom"/>
              <w:rPr>
                <w:rFonts w:hint="eastAsia" w:ascii="仿宋" w:hAnsi="仿宋" w:eastAsia="仿宋" w:cs="仿宋"/>
                <w:b/>
                <w:color w:val="000000"/>
                <w:kern w:val="0"/>
                <w:sz w:val="32"/>
                <w:szCs w:val="32"/>
              </w:rPr>
            </w:pPr>
          </w:p>
          <w:p>
            <w:pPr>
              <w:widowControl/>
              <w:spacing w:line="480" w:lineRule="exact"/>
              <w:jc w:val="center"/>
              <w:textAlignment w:val="bottom"/>
              <w:rPr>
                <w:rFonts w:hint="eastAsia" w:ascii="仿宋" w:hAnsi="仿宋" w:eastAsia="仿宋" w:cs="仿宋"/>
                <w:b/>
                <w:color w:val="000000"/>
                <w:kern w:val="0"/>
                <w:sz w:val="32"/>
                <w:szCs w:val="32"/>
              </w:rPr>
            </w:pPr>
          </w:p>
          <w:p>
            <w:pPr>
              <w:widowControl/>
              <w:spacing w:line="480" w:lineRule="exact"/>
              <w:jc w:val="center"/>
              <w:textAlignment w:val="bottom"/>
              <w:rPr>
                <w:rFonts w:hint="eastAsia" w:ascii="仿宋" w:hAnsi="仿宋" w:eastAsia="仿宋" w:cs="仿宋"/>
                <w:b/>
                <w:color w:val="000000"/>
                <w:kern w:val="0"/>
                <w:sz w:val="32"/>
                <w:szCs w:val="32"/>
              </w:rPr>
            </w:pPr>
          </w:p>
          <w:p>
            <w:pPr>
              <w:widowControl/>
              <w:spacing w:line="480" w:lineRule="exact"/>
              <w:jc w:val="center"/>
              <w:textAlignment w:val="bottom"/>
              <w:rPr>
                <w:rFonts w:hint="eastAsia" w:ascii="仿宋" w:hAnsi="仿宋" w:eastAsia="仿宋" w:cs="仿宋"/>
                <w:b/>
                <w:color w:val="000000"/>
                <w:kern w:val="0"/>
                <w:sz w:val="32"/>
                <w:szCs w:val="32"/>
              </w:rPr>
            </w:pPr>
          </w:p>
          <w:p>
            <w:pPr>
              <w:widowControl/>
              <w:spacing w:line="480" w:lineRule="exact"/>
              <w:jc w:val="center"/>
              <w:textAlignment w:val="bottom"/>
              <w:rPr>
                <w:rFonts w:ascii="仿宋" w:hAnsi="仿宋" w:eastAsia="仿宋" w:cs="仿宋"/>
                <w:b/>
                <w:color w:val="000000"/>
                <w:sz w:val="32"/>
                <w:szCs w:val="32"/>
              </w:rPr>
            </w:pPr>
            <w:bookmarkStart w:id="0" w:name="_GoBack"/>
            <w:bookmarkEnd w:id="0"/>
            <w:r>
              <w:rPr>
                <w:rFonts w:hint="eastAsia" w:ascii="仿宋" w:hAnsi="仿宋" w:eastAsia="仿宋" w:cs="仿宋"/>
                <w:b/>
                <w:color w:val="000000"/>
                <w:kern w:val="0"/>
                <w:sz w:val="32"/>
                <w:szCs w:val="32"/>
              </w:rPr>
              <w:t>项  目  支  出  绩  效  目  标  表</w:t>
            </w:r>
          </w:p>
        </w:tc>
      </w:tr>
      <w:tr>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 w:hAnsi="仿宋" w:eastAsia="仿宋" w:cs="仿宋"/>
                <w:color w:val="000000"/>
                <w:sz w:val="22"/>
                <w:szCs w:val="22"/>
              </w:rPr>
            </w:pPr>
            <w:r>
              <w:rPr>
                <w:rFonts w:hint="eastAsia" w:ascii="仿宋" w:hAnsi="仿宋" w:eastAsia="仿宋" w:cs="仿宋"/>
                <w:color w:val="000000"/>
                <w:kern w:val="0"/>
                <w:sz w:val="22"/>
                <w:szCs w:val="22"/>
              </w:rPr>
              <w:t>（2021年）</w:t>
            </w:r>
          </w:p>
        </w:tc>
      </w:tr>
      <w:tr>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昌吉州昌吉职业技术学院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疫情防控等运转经费</w:t>
            </w:r>
          </w:p>
        </w:tc>
      </w:tr>
      <w:tr>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0</w:t>
            </w:r>
          </w:p>
        </w:tc>
      </w:tr>
      <w:tr>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仿宋" w:hAnsi="仿宋" w:eastAsia="仿宋" w:cs="仿宋"/>
                <w:color w:val="000000"/>
                <w:sz w:val="18"/>
                <w:szCs w:val="18"/>
              </w:rPr>
            </w:pPr>
            <w:r>
              <w:rPr>
                <w:rFonts w:hint="eastAsia" w:ascii="仿宋" w:hAnsi="仿宋" w:eastAsia="仿宋" w:cs="仿宋"/>
                <w:color w:val="000000"/>
                <w:sz w:val="18"/>
                <w:szCs w:val="18"/>
              </w:rPr>
              <w:t>1.做好校园疫情防控工作，保证校园“零感染”。</w:t>
            </w:r>
          </w:p>
          <w:p>
            <w:pPr>
              <w:spacing w:line="480" w:lineRule="exact"/>
              <w:jc w:val="left"/>
              <w:rPr>
                <w:rFonts w:ascii="仿宋" w:hAnsi="仿宋" w:eastAsia="仿宋" w:cs="仿宋"/>
                <w:color w:val="000000"/>
                <w:sz w:val="18"/>
                <w:szCs w:val="18"/>
              </w:rPr>
            </w:pPr>
            <w:r>
              <w:rPr>
                <w:rFonts w:hint="eastAsia" w:ascii="仿宋" w:hAnsi="仿宋" w:eastAsia="仿宋" w:cs="仿宋"/>
                <w:color w:val="000000"/>
                <w:sz w:val="18"/>
                <w:szCs w:val="18"/>
              </w:rPr>
              <w:t>2.坚持防疫优先，维护师生生命安全和身体健康。</w:t>
            </w:r>
          </w:p>
          <w:p>
            <w:pPr>
              <w:spacing w:line="480" w:lineRule="exact"/>
              <w:jc w:val="left"/>
              <w:rPr>
                <w:rFonts w:ascii="仿宋" w:hAnsi="仿宋" w:eastAsia="仿宋" w:cs="仿宋"/>
                <w:color w:val="000000"/>
                <w:sz w:val="18"/>
                <w:szCs w:val="18"/>
              </w:rPr>
            </w:pPr>
            <w:r>
              <w:rPr>
                <w:rFonts w:hint="eastAsia" w:ascii="仿宋" w:hAnsi="仿宋" w:eastAsia="仿宋" w:cs="仿宋"/>
                <w:color w:val="000000"/>
                <w:sz w:val="18"/>
                <w:szCs w:val="18"/>
              </w:rPr>
              <w:t>3.做好校园整体消杀工作、定期对师生进行核酸检测，增强疫情防控的科学性、精准性、针对性。</w:t>
            </w:r>
          </w:p>
        </w:tc>
      </w:tr>
      <w:tr>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b/>
                <w:color w:val="000000"/>
                <w:sz w:val="18"/>
                <w:szCs w:val="18"/>
              </w:rPr>
            </w:pPr>
            <w:r>
              <w:rPr>
                <w:rFonts w:hint="eastAsia" w:ascii="仿宋" w:hAnsi="仿宋" w:eastAsia="仿宋" w:cs="仿宋"/>
                <w:b/>
                <w:color w:val="000000"/>
                <w:kern w:val="0"/>
                <w:sz w:val="18"/>
                <w:szCs w:val="18"/>
              </w:rPr>
              <w:t>指标值（包含数字及文字描述）</w:t>
            </w:r>
          </w:p>
        </w:tc>
      </w:tr>
      <w:tr>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核酸检测（次）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≥1次</w:t>
            </w:r>
          </w:p>
        </w:tc>
      </w:tr>
      <w:tr>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kern w:val="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消杀工作（次/日）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3次/日</w:t>
            </w:r>
          </w:p>
        </w:tc>
      </w:tr>
      <w:tr>
        <w:trPr>
          <w:trHeight w:val="539"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疫情防控率（%）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100%</w:t>
            </w:r>
          </w:p>
        </w:tc>
      </w:tr>
      <w:tr>
        <w:trPr>
          <w:trHeight w:val="539"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在校师生覆盖率（%）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100%</w:t>
            </w:r>
          </w:p>
        </w:tc>
      </w:tr>
      <w:tr>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疫情防控资金到位率（%）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100%</w:t>
            </w:r>
          </w:p>
        </w:tc>
      </w:tr>
      <w:tr>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项目总投入（万元）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20万元</w:t>
            </w: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校园防疫环境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有效改善</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防控新冠肺炎疫情影响</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持续</w:t>
            </w:r>
          </w:p>
        </w:tc>
      </w:tr>
      <w:tr>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师生满意度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仿宋" w:hAnsi="仿宋" w:eastAsia="仿宋" w:cs="仿宋"/>
                <w:color w:val="000000"/>
                <w:sz w:val="18"/>
                <w:szCs w:val="18"/>
              </w:rPr>
            </w:pPr>
            <w:r>
              <w:rPr>
                <w:rFonts w:hint="eastAsia" w:ascii="仿宋" w:hAnsi="仿宋" w:eastAsia="仿宋" w:cs="仿宋"/>
                <w:color w:val="000000"/>
                <w:sz w:val="18"/>
                <w:szCs w:val="18"/>
              </w:rPr>
              <w:t>≥95%</w:t>
            </w:r>
          </w:p>
        </w:tc>
      </w:tr>
    </w:tbl>
    <w:p>
      <w:pPr>
        <w:spacing w:line="560" w:lineRule="exact"/>
        <w:rPr>
          <w:rFonts w:ascii="仿宋" w:hAnsi="仿宋" w:eastAsia="仿宋" w:cs="仿宋"/>
          <w:b/>
          <w:kern w:val="0"/>
          <w:sz w:val="32"/>
          <w:szCs w:val="32"/>
        </w:rPr>
      </w:pPr>
    </w:p>
    <w:p>
      <w:pPr>
        <w:widowControl/>
        <w:spacing w:line="480" w:lineRule="exact"/>
        <w:ind w:firstLine="630" w:firstLineChars="196"/>
        <w:jc w:val="left"/>
        <w:rPr>
          <w:rFonts w:ascii="仿宋" w:hAnsi="仿宋" w:eastAsia="仿宋" w:cs="仿宋"/>
          <w:b/>
          <w:kern w:val="0"/>
          <w:sz w:val="32"/>
          <w:szCs w:val="32"/>
        </w:rPr>
      </w:pPr>
    </w:p>
    <w:p>
      <w:pPr>
        <w:widowControl/>
        <w:spacing w:line="480" w:lineRule="exact"/>
        <w:ind w:firstLine="630" w:firstLineChars="196"/>
        <w:jc w:val="left"/>
        <w:rPr>
          <w:rFonts w:ascii="仿宋" w:hAnsi="仿宋" w:eastAsia="仿宋" w:cs="仿宋"/>
          <w:b/>
          <w:kern w:val="0"/>
          <w:sz w:val="32"/>
          <w:szCs w:val="32"/>
        </w:rPr>
      </w:pPr>
    </w:p>
    <w:p>
      <w:pPr>
        <w:widowControl/>
        <w:spacing w:line="480" w:lineRule="exact"/>
        <w:ind w:firstLine="630" w:firstLineChars="196"/>
        <w:jc w:val="left"/>
        <w:rPr>
          <w:rFonts w:ascii="仿宋" w:hAnsi="仿宋" w:eastAsia="仿宋" w:cs="仿宋"/>
          <w:b/>
          <w:kern w:val="0"/>
          <w:sz w:val="32"/>
          <w:szCs w:val="32"/>
        </w:rPr>
      </w:pPr>
    </w:p>
    <w:p>
      <w:pPr>
        <w:widowControl/>
        <w:spacing w:line="480" w:lineRule="exact"/>
        <w:ind w:firstLine="630" w:firstLineChars="196"/>
        <w:jc w:val="left"/>
        <w:rPr>
          <w:rFonts w:ascii="仿宋" w:hAnsi="仿宋" w:eastAsia="仿宋" w:cs="仿宋"/>
          <w:b/>
          <w:kern w:val="0"/>
          <w:sz w:val="32"/>
          <w:szCs w:val="32"/>
        </w:rPr>
      </w:pPr>
    </w:p>
    <w:p>
      <w:pPr>
        <w:widowControl/>
        <w:spacing w:line="480" w:lineRule="exact"/>
        <w:ind w:firstLine="630" w:firstLineChars="196"/>
        <w:jc w:val="left"/>
        <w:rPr>
          <w:rFonts w:ascii="仿宋" w:hAnsi="仿宋" w:eastAsia="仿宋" w:cs="仿宋"/>
          <w:b/>
          <w:kern w:val="0"/>
          <w:sz w:val="32"/>
          <w:szCs w:val="32"/>
        </w:rPr>
      </w:pPr>
    </w:p>
    <w:p>
      <w:pPr>
        <w:widowControl/>
        <w:spacing w:line="480" w:lineRule="exact"/>
        <w:ind w:firstLine="630" w:firstLineChars="196"/>
        <w:jc w:val="left"/>
        <w:rPr>
          <w:rFonts w:ascii="仿宋" w:hAnsi="仿宋" w:eastAsia="仿宋" w:cs="仿宋"/>
          <w:b/>
          <w:kern w:val="0"/>
          <w:sz w:val="32"/>
          <w:szCs w:val="32"/>
        </w:rPr>
      </w:pPr>
    </w:p>
    <w:p>
      <w:pPr>
        <w:widowControl/>
        <w:spacing w:line="480" w:lineRule="exact"/>
        <w:ind w:firstLine="630" w:firstLineChars="196"/>
        <w:jc w:val="left"/>
        <w:rPr>
          <w:rFonts w:ascii="仿宋" w:hAnsi="仿宋" w:eastAsia="仿宋" w:cs="仿宋"/>
          <w:b/>
          <w:kern w:val="0"/>
          <w:sz w:val="32"/>
          <w:szCs w:val="32"/>
        </w:rPr>
      </w:pPr>
      <w:r>
        <w:rPr>
          <w:rFonts w:hint="eastAsia" w:ascii="仿宋" w:hAnsi="仿宋" w:eastAsia="仿宋" w:cs="仿宋"/>
          <w:b/>
          <w:kern w:val="0"/>
          <w:sz w:val="32"/>
          <w:szCs w:val="32"/>
        </w:rPr>
        <w:t>（五）其他需说明的事项</w:t>
      </w:r>
    </w:p>
    <w:p>
      <w:pPr>
        <w:widowControl/>
        <w:spacing w:line="52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无其他需要说明的事项。</w:t>
      </w:r>
    </w:p>
    <w:p>
      <w:pPr>
        <w:pStyle w:val="2"/>
        <w:rPr>
          <w:rFonts w:ascii="仿宋" w:hAnsi="仿宋" w:eastAsia="仿宋" w:cs="仿宋"/>
          <w:kern w:val="0"/>
          <w:sz w:val="32"/>
          <w:szCs w:val="32"/>
        </w:rPr>
      </w:pPr>
    </w:p>
    <w:p>
      <w:pPr>
        <w:pStyle w:val="2"/>
        <w:rPr>
          <w:rFonts w:ascii="仿宋" w:hAnsi="仿宋" w:eastAsia="仿宋" w:cs="仿宋"/>
          <w:kern w:val="0"/>
          <w:sz w:val="32"/>
          <w:szCs w:val="32"/>
        </w:rPr>
      </w:pPr>
    </w:p>
    <w:p>
      <w:pPr>
        <w:widowControl/>
        <w:spacing w:line="520" w:lineRule="exact"/>
        <w:jc w:val="left"/>
        <w:rPr>
          <w:rFonts w:ascii="仿宋" w:hAnsi="仿宋" w:eastAsia="仿宋" w:cs="仿宋"/>
          <w:kern w:val="0"/>
          <w:sz w:val="32"/>
          <w:szCs w:val="32"/>
        </w:rPr>
      </w:pPr>
    </w:p>
    <w:p>
      <w:pPr>
        <w:widowControl/>
        <w:spacing w:beforeLines="50" w:line="520" w:lineRule="exact"/>
        <w:jc w:val="center"/>
        <w:outlineLvl w:val="1"/>
        <w:rPr>
          <w:rFonts w:ascii="黑体" w:hAnsi="黑体" w:eastAsia="黑体" w:cs="黑体"/>
          <w:kern w:val="0"/>
          <w:sz w:val="32"/>
          <w:szCs w:val="32"/>
        </w:rPr>
      </w:pPr>
      <w:r>
        <w:rPr>
          <w:rFonts w:hint="eastAsia" w:ascii="黑体" w:hAnsi="黑体" w:eastAsia="黑体" w:cs="黑体"/>
          <w:kern w:val="0"/>
          <w:sz w:val="32"/>
          <w:szCs w:val="32"/>
        </w:rPr>
        <w:t>第四部分  名词解释</w:t>
      </w:r>
    </w:p>
    <w:p>
      <w:pPr>
        <w:widowControl/>
        <w:spacing w:beforeLines="50" w:line="520" w:lineRule="exact"/>
        <w:jc w:val="center"/>
        <w:outlineLvl w:val="1"/>
        <w:rPr>
          <w:rFonts w:ascii="仿宋" w:hAnsi="仿宋" w:eastAsia="仿宋" w:cs="仿宋"/>
          <w:kern w:val="0"/>
          <w:sz w:val="32"/>
          <w:szCs w:val="32"/>
        </w:rPr>
      </w:pPr>
    </w:p>
    <w:p>
      <w:pPr>
        <w:widowControl/>
        <w:spacing w:line="520" w:lineRule="exact"/>
        <w:ind w:firstLine="640"/>
        <w:jc w:val="left"/>
        <w:rPr>
          <w:rFonts w:ascii="仿宋" w:hAnsi="仿宋" w:eastAsia="仿宋" w:cs="仿宋"/>
          <w:kern w:val="0"/>
          <w:sz w:val="32"/>
          <w:szCs w:val="32"/>
        </w:rPr>
      </w:pPr>
      <w:r>
        <w:rPr>
          <w:rFonts w:hint="eastAsia" w:ascii="仿宋" w:hAnsi="仿宋" w:eastAsia="仿宋" w:cs="仿宋"/>
          <w:kern w:val="0"/>
          <w:sz w:val="32"/>
          <w:szCs w:val="32"/>
        </w:rPr>
        <w:t>名词解释：</w:t>
      </w:r>
    </w:p>
    <w:p>
      <w:pPr>
        <w:spacing w:line="520" w:lineRule="exact"/>
        <w:ind w:firstLine="642"/>
        <w:rPr>
          <w:rFonts w:ascii="仿宋" w:hAnsi="仿宋" w:eastAsia="仿宋" w:cs="仿宋"/>
          <w:sz w:val="32"/>
          <w:szCs w:val="32"/>
        </w:rPr>
      </w:pPr>
      <w:r>
        <w:rPr>
          <w:rFonts w:hint="eastAsia" w:ascii="仿宋" w:hAnsi="仿宋" w:eastAsia="仿宋" w:cs="仿宋"/>
          <w:sz w:val="32"/>
          <w:szCs w:val="32"/>
        </w:rPr>
        <w:t>一、财政拨款：指由一般公共预算、政府性基金预算安排的财政拨款数。</w:t>
      </w:r>
    </w:p>
    <w:p>
      <w:pPr>
        <w:spacing w:line="520" w:lineRule="exact"/>
        <w:ind w:firstLine="642"/>
        <w:rPr>
          <w:rFonts w:ascii="仿宋" w:hAnsi="仿宋" w:eastAsia="仿宋" w:cs="仿宋"/>
          <w:sz w:val="32"/>
          <w:szCs w:val="32"/>
        </w:rPr>
      </w:pPr>
      <w:r>
        <w:rPr>
          <w:rFonts w:hint="eastAsia" w:ascii="仿宋" w:hAnsi="仿宋" w:eastAsia="仿宋" w:cs="仿宋"/>
          <w:sz w:val="32"/>
          <w:szCs w:val="32"/>
        </w:rPr>
        <w:t>二、一般公共预算：</w:t>
      </w:r>
      <w:r>
        <w:rPr>
          <w:rFonts w:hint="eastAsia" w:ascii="仿宋" w:hAnsi="仿宋" w:eastAsia="仿宋" w:cs="仿宋"/>
          <w:spacing w:val="-6"/>
          <w:sz w:val="32"/>
          <w:szCs w:val="32"/>
        </w:rPr>
        <w:t>包括公共财政拨款（补助）资金、专项收入。</w:t>
      </w:r>
    </w:p>
    <w:p>
      <w:pPr>
        <w:spacing w:line="520" w:lineRule="exact"/>
        <w:ind w:firstLine="642"/>
        <w:rPr>
          <w:rFonts w:ascii="仿宋" w:hAnsi="仿宋" w:eastAsia="仿宋" w:cs="仿宋"/>
          <w:sz w:val="32"/>
          <w:szCs w:val="32"/>
        </w:rPr>
      </w:pPr>
      <w:r>
        <w:rPr>
          <w:rFonts w:hint="eastAsia" w:ascii="仿宋" w:hAnsi="仿宋" w:eastAsia="仿宋" w:cs="仿宋"/>
          <w:sz w:val="32"/>
          <w:szCs w:val="32"/>
        </w:rPr>
        <w:t>三、财政专户管理资金：包括专户管理行政事业性收费（主要是教育收费）、其他非税收入。</w:t>
      </w:r>
    </w:p>
    <w:p>
      <w:pPr>
        <w:spacing w:line="520" w:lineRule="exact"/>
        <w:ind w:firstLine="642"/>
        <w:rPr>
          <w:rFonts w:ascii="仿宋" w:hAnsi="仿宋" w:eastAsia="仿宋" w:cs="仿宋"/>
          <w:sz w:val="32"/>
          <w:szCs w:val="32"/>
        </w:rPr>
      </w:pPr>
      <w:r>
        <w:rPr>
          <w:rFonts w:hint="eastAsia" w:ascii="仿宋" w:hAnsi="仿宋" w:eastAsia="仿宋" w:cs="仿宋"/>
          <w:sz w:val="32"/>
          <w:szCs w:val="32"/>
        </w:rPr>
        <w:t>四、其他资金：包括事业收入、事业经营收入、其他收入等。</w:t>
      </w:r>
    </w:p>
    <w:p>
      <w:pPr>
        <w:spacing w:line="520" w:lineRule="exact"/>
        <w:ind w:firstLine="642"/>
        <w:rPr>
          <w:rFonts w:ascii="仿宋" w:hAnsi="仿宋" w:eastAsia="仿宋" w:cs="仿宋"/>
          <w:sz w:val="32"/>
          <w:szCs w:val="32"/>
        </w:rPr>
      </w:pPr>
      <w:r>
        <w:rPr>
          <w:rFonts w:hint="eastAsia" w:ascii="仿宋" w:hAnsi="仿宋" w:eastAsia="仿宋" w:cs="仿宋"/>
          <w:sz w:val="32"/>
          <w:szCs w:val="32"/>
        </w:rPr>
        <w:t>五、基本支出：包括人员经费、商品和服务支出（定额）。其中，人员经费包括工资福利支出、对个人和家庭的补助。</w:t>
      </w:r>
    </w:p>
    <w:p>
      <w:pPr>
        <w:spacing w:line="520" w:lineRule="exact"/>
        <w:ind w:firstLine="642"/>
        <w:rPr>
          <w:rFonts w:ascii="仿宋" w:hAnsi="仿宋" w:eastAsia="仿宋" w:cs="仿宋"/>
          <w:sz w:val="32"/>
          <w:szCs w:val="32"/>
        </w:rPr>
      </w:pPr>
      <w:r>
        <w:rPr>
          <w:rFonts w:hint="eastAsia" w:ascii="仿宋" w:hAnsi="仿宋" w:eastAsia="仿宋" w:cs="仿宋"/>
          <w:sz w:val="32"/>
          <w:szCs w:val="32"/>
        </w:rPr>
        <w:t>六、项目支出：部门（单位）支出预算的组成部分，是州本级部门（单位）为完成其特定的行政任务或事业发展目标，在基本支出预算之外编制的年度项目支出计划。</w:t>
      </w:r>
    </w:p>
    <w:p>
      <w:pPr>
        <w:spacing w:line="520" w:lineRule="exact"/>
        <w:ind w:firstLine="642"/>
        <w:rPr>
          <w:rFonts w:ascii="仿宋" w:hAnsi="仿宋" w:eastAsia="仿宋" w:cs="仿宋"/>
          <w:sz w:val="32"/>
          <w:szCs w:val="32"/>
        </w:rPr>
      </w:pPr>
      <w:r>
        <w:rPr>
          <w:rFonts w:hint="eastAsia" w:ascii="仿宋" w:hAnsi="仿宋" w:eastAsia="仿宋" w:cs="仿宋"/>
          <w:sz w:val="32"/>
          <w:szCs w:val="32"/>
        </w:rPr>
        <w:t>七、“三公”经费：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 w:hAnsi="仿宋" w:eastAsia="仿宋" w:cs="仿宋"/>
          <w:sz w:val="32"/>
          <w:szCs w:val="32"/>
        </w:rPr>
      </w:pPr>
      <w:r>
        <w:rPr>
          <w:rFonts w:hint="eastAsia" w:ascii="仿宋" w:hAnsi="仿宋" w:eastAsia="仿宋" w:cs="仿宋"/>
          <w:sz w:val="32"/>
          <w:szCs w:val="32"/>
        </w:rPr>
        <w:t>八、机关运行经费：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 w:hAnsi="仿宋" w:eastAsia="仿宋" w:cs="仿宋"/>
          <w:kern w:val="0"/>
          <w:sz w:val="32"/>
          <w:szCs w:val="32"/>
        </w:rPr>
      </w:pPr>
    </w:p>
    <w:p>
      <w:pPr>
        <w:widowControl/>
        <w:spacing w:line="520" w:lineRule="exact"/>
        <w:jc w:val="left"/>
        <w:rPr>
          <w:rFonts w:ascii="仿宋" w:hAnsi="仿宋" w:eastAsia="仿宋" w:cs="仿宋"/>
          <w:kern w:val="0"/>
          <w:sz w:val="32"/>
          <w:szCs w:val="32"/>
        </w:rPr>
      </w:pPr>
    </w:p>
    <w:p>
      <w:pPr>
        <w:widowControl/>
        <w:spacing w:line="520" w:lineRule="exact"/>
        <w:jc w:val="left"/>
        <w:rPr>
          <w:rFonts w:ascii="仿宋" w:hAnsi="仿宋" w:eastAsia="仿宋" w:cs="仿宋"/>
          <w:kern w:val="0"/>
          <w:sz w:val="32"/>
          <w:szCs w:val="32"/>
        </w:rPr>
      </w:pPr>
    </w:p>
    <w:p>
      <w:pPr>
        <w:widowControl/>
        <w:spacing w:line="520" w:lineRule="exact"/>
        <w:jc w:val="left"/>
        <w:rPr>
          <w:rFonts w:ascii="仿宋" w:hAnsi="仿宋" w:eastAsia="仿宋" w:cs="仿宋"/>
          <w:kern w:val="0"/>
          <w:sz w:val="32"/>
          <w:szCs w:val="32"/>
        </w:rPr>
      </w:pPr>
    </w:p>
    <w:p>
      <w:pPr>
        <w:widowControl/>
        <w:spacing w:line="520" w:lineRule="exact"/>
        <w:ind w:left="6400" w:hanging="6400" w:hangingChars="2000"/>
        <w:jc w:val="left"/>
        <w:rPr>
          <w:rFonts w:ascii="仿宋" w:hAnsi="仿宋" w:eastAsia="仿宋" w:cs="仿宋"/>
          <w:kern w:val="0"/>
          <w:sz w:val="32"/>
          <w:szCs w:val="32"/>
        </w:rPr>
      </w:pPr>
      <w:r>
        <w:rPr>
          <w:rFonts w:hint="eastAsia" w:ascii="仿宋" w:hAnsi="仿宋" w:eastAsia="仿宋" w:cs="仿宋"/>
          <w:kern w:val="0"/>
          <w:sz w:val="32"/>
          <w:szCs w:val="32"/>
        </w:rPr>
        <w:t xml:space="preserve">                               新疆昌吉职业技术学院                          </w:t>
      </w:r>
    </w:p>
    <w:p>
      <w:pPr>
        <w:widowControl/>
        <w:spacing w:line="520" w:lineRule="exact"/>
        <w:ind w:left="6386" w:leftChars="2584" w:hanging="960" w:hangingChars="300"/>
        <w:jc w:val="left"/>
        <w:rPr>
          <w:rFonts w:ascii="仿宋" w:hAnsi="仿宋" w:eastAsia="仿宋" w:cs="仿宋"/>
          <w:kern w:val="0"/>
          <w:sz w:val="32"/>
          <w:szCs w:val="32"/>
        </w:rPr>
      </w:pPr>
      <w:r>
        <w:rPr>
          <w:rFonts w:hint="eastAsia" w:ascii="仿宋" w:hAnsi="仿宋" w:eastAsia="仿宋" w:cs="仿宋"/>
          <w:kern w:val="0"/>
          <w:sz w:val="32"/>
          <w:szCs w:val="32"/>
        </w:rPr>
        <w:t>2021年2月2日</w:t>
      </w:r>
    </w:p>
    <w:p>
      <w:pPr>
        <w:rPr>
          <w:rFonts w:ascii="仿宋" w:hAnsi="仿宋" w:eastAsia="仿宋" w:cs="仿宋"/>
        </w:rPr>
      </w:pPr>
    </w:p>
    <w:sectPr>
      <w:footerReference r:id="rId5" w:type="default"/>
      <w:pgSz w:w="11906" w:h="16838"/>
      <w:pgMar w:top="1440" w:right="1800" w:bottom="1440" w:left="1800" w:header="851" w:footer="992" w:gutter="0"/>
      <w:pgNumType w:start="1"/>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style w:type="paragraph" w:default="1" w:styleId="1">
    <w:name w:val="Normal"/>
    <w:next w:val="2"/>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pPr>
      <w:spacing w:beforeAutospacing="1" w:afterAutospacing="1"/>
      <w:jc w:val="left"/>
      <w:outlineLvl w:val="0"/>
    </w:pPr>
    <w:rPr>
      <w:rFonts w:hint="eastAsia" w:ascii="宋体" w:hAnsi="宋体"/>
      <w:b/>
      <w:kern w:val="44"/>
      <w:sz w:val="48"/>
      <w:szCs w:val="48"/>
    </w:rPr>
  </w:style>
  <w:style w:type="character" w:default="1" w:styleId="10">
    <w:name w:val="Default Paragraph Font"/>
  </w:style>
  <w:style w:type="paragraph" w:styleId="2">
    <w:name w:val="annotation text"/>
    <w:basedOn w:val="1"/>
    <w:pPr>
      <w:jc w:val="left"/>
    </w:pPr>
  </w:style>
  <w:style w:type="paragraph" w:styleId="4">
    <w:name w:val="footer"/>
    <w:basedOn w:val="1"/>
    <w:link w:val="5"/>
    <w:pPr>
      <w:tabs>
        <w:tab w:val="center" w:pos="4153"/>
        <w:tab w:val="right" w:pos="8306"/>
      </w:tabs>
      <w:snapToGrid w:val="0"/>
      <w:jc w:val="left"/>
    </w:pPr>
    <w:rPr>
      <w:rFonts w:eastAsia="黑体"/>
      <w:sz w:val="18"/>
      <w:szCs w:val="18"/>
    </w:rPr>
  </w:style>
  <w:style w:type="character" w:customStyle="1" w:styleId="5">
    <w:name w:val="页脚 Char"/>
    <w:link w:val="4"/>
    <w:semiHidden/>
    <w:rPr>
      <w:rFonts w:eastAsia="黑体"/>
      <w:sz w:val="18"/>
      <w:szCs w:val="18"/>
    </w:rPr>
  </w:style>
  <w:style w:type="paragraph" w:styleId="6">
    <w:name w:val="header"/>
    <w:basedOn w:val="1"/>
    <w:link w:val="7"/>
    <w:pPr>
      <w:pBdr>
        <w:bottom w:val="single" w:color="auto" w:sz="6" w:space="1"/>
      </w:pBdr>
      <w:tabs>
        <w:tab w:val="center" w:pos="4153"/>
        <w:tab w:val="right" w:pos="8306"/>
      </w:tabs>
      <w:snapToGrid w:val="0"/>
      <w:jc w:val="center"/>
    </w:pPr>
    <w:rPr>
      <w:sz w:val="18"/>
      <w:szCs w:val="18"/>
    </w:rPr>
  </w:style>
  <w:style w:type="character" w:customStyle="1" w:styleId="7">
    <w:name w:val="页眉 Char"/>
    <w:link w:val="6"/>
    <w:semiHidden/>
    <w:rPr>
      <w:sz w:val="18"/>
      <w:szCs w:val="18"/>
    </w:rPr>
  </w:style>
  <w:style w:type="character" w:customStyle="1" w:styleId="8">
    <w:name w:val="正文文本缩进 3 Char"/>
    <w:link w:val="9"/>
    <w:semiHidden/>
    <w:rPr>
      <w:rFonts w:eastAsia="仿宋_GB2312"/>
      <w:sz w:val="32"/>
      <w:szCs w:val="24"/>
    </w:rPr>
  </w:style>
  <w:style w:type="paragraph" w:customStyle="1" w:styleId="9">
    <w:name w:val="Body Text Indent 3"/>
    <w:basedOn w:val="1"/>
    <w:link w:val="8"/>
    <w:pPr>
      <w:pBdr>
        <w:top w:val="single" w:color="auto" w:sz="12" w:space="1"/>
        <w:bottom w:val="single" w:color="auto" w:sz="12" w:space="1"/>
      </w:pBdr>
      <w:spacing w:line="600" w:lineRule="exact"/>
      <w:ind w:left="1280" w:hanging="1280" w:hangingChars="400"/>
    </w:pPr>
    <w:rPr>
      <w:rFonts w:eastAsia="仿宋_GB2312"/>
      <w:sz w:val="32"/>
      <w:szCs w:val="24"/>
    </w:rPr>
  </w:style>
  <w:style w:type="paragraph" w:customStyle="1" w:styleId="11">
    <w:name w:val="批注框文本 Char Char"/>
    <w:basedOn w:val="1"/>
    <w:link w:val="12"/>
    <w:rPr>
      <w:sz w:val="18"/>
      <w:szCs w:val="18"/>
    </w:rPr>
  </w:style>
  <w:style w:type="character" w:customStyle="1" w:styleId="12">
    <w:name w:val="批注框文本 Char Char Char Char"/>
    <w:link w:val="11"/>
    <w:semiHidden/>
    <w:rPr>
      <w:sz w:val="18"/>
      <w:szCs w:val="18"/>
    </w:rPr>
  </w:style>
  <w:style w:type="character" w:customStyle="1" w:styleId="13">
    <w:name w:val="页眉 Char1"/>
    <w:basedOn w:val="10"/>
    <w:rPr>
      <w:rFonts w:ascii="Times New Roman" w:hAnsi="Times New Roman" w:eastAsia="宋体" w:cs="Times New Roman"/>
      <w:sz w:val="18"/>
      <w:szCs w:val="18"/>
    </w:rPr>
  </w:style>
  <w:style w:type="character" w:customStyle="1" w:styleId="14">
    <w:name w:val="正文文本缩进 3 Char1"/>
    <w:basedOn w:val="10"/>
    <w:rPr>
      <w:rFonts w:ascii="Times New Roman" w:hAnsi="Times New Roman" w:eastAsia="宋体" w:cs="Times New Roman"/>
      <w:sz w:val="16"/>
      <w:szCs w:val="16"/>
    </w:rPr>
  </w:style>
  <w:style w:type="character" w:customStyle="1" w:styleId="15">
    <w:name w:val="页脚 Char1"/>
    <w:basedOn w:val="10"/>
    <w:rPr>
      <w:rFonts w:ascii="Times New Roman" w:hAnsi="Times New Roman" w:eastAsia="宋体" w:cs="Times New Roman"/>
      <w:sz w:val="18"/>
      <w:szCs w:val="18"/>
    </w:rPr>
  </w:style>
  <w:style w:type="character" w:customStyle="1" w:styleId="16">
    <w:name w:val="批注框文本 Char1"/>
    <w:basedOn w:val="1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28</Pages>
  <Words>9106</Words>
  <Characters>11363</Characters>
  <Lines>102</Lines>
  <Paragraphs>28</Paragraphs>
  <TotalTime>0</TotalTime>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2021-02-08T10:26:00Z</dcterms:created>
  <dc:creator>闫超</dc:creator>
  <cp:lastPrinted>2021-04-17T11:50:00Z</cp:lastPrinted>
  <dcterms:modified xsi:type="dcterms:W3CDTF">2022-04-06T18:17:57Z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y fmtid="{D5CDD505-2E9C-101B-9397-08002B2CF9AE}" pid="3" name="ICV">
    <vt:lpwstr>4F507FDC3D4E4E379781D9C6BFC93A2C</vt:lpwstr>
  </property>
</Properties>
</file>