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cs="宋体"/>
          <w:b/>
          <w:bCs/>
          <w:kern w:val="0"/>
          <w:sz w:val="44"/>
          <w:szCs w:val="44"/>
        </w:rPr>
      </w:pPr>
      <w:bookmarkStart w:id="0" w:name="_GoBack"/>
      <w:bookmarkEnd w:id="0"/>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昌吉州第五中学2021年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昌吉州第五中学</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一、昌吉州第五中学收支总体情况表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二、昌吉州第五中学收入总体情况表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三、昌吉州第五中学支出总体情况表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一、关于昌吉州第五中学2021年收支预算情况的总体说明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二、关于昌吉州第五中学2021年收入预算情况说明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三、关于昌吉州第五中学2021年支出预算情况说明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昌吉州第五中学2021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五、关于昌吉州第五中学2021年一般公共预算当年拨款情况说明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六、关于昌吉州第五中学2021年一般公共预算基本支出情况说明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七、关于昌吉州第五中学2021年一般公共预算项目支出情况说明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八、关于昌吉州第五中学2021年一般公共预算“三公”经费预算情况说明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九、关于昌吉州第五中学2021年政府性基金预算拨款情况说明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napToGrid w:val="0"/>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昌吉州第五中学单位概况</w:t>
      </w:r>
    </w:p>
    <w:p>
      <w:pPr>
        <w:widowControl/>
        <w:snapToGrid w:val="0"/>
        <w:spacing w:line="560" w:lineRule="exact"/>
        <w:jc w:val="center"/>
        <w:outlineLvl w:val="1"/>
        <w:rPr>
          <w:rFonts w:ascii="宋体" w:hAnsi="宋体"/>
          <w:b/>
          <w:kern w:val="0"/>
          <w:sz w:val="32"/>
          <w:szCs w:val="32"/>
        </w:rPr>
      </w:pPr>
    </w:p>
    <w:p>
      <w:pPr>
        <w:widowControl/>
        <w:snapToGrid w:val="0"/>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napToGrid w:val="0"/>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仿宋_GB2312"/>
          <w:sz w:val="32"/>
          <w:szCs w:val="32"/>
        </w:rPr>
        <w:t>昌吉州第五中学是一所九年一贯制义务教育学校，</w:t>
      </w:r>
      <w:r>
        <w:rPr>
          <w:rFonts w:hint="eastAsia" w:ascii="仿宋_GB2312" w:hAnsi="Calibri" w:eastAsia="仿宋_GB2312" w:cs="仿宋_GB2312"/>
          <w:sz w:val="32"/>
          <w:szCs w:val="32"/>
        </w:rPr>
        <w:t>以促进基础教育发展，全面贯彻党的教育方针、深化教育改革、转变教育观念为目的，</w:t>
      </w:r>
      <w:r>
        <w:rPr>
          <w:rFonts w:hint="eastAsia" w:ascii="仿宋_GB2312" w:hAnsi="宋体" w:eastAsia="仿宋_GB2312" w:cs="仿宋_GB2312"/>
          <w:sz w:val="32"/>
          <w:szCs w:val="32"/>
        </w:rPr>
        <w:t>主要实施九年一贯制义务教育包含小学学历教育和初中学历教育。</w:t>
      </w:r>
    </w:p>
    <w:p>
      <w:pPr>
        <w:widowControl/>
        <w:snapToGrid w:val="0"/>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napToGrid w:val="0"/>
        <w:spacing w:line="560" w:lineRule="exact"/>
        <w:ind w:firstLine="645"/>
        <w:jc w:val="left"/>
        <w:rPr>
          <w:rFonts w:ascii="仿宋_GB2312" w:hAnsi="宋体" w:eastAsia="仿宋_GB2312" w:cs="仿宋_GB2312"/>
          <w:sz w:val="32"/>
          <w:szCs w:val="32"/>
        </w:rPr>
      </w:pPr>
      <w:r>
        <w:rPr>
          <w:rFonts w:hint="eastAsia" w:ascii="仿宋_GB2312" w:hAnsi="宋体" w:eastAsia="仿宋_GB2312" w:cs="仿宋_GB2312"/>
          <w:sz w:val="32"/>
          <w:szCs w:val="32"/>
        </w:rPr>
        <w:t>昌吉州第五中学</w:t>
      </w:r>
      <w:r>
        <w:rPr>
          <w:rFonts w:hint="eastAsia" w:ascii="仿宋_GB2312" w:hAnsi="黑体" w:eastAsia="仿宋_GB2312" w:cs="宋体"/>
          <w:bCs/>
          <w:kern w:val="0"/>
          <w:sz w:val="32"/>
          <w:szCs w:val="32"/>
        </w:rPr>
        <w:t>单位无下属预算单位，下设 6个科室，分别是：</w:t>
      </w:r>
      <w:r>
        <w:rPr>
          <w:rFonts w:hint="eastAsia" w:ascii="仿宋_GB2312" w:hAnsi="黑体" w:eastAsia="仿宋_GB2312" w:cs="仿宋_GB2312"/>
          <w:kern w:val="0"/>
          <w:sz w:val="32"/>
          <w:szCs w:val="32"/>
        </w:rPr>
        <w:t>党政办公室、</w:t>
      </w:r>
      <w:r>
        <w:rPr>
          <w:rFonts w:hint="eastAsia" w:ascii="仿宋_GB2312" w:hAnsi="宋体" w:eastAsia="仿宋_GB2312" w:cs="仿宋_GB2312"/>
          <w:sz w:val="32"/>
          <w:szCs w:val="32"/>
        </w:rPr>
        <w:t>教务处、政教处、教研室、安全管理办公室、总务基本教学保障科室。</w:t>
      </w:r>
    </w:p>
    <w:p>
      <w:pPr>
        <w:widowControl/>
        <w:snapToGrid w:val="0"/>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仿宋_GB2312"/>
          <w:sz w:val="32"/>
          <w:szCs w:val="32"/>
        </w:rPr>
        <w:t>昌吉州第五中学</w:t>
      </w:r>
      <w:r>
        <w:rPr>
          <w:rFonts w:hint="eastAsia" w:ascii="仿宋_GB2312" w:hAnsi="宋体" w:eastAsia="仿宋_GB2312" w:cs="宋体"/>
          <w:kern w:val="0"/>
          <w:sz w:val="32"/>
          <w:szCs w:val="32"/>
        </w:rPr>
        <w:t>编制数90，</w:t>
      </w:r>
      <w:r>
        <w:rPr>
          <w:rFonts w:hint="eastAsia" w:ascii="仿宋_GB2312" w:hAnsi="宋体" w:eastAsia="仿宋_GB2312" w:cs="宋体"/>
          <w:kern w:val="0"/>
          <w:sz w:val="32"/>
          <w:szCs w:val="32"/>
          <w:highlight w:val="none"/>
        </w:rPr>
        <w:t xml:space="preserve">实有人数 </w:t>
      </w:r>
      <w:r>
        <w:rPr>
          <w:rFonts w:hint="eastAsia" w:ascii="仿宋_GB2312" w:hAnsi="宋体" w:eastAsia="仿宋_GB2312" w:cs="宋体"/>
          <w:kern w:val="0"/>
          <w:sz w:val="32"/>
          <w:szCs w:val="32"/>
          <w:highlight w:val="none"/>
          <w:lang w:val="en-US" w:eastAsia="zh-CN"/>
        </w:rPr>
        <w:t>139</w:t>
      </w:r>
      <w:r>
        <w:rPr>
          <w:rFonts w:hint="eastAsia" w:ascii="仿宋_GB2312" w:hAnsi="宋体" w:eastAsia="仿宋_GB2312" w:cs="宋体"/>
          <w:kern w:val="0"/>
          <w:sz w:val="32"/>
          <w:szCs w:val="32"/>
          <w:highlight w:val="none"/>
        </w:rPr>
        <w:t>人</w:t>
      </w:r>
      <w:r>
        <w:rPr>
          <w:rFonts w:hint="eastAsia" w:ascii="仿宋_GB2312" w:hAnsi="宋体" w:eastAsia="仿宋_GB2312" w:cs="宋体"/>
          <w:kern w:val="0"/>
          <w:sz w:val="32"/>
          <w:szCs w:val="32"/>
        </w:rPr>
        <w:t>，其中：在职 87人，增加13人；退休 52人，增加 2人；离休0人，增加0人。</w:t>
      </w:r>
    </w:p>
    <w:p>
      <w:pPr>
        <w:widowControl/>
        <w:snapToGrid w:val="0"/>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napToGrid w:val="0"/>
        <w:spacing w:line="560" w:lineRule="exact"/>
        <w:jc w:val="left"/>
        <w:rPr>
          <w:rFonts w:ascii="仿宋_GB2312" w:hAnsi="宋体" w:eastAsia="仿宋_GB2312" w:cs="宋体"/>
          <w:kern w:val="0"/>
          <w:sz w:val="32"/>
          <w:szCs w:val="32"/>
        </w:rPr>
      </w:pPr>
    </w:p>
    <w:p>
      <w:pPr>
        <w:widowControl/>
        <w:snapToGrid w:val="0"/>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昌吉州第五中学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1420.84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1420.84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1149.13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125.14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146.57</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1420.84</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1420.84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编制单位：昌吉州第五中学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ind w:firstLine="360" w:firstLineChars="200"/>
              <w:jc w:val="both"/>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教育支出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1149.13</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1149.13</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普通教育</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1149.13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1149.13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02</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02</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小学教育</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647.43</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647.43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02</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03</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初中教育</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501.70</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501.70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社会保障和就业支出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机关事业单位养老保险费支出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341"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1420.84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1420.84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编制单位：昌吉州第五中学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400"/>
        <w:gridCol w:w="400"/>
        <w:gridCol w:w="2571"/>
        <w:gridCol w:w="1840"/>
        <w:gridCol w:w="1841"/>
        <w:gridCol w:w="1882"/>
      </w:tblGrid>
      <w:tr>
        <w:trPr>
          <w:trHeight w:val="345" w:hRule="atLeast"/>
        </w:trPr>
        <w:tc>
          <w:tcPr>
            <w:tcW w:w="385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教育支出</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1149.13</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1149.13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02</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普通教育</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1149.13</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1149.13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小学教育</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647.43</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647.43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初中教育</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501.70</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501.70</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社会保障和就业支出</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行政事业单位养老支出</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125.14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机关事业单位养老保险费支出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卫生健康支出</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257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行政事业单位医疗</w:t>
            </w:r>
          </w:p>
        </w:tc>
        <w:tc>
          <w:tcPr>
            <w:tcW w:w="184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1841"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146.57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编制单位：昌吉州第五中学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单位：万元</w:t>
      </w:r>
    </w:p>
    <w:tbl>
      <w:tblPr>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1420.84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1420.84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1149.13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1149.13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125.14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125.14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146.57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146.57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1420.84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1420.84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W w:w="9225"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28"/>
        <w:gridCol w:w="2510"/>
        <w:gridCol w:w="660"/>
        <w:gridCol w:w="1024"/>
        <w:gridCol w:w="216"/>
        <w:gridCol w:w="1626"/>
        <w:gridCol w:w="1701"/>
      </w:tblGrid>
      <w:tr>
        <w:trPr>
          <w:trHeight w:val="450" w:hRule="atLeast"/>
        </w:trPr>
        <w:tc>
          <w:tcPr>
            <w:tcW w:w="9225" w:type="dxa"/>
            <w:gridSpan w:val="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rPr>
          <w:trHeight w:val="285" w:hRule="atLeast"/>
        </w:trPr>
        <w:tc>
          <w:tcPr>
            <w:tcW w:w="3998"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编制单位：昌吉州第五中学</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9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8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教育支出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1149.13</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1149.13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普通教育</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1149.13</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1149.13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小学教育</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647.43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647.43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初中教育</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501.70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501.70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125.14</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125.14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125.14</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125.14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机关事业单位养老保险费支出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146.57</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146.57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2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146.57</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146.57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108.06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34.72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编制单位：昌吉州第五中学</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1335.62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1335.62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506.97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506.97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109.62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109.62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240.17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108.06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108.06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34.72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93.85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93.85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74.99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74.99</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28.62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12.91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12.91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10.23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10.23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1420.84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1345.85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74.99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编制单位：昌吉州第五中学</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昌吉州第五中学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编制单位：昌吉州第五中学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4" w:type="even"/>
          <w:pgSz w:w="11906" w:h="16838"/>
          <w:pgMar w:top="2098" w:right="1418" w:bottom="1928" w:left="1588" w:header="851" w:footer="992" w:gutter="0"/>
          <w:pgNumType w:start="1"/>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2021年昌吉州第五中学预算情况说明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按照全口径预算的原则，昌吉州第五中学2021年所有收入和支出均纳入单位预算管理。收支总预算1420.84万元。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收入预算包括：一般公共预算1420.84万元。</w:t>
      </w:r>
    </w:p>
    <w:p>
      <w:pPr>
        <w:spacing w:line="560" w:lineRule="exact"/>
        <w:ind w:firstLine="640" w:firstLineChars="200"/>
        <w:rPr>
          <w:rFonts w:ascii="仿宋" w:hAnsi="仿宋" w:eastAsia="仿宋" w:cs="宋体"/>
          <w:b/>
          <w:kern w:val="0"/>
          <w:sz w:val="32"/>
          <w:szCs w:val="32"/>
        </w:rPr>
      </w:pPr>
      <w:r>
        <w:rPr>
          <w:rFonts w:hint="eastAsia" w:ascii="仿宋" w:hAnsi="仿宋" w:eastAsia="仿宋" w:cs="宋体"/>
          <w:kern w:val="0"/>
          <w:sz w:val="32"/>
          <w:szCs w:val="32"/>
        </w:rPr>
        <w:t>支出预算包括：教育支出1149.13万元、社会保障和就业支出125.14万元、卫生健康支出146.57万元。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年收入预算情况说明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昌吉州第五中学收入预算1420.84万元，其中：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一般公共预算1420.84万元，占100%，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rPr>
        <w:t>增加115.9万元，主要原因是本年新增人员11人和特岗转在编5人形成的人员经费增加和相应社保经费增加。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政府性基金预算未安排。</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年支出预算情况说明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昌吉州第五中学2021年支出预算1420.84万元，其中：</w:t>
      </w:r>
    </w:p>
    <w:p>
      <w:pPr>
        <w:spacing w:line="560" w:lineRule="exact"/>
        <w:ind w:firstLine="640" w:firstLineChars="200"/>
        <w:rPr>
          <w:rFonts w:ascii="仿宋" w:hAnsi="仿宋" w:eastAsia="仿宋" w:cs="宋体"/>
          <w:b/>
          <w:kern w:val="0"/>
          <w:sz w:val="32"/>
          <w:szCs w:val="32"/>
        </w:rPr>
      </w:pPr>
      <w:r>
        <w:rPr>
          <w:rFonts w:hint="eastAsia" w:ascii="仿宋" w:hAnsi="仿宋" w:eastAsia="仿宋" w:cs="宋体"/>
          <w:kern w:val="0"/>
          <w:sz w:val="32"/>
          <w:szCs w:val="32"/>
        </w:rPr>
        <w:t>基本支出1420.84万元，占100%，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rPr>
        <w:t>增加115.9万元，主要原因是本年新增人员11人和特岗转在编5人形成的人员经费增加和相应社保经费增加。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项目支出0万元，占0%，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rPr>
        <w:t>增加0元，主要原因是</w:t>
      </w:r>
      <w:r>
        <w:rPr>
          <w:rFonts w:hint="eastAsia" w:ascii="仿宋" w:hAnsi="仿宋" w:eastAsia="仿宋" w:cs="宋体"/>
          <w:kern w:val="0"/>
          <w:sz w:val="32"/>
          <w:szCs w:val="32"/>
          <w:lang w:eastAsia="zh-CN"/>
        </w:rPr>
        <w:t>未</w:t>
      </w:r>
      <w:r>
        <w:rPr>
          <w:rFonts w:hint="eastAsia" w:ascii="仿宋" w:hAnsi="仿宋" w:eastAsia="仿宋" w:cs="宋体"/>
          <w:kern w:val="0"/>
          <w:sz w:val="32"/>
          <w:szCs w:val="32"/>
        </w:rPr>
        <w:t>安排项目支出</w:t>
      </w:r>
      <w:r>
        <w:rPr>
          <w:rFonts w:hint="eastAsia" w:ascii="仿宋_GB2312" w:hAnsi="宋体" w:eastAsia="仿宋_GB2312" w:cs="宋体"/>
          <w:kern w:val="0"/>
          <w:sz w:val="32"/>
          <w:szCs w:val="32"/>
        </w:rPr>
        <w:t>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昌吉州第五中学2021年财政拨款收支总预算1420.84万元。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收入全部为一般公共预算拨款，无政府性基金预算和国有资本经营预算拨款。</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收入预算包括：一般公共预算拨款1420.84万元。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一般公共预算支出包括：教育支出1149.13万元，主要用于单位基本运行费用，即：人员经费和公用经费</w:t>
      </w:r>
      <w:r>
        <w:rPr>
          <w:rFonts w:hint="eastAsia" w:ascii="仿宋" w:hAnsi="仿宋" w:eastAsia="仿宋" w:cs="宋体"/>
          <w:spacing w:val="-6"/>
          <w:kern w:val="0"/>
          <w:sz w:val="32"/>
          <w:szCs w:val="32"/>
          <w:lang w:eastAsia="zh-CN"/>
        </w:rPr>
        <w:t>；</w:t>
      </w:r>
      <w:r>
        <w:rPr>
          <w:rFonts w:hint="eastAsia" w:ascii="仿宋" w:hAnsi="仿宋" w:eastAsia="仿宋" w:cs="宋体"/>
          <w:spacing w:val="-6"/>
          <w:kern w:val="0"/>
          <w:sz w:val="32"/>
          <w:szCs w:val="32"/>
        </w:rPr>
        <w:t>社会保障和就业支出125.14万元，主要用于单位职工机关事业单位基本养老保险缴费支出</w:t>
      </w:r>
      <w:r>
        <w:rPr>
          <w:rFonts w:hint="eastAsia" w:ascii="仿宋" w:hAnsi="仿宋" w:eastAsia="仿宋" w:cs="宋体"/>
          <w:spacing w:val="-6"/>
          <w:kern w:val="0"/>
          <w:sz w:val="32"/>
          <w:szCs w:val="32"/>
          <w:lang w:eastAsia="zh-CN"/>
        </w:rPr>
        <w:t>；</w:t>
      </w:r>
      <w:r>
        <w:rPr>
          <w:rFonts w:hint="eastAsia" w:ascii="仿宋" w:hAnsi="仿宋" w:eastAsia="仿宋" w:cs="宋体"/>
          <w:spacing w:val="-6"/>
          <w:kern w:val="0"/>
          <w:sz w:val="32"/>
          <w:szCs w:val="32"/>
        </w:rPr>
        <w:t>卫生健康支出146.57万元，主要用于单位职工基本医疗保险缴费支出、职工公务员医疗补助缴费支出及其他社会保险缴费支出。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昌吉州第五中学2021年一般公共预算拨款合计1420.84万元，其中：基本支出1420.84万元，比上年预算增加115.9万元，增长8.88%。主要原因是：新增11人和特岗转在编5人形成的人员经费增加和相应社保经费增加。</w:t>
      </w:r>
    </w:p>
    <w:p>
      <w:pPr>
        <w:spacing w:line="560" w:lineRule="exact"/>
        <w:ind w:firstLine="640" w:firstLineChars="200"/>
        <w:rPr>
          <w:rFonts w:ascii="仿宋" w:hAnsi="仿宋" w:eastAsia="仿宋" w:cs="宋体"/>
          <w:kern w:val="0"/>
          <w:sz w:val="32"/>
          <w:szCs w:val="32"/>
        </w:rPr>
      </w:pPr>
      <w:r>
        <w:rPr>
          <w:rFonts w:hint="eastAsia" w:ascii="仿宋_GB2312" w:hAnsi="宋体" w:eastAsia="仿宋_GB2312" w:cs="宋体"/>
          <w:kern w:val="0"/>
          <w:sz w:val="32"/>
          <w:szCs w:val="32"/>
        </w:rPr>
        <w:t>项目支出0万元，比上年预算增加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。主要原因是：未安排项目支出预算。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1.教育支出1149.13万元，占80.88%。</w:t>
      </w:r>
    </w:p>
    <w:p>
      <w:pPr>
        <w:spacing w:line="560" w:lineRule="exact"/>
        <w:ind w:firstLine="640" w:firstLineChars="200"/>
        <w:rPr>
          <w:rFonts w:ascii="楷体_GB2312" w:hAnsi="宋体" w:eastAsia="楷体_GB2312" w:cs="宋体"/>
          <w:b/>
          <w:kern w:val="0"/>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sz w:val="32"/>
          <w:szCs w:val="32"/>
        </w:rPr>
        <w:t>社会保障和就业支出125.14万元，占8.81%。</w:t>
      </w:r>
      <w:r>
        <w:rPr>
          <w:rFonts w:hint="eastAsia" w:ascii="仿宋" w:hAnsi="仿宋" w:eastAsia="仿宋"/>
          <w:sz w:val="32"/>
          <w:szCs w:val="32"/>
        </w:rPr>
        <w:br/>
      </w:r>
      <w:r>
        <w:rPr>
          <w:rFonts w:hint="eastAsia" w:ascii="仿宋" w:hAnsi="仿宋" w:eastAsia="仿宋"/>
          <w:sz w:val="32"/>
          <w:szCs w:val="32"/>
        </w:rPr>
        <w:t xml:space="preserve">    3</w:t>
      </w:r>
      <w:r>
        <w:rPr>
          <w:rFonts w:hint="eastAsia" w:ascii="仿宋" w:hAnsi="仿宋" w:eastAsia="仿宋"/>
          <w:sz w:val="32"/>
          <w:szCs w:val="32"/>
          <w:lang w:eastAsia="zh-CN"/>
        </w:rPr>
        <w:t>.</w:t>
      </w:r>
      <w:r>
        <w:rPr>
          <w:rFonts w:hint="eastAsia" w:ascii="仿宋" w:hAnsi="仿宋" w:eastAsia="仿宋"/>
          <w:sz w:val="32"/>
          <w:szCs w:val="32"/>
        </w:rPr>
        <w:t>卫生健康支出146.57万元，占10.31%。</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1.教育支出（类）普通教育（款）小学教育（项）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2021年预算数为647.43 万元，比上年预算数增加63.34万元，增长10.84%，主要原因是本年新增9人和特岗转在编5人形成的人员经费增加。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2.教育支出（类）普通教育（款）初中教育（项）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w:t>
      </w:r>
      <w:r>
        <w:rPr>
          <w:rFonts w:hint="eastAsia" w:ascii="仿宋" w:hAnsi="仿宋" w:eastAsia="仿宋" w:cs="宋体"/>
          <w:kern w:val="0"/>
          <w:sz w:val="32"/>
          <w:szCs w:val="32"/>
          <w:lang w:eastAsia="zh-CN"/>
        </w:rPr>
        <w:t>为</w:t>
      </w:r>
      <w:r>
        <w:rPr>
          <w:rFonts w:hint="eastAsia" w:ascii="仿宋" w:hAnsi="仿宋" w:eastAsia="仿宋" w:cs="宋体"/>
          <w:kern w:val="0"/>
          <w:sz w:val="32"/>
          <w:szCs w:val="32"/>
        </w:rPr>
        <w:t>501.7万元，比上年预算数增加2.7万元，增长0.5%，主要原因是本年新增2人形成的人员经费增加。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3.社会保障和就业支出（类）行政事业单位养老支出（款）机关事业单位养老保险费支出（项）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2021年预算数是125.14万元，比上年</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数增加14.9万元，增长13.52%，主要原因是本年新增11人和特岗转在编5人形成的员工社保经费增加。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4.卫生健康支出（类）行政事业单位医疗（款）事业单位医疗（项）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2021年预算数为108.06万元，比上年的预算数增加33.62万元，增长45.16%，主要原因是本年新增11人和特岗转在编5人形成的员工社保经费增加；生育保险纳入了此项保险缴费比例。</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5.卫生健康支出（类）行政事业单位医疗（款）公务员医疗支出（项）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2021年预算数为34.72万元，比上年的预算数增加3.38万元，增长10.78%，主要原因是本年新增11人和特岗转在编5人形成的员工社保经费增加。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6.卫生健康支出（类）行政事业单位医疗（款）其他行政事业单位医疗支出（项）</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2021年预算数为3.79万元，比上年的预算数减少2.04万元，下降34.99%，主要原因是生育保险纳入了基本医疗保险中。</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昌吉州第五中学2021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昌吉州第五中学2021年一般公共预算基本支出1420.84万元，其中：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人员经费1345.85万元，主要包括：基本工资506.97万元、津贴补贴8.7万元、奖金35万元、伙食补助费109.62万元、绩效工资240.17万元、机关事业单位基本养老保险缴费125.14万元、职工基本医疗保险缴费108.06万元、公务员医疗补助缴费34.72万元、其他社会保障缴费3.79万元、住房公积金93.85万元、其他工资福利支出69.6万元、奖励金5.03万元、其他对个人和家庭的补助5.2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公用经费74.99万元，主要包括：取暖费28.62万元、工会经费10.14万元、福利费23.32万元、其他商品和服务支出12.91万元。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七、关于昌吉州第五中学2021年一般公共预算项目支出情况说明</w:t>
      </w:r>
    </w:p>
    <w:p>
      <w:pPr>
        <w:spacing w:line="560" w:lineRule="exact"/>
        <w:ind w:firstLine="640" w:firstLineChars="200"/>
        <w:rPr>
          <w:rFonts w:hint="eastAsia" w:ascii="仿宋_GB2312" w:hAnsi="黑体" w:eastAsia="仿宋_GB2312"/>
          <w:bCs/>
          <w:sz w:val="32"/>
          <w:szCs w:val="32"/>
        </w:rPr>
      </w:pPr>
      <w:r>
        <w:rPr>
          <w:rFonts w:hint="eastAsia" w:ascii="仿宋" w:hAnsi="仿宋" w:eastAsia="仿宋"/>
          <w:sz w:val="32"/>
          <w:szCs w:val="32"/>
        </w:rPr>
        <w:t>昌吉州第五中学</w:t>
      </w:r>
      <w:r>
        <w:rPr>
          <w:rFonts w:hint="eastAsia" w:ascii="仿宋_GB2312" w:hAnsi="黑体" w:eastAsia="仿宋_GB2312"/>
          <w:bCs/>
          <w:sz w:val="32"/>
          <w:szCs w:val="32"/>
        </w:rPr>
        <w:t>2021年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八、关于昌吉州第五中学2021年一般公共预算“三公”经费预算情况说明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昌吉州五中2021年一般公共预算“三公”经费数为0万元，其中：因公出国（境）费0万元，公务用车购置0万元，公务用车运行费0万元，公务接待费0万元。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一般公共预算“三公”经费比上年减少2.08万元，其中：因公出国（境）费减少0万元，主要原因是未安排预算；公务用车购置费为0万元，未安排预算。公务用车运行费减少2.08万元，主要原因是车辆陈旧老化，已达到车辆报废标准，为确保安全，目前已不再使用；公务接待费减少0万元，主要原因是</w:t>
      </w:r>
      <w:r>
        <w:rPr>
          <w:rFonts w:hint="eastAsia" w:ascii="仿宋_GB2312" w:hAnsi="宋体" w:eastAsia="仿宋_GB2312" w:cs="宋体"/>
          <w:kern w:val="0"/>
          <w:sz w:val="32"/>
          <w:szCs w:val="32"/>
        </w:rPr>
        <w:t>未安排预算</w:t>
      </w:r>
      <w:r>
        <w:rPr>
          <w:rFonts w:hint="eastAsia" w:ascii="仿宋" w:hAnsi="仿宋" w:eastAsia="仿宋"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九、关于昌吉州第五中学2021年政府性基金预算拨款情况说明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昌吉州第五中学2021年没有使用政府性基金预算拨款安排的支出，政府性基金预算支出情况表为空表。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 w:hAnsi="仿宋" w:eastAsia="仿宋" w:cs="宋体"/>
          <w:kern w:val="0"/>
          <w:sz w:val="32"/>
          <w:szCs w:val="32"/>
          <w:highlight w:val="yellow"/>
        </w:rPr>
      </w:pPr>
      <w:r>
        <w:rPr>
          <w:rFonts w:hint="eastAsia" w:ascii="仿宋" w:hAnsi="仿宋" w:eastAsia="仿宋" w:cs="宋体"/>
          <w:kern w:val="0"/>
          <w:sz w:val="32"/>
          <w:szCs w:val="32"/>
        </w:rPr>
        <w:t>2021年，昌吉州第五中学的事业运行经费财政拨款预算74.99万元，比上年预算减少20.24万元，下降21.25%。</w:t>
      </w:r>
      <w:r>
        <w:rPr>
          <w:rFonts w:hint="eastAsia" w:ascii="仿宋_GB2312" w:hAnsi="宋体" w:eastAsia="仿宋_GB2312" w:cs="宋体"/>
          <w:kern w:val="0"/>
          <w:sz w:val="32"/>
          <w:szCs w:val="32"/>
        </w:rPr>
        <w:t>主要原因是义务教育保障</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安排</w:t>
      </w:r>
      <w:r>
        <w:rPr>
          <w:rFonts w:hint="eastAsia" w:ascii="仿宋_GB2312" w:hAnsi="宋体" w:eastAsia="仿宋_GB2312" w:cs="宋体"/>
          <w:kern w:val="0"/>
          <w:sz w:val="32"/>
          <w:szCs w:val="32"/>
          <w:lang w:eastAsia="zh-CN"/>
        </w:rPr>
        <w:t>机关运行经费</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2021年，昌吉州第五中学政府采购预算196.22万元，其中：政府采购货物预算47.52万元，政府采购工程预算61.7万元，政府采购服务预算87万元。</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rPr>
        <w:t>2021年度本部门（单位）面向中小企业预留政府采购项目预算金额189.22万元，其中：面向小微企业预留政府采购项目预算金额189.22万元。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截至2020年底，昌吉州第五中学占用使用国有资产总体情况为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1.房屋11584.14平方米，价值2579.63万元。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2.车辆1辆，价值13.79万元；其中：一般公务用车1辆，价值13.79万元；执法执勤用车0辆，价值0万元；其他车辆0辆，价值0万元。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3.办公家具价值647.52万元。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4.其他资产价值105.25万元。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单位价值50万元以上大型设备0台（套），单位价值100万元以上大型设备0台（套）。</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2021年昌吉州五中部门预算未安排购置车辆经费，安排购置50万元以上大型设备0台（套），单位价值100万元以上大型设备0台（套）。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2021年度，本年度实行绩效管理的一般公共预算项目 0  个，涉及预算金额0万元。具体情况见下表：</w:t>
      </w:r>
    </w:p>
    <w:p>
      <w:pPr>
        <w:spacing w:line="560" w:lineRule="exact"/>
        <w:ind w:firstLine="640" w:firstLineChars="200"/>
        <w:rPr>
          <w:rFonts w:hint="eastAsia" w:ascii="仿宋" w:hAnsi="仿宋" w:eastAsia="仿宋" w:cs="宋体"/>
          <w:kern w:val="0"/>
          <w:sz w:val="32"/>
          <w:szCs w:val="32"/>
        </w:rPr>
      </w:pPr>
    </w:p>
    <w:p>
      <w:pPr>
        <w:spacing w:line="560" w:lineRule="exact"/>
        <w:ind w:firstLine="640" w:firstLineChars="200"/>
        <w:rPr>
          <w:rFonts w:hint="eastAsia" w:ascii="仿宋" w:hAnsi="仿宋" w:eastAsia="仿宋" w:cs="宋体"/>
          <w:kern w:val="0"/>
          <w:sz w:val="32"/>
          <w:szCs w:val="32"/>
        </w:rPr>
      </w:pPr>
    </w:p>
    <w:p>
      <w:pPr>
        <w:spacing w:line="560" w:lineRule="exact"/>
        <w:ind w:firstLine="640" w:firstLineChars="200"/>
        <w:rPr>
          <w:rFonts w:hint="eastAsia" w:ascii="仿宋" w:hAnsi="仿宋" w:eastAsia="仿宋" w:cs="宋体"/>
          <w:kern w:val="0"/>
          <w:sz w:val="32"/>
          <w:szCs w:val="32"/>
        </w:rPr>
      </w:pPr>
    </w:p>
    <w:p>
      <w:pPr>
        <w:spacing w:line="560" w:lineRule="exact"/>
        <w:ind w:firstLine="640" w:firstLineChars="200"/>
        <w:rPr>
          <w:rFonts w:hint="eastAsia" w:ascii="仿宋" w:hAnsi="仿宋" w:eastAsia="仿宋" w:cs="宋体"/>
          <w:kern w:val="0"/>
          <w:sz w:val="32"/>
          <w:szCs w:val="32"/>
        </w:rPr>
      </w:pPr>
    </w:p>
    <w:p>
      <w:pPr>
        <w:spacing w:line="560" w:lineRule="exact"/>
        <w:ind w:firstLine="640" w:firstLineChars="200"/>
        <w:rPr>
          <w:rFonts w:hint="eastAsia" w:ascii="仿宋" w:hAnsi="仿宋" w:eastAsia="仿宋" w:cs="宋体"/>
          <w:kern w:val="0"/>
          <w:sz w:val="32"/>
          <w:szCs w:val="32"/>
        </w:rPr>
      </w:pPr>
    </w:p>
    <w:p>
      <w:pPr>
        <w:spacing w:line="560" w:lineRule="exact"/>
        <w:ind w:firstLine="640" w:firstLineChars="200"/>
        <w:rPr>
          <w:rFonts w:hint="eastAsia" w:ascii="仿宋" w:hAnsi="仿宋" w:eastAsia="仿宋" w:cs="宋体"/>
          <w:kern w:val="0"/>
          <w:sz w:val="32"/>
          <w:szCs w:val="32"/>
        </w:rPr>
      </w:pPr>
    </w:p>
    <w:p>
      <w:pPr>
        <w:spacing w:line="560" w:lineRule="exact"/>
        <w:rPr>
          <w:rFonts w:hint="eastAsia" w:ascii="仿宋" w:hAnsi="仿宋" w:eastAsia="仿宋" w:cs="宋体"/>
          <w:kern w:val="0"/>
          <w:sz w:val="32"/>
          <w:szCs w:val="32"/>
        </w:rPr>
      </w:pPr>
    </w:p>
    <w:p>
      <w:pPr>
        <w:spacing w:line="560" w:lineRule="exact"/>
        <w:rPr>
          <w:rFonts w:hint="eastAsia" w:ascii="仿宋" w:hAnsi="仿宋" w:eastAsia="仿宋" w:cs="宋体"/>
          <w:kern w:val="0"/>
          <w:sz w:val="32"/>
          <w:szCs w:val="32"/>
        </w:rPr>
      </w:pPr>
    </w:p>
    <w:tbl>
      <w:tblP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sectPr>
          <w:pgSz w:w="11906" w:h="16838"/>
          <w:pgMar w:top="1440" w:right="1800" w:bottom="1440" w:left="1800" w:header="851" w:footer="992" w:gutter="0"/>
          <w:pgNumType w:fmt="numberInDash" w:start="24"/>
          <w:cols w:space="720" w:num="1"/>
          <w:docGrid w:type="lines" w:linePitch="312"/>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wordWrap/>
        <w:adjustRightInd/>
        <w:snapToGrid/>
        <w:spacing w:line="500" w:lineRule="exact"/>
        <w:jc w:val="center"/>
        <w:textAlignment w:val="auto"/>
        <w:outlineLvl w:val="1"/>
        <w:rPr>
          <w:rFonts w:ascii="仿宋" w:hAnsi="仿宋" w:eastAsia="仿宋"/>
          <w:kern w:val="0"/>
          <w:sz w:val="32"/>
          <w:szCs w:val="32"/>
        </w:rPr>
      </w:pPr>
      <w:r>
        <w:rPr>
          <w:rFonts w:hint="eastAsia" w:ascii="仿宋" w:hAnsi="仿宋" w:eastAsia="仿宋"/>
          <w:kern w:val="0"/>
          <w:sz w:val="32"/>
          <w:szCs w:val="32"/>
        </w:rPr>
        <w:t>第四部分  名词解释</w:t>
      </w:r>
    </w:p>
    <w:p>
      <w:pPr>
        <w:widowControl/>
        <w:wordWrap/>
        <w:adjustRightInd/>
        <w:snapToGrid/>
        <w:spacing w:line="500" w:lineRule="exact"/>
        <w:jc w:val="center"/>
        <w:textAlignment w:val="auto"/>
        <w:outlineLvl w:val="1"/>
        <w:rPr>
          <w:rFonts w:ascii="仿宋" w:hAnsi="仿宋" w:eastAsia="仿宋"/>
          <w:kern w:val="0"/>
          <w:sz w:val="32"/>
          <w:szCs w:val="32"/>
        </w:rPr>
      </w:pPr>
    </w:p>
    <w:p>
      <w:pPr>
        <w:widowControl/>
        <w:wordWrap/>
        <w:adjustRightInd/>
        <w:snapToGrid/>
        <w:spacing w:line="500" w:lineRule="exact"/>
        <w:ind w:firstLine="640"/>
        <w:jc w:val="left"/>
        <w:textAlignment w:val="auto"/>
        <w:rPr>
          <w:rFonts w:ascii="仿宋" w:hAnsi="仿宋" w:eastAsia="仿宋" w:cs="宋体"/>
          <w:kern w:val="0"/>
          <w:sz w:val="32"/>
          <w:szCs w:val="32"/>
        </w:rPr>
      </w:pPr>
      <w:r>
        <w:rPr>
          <w:rFonts w:hint="eastAsia" w:ascii="仿宋" w:hAnsi="仿宋" w:eastAsia="仿宋" w:cs="宋体"/>
          <w:kern w:val="0"/>
          <w:sz w:val="32"/>
          <w:szCs w:val="32"/>
        </w:rPr>
        <w:t>名词解释：</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一、财政拨款：指由一般公共预算、政府性基金预算安排的财政拨款数。</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二、一般公共预算：</w:t>
      </w:r>
      <w:r>
        <w:rPr>
          <w:rFonts w:hint="eastAsia" w:ascii="仿宋" w:hAnsi="仿宋" w:eastAsia="仿宋"/>
          <w:spacing w:val="-6"/>
          <w:sz w:val="32"/>
          <w:szCs w:val="32"/>
        </w:rPr>
        <w:t>包括公共财政拨款（补助）资金、专项收入。</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三、财政专户管理资金：包括专户管理行政事业性收费（主要是教育收费）、其他非税收入。</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四、其他资金：包括事业收入、事业经营收入、其他收入等。</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五、基本支出：包括人员经费、商品和服务支出（定额）。其中，人员经费包括工资福利支出、对个人和家庭的补助。</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六、项目支出：部门（单位）支出预算的组成部分，是州本级部门（单位）为完成其特定的行政任务或事业发展目标，在基本支出预算之外编制的年度项目支出计划。</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七、“三公”经费：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sz w:val="32"/>
          <w:szCs w:val="32"/>
        </w:rPr>
        <w:t>八、事业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pPr>
        <w:wordWrap/>
        <w:adjustRightInd/>
        <w:snapToGrid/>
        <w:spacing w:line="500" w:lineRule="exact"/>
        <w:ind w:firstLine="642"/>
        <w:textAlignment w:val="auto"/>
        <w:rPr>
          <w:rFonts w:ascii="仿宋" w:hAnsi="仿宋" w:eastAsia="仿宋" w:cs="黑体"/>
          <w:sz w:val="32"/>
          <w:szCs w:val="32"/>
        </w:rPr>
      </w:pPr>
      <w:r>
        <w:rPr>
          <w:rFonts w:hint="eastAsia" w:ascii="仿宋" w:hAnsi="仿宋" w:eastAsia="仿宋" w:cs="黑体"/>
          <w:sz w:val="32"/>
          <w:szCs w:val="32"/>
        </w:rPr>
        <w:t>九、普通教育：</w:t>
      </w:r>
      <w:r>
        <w:rPr>
          <w:rFonts w:hint="eastAsia" w:ascii="仿宋" w:hAnsi="仿宋" w:eastAsia="仿宋" w:cs="仿宋_GB2312"/>
          <w:sz w:val="32"/>
          <w:szCs w:val="32"/>
        </w:rPr>
        <w:t>反映各类普通教育支出。</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cs="黑体"/>
          <w:sz w:val="32"/>
          <w:szCs w:val="32"/>
        </w:rPr>
        <w:t>十、小学教育：</w:t>
      </w:r>
      <w:r>
        <w:rPr>
          <w:rFonts w:hint="eastAsia" w:ascii="仿宋" w:hAnsi="仿宋" w:eastAsia="仿宋" w:cs="仿宋_GB2312"/>
          <w:sz w:val="32"/>
          <w:szCs w:val="32"/>
        </w:rPr>
        <w:t>指各部门举办的小学教育支出。</w:t>
      </w:r>
    </w:p>
    <w:p>
      <w:pPr>
        <w:wordWrap/>
        <w:adjustRightInd/>
        <w:snapToGrid/>
        <w:spacing w:line="500" w:lineRule="exact"/>
        <w:ind w:firstLine="642"/>
        <w:textAlignment w:val="auto"/>
        <w:rPr>
          <w:rFonts w:ascii="仿宋" w:hAnsi="仿宋" w:eastAsia="仿宋" w:cs="仿宋_GB2312"/>
          <w:sz w:val="32"/>
          <w:szCs w:val="32"/>
        </w:rPr>
      </w:pPr>
      <w:r>
        <w:rPr>
          <w:rFonts w:hint="eastAsia" w:ascii="仿宋" w:hAnsi="仿宋" w:eastAsia="仿宋" w:cs="黑体"/>
          <w:sz w:val="32"/>
          <w:szCs w:val="32"/>
        </w:rPr>
        <w:t>十一、初中教育：</w:t>
      </w:r>
      <w:r>
        <w:rPr>
          <w:rFonts w:hint="eastAsia" w:ascii="仿宋" w:hAnsi="仿宋" w:eastAsia="仿宋" w:cs="仿宋_GB2312"/>
          <w:sz w:val="32"/>
          <w:szCs w:val="32"/>
        </w:rPr>
        <w:t>指各部门举办的初中教育支出。</w:t>
      </w:r>
    </w:p>
    <w:p>
      <w:pPr>
        <w:wordWrap/>
        <w:adjustRightInd/>
        <w:snapToGrid/>
        <w:spacing w:line="500" w:lineRule="exact"/>
        <w:ind w:firstLine="642"/>
        <w:textAlignment w:val="auto"/>
        <w:rPr>
          <w:rFonts w:ascii="仿宋" w:hAnsi="仿宋" w:eastAsia="仿宋" w:cs="黑体"/>
          <w:sz w:val="32"/>
          <w:szCs w:val="32"/>
        </w:rPr>
      </w:pPr>
      <w:r>
        <w:rPr>
          <w:rFonts w:hint="eastAsia" w:ascii="仿宋" w:hAnsi="仿宋" w:eastAsia="仿宋" w:cs="黑体"/>
          <w:sz w:val="32"/>
          <w:szCs w:val="32"/>
        </w:rPr>
        <w:t>十二、社会保障和就业支出：</w:t>
      </w:r>
      <w:r>
        <w:rPr>
          <w:rFonts w:hint="eastAsia" w:ascii="仿宋" w:hAnsi="仿宋" w:eastAsia="仿宋" w:cs="仿宋_GB2312"/>
          <w:sz w:val="32"/>
          <w:szCs w:val="32"/>
        </w:rPr>
        <w:t>反映单位在社会保障和就业方面的支出。</w:t>
      </w:r>
    </w:p>
    <w:p>
      <w:pPr>
        <w:wordWrap/>
        <w:adjustRightInd/>
        <w:snapToGrid/>
        <w:spacing w:line="500" w:lineRule="exact"/>
        <w:ind w:firstLine="642"/>
        <w:textAlignment w:val="auto"/>
        <w:rPr>
          <w:rFonts w:ascii="仿宋" w:hAnsi="仿宋" w:eastAsia="仿宋" w:cs="仿宋_GB2312"/>
          <w:sz w:val="32"/>
          <w:szCs w:val="32"/>
        </w:rPr>
      </w:pPr>
      <w:r>
        <w:rPr>
          <w:rFonts w:hint="eastAsia" w:ascii="仿宋" w:hAnsi="仿宋" w:eastAsia="仿宋" w:cs="黑体"/>
          <w:sz w:val="32"/>
          <w:szCs w:val="32"/>
        </w:rPr>
        <w:t>十三、行政事业单位养老支出：</w:t>
      </w:r>
      <w:r>
        <w:rPr>
          <w:rFonts w:hint="eastAsia" w:ascii="仿宋" w:hAnsi="仿宋" w:eastAsia="仿宋" w:cs="仿宋_GB2312"/>
          <w:sz w:val="32"/>
          <w:szCs w:val="32"/>
        </w:rPr>
        <w:t>指用于事业单位养老方面的支出。</w:t>
      </w:r>
    </w:p>
    <w:p>
      <w:pPr>
        <w:wordWrap/>
        <w:adjustRightInd/>
        <w:snapToGrid/>
        <w:spacing w:line="500" w:lineRule="exact"/>
        <w:ind w:firstLine="642"/>
        <w:textAlignment w:val="auto"/>
        <w:rPr>
          <w:rFonts w:ascii="仿宋" w:hAnsi="仿宋" w:eastAsia="仿宋" w:cs="仿宋_GB2312"/>
          <w:sz w:val="32"/>
          <w:szCs w:val="32"/>
        </w:rPr>
      </w:pPr>
      <w:r>
        <w:rPr>
          <w:rFonts w:hint="eastAsia" w:ascii="仿宋" w:hAnsi="仿宋" w:eastAsia="仿宋" w:cs="黑体"/>
          <w:sz w:val="32"/>
          <w:szCs w:val="32"/>
        </w:rPr>
        <w:t>十四、机关事业单位基本养老保险缴费支出：</w:t>
      </w:r>
      <w:r>
        <w:rPr>
          <w:rFonts w:hint="eastAsia" w:ascii="仿宋" w:hAnsi="仿宋" w:eastAsia="仿宋" w:cs="仿宋_GB2312"/>
          <w:sz w:val="32"/>
          <w:szCs w:val="32"/>
        </w:rPr>
        <w:t>指事业单位实施养老保险制度由单位缴纳的基本养老保险费支出。</w:t>
      </w:r>
    </w:p>
    <w:p>
      <w:pPr>
        <w:wordWrap/>
        <w:adjustRightInd/>
        <w:snapToGrid/>
        <w:spacing w:line="500" w:lineRule="exact"/>
        <w:ind w:firstLine="642"/>
        <w:textAlignment w:val="auto"/>
        <w:rPr>
          <w:rFonts w:ascii="仿宋" w:hAnsi="仿宋" w:eastAsia="仿宋" w:cs="黑体"/>
          <w:sz w:val="32"/>
          <w:szCs w:val="32"/>
        </w:rPr>
      </w:pPr>
      <w:r>
        <w:rPr>
          <w:rFonts w:hint="eastAsia" w:ascii="仿宋" w:hAnsi="仿宋" w:eastAsia="仿宋" w:cs="黑体"/>
          <w:sz w:val="32"/>
          <w:szCs w:val="32"/>
        </w:rPr>
        <w:t>十五、卫生健康支出：</w:t>
      </w:r>
      <w:r>
        <w:rPr>
          <w:rFonts w:hint="eastAsia" w:ascii="仿宋" w:hAnsi="仿宋" w:eastAsia="仿宋" w:cs="仿宋_GB2312"/>
          <w:sz w:val="32"/>
          <w:szCs w:val="32"/>
        </w:rPr>
        <w:t>反映单位卫生健康方面的支出。</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cs="黑体"/>
          <w:sz w:val="32"/>
          <w:szCs w:val="32"/>
        </w:rPr>
        <w:t>十六、行政事业单位医疗：</w:t>
      </w:r>
      <w:r>
        <w:rPr>
          <w:rFonts w:hint="eastAsia" w:ascii="仿宋" w:hAnsi="仿宋" w:eastAsia="仿宋" w:cs="仿宋_GB2312"/>
          <w:sz w:val="32"/>
          <w:szCs w:val="32"/>
        </w:rPr>
        <w:t>反映行政事业单位医疗方面的支出。</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cs="黑体"/>
          <w:sz w:val="32"/>
          <w:szCs w:val="32"/>
        </w:rPr>
        <w:t>十七、事业单位医疗：</w:t>
      </w:r>
      <w:r>
        <w:rPr>
          <w:rFonts w:hint="eastAsia" w:ascii="仿宋" w:hAnsi="仿宋" w:eastAsia="仿宋" w:cs="仿宋_GB2312"/>
          <w:sz w:val="32"/>
          <w:szCs w:val="32"/>
        </w:rPr>
        <w:t>反映财政部门安排的事业单位基本医疗保险缴费经费的支出。</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cs="黑体"/>
          <w:sz w:val="32"/>
          <w:szCs w:val="32"/>
        </w:rPr>
        <w:t>十八、公务员医疗补助：</w:t>
      </w:r>
      <w:r>
        <w:rPr>
          <w:rFonts w:hint="eastAsia" w:ascii="仿宋" w:hAnsi="仿宋" w:eastAsia="仿宋" w:cs="仿宋_GB2312"/>
          <w:sz w:val="32"/>
          <w:szCs w:val="32"/>
        </w:rPr>
        <w:t>反映财政部门安排的公务员医疗补助经费。</w:t>
      </w:r>
    </w:p>
    <w:p>
      <w:pPr>
        <w:wordWrap/>
        <w:adjustRightInd/>
        <w:snapToGrid/>
        <w:spacing w:line="500" w:lineRule="exact"/>
        <w:ind w:firstLine="642"/>
        <w:textAlignment w:val="auto"/>
        <w:rPr>
          <w:rFonts w:ascii="仿宋" w:hAnsi="仿宋" w:eastAsia="仿宋"/>
          <w:sz w:val="32"/>
          <w:szCs w:val="32"/>
        </w:rPr>
      </w:pPr>
      <w:r>
        <w:rPr>
          <w:rFonts w:hint="eastAsia" w:ascii="仿宋" w:hAnsi="仿宋" w:eastAsia="仿宋" w:cs="黑体"/>
          <w:sz w:val="32"/>
          <w:szCs w:val="32"/>
        </w:rPr>
        <w:t>十九、其他行政事业单位医疗支出：</w:t>
      </w:r>
      <w:r>
        <w:rPr>
          <w:rFonts w:hint="eastAsia" w:ascii="仿宋" w:hAnsi="仿宋" w:eastAsia="仿宋" w:cs="仿宋_GB2312"/>
          <w:sz w:val="32"/>
          <w:szCs w:val="32"/>
        </w:rPr>
        <w:t>反映除单位医疗和公务员医疗以外的其他用于行政事业单位医疗方面的支出。</w:t>
      </w:r>
    </w:p>
    <w:p>
      <w:pPr>
        <w:widowControl/>
        <w:spacing w:line="560" w:lineRule="exact"/>
        <w:jc w:val="left"/>
        <w:rPr>
          <w:rFonts w:ascii="仿宋" w:hAnsi="仿宋" w:eastAsia="仿宋" w:cs="宋体"/>
          <w:kern w:val="0"/>
          <w:sz w:val="32"/>
          <w:szCs w:val="32"/>
        </w:rPr>
      </w:pPr>
    </w:p>
    <w:p>
      <w:pPr>
        <w:widowControl/>
        <w:spacing w:line="560" w:lineRule="exact"/>
        <w:jc w:val="left"/>
        <w:rPr>
          <w:rFonts w:ascii="仿宋" w:hAnsi="仿宋" w:eastAsia="仿宋" w:cs="宋体"/>
          <w:kern w:val="0"/>
          <w:sz w:val="32"/>
          <w:szCs w:val="32"/>
        </w:rPr>
      </w:pPr>
    </w:p>
    <w:p>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                                昌吉州第五中学</w:t>
      </w:r>
    </w:p>
    <w:p>
      <w:pPr>
        <w:widowControl/>
        <w:spacing w:line="560" w:lineRule="exact"/>
        <w:jc w:val="left"/>
        <w:rPr>
          <w:rFonts w:ascii="仿宋" w:hAnsi="仿宋" w:eastAsia="仿宋"/>
        </w:rPr>
      </w:pPr>
      <w:r>
        <w:rPr>
          <w:rFonts w:hint="eastAsia" w:ascii="仿宋" w:hAnsi="仿宋" w:eastAsia="仿宋" w:cs="宋体"/>
          <w:kern w:val="0"/>
          <w:sz w:val="32"/>
          <w:szCs w:val="32"/>
        </w:rPr>
        <w:t xml:space="preserve">                                2021</w:t>
      </w:r>
      <w:r>
        <w:rPr>
          <w:rFonts w:ascii="仿宋" w:hAnsi="仿宋" w:eastAsia="仿宋" w:cs="宋体"/>
          <w:kern w:val="0"/>
          <w:sz w:val="32"/>
          <w:szCs w:val="32"/>
        </w:rPr>
        <w:t>年</w:t>
      </w:r>
      <w:r>
        <w:rPr>
          <w:rFonts w:hint="eastAsia" w:ascii="仿宋" w:hAnsi="仿宋" w:eastAsia="仿宋" w:cs="宋体"/>
          <w:kern w:val="0"/>
          <w:sz w:val="32"/>
          <w:szCs w:val="32"/>
        </w:rPr>
        <w:t>2</w:t>
      </w:r>
      <w:r>
        <w:rPr>
          <w:rFonts w:ascii="仿宋" w:hAnsi="仿宋" w:eastAsia="仿宋" w:cs="宋体"/>
          <w:kern w:val="0"/>
          <w:sz w:val="32"/>
          <w:szCs w:val="32"/>
        </w:rPr>
        <w:t>月</w:t>
      </w:r>
      <w:r>
        <w:rPr>
          <w:rFonts w:hint="eastAsia" w:ascii="仿宋" w:hAnsi="仿宋" w:eastAsia="仿宋" w:cs="宋体"/>
          <w:kern w:val="0"/>
          <w:sz w:val="32"/>
          <w:szCs w:val="32"/>
        </w:rPr>
        <w:t>2</w:t>
      </w:r>
      <w:r>
        <w:rPr>
          <w:rFonts w:ascii="仿宋" w:hAnsi="仿宋" w:eastAsia="仿宋" w:cs="宋体"/>
          <w:kern w:val="0"/>
          <w:sz w:val="32"/>
          <w:szCs w:val="32"/>
        </w:rPr>
        <w:t>日</w:t>
      </w:r>
    </w:p>
    <w:sectPr>
      <w:footerReference r:id="rId5" w:type="default"/>
      <w:pgSz w:w="11906" w:h="16838"/>
      <w:pgMar w:top="1440" w:right="1800" w:bottom="1440" w:left="1800" w:header="851" w:footer="992" w:gutter="0"/>
      <w:pgNumType w:start="1"/>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tyle>
  <w:style w:type="character" w:customStyle="1" w:styleId="2">
    <w:name w:val="批注框文本 Char"/>
    <w:link w:val="3"/>
    <w:semiHidden/>
    <w:rPr>
      <w:sz w:val="18"/>
      <w:szCs w:val="18"/>
    </w:rPr>
  </w:style>
  <w:style w:type="paragraph" w:customStyle="1" w:styleId="3">
    <w:name w:val="批注框文本1"/>
    <w:basedOn w:val="1"/>
    <w:link w:val="2"/>
    <w:rPr>
      <w:sz w:val="18"/>
      <w:szCs w:val="18"/>
    </w:rPr>
  </w:style>
  <w:style w:type="paragraph" w:styleId="4">
    <w:name w:val="footer"/>
    <w:basedOn w:val="1"/>
    <w:link w:val="5"/>
    <w:pPr>
      <w:tabs>
        <w:tab w:val="center" w:pos="4153"/>
        <w:tab w:val="right" w:pos="8306"/>
      </w:tabs>
      <w:snapToGrid w:val="0"/>
      <w:jc w:val="left"/>
    </w:pPr>
    <w:rPr>
      <w:rFonts w:eastAsia="黑体"/>
      <w:sz w:val="18"/>
      <w:szCs w:val="18"/>
    </w:rPr>
  </w:style>
  <w:style w:type="character" w:customStyle="1" w:styleId="5">
    <w:name w:val="页脚 Char"/>
    <w:link w:val="4"/>
    <w:semiHidden/>
    <w:rPr>
      <w:rFonts w:eastAsia="黑体"/>
      <w:sz w:val="18"/>
      <w:szCs w:val="18"/>
    </w:rPr>
  </w:style>
  <w:style w:type="paragraph" w:styleId="6">
    <w:name w:val="header"/>
    <w:basedOn w:val="1"/>
    <w:link w:val="7"/>
    <w:pPr>
      <w:pBdr>
        <w:bottom w:val="single" w:color="auto" w:sz="6" w:space="1"/>
      </w:pBdr>
      <w:tabs>
        <w:tab w:val="center" w:pos="4153"/>
        <w:tab w:val="right" w:pos="8306"/>
      </w:tabs>
      <w:snapToGrid w:val="0"/>
      <w:jc w:val="center"/>
    </w:pPr>
    <w:rPr>
      <w:sz w:val="18"/>
      <w:szCs w:val="18"/>
    </w:rPr>
  </w:style>
  <w:style w:type="character" w:customStyle="1" w:styleId="7">
    <w:name w:val="页眉 Char"/>
    <w:link w:val="6"/>
    <w:semiHidden/>
    <w:rPr>
      <w:sz w:val="18"/>
      <w:szCs w:val="18"/>
    </w:rPr>
  </w:style>
  <w:style w:type="character" w:customStyle="1" w:styleId="8">
    <w:name w:val="正文文本缩进 3 Char"/>
    <w:link w:val="9"/>
    <w:semiHidden/>
    <w:rPr>
      <w:rFonts w:eastAsia="仿宋_GB2312"/>
      <w:sz w:val="32"/>
      <w:szCs w:val="24"/>
    </w:rPr>
  </w:style>
  <w:style w:type="paragraph" w:customStyle="1" w:styleId="9">
    <w:name w:val="Body Text Indent 3"/>
    <w:basedOn w:val="1"/>
    <w:link w:val="8"/>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1">
    <w:name w:val="页眉 Char1"/>
    <w:basedOn w:val="10"/>
    <w:rPr>
      <w:rFonts w:ascii="Times New Roman" w:hAnsi="Times New Roman" w:eastAsia="宋体" w:cs="Times New Roman"/>
      <w:sz w:val="18"/>
      <w:szCs w:val="18"/>
    </w:rPr>
  </w:style>
  <w:style w:type="character" w:customStyle="1" w:styleId="12">
    <w:name w:val="正文文本缩进 3 Char1"/>
    <w:basedOn w:val="10"/>
    <w:rPr>
      <w:rFonts w:ascii="Times New Roman" w:hAnsi="Times New Roman" w:eastAsia="宋体" w:cs="Times New Roman"/>
      <w:sz w:val="16"/>
      <w:szCs w:val="16"/>
    </w:rPr>
  </w:style>
  <w:style w:type="character" w:customStyle="1" w:styleId="13">
    <w:name w:val="页脚 Char1"/>
    <w:basedOn w:val="10"/>
    <w:rPr>
      <w:rFonts w:ascii="Times New Roman" w:hAnsi="Times New Roman" w:eastAsia="宋体" w:cs="Times New Roman"/>
      <w:sz w:val="18"/>
      <w:szCs w:val="18"/>
    </w:rPr>
  </w:style>
  <w:style w:type="character" w:customStyle="1" w:styleId="14">
    <w:name w:val="批注框文本 Char1"/>
    <w:basedOn w:val="1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6357</Words>
  <Characters>7853</Characters>
  <Lines>72</Lines>
  <Paragraphs>20</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2021-02-08T02:26:00Z</dcterms:created>
  <dc:creator>闫超</dc:creator>
  <cp:lastPrinted>2022-04-02T17:55:00Z</cp:lastPrinted>
  <dcterms:modified xsi:type="dcterms:W3CDTF">2022-04-06T18:20:53Z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53076019179344AC9B7C7631A46F4C0F</vt:lpwstr>
  </property>
</Properties>
</file>