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rPr>
        <w:t>昌吉州电影发行放映总站2021年</w:t>
      </w:r>
      <w:r>
        <w:rPr>
          <w:rFonts w:hint="eastAsia" w:ascii="方正小标宋_GBK" w:hAnsi="宋体" w:eastAsia="方正小标宋_GBK"/>
          <w:kern w:val="0"/>
          <w:sz w:val="44"/>
          <w:szCs w:val="44"/>
          <w:lang w:eastAsia="zh-CN"/>
        </w:rPr>
        <w:t>单位</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p>
    <w:p>
      <w:pPr>
        <w:widowControl/>
        <w:spacing w:line="480" w:lineRule="exact"/>
        <w:jc w:val="center"/>
        <w:outlineLvl w:val="1"/>
        <w:rPr>
          <w:rFonts w:hint="eastAsia" w:ascii="黑体" w:hAnsi="黑体" w:eastAsia="黑体"/>
          <w:kern w:val="0"/>
          <w:sz w:val="36"/>
          <w:szCs w:val="32"/>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昌吉州电影发行放映总站</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一、昌吉州电影发行放映总站收支总体情况表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二、昌吉州电影发行放映总站收入总体情况表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三、昌吉州电影发行放映总站支出总体情况表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一、关于昌吉州电影发行放映总站2021年收支预算情况的总体说明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二、关于昌吉州电影发行放映总站2021年收入预算情况说明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三、关于昌吉州电影发行放映总站2021年支出预算情况说明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昌吉州电影发行放映总站2021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五、关于昌吉州电影发行放映总站2021年一般公共预算当年拨款情况说明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六、关于昌吉州电影发行放映总站2021年一般公共预算基本支出情况说明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七、关于昌吉州电影发行放映总站2021年一般公共预算项目支出情况说明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八、关于昌吉州电影发行放映总站2021年一般公共预算“三公”经费预算情况说明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九、关于昌吉州电影发行放映总站2021年政府性基金预算拨款情况说明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560" w:lineRule="exact"/>
        <w:ind w:firstLine="960" w:firstLineChars="300"/>
        <w:outlineLvl w:val="1"/>
        <w:rPr>
          <w:rFonts w:ascii="黑体" w:hAnsi="黑体" w:eastAsia="黑体"/>
          <w:kern w:val="0"/>
          <w:sz w:val="32"/>
          <w:szCs w:val="32"/>
        </w:rPr>
      </w:pPr>
      <w:r>
        <w:rPr>
          <w:rFonts w:hint="eastAsia" w:ascii="黑体" w:hAnsi="黑体" w:eastAsia="黑体"/>
          <w:kern w:val="0"/>
          <w:sz w:val="32"/>
          <w:szCs w:val="32"/>
        </w:rPr>
        <w:t>第一部分   昌吉州电影发行放映总站单位概况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kern w:val="0"/>
          <w:sz w:val="32"/>
          <w:szCs w:val="32"/>
        </w:rPr>
        <w:t>昌吉州电影发行放映总站主要肩负着昌吉州五县二市农村电影放映管理、电影放映技术培训、电影放映设施维修以及城市数字影院建设指导等具体工作，庭州影院为州电影发行放映总站直属影院。</w:t>
      </w:r>
      <w:r>
        <w:rPr>
          <w:rFonts w:hint="eastAsia"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w:t>
      </w:r>
      <w:r>
        <w:rPr>
          <w:rFonts w:hint="eastAsia" w:ascii="仿宋_GB2312" w:hAnsi="宋体" w:eastAsia="仿宋_GB2312"/>
          <w:kern w:val="0"/>
          <w:sz w:val="32"/>
          <w:szCs w:val="32"/>
        </w:rPr>
        <w:t>电影发行放映总站</w:t>
      </w:r>
      <w:r>
        <w:rPr>
          <w:rFonts w:hint="eastAsia" w:ascii="仿宋_GB2312" w:hAnsi="黑体" w:eastAsia="仿宋_GB2312" w:cs="宋体"/>
          <w:bCs/>
          <w:kern w:val="0"/>
          <w:sz w:val="32"/>
          <w:szCs w:val="32"/>
        </w:rPr>
        <w:t>无下属预算单位，下设4个处室，分别是：</w:t>
      </w:r>
      <w:r>
        <w:rPr>
          <w:rFonts w:hint="eastAsia" w:ascii="仿宋_GB2312" w:hAnsi="宋体" w:eastAsia="仿宋_GB2312"/>
          <w:kern w:val="0"/>
          <w:sz w:val="32"/>
          <w:szCs w:val="32"/>
        </w:rPr>
        <w:t>党支部、发行业务部、庭州影院、产业部</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kern w:val="0"/>
          <w:sz w:val="32"/>
          <w:szCs w:val="32"/>
        </w:rPr>
        <w:t>电影发行放映总站</w:t>
      </w:r>
      <w:r>
        <w:rPr>
          <w:rFonts w:hint="eastAsia" w:ascii="仿宋_GB2312" w:hAnsi="宋体" w:eastAsia="仿宋_GB2312" w:cs="宋体"/>
          <w:kern w:val="0"/>
          <w:sz w:val="32"/>
          <w:szCs w:val="32"/>
        </w:rPr>
        <w:t>编制数9，实有人数</w:t>
      </w:r>
      <w:r>
        <w:rPr>
          <w:rFonts w:hint="eastAsia" w:ascii="仿宋_GB2312" w:hAnsi="宋体" w:eastAsia="仿宋_GB2312" w:cs="宋体"/>
          <w:kern w:val="0"/>
          <w:sz w:val="32"/>
          <w:szCs w:val="32"/>
          <w:highlight w:val="none"/>
          <w:lang w:val="en-US" w:eastAsia="zh-CN"/>
        </w:rPr>
        <w:t>34</w:t>
      </w:r>
      <w:r>
        <w:rPr>
          <w:rFonts w:hint="eastAsia" w:ascii="仿宋_GB2312" w:hAnsi="宋体" w:eastAsia="仿宋_GB2312" w:cs="宋体"/>
          <w:kern w:val="0"/>
          <w:sz w:val="32"/>
          <w:szCs w:val="32"/>
        </w:rPr>
        <w:t>人，其中：在职12人，增加1人； 退休22人，增加0人；离休0人，增加0人。</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：昌吉州电影发行放映总站                             单位：万元</w:t>
      </w:r>
    </w:p>
    <w:tbl>
      <w:tblPr>
        <w:tblStyle w:val="7"/>
        <w:tblW w:w="8662" w:type="dxa"/>
        <w:tblInd w:w="93" w:type="dxa"/>
        <w:tblLayout w:type="autofit"/>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178.05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178.05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126.62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22.38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29.05</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178.05</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178.05</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：昌吉州电影发行放映总站                                 单位：万元</w:t>
      </w:r>
    </w:p>
    <w:tbl>
      <w:tblPr>
        <w:tblStyle w:val="7"/>
        <w:tblW w:w="10425"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gridCol w:w="684"/>
      </w:tblGrid>
      <w:tr>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c>
          <w:tcPr>
            <w:tcW w:w="684"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18"/>
                <w:szCs w:val="18"/>
              </w:rPr>
            </w:pPr>
          </w:p>
        </w:tc>
      </w:tr>
      <w:tr>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207</w:t>
            </w:r>
          </w:p>
        </w:tc>
        <w:tc>
          <w:tcPr>
            <w:tcW w:w="42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文化旅游体育与传媒支出</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126.62</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126.62</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207</w:t>
            </w:r>
          </w:p>
        </w:tc>
        <w:tc>
          <w:tcPr>
            <w:tcW w:w="42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06</w:t>
            </w: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新闻出版电影</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126.62</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126.62</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207</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06</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07</w:t>
            </w:r>
          </w:p>
        </w:tc>
        <w:tc>
          <w:tcPr>
            <w:tcW w:w="1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电影</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126.62</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126.62</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highlight w:val="none"/>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社会保障和就业支出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22.38</w:t>
            </w: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22.38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05</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行政事业单位养老支出</w:t>
            </w:r>
          </w:p>
        </w:tc>
        <w:tc>
          <w:tcPr>
            <w:tcW w:w="101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22.38</w:t>
            </w: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22.38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机关事业单位基本养老保险缴费支出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14.92</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14.92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06</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机关事业单位职业年金缴费支出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7.46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7.46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卫生健康支出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29.05</w:t>
            </w: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29.05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行政事业单位医疗</w:t>
            </w:r>
          </w:p>
        </w:tc>
        <w:tc>
          <w:tcPr>
            <w:tcW w:w="101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29.05</w:t>
            </w: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29.05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事业单位医疗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21.58</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21.58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7.04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7.04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其他行政事业单位医疗支出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0.43</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0.43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178.05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178.05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：昌吉州电影发行放映总站                                 单位：万元</w:t>
      </w:r>
    </w:p>
    <w:tbl>
      <w:tblPr>
        <w:tblStyle w:val="7"/>
        <w:tblW w:w="9420" w:type="dxa"/>
        <w:tblInd w:w="-240" w:type="dxa"/>
        <w:tblLayout w:type="autofit"/>
        <w:tblCellMar>
          <w:top w:w="0" w:type="dxa"/>
          <w:left w:w="108" w:type="dxa"/>
          <w:bottom w:w="0" w:type="dxa"/>
          <w:right w:w="108" w:type="dxa"/>
        </w:tblCellMar>
      </w:tblPr>
      <w:tblGrid>
        <w:gridCol w:w="487"/>
        <w:gridCol w:w="400"/>
        <w:gridCol w:w="400"/>
        <w:gridCol w:w="2572"/>
        <w:gridCol w:w="1839"/>
        <w:gridCol w:w="1840"/>
        <w:gridCol w:w="1882"/>
      </w:tblGrid>
      <w:tr>
        <w:tblPrEx>
          <w:tblCellMar>
            <w:top w:w="0" w:type="dxa"/>
            <w:left w:w="108" w:type="dxa"/>
            <w:bottom w:w="0" w:type="dxa"/>
            <w:right w:w="108" w:type="dxa"/>
          </w:tblCellMar>
        </w:tblPrEx>
        <w:trPr>
          <w:trHeight w:val="345" w:hRule="atLeast"/>
        </w:trPr>
        <w:tc>
          <w:tcPr>
            <w:tcW w:w="3859"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1"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CellMar>
            <w:top w:w="0" w:type="dxa"/>
            <w:left w:w="108" w:type="dxa"/>
            <w:bottom w:w="0" w:type="dxa"/>
            <w:right w:w="108" w:type="dxa"/>
          </w:tblCellMar>
        </w:tblPrEx>
        <w:trPr>
          <w:trHeight w:val="480" w:hRule="atLeast"/>
        </w:trPr>
        <w:tc>
          <w:tcPr>
            <w:tcW w:w="1287"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3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4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CellMar>
            <w:top w:w="0" w:type="dxa"/>
            <w:left w:w="108" w:type="dxa"/>
            <w:bottom w:w="0" w:type="dxa"/>
            <w:right w:w="108" w:type="dxa"/>
          </w:tblCellMar>
        </w:tblPrEx>
        <w:trPr>
          <w:trHeight w:val="270"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4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8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207</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7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文化旅游体育与传媒支出</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126.62</w:t>
            </w:r>
          </w:p>
        </w:tc>
        <w:tc>
          <w:tcPr>
            <w:tcW w:w="184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rPr>
              <w:t>120.62</w:t>
            </w:r>
          </w:p>
        </w:tc>
        <w:tc>
          <w:tcPr>
            <w:tcW w:w="1882"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w:t>
            </w: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207</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06</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7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新闻出版电影</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126.62</w:t>
            </w:r>
          </w:p>
        </w:tc>
        <w:tc>
          <w:tcPr>
            <w:tcW w:w="184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rPr>
              <w:t>120.62</w:t>
            </w:r>
          </w:p>
        </w:tc>
        <w:tc>
          <w:tcPr>
            <w:tcW w:w="1882"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w:t>
            </w: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07</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电影</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126.62</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120.62</w:t>
            </w:r>
          </w:p>
        </w:tc>
        <w:tc>
          <w:tcPr>
            <w:tcW w:w="1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w:t>
            </w: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7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社会保障和就业支出</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22.38</w:t>
            </w:r>
          </w:p>
        </w:tc>
        <w:tc>
          <w:tcPr>
            <w:tcW w:w="184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22.38</w:t>
            </w:r>
          </w:p>
        </w:tc>
        <w:tc>
          <w:tcPr>
            <w:tcW w:w="1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05</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7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行政事业单位养老支出</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22.38</w:t>
            </w:r>
          </w:p>
        </w:tc>
        <w:tc>
          <w:tcPr>
            <w:tcW w:w="184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22.38</w:t>
            </w:r>
          </w:p>
        </w:tc>
        <w:tc>
          <w:tcPr>
            <w:tcW w:w="1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14.92</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14.92</w:t>
            </w:r>
          </w:p>
        </w:tc>
        <w:tc>
          <w:tcPr>
            <w:tcW w:w="1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机关事业单位职业年金缴费支出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7.46</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7.46</w:t>
            </w:r>
          </w:p>
        </w:tc>
        <w:tc>
          <w:tcPr>
            <w:tcW w:w="1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7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卫生健康支出</w:t>
            </w:r>
          </w:p>
        </w:tc>
        <w:tc>
          <w:tcPr>
            <w:tcW w:w="1839"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29.05</w:t>
            </w:r>
          </w:p>
        </w:tc>
        <w:tc>
          <w:tcPr>
            <w:tcW w:w="184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29.05</w:t>
            </w:r>
          </w:p>
        </w:tc>
        <w:tc>
          <w:tcPr>
            <w:tcW w:w="1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7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行政事业单位医疗</w:t>
            </w:r>
          </w:p>
        </w:tc>
        <w:tc>
          <w:tcPr>
            <w:tcW w:w="1839"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29.05</w:t>
            </w:r>
          </w:p>
        </w:tc>
        <w:tc>
          <w:tcPr>
            <w:tcW w:w="184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29.05</w:t>
            </w:r>
          </w:p>
        </w:tc>
        <w:tc>
          <w:tcPr>
            <w:tcW w:w="1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21.58</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21.58</w:t>
            </w:r>
          </w:p>
        </w:tc>
        <w:tc>
          <w:tcPr>
            <w:tcW w:w="1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7.04</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7.04</w:t>
            </w:r>
          </w:p>
        </w:tc>
        <w:tc>
          <w:tcPr>
            <w:tcW w:w="1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0.43</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0.43</w:t>
            </w:r>
          </w:p>
        </w:tc>
        <w:tc>
          <w:tcPr>
            <w:tcW w:w="1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178.05</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172.05</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r>
    </w:tbl>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w:t>
      </w:r>
      <w:r>
        <w:rPr>
          <w:rFonts w:hint="eastAsia" w:ascii="仿宋_GB2312" w:hAnsi="宋体" w:eastAsia="仿宋_GB2312"/>
          <w:kern w:val="0"/>
          <w:szCs w:val="21"/>
          <w:lang w:eastAsia="zh-CN"/>
        </w:rPr>
        <w:t>单位</w:t>
      </w:r>
      <w:r>
        <w:rPr>
          <w:rFonts w:hint="eastAsia" w:ascii="仿宋_GB2312" w:hAnsi="宋体" w:eastAsia="仿宋_GB2312"/>
          <w:kern w:val="0"/>
          <w:szCs w:val="21"/>
        </w:rPr>
        <w:t>：昌吉州</w:t>
      </w:r>
      <w:r>
        <w:rPr>
          <w:rFonts w:hint="eastAsia" w:ascii="仿宋_GB2312" w:hAnsi="宋体" w:eastAsia="仿宋_GB2312"/>
          <w:kern w:val="0"/>
          <w:sz w:val="24"/>
        </w:rPr>
        <w:t>电影发行放映总站</w:t>
      </w:r>
      <w:r>
        <w:rPr>
          <w:rFonts w:hint="eastAsia" w:ascii="仿宋_GB2312" w:hAnsi="宋体" w:eastAsia="仿宋_GB2312"/>
          <w:kern w:val="0"/>
          <w:szCs w:val="21"/>
        </w:rPr>
        <w:t xml:space="preserve">                                         单位：万元</w:t>
      </w:r>
    </w:p>
    <w:tbl>
      <w:tblPr>
        <w:tblStyle w:val="7"/>
        <w:tblW w:w="10583" w:type="dxa"/>
        <w:tblInd w:w="-240" w:type="dxa"/>
        <w:tblLayout w:type="autofit"/>
        <w:tblCellMar>
          <w:top w:w="0" w:type="dxa"/>
          <w:left w:w="108" w:type="dxa"/>
          <w:bottom w:w="0" w:type="dxa"/>
          <w:right w:w="108" w:type="dxa"/>
        </w:tblCellMar>
      </w:tblPr>
      <w:tblGrid>
        <w:gridCol w:w="1908"/>
        <w:gridCol w:w="1134"/>
        <w:gridCol w:w="2388"/>
        <w:gridCol w:w="900"/>
        <w:gridCol w:w="964"/>
        <w:gridCol w:w="1021"/>
        <w:gridCol w:w="1134"/>
        <w:gridCol w:w="1134"/>
      </w:tblGrid>
      <w:tr>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178.05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178.05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126.62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126.62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22.38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22.38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29.05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29.05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178.05</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178.05</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178.05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autofit"/>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单位</w:t>
            </w:r>
            <w:r>
              <w:rPr>
                <w:rFonts w:hint="eastAsia" w:ascii="仿宋_GB2312" w:hAnsi="宋体" w:eastAsia="仿宋_GB2312" w:cs="宋体"/>
                <w:color w:val="000000"/>
                <w:kern w:val="0"/>
                <w:sz w:val="24"/>
              </w:rPr>
              <w:t>：昌吉州电影发行放映总站</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207</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文化旅游体育与传媒支出</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126.62</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120.62</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6</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207</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06</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新闻出版电影</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126.62</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120.62</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6</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07</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电影</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126.62</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120.62</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b/>
                <w:color w:val="000000"/>
                <w:kern w:val="0"/>
                <w:sz w:val="18"/>
                <w:szCs w:val="18"/>
              </w:rPr>
            </w:pPr>
            <w:r>
              <w:rPr>
                <w:rFonts w:hint="eastAsia" w:ascii="仿宋_GB2312" w:hAnsi="宋体" w:eastAsia="仿宋_GB2312" w:cs="宋体"/>
                <w:bCs/>
                <w:color w:val="000000"/>
                <w:kern w:val="0"/>
                <w:sz w:val="18"/>
                <w:szCs w:val="18"/>
              </w:rPr>
              <w:t>6</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社会保障和就业支出</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22.38</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22.38</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05</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22.38</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22.38</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14.92</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14.92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机关事业单位职业年金缴费支出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7.46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7.46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卫生健康支出</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29.05</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29.05</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行政事业单位医疗</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29.05</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29.05</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21.58</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7.04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0.43</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0.43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178.05</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172.05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autofit"/>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单位</w:t>
            </w:r>
            <w:r>
              <w:rPr>
                <w:rFonts w:hint="eastAsia" w:ascii="仿宋_GB2312" w:hAnsi="宋体" w:eastAsia="仿宋_GB2312" w:cs="宋体"/>
                <w:color w:val="000000"/>
                <w:kern w:val="0"/>
                <w:sz w:val="24"/>
              </w:rPr>
              <w:t>：昌吉州电影发行放映总站</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工资福利支出</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164.62</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164.62</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基本工资</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58.44</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58.44</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津贴补贴</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奖金</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4.02</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4.02</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伙食补助费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7.56</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7.56</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07</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基础性绩效工资</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16.02</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16.02</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07</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奖励性绩效工资</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14.76</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14.76</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住房公积金</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11.19</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11.19</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14.92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14.92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职业年金缴费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7.46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7.46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21.58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21.58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7.04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4.31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4.31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lang w:eastAsia="zh-CN"/>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3.12</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3.12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172.05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167.47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4.58</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58" w:type="dxa"/>
        <w:tblInd w:w="-360" w:type="dxa"/>
        <w:tblLayout w:type="autofit"/>
        <w:tblCellMar>
          <w:top w:w="0" w:type="dxa"/>
          <w:left w:w="108" w:type="dxa"/>
          <w:bottom w:w="0" w:type="dxa"/>
          <w:right w:w="108" w:type="dxa"/>
        </w:tblCellMar>
      </w:tblPr>
      <w:tblGrid>
        <w:gridCol w:w="10"/>
        <w:gridCol w:w="476"/>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10" w:type="dxa"/>
          <w:wAfter w:w="8" w:type="dxa"/>
          <w:trHeight w:val="375" w:hRule="atLeast"/>
        </w:trPr>
        <w:tc>
          <w:tcPr>
            <w:tcW w:w="9540"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10" w:type="dxa"/>
          <w:wAfter w:w="8" w:type="dxa"/>
          <w:trHeight w:val="405" w:hRule="atLeast"/>
        </w:trPr>
        <w:tc>
          <w:tcPr>
            <w:tcW w:w="4437"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单位</w:t>
            </w:r>
            <w:r>
              <w:rPr>
                <w:rFonts w:hint="eastAsia" w:ascii="仿宋_GB2312" w:hAnsi="宋体" w:eastAsia="仿宋_GB2312" w:cs="宋体"/>
                <w:color w:val="000000"/>
                <w:kern w:val="0"/>
                <w:sz w:val="24"/>
              </w:rPr>
              <w:t>：昌吉州电影发行放映总站</w:t>
            </w:r>
          </w:p>
        </w:tc>
        <w:tc>
          <w:tcPr>
            <w:tcW w:w="99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0"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207</w:t>
            </w:r>
          </w:p>
        </w:tc>
        <w:tc>
          <w:tcPr>
            <w:tcW w:w="397" w:type="dxa"/>
            <w:vAlign w:val="center"/>
          </w:tcPr>
          <w:p>
            <w:pPr>
              <w:widowControl/>
              <w:jc w:val="center"/>
              <w:outlineLvl w:val="1"/>
              <w:rPr>
                <w:rFonts w:hint="eastAsia" w:ascii="仿宋_GB2312" w:hAnsi="宋体" w:eastAsia="仿宋_GB2312"/>
                <w:kern w:val="0"/>
                <w:sz w:val="18"/>
                <w:szCs w:val="18"/>
                <w:highlight w:val="none"/>
              </w:rPr>
            </w:pPr>
          </w:p>
        </w:tc>
        <w:tc>
          <w:tcPr>
            <w:tcW w:w="397" w:type="dxa"/>
            <w:vAlign w:val="center"/>
          </w:tcPr>
          <w:p>
            <w:pPr>
              <w:widowControl/>
              <w:jc w:val="center"/>
              <w:outlineLvl w:val="1"/>
              <w:rPr>
                <w:rFonts w:hint="eastAsia" w:ascii="仿宋_GB2312" w:hAnsi="宋体" w:eastAsia="仿宋_GB2312"/>
                <w:kern w:val="0"/>
                <w:sz w:val="18"/>
                <w:szCs w:val="18"/>
                <w:highlight w:val="none"/>
              </w:rPr>
            </w:pPr>
          </w:p>
        </w:tc>
        <w:tc>
          <w:tcPr>
            <w:tcW w:w="851" w:type="dxa"/>
            <w:vAlign w:val="center"/>
          </w:tcPr>
          <w:p>
            <w:pPr>
              <w:widowControl/>
              <w:jc w:val="center"/>
              <w:outlineLvl w:val="1"/>
              <w:rPr>
                <w:rFonts w:hint="eastAsia" w:ascii="仿宋_GB2312" w:hAnsi="宋体" w:eastAsia="仿宋_GB2312"/>
                <w:kern w:val="0"/>
                <w:sz w:val="18"/>
                <w:szCs w:val="18"/>
                <w:highlight w:val="none"/>
                <w:lang w:eastAsia="zh-CN"/>
              </w:rPr>
            </w:pPr>
            <w:r>
              <w:rPr>
                <w:rFonts w:hint="eastAsia" w:ascii="仿宋_GB2312" w:hAnsi="宋体" w:eastAsia="仿宋_GB2312"/>
                <w:kern w:val="0"/>
                <w:sz w:val="18"/>
                <w:szCs w:val="18"/>
                <w:highlight w:val="none"/>
                <w:lang w:eastAsia="zh-CN"/>
              </w:rPr>
              <w:t>文化旅游体育与传媒支出</w:t>
            </w:r>
          </w:p>
        </w:tc>
        <w:tc>
          <w:tcPr>
            <w:tcW w:w="1456" w:type="dxa"/>
            <w:vAlign w:val="center"/>
          </w:tcPr>
          <w:p>
            <w:pPr>
              <w:widowControl/>
              <w:outlineLvl w:val="1"/>
              <w:rPr>
                <w:rFonts w:hint="eastAsia" w:ascii="仿宋_GB2312" w:hAnsi="宋体" w:eastAsia="仿宋_GB2312"/>
                <w:kern w:val="0"/>
                <w:sz w:val="18"/>
                <w:szCs w:val="18"/>
                <w:highlight w:val="none"/>
              </w:rPr>
            </w:pPr>
          </w:p>
        </w:tc>
        <w:tc>
          <w:tcPr>
            <w:tcW w:w="750" w:type="dxa"/>
            <w:vAlign w:val="center"/>
          </w:tcPr>
          <w:p>
            <w:pPr>
              <w:widowControl/>
              <w:jc w:val="center"/>
              <w:outlineLvl w:val="1"/>
              <w:rPr>
                <w:rFonts w:hint="eastAsia"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6</w:t>
            </w:r>
          </w:p>
        </w:tc>
        <w:tc>
          <w:tcPr>
            <w:tcW w:w="569" w:type="dxa"/>
            <w:gridSpan w:val="2"/>
            <w:vAlign w:val="center"/>
          </w:tcPr>
          <w:p>
            <w:pPr>
              <w:widowControl/>
              <w:jc w:val="center"/>
              <w:outlineLvl w:val="1"/>
              <w:rPr>
                <w:rFonts w:ascii="仿宋_GB2312" w:hAnsi="宋体" w:eastAsia="仿宋_GB2312"/>
                <w:kern w:val="0"/>
                <w:sz w:val="18"/>
                <w:szCs w:val="18"/>
                <w:highlight w:val="none"/>
              </w:rPr>
            </w:pPr>
          </w:p>
        </w:tc>
        <w:tc>
          <w:tcPr>
            <w:tcW w:w="536" w:type="dxa"/>
            <w:vAlign w:val="center"/>
          </w:tcPr>
          <w:p>
            <w:pPr>
              <w:widowControl/>
              <w:jc w:val="center"/>
              <w:outlineLvl w:val="1"/>
              <w:rPr>
                <w:rFonts w:hint="eastAsia"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6</w:t>
            </w:r>
          </w:p>
        </w:tc>
        <w:tc>
          <w:tcPr>
            <w:tcW w:w="652" w:type="dxa"/>
            <w:vAlign w:val="center"/>
          </w:tcPr>
          <w:p>
            <w:pPr>
              <w:widowControl/>
              <w:jc w:val="center"/>
              <w:outlineLvl w:val="1"/>
              <w:rPr>
                <w:rFonts w:ascii="仿宋_GB2312" w:hAnsi="宋体" w:eastAsia="仿宋_GB2312"/>
                <w:kern w:val="0"/>
                <w:sz w:val="18"/>
                <w:szCs w:val="18"/>
                <w:highlight w:val="none"/>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207</w:t>
            </w:r>
          </w:p>
        </w:tc>
        <w:tc>
          <w:tcPr>
            <w:tcW w:w="397" w:type="dxa"/>
            <w:vAlign w:val="center"/>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06</w:t>
            </w:r>
          </w:p>
        </w:tc>
        <w:tc>
          <w:tcPr>
            <w:tcW w:w="397" w:type="dxa"/>
            <w:vAlign w:val="center"/>
          </w:tcPr>
          <w:p>
            <w:pPr>
              <w:widowControl/>
              <w:jc w:val="center"/>
              <w:outlineLvl w:val="1"/>
              <w:rPr>
                <w:rFonts w:hint="eastAsia" w:ascii="仿宋_GB2312" w:hAnsi="宋体" w:eastAsia="仿宋_GB2312"/>
                <w:kern w:val="0"/>
                <w:sz w:val="18"/>
                <w:szCs w:val="18"/>
                <w:highlight w:val="none"/>
              </w:rPr>
            </w:pPr>
          </w:p>
        </w:tc>
        <w:tc>
          <w:tcPr>
            <w:tcW w:w="851" w:type="dxa"/>
            <w:vAlign w:val="center"/>
          </w:tcPr>
          <w:p>
            <w:pPr>
              <w:widowControl/>
              <w:jc w:val="center"/>
              <w:outlineLvl w:val="1"/>
              <w:rPr>
                <w:rFonts w:hint="eastAsia" w:ascii="仿宋_GB2312" w:hAnsi="宋体" w:eastAsia="仿宋_GB2312"/>
                <w:kern w:val="0"/>
                <w:sz w:val="18"/>
                <w:szCs w:val="18"/>
                <w:highlight w:val="none"/>
                <w:lang w:eastAsia="zh-CN"/>
              </w:rPr>
            </w:pPr>
            <w:r>
              <w:rPr>
                <w:rFonts w:hint="eastAsia" w:ascii="仿宋_GB2312" w:hAnsi="宋体" w:eastAsia="仿宋_GB2312"/>
                <w:kern w:val="0"/>
                <w:sz w:val="18"/>
                <w:szCs w:val="18"/>
                <w:highlight w:val="none"/>
                <w:lang w:eastAsia="zh-CN"/>
              </w:rPr>
              <w:t>新闻出版电影</w:t>
            </w:r>
          </w:p>
        </w:tc>
        <w:tc>
          <w:tcPr>
            <w:tcW w:w="1456" w:type="dxa"/>
            <w:vAlign w:val="center"/>
          </w:tcPr>
          <w:p>
            <w:pPr>
              <w:widowControl/>
              <w:outlineLvl w:val="1"/>
              <w:rPr>
                <w:rFonts w:hint="eastAsia" w:ascii="仿宋_GB2312" w:hAnsi="宋体" w:eastAsia="仿宋_GB2312"/>
                <w:kern w:val="0"/>
                <w:sz w:val="18"/>
                <w:szCs w:val="18"/>
                <w:highlight w:val="none"/>
              </w:rPr>
            </w:pPr>
          </w:p>
        </w:tc>
        <w:tc>
          <w:tcPr>
            <w:tcW w:w="750" w:type="dxa"/>
            <w:vAlign w:val="center"/>
          </w:tcPr>
          <w:p>
            <w:pPr>
              <w:widowControl/>
              <w:jc w:val="center"/>
              <w:outlineLvl w:val="1"/>
              <w:rPr>
                <w:rFonts w:hint="eastAsia"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6</w:t>
            </w:r>
          </w:p>
        </w:tc>
        <w:tc>
          <w:tcPr>
            <w:tcW w:w="569" w:type="dxa"/>
            <w:gridSpan w:val="2"/>
            <w:vAlign w:val="center"/>
          </w:tcPr>
          <w:p>
            <w:pPr>
              <w:widowControl/>
              <w:jc w:val="center"/>
              <w:outlineLvl w:val="1"/>
              <w:rPr>
                <w:rFonts w:ascii="仿宋_GB2312" w:hAnsi="宋体" w:eastAsia="仿宋_GB2312"/>
                <w:kern w:val="0"/>
                <w:sz w:val="18"/>
                <w:szCs w:val="18"/>
                <w:highlight w:val="none"/>
              </w:rPr>
            </w:pPr>
          </w:p>
        </w:tc>
        <w:tc>
          <w:tcPr>
            <w:tcW w:w="536" w:type="dxa"/>
            <w:vAlign w:val="center"/>
          </w:tcPr>
          <w:p>
            <w:pPr>
              <w:widowControl/>
              <w:jc w:val="center"/>
              <w:outlineLvl w:val="1"/>
              <w:rPr>
                <w:rFonts w:hint="eastAsia"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6</w:t>
            </w:r>
          </w:p>
        </w:tc>
        <w:tc>
          <w:tcPr>
            <w:tcW w:w="652" w:type="dxa"/>
            <w:vAlign w:val="center"/>
          </w:tcPr>
          <w:p>
            <w:pPr>
              <w:widowControl/>
              <w:jc w:val="center"/>
              <w:outlineLvl w:val="1"/>
              <w:rPr>
                <w:rFonts w:ascii="仿宋_GB2312" w:hAnsi="宋体" w:eastAsia="仿宋_GB2312"/>
                <w:kern w:val="0"/>
                <w:sz w:val="18"/>
                <w:szCs w:val="18"/>
                <w:highlight w:val="none"/>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207</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06</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07</w:t>
            </w:r>
          </w:p>
        </w:tc>
        <w:tc>
          <w:tcPr>
            <w:tcW w:w="85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电影</w:t>
            </w:r>
          </w:p>
        </w:tc>
        <w:tc>
          <w:tcPr>
            <w:tcW w:w="1456" w:type="dxa"/>
            <w:vAlign w:val="center"/>
          </w:tcPr>
          <w:p>
            <w:pPr>
              <w:widowControl/>
              <w:outlineLvl w:val="1"/>
              <w:rPr>
                <w:rFonts w:ascii="仿宋_GB2312" w:hAnsi="宋体" w:eastAsia="仿宋_GB2312"/>
                <w:kern w:val="0"/>
                <w:sz w:val="18"/>
                <w:szCs w:val="18"/>
              </w:rPr>
            </w:pPr>
            <w:r>
              <w:rPr>
                <w:rFonts w:hint="eastAsia" w:ascii="仿宋_GB2312" w:hAnsi="宋体" w:eastAsia="仿宋_GB2312"/>
                <w:kern w:val="0"/>
                <w:sz w:val="18"/>
                <w:szCs w:val="18"/>
              </w:rPr>
              <w:t>电影拷贝款</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：昌吉州电影发行放映总站                                单位：万元</w:t>
      </w:r>
    </w:p>
    <w:tbl>
      <w:tblPr>
        <w:tblStyle w:val="7"/>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备注：我单位无“三公”经费预算，此表为空表。</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：昌吉州电影发行放映总站                                 单位：万元</w:t>
      </w:r>
    </w:p>
    <w:tbl>
      <w:tblPr>
        <w:tblStyle w:val="7"/>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2021年昌吉州电影发行放映总站预算情况说明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w:t>
      </w:r>
      <w:r>
        <w:rPr>
          <w:rFonts w:hint="eastAsia" w:ascii="黑体" w:hAnsi="宋体" w:eastAsia="黑体" w:cs="宋体"/>
          <w:kern w:val="0"/>
          <w:sz w:val="32"/>
          <w:szCs w:val="32"/>
        </w:rPr>
        <w:t>电影发行放映总站</w:t>
      </w:r>
      <w:r>
        <w:rPr>
          <w:rFonts w:hint="eastAsia" w:ascii="黑体" w:hAnsi="黑体" w:eastAsia="黑体"/>
          <w:kern w:val="0"/>
          <w:sz w:val="32"/>
          <w:szCs w:val="32"/>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按照全口径预算的原则，昌吉州电影发行放映总站2021年所有收入和支出均纳入</w:t>
      </w:r>
      <w:r>
        <w:rPr>
          <w:rFonts w:hint="eastAsia" w:ascii="仿宋_GB2312" w:hAnsi="宋体" w:eastAsia="仿宋_GB2312" w:cs="宋体"/>
          <w:kern w:val="0"/>
          <w:sz w:val="32"/>
          <w:szCs w:val="32"/>
          <w:lang w:eastAsia="zh-CN"/>
        </w:rPr>
        <w:t>单位</w:t>
      </w:r>
      <w:bookmarkStart w:id="0" w:name="_GoBack"/>
      <w:bookmarkEnd w:id="0"/>
      <w:r>
        <w:rPr>
          <w:rFonts w:hint="eastAsia" w:ascii="仿宋_GB2312" w:hAnsi="宋体" w:eastAsia="仿宋_GB2312" w:cs="宋体"/>
          <w:kern w:val="0"/>
          <w:sz w:val="32"/>
          <w:szCs w:val="32"/>
        </w:rPr>
        <w:t>预算管理。收支总预算178.05万元。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支出预算包括：文化旅游体育与传媒支出、社会保障和就业支出、卫生健康支出。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w:t>
      </w:r>
      <w:r>
        <w:rPr>
          <w:rFonts w:hint="eastAsia" w:ascii="黑体" w:hAnsi="宋体" w:eastAsia="黑体" w:cs="宋体"/>
          <w:kern w:val="0"/>
          <w:sz w:val="32"/>
          <w:szCs w:val="32"/>
        </w:rPr>
        <w:t>电影发行放映总站</w:t>
      </w:r>
      <w:r>
        <w:rPr>
          <w:rFonts w:hint="eastAsia" w:ascii="黑体" w:hAnsi="黑体" w:eastAsia="黑体"/>
          <w:kern w:val="0"/>
          <w:sz w:val="32"/>
          <w:szCs w:val="32"/>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昌吉州电影发行放映总站收入预算178.05万元，其中：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一般公共预算178.05万元，占100%，比上年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highlight w:val="none"/>
        </w:rPr>
        <w:t>增加20.05万元，主要原因是调入一名在职人员，人员经费增加。</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国有资本经营预算未安排。</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w:t>
      </w:r>
      <w:r>
        <w:rPr>
          <w:rFonts w:hint="eastAsia" w:ascii="黑体" w:hAnsi="黑体" w:eastAsia="黑体"/>
          <w:kern w:val="0"/>
          <w:sz w:val="32"/>
          <w:szCs w:val="32"/>
          <w:highlight w:val="none"/>
        </w:rPr>
        <w:t>昌吉州</w:t>
      </w:r>
      <w:r>
        <w:rPr>
          <w:rFonts w:hint="eastAsia" w:ascii="黑体" w:hAnsi="宋体" w:eastAsia="黑体" w:cs="宋体"/>
          <w:kern w:val="0"/>
          <w:sz w:val="32"/>
          <w:szCs w:val="32"/>
          <w:highlight w:val="none"/>
        </w:rPr>
        <w:t>电影发行放映总站单位</w:t>
      </w:r>
      <w:r>
        <w:rPr>
          <w:rFonts w:hint="eastAsia" w:ascii="黑体" w:hAnsi="黑体" w:eastAsia="黑体"/>
          <w:kern w:val="0"/>
          <w:sz w:val="32"/>
          <w:szCs w:val="32"/>
          <w:highlight w:val="none"/>
        </w:rPr>
        <w:t>2021</w:t>
      </w:r>
      <w:r>
        <w:rPr>
          <w:rFonts w:hint="eastAsia" w:ascii="黑体" w:hAnsi="宋体" w:eastAsia="黑体" w:cs="宋体"/>
          <w:kern w:val="0"/>
          <w:sz w:val="32"/>
          <w:szCs w:val="32"/>
          <w:highlight w:val="none"/>
        </w:rPr>
        <w:t>年支出预算情况说明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昌吉州电影发行放映总站2021年支出预算178.05万元，其中：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highlight w:val="none"/>
        </w:rPr>
        <w:t>基本支出172.05万元，占97%，比上年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rPr>
        <w:t>20.05万元，主要原因是调入一名在职人员，人员经费增加。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项目支出6万元，占3%，比上年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rPr>
        <w:t>增加0万元，主要原因是项目经费电影拷贝款金额没有变化。</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w:t>
      </w:r>
      <w:r>
        <w:rPr>
          <w:rFonts w:hint="eastAsia" w:ascii="黑体" w:hAnsi="黑体" w:eastAsia="黑体" w:cs="宋体"/>
          <w:bCs/>
          <w:kern w:val="0"/>
          <w:sz w:val="32"/>
          <w:szCs w:val="32"/>
        </w:rPr>
        <w:t>电影发行放映总站</w:t>
      </w:r>
      <w:r>
        <w:rPr>
          <w:rFonts w:hint="eastAsia" w:ascii="黑体" w:hAnsi="黑体" w:eastAsia="黑体"/>
          <w:kern w:val="0"/>
          <w:sz w:val="32"/>
          <w:szCs w:val="32"/>
        </w:rPr>
        <w:t>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2021年财政拨款收支总预算178.05万元。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收入预算包括：一般公共预算拨款178.05万元。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文化旅游体育与传媒支出126.62万元，</w:t>
      </w:r>
      <w:r>
        <w:rPr>
          <w:rFonts w:hint="eastAsia" w:ascii="仿宋_GB2312" w:hAnsi="宋体" w:eastAsia="仿宋_GB2312" w:cs="宋体"/>
          <w:spacing w:val="-6"/>
          <w:kern w:val="0"/>
          <w:sz w:val="32"/>
          <w:szCs w:val="32"/>
        </w:rPr>
        <w:t>主要用于事业单位人员工资福利支出及公用经费、对个人和家庭的补助，</w:t>
      </w:r>
      <w:r>
        <w:rPr>
          <w:rFonts w:hint="eastAsia" w:ascii="仿宋_GB2312" w:hAnsi="宋体" w:eastAsia="仿宋_GB2312" w:cs="宋体"/>
          <w:kern w:val="0"/>
          <w:sz w:val="32"/>
          <w:szCs w:val="32"/>
        </w:rPr>
        <w:t>还有项目经费电影拷贝款</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社会保障和就业支出22.38万元，</w:t>
      </w:r>
      <w:r>
        <w:rPr>
          <w:rFonts w:hint="eastAsia" w:ascii="仿宋_GB2312" w:hAnsi="宋体" w:eastAsia="仿宋_GB2312" w:cs="宋体"/>
          <w:spacing w:val="-6"/>
          <w:kern w:val="0"/>
          <w:sz w:val="32"/>
          <w:szCs w:val="32"/>
        </w:rPr>
        <w:t>主要用于支付机关事业单位基本养老保险缴费及职业年金缴费</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kern w:val="0"/>
          <w:sz w:val="32"/>
          <w:szCs w:val="32"/>
        </w:rPr>
        <w:t>卫生健康支出29.05万元，</w:t>
      </w:r>
      <w:r>
        <w:rPr>
          <w:rFonts w:hint="eastAsia" w:ascii="仿宋_GB2312" w:hAnsi="宋体" w:eastAsia="仿宋_GB2312" w:cs="宋体"/>
          <w:spacing w:val="-6"/>
          <w:kern w:val="0"/>
          <w:sz w:val="32"/>
          <w:szCs w:val="32"/>
        </w:rPr>
        <w:t>主要用于职工基本医疗保险缴费、公务员医疗补助缴费及其他社会保险缴费</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w:t>
      </w:r>
      <w:r>
        <w:rPr>
          <w:rFonts w:hint="eastAsia" w:ascii="黑体" w:hAnsi="宋体" w:eastAsia="黑体" w:cs="宋体"/>
          <w:kern w:val="0"/>
          <w:sz w:val="32"/>
          <w:szCs w:val="32"/>
        </w:rPr>
        <w:t>电影发行放映总站</w:t>
      </w:r>
      <w:r>
        <w:rPr>
          <w:rFonts w:hint="eastAsia" w:ascii="黑体" w:hAnsi="黑体" w:eastAsia="黑体"/>
          <w:kern w:val="0"/>
          <w:sz w:val="32"/>
          <w:szCs w:val="32"/>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电影发行放映总站2021年一般公共预算拨款合计178.05万元，其中：基本支出172.05万元，比上年预算增加20.05万元，增长13.19%。主要原因是：调入一名在职人员，人员经费增加。项目支出6万元，比上年预算增加0万元，增长0%。主要原因是：项目经费电影拷贝金额没有变化。</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kern w:val="0"/>
          <w:sz w:val="32"/>
          <w:szCs w:val="32"/>
        </w:rPr>
        <w:t>文化旅游体育与传媒支出126.62万元，占71.11%。</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2.社会保障和就业支出22.38万元，</w:t>
      </w:r>
      <w:r>
        <w:rPr>
          <w:rFonts w:hint="eastAsia" w:ascii="仿宋_GB2312" w:eastAsia="仿宋_GB2312"/>
          <w:sz w:val="32"/>
          <w:szCs w:val="32"/>
        </w:rPr>
        <w:t>占12.57%。</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3.卫生健康支出29.05万元，占16.32%。</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1.文化旅游体育与传媒</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新闻出版电影</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电影</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126.62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比上年预算数增加11.88万元，增长10.35%，主要原因是：调入一名在职人员，人员经费增加。</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2.社会保障和就业</w:t>
      </w:r>
      <w:r>
        <w:rPr>
          <w:rFonts w:hint="eastAsia" w:ascii="仿宋" w:hAnsi="仿宋" w:eastAsia="仿宋" w:cs="宋体"/>
          <w:kern w:val="0"/>
          <w:sz w:val="32"/>
          <w:szCs w:val="32"/>
          <w:lang w:eastAsia="zh-CN"/>
        </w:rPr>
        <w:t>支出</w:t>
      </w:r>
      <w:r>
        <w:rPr>
          <w:rFonts w:hint="eastAsia" w:ascii="仿宋" w:hAnsi="仿宋" w:eastAsia="仿宋" w:cs="宋体"/>
          <w:kern w:val="0"/>
          <w:sz w:val="32"/>
          <w:szCs w:val="32"/>
        </w:rPr>
        <w:t>（</w:t>
      </w:r>
      <w:r>
        <w:rPr>
          <w:rFonts w:hint="eastAsia" w:ascii="仿宋" w:hAnsi="仿宋" w:eastAsia="仿宋" w:cs="宋体"/>
          <w:kern w:val="0"/>
          <w:sz w:val="32"/>
          <w:szCs w:val="32"/>
          <w:lang w:eastAsia="zh-CN"/>
        </w:rPr>
        <w:t>类</w:t>
      </w:r>
      <w:r>
        <w:rPr>
          <w:rFonts w:hint="eastAsia" w:ascii="仿宋" w:hAnsi="仿宋" w:eastAsia="仿宋" w:cs="宋体"/>
          <w:kern w:val="0"/>
          <w:sz w:val="32"/>
          <w:szCs w:val="32"/>
        </w:rPr>
        <w:t>）行政事业单位养老（</w:t>
      </w:r>
      <w:r>
        <w:rPr>
          <w:rFonts w:hint="eastAsia" w:ascii="仿宋" w:hAnsi="仿宋" w:eastAsia="仿宋" w:cs="宋体"/>
          <w:kern w:val="0"/>
          <w:sz w:val="32"/>
          <w:szCs w:val="32"/>
          <w:lang w:eastAsia="zh-CN"/>
        </w:rPr>
        <w:t>款</w:t>
      </w:r>
      <w:r>
        <w:rPr>
          <w:rFonts w:hint="eastAsia" w:ascii="仿宋" w:hAnsi="仿宋" w:eastAsia="仿宋" w:cs="宋体"/>
          <w:kern w:val="0"/>
          <w:sz w:val="32"/>
          <w:szCs w:val="32"/>
        </w:rPr>
        <w:t>）机关事业单位基本养老保险缴费（</w:t>
      </w:r>
      <w:r>
        <w:rPr>
          <w:rFonts w:hint="eastAsia" w:ascii="仿宋" w:hAnsi="仿宋" w:eastAsia="仿宋" w:cs="宋体"/>
          <w:kern w:val="0"/>
          <w:sz w:val="32"/>
          <w:szCs w:val="32"/>
          <w:lang w:eastAsia="zh-CN"/>
        </w:rPr>
        <w:t>项</w:t>
      </w:r>
      <w:r>
        <w:rPr>
          <w:rFonts w:hint="eastAsia" w:ascii="仿宋" w:hAnsi="仿宋" w:eastAsia="仿宋" w:cs="宋体"/>
          <w:kern w:val="0"/>
          <w:sz w:val="32"/>
          <w:szCs w:val="32"/>
        </w:rPr>
        <w:t>）</w:t>
      </w:r>
      <w:r>
        <w:rPr>
          <w:rFonts w:hint="eastAsia" w:ascii="仿宋" w:hAnsi="仿宋" w:eastAsia="仿宋" w:cs="宋体"/>
          <w:kern w:val="0"/>
          <w:sz w:val="32"/>
          <w:szCs w:val="32"/>
          <w:lang w:eastAsia="zh-CN"/>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 w:hAnsi="仿宋" w:eastAsia="仿宋" w:cs="宋体"/>
          <w:kern w:val="0"/>
          <w:sz w:val="32"/>
          <w:szCs w:val="32"/>
        </w:rPr>
        <w:t>14.92万元，比上年预算数增加1.59万元，增长1</w:t>
      </w:r>
      <w:r>
        <w:rPr>
          <w:rFonts w:ascii="仿宋" w:hAnsi="仿宋" w:eastAsia="仿宋" w:cs="宋体"/>
          <w:kern w:val="0"/>
          <w:sz w:val="32"/>
          <w:szCs w:val="32"/>
        </w:rPr>
        <w:t>1.9</w:t>
      </w:r>
      <w:r>
        <w:rPr>
          <w:rFonts w:hint="eastAsia" w:ascii="仿宋" w:hAnsi="仿宋" w:eastAsia="仿宋" w:cs="宋体"/>
          <w:kern w:val="0"/>
          <w:sz w:val="32"/>
          <w:szCs w:val="32"/>
        </w:rPr>
        <w:t>%，主要原因是：调入一名在职人员，基本养老保险缴费增加。</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3.社会保障和就业（</w:t>
      </w:r>
      <w:r>
        <w:rPr>
          <w:rFonts w:hint="eastAsia" w:ascii="仿宋" w:hAnsi="仿宋" w:eastAsia="仿宋" w:cs="宋体"/>
          <w:kern w:val="0"/>
          <w:sz w:val="32"/>
          <w:szCs w:val="32"/>
          <w:lang w:eastAsia="zh-CN"/>
        </w:rPr>
        <w:t>类</w:t>
      </w:r>
      <w:r>
        <w:rPr>
          <w:rFonts w:hint="eastAsia" w:ascii="仿宋" w:hAnsi="仿宋" w:eastAsia="仿宋" w:cs="宋体"/>
          <w:kern w:val="0"/>
          <w:sz w:val="32"/>
          <w:szCs w:val="32"/>
        </w:rPr>
        <w:t>）行政事业单位养老（</w:t>
      </w:r>
      <w:r>
        <w:rPr>
          <w:rFonts w:hint="eastAsia" w:ascii="仿宋" w:hAnsi="仿宋" w:eastAsia="仿宋" w:cs="宋体"/>
          <w:kern w:val="0"/>
          <w:sz w:val="32"/>
          <w:szCs w:val="32"/>
          <w:lang w:eastAsia="zh-CN"/>
        </w:rPr>
        <w:t>款</w:t>
      </w:r>
      <w:r>
        <w:rPr>
          <w:rFonts w:hint="eastAsia" w:ascii="仿宋" w:hAnsi="仿宋" w:eastAsia="仿宋" w:cs="宋体"/>
          <w:kern w:val="0"/>
          <w:sz w:val="32"/>
          <w:szCs w:val="32"/>
        </w:rPr>
        <w:t>）机关事业单位职业年金（</w:t>
      </w:r>
      <w:r>
        <w:rPr>
          <w:rFonts w:hint="eastAsia" w:ascii="仿宋" w:hAnsi="仿宋" w:eastAsia="仿宋" w:cs="宋体"/>
          <w:kern w:val="0"/>
          <w:sz w:val="32"/>
          <w:szCs w:val="32"/>
          <w:lang w:eastAsia="zh-CN"/>
        </w:rPr>
        <w:t>项</w:t>
      </w:r>
      <w:r>
        <w:rPr>
          <w:rFonts w:hint="eastAsia" w:ascii="仿宋" w:hAnsi="仿宋" w:eastAsia="仿宋" w:cs="宋体"/>
          <w:kern w:val="0"/>
          <w:sz w:val="32"/>
          <w:szCs w:val="32"/>
        </w:rPr>
        <w:t>）</w:t>
      </w:r>
      <w:r>
        <w:rPr>
          <w:rFonts w:hint="eastAsia" w:ascii="仿宋" w:hAnsi="仿宋" w:eastAsia="仿宋" w:cs="宋体"/>
          <w:kern w:val="0"/>
          <w:sz w:val="32"/>
          <w:szCs w:val="32"/>
          <w:lang w:eastAsia="zh-CN"/>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 w:hAnsi="仿宋" w:eastAsia="仿宋" w:cs="宋体"/>
          <w:kern w:val="0"/>
          <w:sz w:val="32"/>
          <w:szCs w:val="32"/>
        </w:rPr>
        <w:t>7.46万元，比上年预算数增加0.79万元，增长1</w:t>
      </w:r>
      <w:r>
        <w:rPr>
          <w:rFonts w:ascii="仿宋" w:hAnsi="仿宋" w:eastAsia="仿宋" w:cs="宋体"/>
          <w:kern w:val="0"/>
          <w:sz w:val="32"/>
          <w:szCs w:val="32"/>
        </w:rPr>
        <w:t>1.8</w:t>
      </w:r>
      <w:r>
        <w:rPr>
          <w:rFonts w:hint="eastAsia" w:ascii="仿宋" w:hAnsi="仿宋" w:eastAsia="仿宋" w:cs="宋体"/>
          <w:kern w:val="0"/>
          <w:sz w:val="32"/>
          <w:szCs w:val="32"/>
        </w:rPr>
        <w:t>%，主要原因是：调入一名在职人员，职业年金缴费增加。</w:t>
      </w:r>
    </w:p>
    <w:p>
      <w:pPr>
        <w:spacing w:line="560" w:lineRule="exact"/>
        <w:ind w:firstLine="640" w:firstLineChars="200"/>
        <w:rPr>
          <w:rFonts w:hint="eastAsia" w:ascii="仿宋" w:hAnsi="仿宋" w:eastAsia="仿宋" w:cs="宋体"/>
          <w:kern w:val="0"/>
          <w:sz w:val="32"/>
          <w:szCs w:val="32"/>
          <w:lang w:eastAsia="zh-CN"/>
        </w:rPr>
      </w:pPr>
      <w:r>
        <w:rPr>
          <w:rFonts w:hint="eastAsia" w:ascii="仿宋" w:hAnsi="仿宋" w:eastAsia="仿宋" w:cs="宋体"/>
          <w:kern w:val="0"/>
          <w:sz w:val="32"/>
          <w:szCs w:val="32"/>
        </w:rPr>
        <w:t>4.卫生健康（</w:t>
      </w:r>
      <w:r>
        <w:rPr>
          <w:rFonts w:hint="eastAsia" w:ascii="仿宋" w:hAnsi="仿宋" w:eastAsia="仿宋" w:cs="宋体"/>
          <w:kern w:val="0"/>
          <w:sz w:val="32"/>
          <w:szCs w:val="32"/>
          <w:lang w:eastAsia="zh-CN"/>
        </w:rPr>
        <w:t>类</w:t>
      </w:r>
      <w:r>
        <w:rPr>
          <w:rFonts w:hint="eastAsia" w:ascii="仿宋" w:hAnsi="仿宋" w:eastAsia="仿宋" w:cs="宋体"/>
          <w:kern w:val="0"/>
          <w:sz w:val="32"/>
          <w:szCs w:val="32"/>
        </w:rPr>
        <w:t>）行政事业单位医疗（</w:t>
      </w:r>
      <w:r>
        <w:rPr>
          <w:rFonts w:hint="eastAsia" w:ascii="仿宋" w:hAnsi="仿宋" w:eastAsia="仿宋" w:cs="宋体"/>
          <w:kern w:val="0"/>
          <w:sz w:val="32"/>
          <w:szCs w:val="32"/>
          <w:lang w:eastAsia="zh-CN"/>
        </w:rPr>
        <w:t>款</w:t>
      </w:r>
      <w:r>
        <w:rPr>
          <w:rFonts w:hint="eastAsia" w:ascii="仿宋" w:hAnsi="仿宋" w:eastAsia="仿宋" w:cs="宋体"/>
          <w:kern w:val="0"/>
          <w:sz w:val="32"/>
          <w:szCs w:val="32"/>
        </w:rPr>
        <w:t>）事业单位医疗（</w:t>
      </w:r>
      <w:r>
        <w:rPr>
          <w:rFonts w:hint="eastAsia" w:ascii="仿宋" w:hAnsi="仿宋" w:eastAsia="仿宋" w:cs="宋体"/>
          <w:kern w:val="0"/>
          <w:sz w:val="32"/>
          <w:szCs w:val="32"/>
          <w:lang w:eastAsia="zh-CN"/>
        </w:rPr>
        <w:t>项</w:t>
      </w:r>
      <w:r>
        <w:rPr>
          <w:rFonts w:hint="eastAsia" w:ascii="仿宋" w:hAnsi="仿宋" w:eastAsia="仿宋" w:cs="宋体"/>
          <w:kern w:val="0"/>
          <w:sz w:val="32"/>
          <w:szCs w:val="32"/>
        </w:rPr>
        <w:t>）</w:t>
      </w:r>
      <w:r>
        <w:rPr>
          <w:rFonts w:hint="eastAsia" w:ascii="仿宋" w:hAnsi="仿宋" w:eastAsia="仿宋" w:cs="宋体"/>
          <w:kern w:val="0"/>
          <w:sz w:val="32"/>
          <w:szCs w:val="32"/>
          <w:lang w:eastAsia="zh-CN"/>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 w:hAnsi="仿宋" w:eastAsia="仿宋" w:cs="宋体"/>
          <w:kern w:val="0"/>
          <w:sz w:val="32"/>
          <w:szCs w:val="32"/>
        </w:rPr>
        <w:t>21.58万元，比上年预算数增加5.68万元，增长3</w:t>
      </w:r>
      <w:r>
        <w:rPr>
          <w:rFonts w:ascii="仿宋" w:hAnsi="仿宋" w:eastAsia="仿宋" w:cs="宋体"/>
          <w:kern w:val="0"/>
          <w:sz w:val="32"/>
          <w:szCs w:val="32"/>
        </w:rPr>
        <w:t>5.7</w:t>
      </w:r>
      <w:r>
        <w:rPr>
          <w:rFonts w:hint="eastAsia" w:ascii="仿宋" w:hAnsi="仿宋" w:eastAsia="仿宋" w:cs="宋体"/>
          <w:kern w:val="0"/>
          <w:sz w:val="32"/>
          <w:szCs w:val="32"/>
        </w:rPr>
        <w:t>%，主要原因是：调入一名在职人员，基本医疗保险缴费增加</w:t>
      </w:r>
      <w:r>
        <w:rPr>
          <w:rFonts w:hint="eastAsia" w:ascii="仿宋" w:hAnsi="仿宋" w:eastAsia="仿宋" w:cs="宋体"/>
          <w:kern w:val="0"/>
          <w:sz w:val="32"/>
          <w:szCs w:val="32"/>
          <w:lang w:eastAsia="zh-CN"/>
        </w:rPr>
        <w:t>。</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5.卫生健康（</w:t>
      </w:r>
      <w:r>
        <w:rPr>
          <w:rFonts w:hint="eastAsia" w:ascii="仿宋" w:hAnsi="仿宋" w:eastAsia="仿宋" w:cs="宋体"/>
          <w:kern w:val="0"/>
          <w:sz w:val="32"/>
          <w:szCs w:val="32"/>
          <w:lang w:eastAsia="zh-CN"/>
        </w:rPr>
        <w:t>类</w:t>
      </w:r>
      <w:r>
        <w:rPr>
          <w:rFonts w:hint="eastAsia" w:ascii="仿宋" w:hAnsi="仿宋" w:eastAsia="仿宋" w:cs="宋体"/>
          <w:kern w:val="0"/>
          <w:sz w:val="32"/>
          <w:szCs w:val="32"/>
        </w:rPr>
        <w:t>）行政事业单位医疗（</w:t>
      </w:r>
      <w:r>
        <w:rPr>
          <w:rFonts w:hint="eastAsia" w:ascii="仿宋" w:hAnsi="仿宋" w:eastAsia="仿宋" w:cs="宋体"/>
          <w:kern w:val="0"/>
          <w:sz w:val="32"/>
          <w:szCs w:val="32"/>
          <w:lang w:eastAsia="zh-CN"/>
        </w:rPr>
        <w:t>款</w:t>
      </w:r>
      <w:r>
        <w:rPr>
          <w:rFonts w:hint="eastAsia" w:ascii="仿宋" w:hAnsi="仿宋" w:eastAsia="仿宋" w:cs="宋体"/>
          <w:kern w:val="0"/>
          <w:sz w:val="32"/>
          <w:szCs w:val="32"/>
        </w:rPr>
        <w:t>）公务员医疗补助（</w:t>
      </w:r>
      <w:r>
        <w:rPr>
          <w:rFonts w:hint="eastAsia" w:ascii="仿宋" w:hAnsi="仿宋" w:eastAsia="仿宋" w:cs="宋体"/>
          <w:kern w:val="0"/>
          <w:sz w:val="32"/>
          <w:szCs w:val="32"/>
          <w:lang w:eastAsia="zh-CN"/>
        </w:rPr>
        <w:t>项</w:t>
      </w:r>
      <w:r>
        <w:rPr>
          <w:rFonts w:hint="eastAsia" w:ascii="仿宋" w:hAnsi="仿宋" w:eastAsia="仿宋" w:cs="宋体"/>
          <w:kern w:val="0"/>
          <w:sz w:val="32"/>
          <w:szCs w:val="32"/>
        </w:rPr>
        <w:t>）</w:t>
      </w:r>
      <w:r>
        <w:rPr>
          <w:rFonts w:hint="eastAsia" w:ascii="仿宋" w:hAnsi="仿宋" w:eastAsia="仿宋" w:cs="宋体"/>
          <w:kern w:val="0"/>
          <w:sz w:val="32"/>
          <w:szCs w:val="32"/>
          <w:lang w:eastAsia="zh-CN"/>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 w:hAnsi="仿宋" w:eastAsia="仿宋" w:cs="宋体"/>
          <w:kern w:val="0"/>
          <w:sz w:val="32"/>
          <w:szCs w:val="32"/>
        </w:rPr>
        <w:t>7.04万元，比上年预算数增加0.35万元，增长5</w:t>
      </w:r>
      <w:r>
        <w:rPr>
          <w:rFonts w:ascii="仿宋" w:hAnsi="仿宋" w:eastAsia="仿宋" w:cs="宋体"/>
          <w:kern w:val="0"/>
          <w:sz w:val="32"/>
          <w:szCs w:val="32"/>
        </w:rPr>
        <w:t>.2</w:t>
      </w:r>
      <w:r>
        <w:rPr>
          <w:rFonts w:hint="eastAsia" w:ascii="仿宋" w:hAnsi="仿宋" w:eastAsia="仿宋" w:cs="宋体"/>
          <w:kern w:val="0"/>
          <w:sz w:val="32"/>
          <w:szCs w:val="32"/>
        </w:rPr>
        <w:t>%，主要原因是：调入一名在职人员，公务员医疗补助缴费增加</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6.卫生健康（</w:t>
      </w:r>
      <w:r>
        <w:rPr>
          <w:rFonts w:hint="eastAsia" w:ascii="仿宋" w:hAnsi="仿宋" w:eastAsia="仿宋" w:cs="宋体"/>
          <w:kern w:val="0"/>
          <w:sz w:val="32"/>
          <w:szCs w:val="32"/>
          <w:lang w:eastAsia="zh-CN"/>
        </w:rPr>
        <w:t>类</w:t>
      </w:r>
      <w:r>
        <w:rPr>
          <w:rFonts w:hint="eastAsia" w:ascii="仿宋" w:hAnsi="仿宋" w:eastAsia="仿宋" w:cs="宋体"/>
          <w:kern w:val="0"/>
          <w:sz w:val="32"/>
          <w:szCs w:val="32"/>
        </w:rPr>
        <w:t>）行政事业单位医疗（</w:t>
      </w:r>
      <w:r>
        <w:rPr>
          <w:rFonts w:hint="eastAsia" w:ascii="仿宋" w:hAnsi="仿宋" w:eastAsia="仿宋" w:cs="宋体"/>
          <w:kern w:val="0"/>
          <w:sz w:val="32"/>
          <w:szCs w:val="32"/>
          <w:lang w:eastAsia="zh-CN"/>
        </w:rPr>
        <w:t>款</w:t>
      </w:r>
      <w:r>
        <w:rPr>
          <w:rFonts w:hint="eastAsia" w:ascii="仿宋" w:hAnsi="仿宋" w:eastAsia="仿宋" w:cs="宋体"/>
          <w:kern w:val="0"/>
          <w:sz w:val="32"/>
          <w:szCs w:val="32"/>
        </w:rPr>
        <w:t>）事业单位医疗其他行政事业单位医疗（</w:t>
      </w:r>
      <w:r>
        <w:rPr>
          <w:rFonts w:hint="eastAsia" w:ascii="仿宋" w:hAnsi="仿宋" w:eastAsia="仿宋" w:cs="宋体"/>
          <w:kern w:val="0"/>
          <w:sz w:val="32"/>
          <w:szCs w:val="32"/>
          <w:lang w:eastAsia="zh-CN"/>
        </w:rPr>
        <w:t>项</w:t>
      </w:r>
      <w:r>
        <w:rPr>
          <w:rFonts w:hint="eastAsia" w:ascii="仿宋" w:hAnsi="仿宋" w:eastAsia="仿宋" w:cs="宋体"/>
          <w:kern w:val="0"/>
          <w:sz w:val="32"/>
          <w:szCs w:val="32"/>
        </w:rPr>
        <w:t>）</w:t>
      </w:r>
      <w:r>
        <w:rPr>
          <w:rFonts w:hint="eastAsia" w:ascii="仿宋" w:hAnsi="仿宋" w:eastAsia="仿宋" w:cs="宋体"/>
          <w:kern w:val="0"/>
          <w:sz w:val="32"/>
          <w:szCs w:val="32"/>
          <w:lang w:eastAsia="zh-CN"/>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 w:hAnsi="仿宋" w:eastAsia="仿宋" w:cs="宋体"/>
          <w:kern w:val="0"/>
          <w:sz w:val="32"/>
          <w:szCs w:val="32"/>
        </w:rPr>
        <w:t>0.43万元，比上年预算数减少0.24万元，降低35.82%，主要原因是：其他社会保障缴费调整，导致其他医疗费减少。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w:t>
      </w:r>
      <w:r>
        <w:rPr>
          <w:rFonts w:hint="eastAsia" w:ascii="黑体" w:hAnsi="宋体" w:eastAsia="黑体" w:cs="宋体"/>
          <w:kern w:val="0"/>
          <w:sz w:val="32"/>
          <w:szCs w:val="32"/>
        </w:rPr>
        <w:t>电影发行放映总站</w:t>
      </w:r>
      <w:r>
        <w:rPr>
          <w:rFonts w:hint="eastAsia" w:ascii="黑体" w:hAnsi="黑体" w:eastAsia="黑体"/>
          <w:kern w:val="0"/>
          <w:sz w:val="32"/>
          <w:szCs w:val="32"/>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昌吉州电影发行放映总站2021年一般公共预算基本支出172.05万元，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167.74万元，主要包括：基本工资58.44万元、津贴补贴1.2万元、奖金4.02万元、伙食补助费7.56万元、基础性绩效工资16.02万元、奖励性绩效工资14.76万元、住房公积金11.19万元、机关事业单位基本养老保险缴费14.92万元、职业年金缴费7.46万元、职工基本医疗保险缴费21.58万元、公务员医疗补助缴费7.04万元、其他社会保障缴费0.43万元、奖励金0.82万元、对个人和家庭的补助2.3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公用经费4.31万元，主要包括：培训费0.12万元、福利费2.69万元、商品和服务支出1.5万元。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七、关于昌吉州电影发行放映总站2021年一般公共预算项目支出情况说明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电影拷贝款</w:t>
      </w:r>
    </w:p>
    <w:p>
      <w:pPr>
        <w:spacing w:line="54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：根据昌州政办【1997】44号关于贯彻自治区人民政府办公厅《关于加强电影工作的通知》的通知精神。</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6万元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昌吉回族自治州电影发行放映总站</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电影拷贝款</w:t>
      </w:r>
      <w:r>
        <w:rPr>
          <w:rFonts w:hint="eastAsia" w:ascii="仿宋_GB2312" w:hAnsi="黑体" w:eastAsia="仿宋_GB2312"/>
          <w:sz w:val="32"/>
          <w:szCs w:val="32"/>
        </w:rPr>
        <w:t>6万元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八、关于昌吉州电影发行放映总站2021年一般公共预算“三公”经费预算情况说明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昌吉州电影发行放映总站2021年一般公共预算“三公”经费数为0万元，其中：因公出国（境）费0万元，公务用车购置0万元，公务用车运行费0万元，公务接待费0万元。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rPr>
        <w:t>减少0万元，其中：因公出国（境）费减少0万元，主要原因是未安排预算；公务用车购置费为0万元，未安排预算。公务用车运行费减少0万元，主要原因是我单位是差额事业单位，没有安排预算；公务接待费减少0万元，主要原因是我单位是差额事业单位，没有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九、关于昌吉州电影发行放映总站2021年政府性基金预算拨款情况说明</w:t>
      </w:r>
    </w:p>
    <w:p>
      <w:pPr>
        <w:pStyle w:val="2"/>
        <w:spacing w:line="560" w:lineRule="exact"/>
        <w:ind w:firstLine="640" w:firstLineChars="200"/>
        <w:rPr>
          <w:rFonts w:ascii="仿宋_GB2312" w:hAnsi="宋体" w:eastAsia="仿宋_GB2312" w:cs="宋体"/>
          <w:b w:val="0"/>
          <w:kern w:val="0"/>
          <w:sz w:val="32"/>
          <w:szCs w:val="32"/>
        </w:rPr>
      </w:pPr>
      <w:r>
        <w:rPr>
          <w:rFonts w:hint="eastAsia" w:ascii="仿宋_GB2312" w:hAnsi="宋体" w:eastAsia="仿宋_GB2312" w:cs="宋体"/>
          <w:b w:val="0"/>
          <w:kern w:val="0"/>
          <w:sz w:val="32"/>
          <w:szCs w:val="32"/>
        </w:rPr>
        <w:t>昌吉州电影发行放映总站2021年没有使用政府性基金预算拨款安排的支出，政府性基金预算支出情况表为空表。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2021年，昌吉州电影发行放映总站的机关运行经费财政拨款预算4.31万元，比上年预算增加0.14万元，增长3.36%。主要原因是单位调入1人，福利费增加0.14万元。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2021年，昌吉州电影发行放映总站政府采购预算7.4万元，其中：政府采购货物预算2.3万元，政府采购工程预算0万元，政府采购服务预算5.1万元。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截至2020年底，昌吉州电影发行放映总站占用使用国有资产总体情况为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1.房屋2575平方米，价值268.68万元。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2.车辆1辆，价值7.3万元；其中：一般公务用车0辆，价值0万元；执法执勤用车0辆，价值0万元；其他车辆1辆，价值7.3万元。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3.办公家具价值18.65万元。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4.其他资产价值294.79万元。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单位价值50万元以上大型设备1台（套），单位价值100万元以上大型设备0台（套）。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2021年昌吉州电影发行放映总站部门预算未安排购置车辆经费，安排购置50万元以上大型设备0台（套），单位价值100万元以上大型设备0台（套）。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2021年度，本年度实行绩效管理的一般公共预算项目1   个，涉及预算金额6万元。具体情况见下表（按项目分别填报）:</w:t>
      </w: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w:t>
            </w:r>
            <w:r>
              <w:rPr>
                <w:rFonts w:hint="eastAsia" w:ascii="宋体" w:hAnsi="宋体" w:cs="宋体"/>
                <w:kern w:val="0"/>
                <w:sz w:val="18"/>
                <w:szCs w:val="18"/>
              </w:rPr>
              <w:t>电影发行放映总站</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电影拷贝款</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rPr>
                <w:rFonts w:ascii="宋体" w:hAnsi="宋体" w:cs="宋体"/>
                <w:color w:val="000000"/>
                <w:sz w:val="18"/>
                <w:szCs w:val="18"/>
              </w:rPr>
            </w:pPr>
            <w:r>
              <w:rPr>
                <w:rFonts w:hint="eastAsia" w:ascii="宋体" w:hAnsi="宋体" w:cs="宋体"/>
                <w:color w:val="000000"/>
                <w:sz w:val="18"/>
                <w:szCs w:val="18"/>
              </w:rPr>
              <w:t>年度目标</w:t>
            </w:r>
          </w:p>
          <w:p>
            <w:pPr>
              <w:ind w:firstLine="360" w:firstLineChars="200"/>
              <w:jc w:val="left"/>
              <w:rPr>
                <w:rFonts w:ascii="宋体" w:hAnsi="宋体" w:cs="宋体"/>
                <w:color w:val="000000"/>
                <w:sz w:val="18"/>
                <w:szCs w:val="18"/>
              </w:rPr>
            </w:pPr>
            <w:r>
              <w:rPr>
                <w:rFonts w:hint="eastAsia" w:ascii="宋体" w:hAnsi="宋体" w:cs="宋体"/>
                <w:color w:val="000000"/>
                <w:sz w:val="18"/>
                <w:szCs w:val="18"/>
              </w:rPr>
              <w:t>本单位职能：主要肩负着昌吉州五县市农村电影放映管理、电影放映技术培训、电影放映设施维修以及城市数字影院建设指导具体工作。</w:t>
            </w:r>
          </w:p>
          <w:p>
            <w:pPr>
              <w:ind w:firstLine="360" w:firstLineChars="200"/>
              <w:jc w:val="left"/>
              <w:rPr>
                <w:rFonts w:ascii="宋体" w:hAnsi="宋体" w:cs="宋体"/>
                <w:color w:val="000000"/>
                <w:sz w:val="18"/>
                <w:szCs w:val="18"/>
                <w:u w:val="single"/>
              </w:rPr>
            </w:pPr>
            <w:r>
              <w:rPr>
                <w:rFonts w:hint="eastAsia" w:ascii="宋体" w:hAnsi="宋体" w:cs="宋体"/>
                <w:color w:val="000000"/>
                <w:sz w:val="18"/>
                <w:szCs w:val="18"/>
              </w:rPr>
              <w:t>此项目资金用于公益电影拷贝购置、培训、设备维护、监督等费用付款，按时完成上级下达的全州公益电影指标任务。</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公益电影放映场次（场）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≥5000场</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影片供应商资质合格率（%）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全年公益电影放映场次完成率（%）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项目开展时间（月）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2021年1-12月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电影拷贝成本（万元）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≤6万元</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增加公益电影受众数量，提升国民爱国情操和文化素养</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持续进行公益电影放映，丰富农村居民业余生活</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持续</w:t>
            </w: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观众满意度（%）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5440" w:hanging="5440" w:hangingChars="17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昌吉州电影发行放映总站2021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57575"/>
    <w:rsid w:val="00031E76"/>
    <w:rsid w:val="000C6FBF"/>
    <w:rsid w:val="000D531A"/>
    <w:rsid w:val="000F3B60"/>
    <w:rsid w:val="0011450F"/>
    <w:rsid w:val="001747C9"/>
    <w:rsid w:val="00223EA5"/>
    <w:rsid w:val="00261065"/>
    <w:rsid w:val="002800B5"/>
    <w:rsid w:val="002E7530"/>
    <w:rsid w:val="00321E8A"/>
    <w:rsid w:val="003679D2"/>
    <w:rsid w:val="00452A86"/>
    <w:rsid w:val="005172FF"/>
    <w:rsid w:val="005320EE"/>
    <w:rsid w:val="005602EA"/>
    <w:rsid w:val="00567073"/>
    <w:rsid w:val="0059125F"/>
    <w:rsid w:val="006A5EB4"/>
    <w:rsid w:val="006E145A"/>
    <w:rsid w:val="00703C12"/>
    <w:rsid w:val="00760458"/>
    <w:rsid w:val="007D7119"/>
    <w:rsid w:val="007D7BD7"/>
    <w:rsid w:val="007E31F1"/>
    <w:rsid w:val="007E5ACA"/>
    <w:rsid w:val="008910BE"/>
    <w:rsid w:val="008A4B03"/>
    <w:rsid w:val="008E4F9E"/>
    <w:rsid w:val="00944B81"/>
    <w:rsid w:val="00951A65"/>
    <w:rsid w:val="00977253"/>
    <w:rsid w:val="00997CE4"/>
    <w:rsid w:val="009B654C"/>
    <w:rsid w:val="009B6FA3"/>
    <w:rsid w:val="009F3754"/>
    <w:rsid w:val="00A0784B"/>
    <w:rsid w:val="00A13D75"/>
    <w:rsid w:val="00A567D9"/>
    <w:rsid w:val="00A57575"/>
    <w:rsid w:val="00AB1984"/>
    <w:rsid w:val="00B94A73"/>
    <w:rsid w:val="00BA7A2B"/>
    <w:rsid w:val="00BD1928"/>
    <w:rsid w:val="00CB680D"/>
    <w:rsid w:val="00D168D8"/>
    <w:rsid w:val="00D85033"/>
    <w:rsid w:val="00DA2829"/>
    <w:rsid w:val="00E23AAF"/>
    <w:rsid w:val="00E51C21"/>
    <w:rsid w:val="00F105A9"/>
    <w:rsid w:val="00F777A3"/>
    <w:rsid w:val="019402AD"/>
    <w:rsid w:val="025C502C"/>
    <w:rsid w:val="02BF42A8"/>
    <w:rsid w:val="049B20B4"/>
    <w:rsid w:val="06F66B66"/>
    <w:rsid w:val="09157BB2"/>
    <w:rsid w:val="09A80FE4"/>
    <w:rsid w:val="0A964FA0"/>
    <w:rsid w:val="0C584CC6"/>
    <w:rsid w:val="0D355ABE"/>
    <w:rsid w:val="0E5D7141"/>
    <w:rsid w:val="0F4148F1"/>
    <w:rsid w:val="10CA6968"/>
    <w:rsid w:val="10F468BD"/>
    <w:rsid w:val="11F315FE"/>
    <w:rsid w:val="12CE00FC"/>
    <w:rsid w:val="13317013"/>
    <w:rsid w:val="172A7D8D"/>
    <w:rsid w:val="172D156F"/>
    <w:rsid w:val="17C6638B"/>
    <w:rsid w:val="18002F00"/>
    <w:rsid w:val="183E07C5"/>
    <w:rsid w:val="1B7C0901"/>
    <w:rsid w:val="1D4F5536"/>
    <w:rsid w:val="1E0F1FA6"/>
    <w:rsid w:val="23971C53"/>
    <w:rsid w:val="23B8193D"/>
    <w:rsid w:val="272E6A5A"/>
    <w:rsid w:val="29F32D52"/>
    <w:rsid w:val="2EC65DED"/>
    <w:rsid w:val="2F0E2B7C"/>
    <w:rsid w:val="2F740A94"/>
    <w:rsid w:val="315216F6"/>
    <w:rsid w:val="316646B0"/>
    <w:rsid w:val="320B32BE"/>
    <w:rsid w:val="328644C5"/>
    <w:rsid w:val="344C73E0"/>
    <w:rsid w:val="34AB737C"/>
    <w:rsid w:val="34C7358E"/>
    <w:rsid w:val="361A3AFD"/>
    <w:rsid w:val="383873DD"/>
    <w:rsid w:val="38996A6D"/>
    <w:rsid w:val="38F32332"/>
    <w:rsid w:val="3F8C7A95"/>
    <w:rsid w:val="3FF959AC"/>
    <w:rsid w:val="418851BB"/>
    <w:rsid w:val="43C945BA"/>
    <w:rsid w:val="4465702F"/>
    <w:rsid w:val="446B068E"/>
    <w:rsid w:val="454362A3"/>
    <w:rsid w:val="467377B1"/>
    <w:rsid w:val="479010C2"/>
    <w:rsid w:val="47AB473D"/>
    <w:rsid w:val="4846032E"/>
    <w:rsid w:val="499B1B26"/>
    <w:rsid w:val="4A154E78"/>
    <w:rsid w:val="4B10074E"/>
    <w:rsid w:val="4DDA7F00"/>
    <w:rsid w:val="4DDB60DB"/>
    <w:rsid w:val="4F0E2D6B"/>
    <w:rsid w:val="53A60276"/>
    <w:rsid w:val="54B537BE"/>
    <w:rsid w:val="57F71240"/>
    <w:rsid w:val="598C4285"/>
    <w:rsid w:val="5AF37094"/>
    <w:rsid w:val="5C112178"/>
    <w:rsid w:val="5E896F94"/>
    <w:rsid w:val="5F842BE7"/>
    <w:rsid w:val="5F940A67"/>
    <w:rsid w:val="600E0C29"/>
    <w:rsid w:val="60105977"/>
    <w:rsid w:val="60B873A5"/>
    <w:rsid w:val="619F5D56"/>
    <w:rsid w:val="65500EBF"/>
    <w:rsid w:val="65AE4649"/>
    <w:rsid w:val="673B56A7"/>
    <w:rsid w:val="67837923"/>
    <w:rsid w:val="67A053D7"/>
    <w:rsid w:val="6B277FCE"/>
    <w:rsid w:val="6D2F732D"/>
    <w:rsid w:val="70393256"/>
    <w:rsid w:val="72772CFA"/>
    <w:rsid w:val="740720F2"/>
    <w:rsid w:val="77551EAD"/>
    <w:rsid w:val="7B9353D0"/>
    <w:rsid w:val="7C62698D"/>
    <w:rsid w:val="7F7760B2"/>
    <w:rsid w:val="7FA62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line="576" w:lineRule="auto"/>
      <w:outlineLvl w:val="0"/>
    </w:pPr>
    <w:rPr>
      <w:b/>
      <w:kern w:val="44"/>
      <w:sz w:val="4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qFormat/>
    <w:uiPriority w:val="0"/>
    <w:rPr>
      <w:rFonts w:asciiTheme="minorHAnsi" w:hAnsiTheme="minorHAnsi" w:eastAsiaTheme="minorEastAsia" w:cstheme="minorBidi"/>
      <w:sz w:val="18"/>
      <w:szCs w:val="18"/>
    </w:rPr>
  </w:style>
  <w:style w:type="paragraph" w:styleId="4">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9">
    <w:name w:val="正文文本缩进 3 Char"/>
    <w:link w:val="6"/>
    <w:qFormat/>
    <w:uiPriority w:val="0"/>
    <w:rPr>
      <w:rFonts w:eastAsia="仿宋_GB2312"/>
      <w:sz w:val="32"/>
      <w:szCs w:val="24"/>
    </w:rPr>
  </w:style>
  <w:style w:type="character" w:customStyle="1" w:styleId="10">
    <w:name w:val="页脚 Char"/>
    <w:link w:val="4"/>
    <w:qFormat/>
    <w:uiPriority w:val="99"/>
    <w:rPr>
      <w:rFonts w:eastAsia="黑体"/>
      <w:sz w:val="18"/>
      <w:szCs w:val="18"/>
    </w:rPr>
  </w:style>
  <w:style w:type="character" w:customStyle="1" w:styleId="11">
    <w:name w:val="批注框文本 Char"/>
    <w:link w:val="3"/>
    <w:semiHidden/>
    <w:qFormat/>
    <w:uiPriority w:val="0"/>
    <w:rPr>
      <w:sz w:val="18"/>
      <w:szCs w:val="18"/>
    </w:rPr>
  </w:style>
  <w:style w:type="character" w:customStyle="1" w:styleId="12">
    <w:name w:val="页眉 Char"/>
    <w:link w:val="5"/>
    <w:qFormat/>
    <w:uiPriority w:val="0"/>
    <w:rPr>
      <w:sz w:val="18"/>
      <w:szCs w:val="18"/>
    </w:rPr>
  </w:style>
  <w:style w:type="character" w:customStyle="1" w:styleId="13">
    <w:name w:val="页眉 Char1"/>
    <w:basedOn w:val="8"/>
    <w:semiHidden/>
    <w:qFormat/>
    <w:uiPriority w:val="99"/>
    <w:rPr>
      <w:rFonts w:ascii="Times New Roman" w:hAnsi="Times New Roman" w:eastAsia="宋体" w:cs="Times New Roman"/>
      <w:sz w:val="18"/>
      <w:szCs w:val="18"/>
    </w:rPr>
  </w:style>
  <w:style w:type="character" w:customStyle="1" w:styleId="14">
    <w:name w:val="正文文本缩进 3 Char1"/>
    <w:basedOn w:val="8"/>
    <w:semiHidden/>
    <w:qFormat/>
    <w:uiPriority w:val="99"/>
    <w:rPr>
      <w:rFonts w:ascii="Times New Roman" w:hAnsi="Times New Roman" w:eastAsia="宋体" w:cs="Times New Roman"/>
      <w:sz w:val="16"/>
      <w:szCs w:val="16"/>
    </w:rPr>
  </w:style>
  <w:style w:type="character" w:customStyle="1" w:styleId="15">
    <w:name w:val="页脚 Char1"/>
    <w:basedOn w:val="8"/>
    <w:semiHidden/>
    <w:qFormat/>
    <w:uiPriority w:val="99"/>
    <w:rPr>
      <w:rFonts w:ascii="Times New Roman" w:hAnsi="Times New Roman" w:eastAsia="宋体" w:cs="Times New Roman"/>
      <w:sz w:val="18"/>
      <w:szCs w:val="18"/>
    </w:rPr>
  </w:style>
  <w:style w:type="character" w:customStyle="1" w:styleId="16">
    <w:name w:val="批注框文本 Char1"/>
    <w:basedOn w:val="8"/>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5F77F-E30E-46AB-AC53-685FE496AD87}">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22</Pages>
  <Words>6596</Words>
  <Characters>7910</Characters>
  <Lines>71</Lines>
  <Paragraphs>20</Paragraphs>
  <TotalTime>3</TotalTime>
  <ScaleCrop>false</ScaleCrop>
  <LinksUpToDate>false</LinksUpToDate>
  <CharactersWithSpaces>8574</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2021-04-13T17:35:00Z</dcterms:created>
  <dc:creator>闫超</dc:creator>
  <cp:lastModifiedBy>Administrator</cp:lastModifiedBy>
  <cp:lastPrinted>2021-02-07T13:18:00Z</cp:lastPrinted>
  <dcterms:modified xsi:type="dcterms:W3CDTF">2022-04-04T16:55:57Z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997907753ABE4C2598070ED1242EA994</vt:lpwstr>
  </property>
</Properties>
</file>