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昌吉州教育局2021年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昌吉州教育局</w:t>
      </w:r>
      <w:r>
        <w:rPr>
          <w:rFonts w:hint="eastAsia" w:ascii="仿宋_GB2312" w:hAnsi="宋体" w:eastAsia="仿宋_GB2312"/>
          <w:b/>
          <w:kern w:val="0"/>
          <w:sz w:val="32"/>
          <w:szCs w:val="32"/>
          <w:lang w:eastAsia="zh-CN"/>
        </w:rPr>
        <w:t>单位</w:t>
      </w:r>
      <w:bookmarkStart w:id="0" w:name="_GoBack"/>
      <w:bookmarkEnd w:id="0"/>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一、昌吉州教育局收支总体情况表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二、昌吉州教育局收入总体情况表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三、昌吉州教育局支出总体情况表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一、关于昌吉州教育局2021年收支预算情况的总体说明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二、关于昌吉州教育局2021年收入预算情况说明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三、关于昌吉州教育局2021年支出预算情况说明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昌吉州教育局2021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五、关于昌吉州教育局2021年一般公共预算当年拨款情况说明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六、关于昌吉州教育局2021年一般公共预算基本支出情况说明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七、关于昌吉州教育局2021年一般公共预算项目支出情况说明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八、关于昌吉州教育局2021年一般公共预算“三公”经费预算情况说明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九、关于昌吉州教育局2021年政府性基金预算拨款情况说明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昌吉州教育局</w:t>
      </w:r>
      <w:r>
        <w:rPr>
          <w:rFonts w:hint="eastAsia" w:ascii="黑体" w:hAnsi="黑体" w:eastAsia="黑体"/>
          <w:kern w:val="0"/>
          <w:sz w:val="32"/>
          <w:szCs w:val="32"/>
          <w:lang w:eastAsia="zh-CN"/>
        </w:rPr>
        <w:t>单位</w:t>
      </w:r>
      <w:r>
        <w:rPr>
          <w:rFonts w:hint="eastAsia" w:ascii="黑体" w:hAnsi="黑体" w:eastAsia="黑体"/>
          <w:kern w:val="0"/>
          <w:sz w:val="32"/>
          <w:szCs w:val="32"/>
        </w:rPr>
        <w:t>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昌吉州教育局贯彻落实党中央关于数育工作的方针政策和决策部署以及自治区、自治州党委工作要求，在履行职责过程中坚持和加强党对教育工作的集中统一领导。主要职责是：</w:t>
      </w:r>
    </w:p>
    <w:p>
      <w:pPr>
        <w:spacing w:line="560" w:lineRule="exact"/>
        <w:rPr>
          <w:rFonts w:ascii="仿宋" w:hAnsi="仿宋" w:eastAsia="仿宋" w:cs="仿宋"/>
          <w:sz w:val="32"/>
          <w:szCs w:val="32"/>
        </w:rPr>
      </w:pPr>
      <w:r>
        <w:rPr>
          <w:rFonts w:hint="eastAsia" w:ascii="仿宋" w:hAnsi="仿宋" w:eastAsia="仿宋" w:cs="仿宋"/>
          <w:bCs/>
          <w:kern w:val="0"/>
          <w:sz w:val="32"/>
          <w:szCs w:val="32"/>
        </w:rPr>
        <w:t xml:space="preserve">   </w:t>
      </w:r>
      <w:r>
        <w:rPr>
          <w:rFonts w:hint="eastAsia" w:ascii="仿宋" w:hAnsi="仿宋" w:eastAsia="仿宋" w:cs="仿宋"/>
          <w:sz w:val="32"/>
          <w:szCs w:val="32"/>
        </w:rPr>
        <w:t>（一）全面贯彻执行党和国家、自治区有关教育工作的方针政策、法律法规，拟订自治州教育改革与发展的政策措施和规划并监督实施。</w:t>
      </w:r>
      <w:r>
        <w:rPr>
          <w:rFonts w:hint="eastAsia" w:ascii="仿宋" w:hAnsi="仿宋" w:eastAsia="仿宋" w:cs="仿宋"/>
          <w:sz w:val="32"/>
          <w:szCs w:val="32"/>
        </w:rPr>
        <w:br w:type="textWrapping"/>
      </w:r>
      <w:r>
        <w:rPr>
          <w:rFonts w:hint="eastAsia" w:ascii="仿宋" w:hAnsi="仿宋" w:eastAsia="仿宋" w:cs="仿宋"/>
          <w:sz w:val="32"/>
          <w:szCs w:val="32"/>
        </w:rPr>
        <w:t xml:space="preserve">    (二)负责全州各级各类教育的统筹规划和综合协调，制定教育事业发晨规划和计划，确定教育事业发展重点、规模、速度和步聚，指导协调各县(市)、各部门贯彻落实；负责中小学德育和普法依法治理工作；指导各级各类学校的教育教学改草。</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参与管理州本级教育经费预决算的管理，会同有关部门筹措教育经费，制定教育基建投资规划、方案；负责自治州各级各类学校的校舍建设及各项配套设施建设；指导、协调家庭经济困难学生资助管理工作；负责教育基本信息的统计、分析和发布；统筹推进教育扶贫工作。</w:t>
      </w:r>
      <w:r>
        <w:rPr>
          <w:rFonts w:hint="eastAsia" w:ascii="仿宋" w:hAnsi="仿宋" w:eastAsia="仿宋" w:cs="仿宋"/>
          <w:sz w:val="32"/>
          <w:szCs w:val="32"/>
        </w:rPr>
        <w:br w:type="textWrapping"/>
      </w:r>
      <w:r>
        <w:rPr>
          <w:rFonts w:hint="eastAsia" w:ascii="仿宋" w:hAnsi="仿宋" w:eastAsia="仿宋" w:cs="仿宋"/>
          <w:sz w:val="32"/>
          <w:szCs w:val="32"/>
        </w:rPr>
        <w:t xml:space="preserve">    (四)指导各级各类学校的体育卫生艺术教育、劳动实践教育和科学教育，协助有关部门做好学校国防教育和军训工作。</w:t>
      </w:r>
      <w:r>
        <w:rPr>
          <w:rFonts w:hint="eastAsia" w:ascii="仿宋" w:hAnsi="仿宋" w:eastAsia="仿宋" w:cs="仿宋"/>
          <w:sz w:val="32"/>
          <w:szCs w:val="32"/>
        </w:rPr>
        <w:br w:type="textWrapping"/>
      </w:r>
      <w:r>
        <w:rPr>
          <w:rFonts w:hint="eastAsia" w:ascii="仿宋" w:hAnsi="仿宋" w:eastAsia="仿宋" w:cs="仿宋"/>
          <w:sz w:val="32"/>
          <w:szCs w:val="32"/>
        </w:rPr>
        <w:t xml:space="preserve">    (五)指导教育系统单位、各级各类学校的安全稳定和政治保卫工作；负责制定自治州学校安全工作考核目标，建立安全目标责任制和事故责任追究制，负责平安校园建设，督促检查、指导学校安全工作；负责应急协调和维稳措施的督促落实工作。</w:t>
      </w:r>
      <w:r>
        <w:rPr>
          <w:rFonts w:hint="eastAsia" w:ascii="仿宋" w:hAnsi="仿宋" w:eastAsia="仿宋" w:cs="仿宋"/>
          <w:sz w:val="32"/>
          <w:szCs w:val="32"/>
        </w:rPr>
        <w:br w:type="textWrapping"/>
      </w:r>
      <w:r>
        <w:rPr>
          <w:rFonts w:hint="eastAsia" w:ascii="仿宋" w:hAnsi="仿宋" w:eastAsia="仿宋" w:cs="仿宋"/>
          <w:sz w:val="32"/>
          <w:szCs w:val="32"/>
        </w:rPr>
        <w:t xml:space="preserve">    (六)负责义务教育的宏观指导和协调，推进义务教育优质均衡发展，促进育公平；综合管理公州普通高中教育、学前教育、特殊教育、职业教育、成人教育和民办教育等工作，积极推广国家通用语言文字教学；负责各级各类学校教材及中小学教辅材料的征订、使用和监督管理；指导协调各县(市)各部门的有关教育工作。</w:t>
      </w:r>
      <w:r>
        <w:rPr>
          <w:rFonts w:hint="eastAsia" w:ascii="仿宋" w:hAnsi="仿宋" w:eastAsia="仿宋" w:cs="仿宋"/>
          <w:sz w:val="32"/>
          <w:szCs w:val="32"/>
        </w:rPr>
        <w:br w:type="textWrapping"/>
      </w:r>
      <w:r>
        <w:rPr>
          <w:rFonts w:hint="eastAsia" w:ascii="仿宋" w:hAnsi="仿宋" w:eastAsia="仿宋" w:cs="仿宋"/>
          <w:sz w:val="32"/>
          <w:szCs w:val="32"/>
        </w:rPr>
        <w:t xml:space="preserve">    (七)统筹指导职业教育发展改革工作，负责学科、专业建设；参与拟订高职院校、中等职业学校毕业生就业政策措施，指导开展就业创业工作。</w:t>
      </w:r>
      <w:r>
        <w:rPr>
          <w:rFonts w:hint="eastAsia" w:ascii="仿宋" w:hAnsi="仿宋" w:eastAsia="仿宋" w:cs="仿宋"/>
          <w:sz w:val="32"/>
          <w:szCs w:val="32"/>
        </w:rPr>
        <w:br w:type="textWrapping"/>
      </w:r>
      <w:r>
        <w:rPr>
          <w:rFonts w:hint="eastAsia" w:ascii="仿宋" w:hAnsi="仿宋" w:eastAsia="仿宋" w:cs="仿宋"/>
          <w:sz w:val="32"/>
          <w:szCs w:val="32"/>
        </w:rPr>
        <w:t xml:space="preserve">    (八)负责教育系统人才队伍建设，会同自治州党委组织部，负责自治州直属中小学领导班子、中层于部及后各干部选拔使用和管理工作；负责教师培养培训规划和组织实施工作；负责教育系统教师招聘、专业技术职务评聘、教师继续教育和教师资格认定工作；负责具有师资格的大中专毕业生就业指导工作。</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(九)负责自治州内地高中班、区内初中班的协调、宣传、组织统考、协助招生等工作；协助办班省市和学校做好内地新疆高中班、区内初中班学生的教育和管理工作。</w:t>
      </w:r>
      <w:r>
        <w:rPr>
          <w:rFonts w:hint="eastAsia" w:ascii="仿宋" w:hAnsi="仿宋" w:eastAsia="仿宋" w:cs="仿宋"/>
          <w:sz w:val="32"/>
          <w:szCs w:val="32"/>
        </w:rPr>
        <w:br w:type="textWrapping"/>
      </w:r>
      <w:r>
        <w:rPr>
          <w:rFonts w:hint="eastAsia" w:ascii="仿宋" w:hAnsi="仿宋" w:eastAsia="仿宋" w:cs="仿宋"/>
          <w:sz w:val="32"/>
          <w:szCs w:val="32"/>
        </w:rPr>
        <w:t xml:space="preserve">    (十)归ロ管理全州学历教育及其考试工作，统筹管理各级各类招生计划并组织实施。</w:t>
      </w:r>
      <w:r>
        <w:rPr>
          <w:rFonts w:hint="eastAsia" w:ascii="仿宋" w:hAnsi="仿宋" w:eastAsia="仿宋" w:cs="仿宋"/>
          <w:sz w:val="32"/>
          <w:szCs w:val="32"/>
        </w:rPr>
        <w:br w:type="textWrapping"/>
      </w:r>
      <w:r>
        <w:rPr>
          <w:rFonts w:hint="eastAsia" w:ascii="仿宋" w:hAnsi="仿宋" w:eastAsia="仿宋" w:cs="仿宋"/>
          <w:sz w:val="32"/>
          <w:szCs w:val="32"/>
        </w:rPr>
        <w:t xml:space="preserve">    (十ー)指导教育体制和办学体制改革工作。</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(十ニ)归ロ管理教育系统对外交流合作、出国留学和来昌留学工作。</w:t>
      </w:r>
      <w:r>
        <w:rPr>
          <w:rFonts w:hint="eastAsia" w:ascii="仿宋" w:hAnsi="仿宋" w:eastAsia="仿宋" w:cs="仿宋"/>
          <w:sz w:val="32"/>
          <w:szCs w:val="32"/>
        </w:rPr>
        <w:br w:type="textWrapping"/>
      </w:r>
      <w:r>
        <w:rPr>
          <w:rFonts w:hint="eastAsia" w:ascii="仿宋" w:hAnsi="仿宋" w:eastAsia="仿宋" w:cs="仿宋"/>
          <w:sz w:val="32"/>
          <w:szCs w:val="32"/>
        </w:rPr>
        <w:t xml:space="preserve">    (十三)指导教育系统教育教学研究及教育信息化工作。</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十四)负责国家通用语言文字的宣传规划、规范推广和普及应用等工作；负责民族语言文字规范化、标准化、信息化工作；负责民族语言文字监测、研究、科研和文化保护工作；承担民族语言文字翻译专业人才规划和培养培训工作。</w:t>
      </w:r>
    </w:p>
    <w:p>
      <w:pPr>
        <w:spacing w:line="560" w:lineRule="exact"/>
        <w:ind w:firstLine="640" w:firstLineChars="200"/>
        <w:rPr>
          <w:rFonts w:ascii="仿宋_GB2312" w:hAnsi="宋体" w:eastAsia="仿宋_GB2312" w:cs="宋体"/>
          <w:bCs/>
          <w:kern w:val="0"/>
          <w:sz w:val="32"/>
          <w:szCs w:val="32"/>
        </w:rPr>
      </w:pPr>
      <w:r>
        <w:rPr>
          <w:rFonts w:hint="eastAsia" w:ascii="仿宋" w:hAnsi="仿宋" w:eastAsia="仿宋" w:cs="仿宋"/>
          <w:sz w:val="32"/>
          <w:szCs w:val="32"/>
        </w:rPr>
        <w:t>(十五)承担自治州人民政府教育督导委员会的具体工作，制定自治州教育督导计划和评估方案，并进行指导、监督、检查和评估；负责对教育发展状况和教育质量开展评估、监测；负责自治州直属中小学绩效考核工作。</w:t>
      </w:r>
      <w:r>
        <w:rPr>
          <w:rFonts w:hint="eastAsia" w:ascii="仿宋" w:hAnsi="仿宋" w:eastAsia="仿宋" w:cs="仿宋"/>
          <w:sz w:val="32"/>
          <w:szCs w:val="32"/>
        </w:rPr>
        <w:br w:type="textWrapping"/>
      </w:r>
      <w:r>
        <w:rPr>
          <w:rFonts w:hint="eastAsia" w:ascii="仿宋" w:hAnsi="仿宋" w:eastAsia="仿宋" w:cs="仿宋"/>
          <w:sz w:val="32"/>
          <w:szCs w:val="32"/>
        </w:rPr>
        <w:t xml:space="preserve">    (十六)完成自治州党委、自治州人民政府交办的其他任务。</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 w:hAnsi="仿宋" w:eastAsia="仿宋" w:cs="宋体"/>
          <w:kern w:val="0"/>
          <w:sz w:val="32"/>
          <w:szCs w:val="32"/>
        </w:rPr>
      </w:pPr>
      <w:r>
        <w:rPr>
          <w:rFonts w:hint="eastAsia" w:ascii="仿宋" w:hAnsi="仿宋" w:eastAsia="仿宋" w:cs="宋体"/>
          <w:bCs/>
          <w:kern w:val="0"/>
          <w:sz w:val="32"/>
          <w:szCs w:val="32"/>
        </w:rPr>
        <w:t>昌吉州教育局无下属预算单位，下设15个处室，分别是：办公室（政策法规科）、组织人事科、基础教育科、成人职业教育科（语委）、思想政治教育科、安全管理科、教师工作科、州人民政府教育督导室、州民办教育和内地新疆学生指导中心、州学生资助中心、州教育评估中心、州教育财务审计中心、州学前教育工作中心、州教育安全服务中心、州语言文字普及推广中心。</w:t>
      </w:r>
    </w:p>
    <w:p>
      <w:pPr>
        <w:widowControl/>
        <w:spacing w:line="560" w:lineRule="exact"/>
        <w:ind w:firstLine="640" w:firstLineChars="200"/>
        <w:jc w:val="left"/>
        <w:rPr>
          <w:rFonts w:ascii="仿宋" w:hAnsi="仿宋" w:eastAsia="仿宋"/>
          <w:kern w:val="0"/>
          <w:sz w:val="32"/>
          <w:szCs w:val="32"/>
        </w:rPr>
      </w:pPr>
      <w:r>
        <w:rPr>
          <w:rFonts w:hint="eastAsia" w:ascii="仿宋" w:hAnsi="仿宋" w:eastAsia="仿宋" w:cs="宋体"/>
          <w:kern w:val="0"/>
          <w:sz w:val="32"/>
          <w:szCs w:val="32"/>
        </w:rPr>
        <w:t>州教育局编制数62，实有人数</w:t>
      </w:r>
      <w:r>
        <w:rPr>
          <w:rFonts w:hint="eastAsia" w:ascii="仿宋" w:hAnsi="仿宋" w:eastAsia="仿宋" w:cs="宋体"/>
          <w:kern w:val="0"/>
          <w:sz w:val="32"/>
          <w:szCs w:val="32"/>
          <w:lang w:val="en-US" w:eastAsia="zh-CN"/>
        </w:rPr>
        <w:t>117</w:t>
      </w:r>
      <w:r>
        <w:rPr>
          <w:rFonts w:hint="eastAsia" w:ascii="仿宋" w:hAnsi="仿宋" w:eastAsia="仿宋" w:cs="宋体"/>
          <w:kern w:val="0"/>
          <w:sz w:val="32"/>
          <w:szCs w:val="32"/>
        </w:rPr>
        <w:t>人，其中：在职54人，增加16人；退休62人，增加4人；离休1人，增加0人。</w:t>
      </w:r>
    </w:p>
    <w:p>
      <w:pPr>
        <w:widowControl/>
        <w:spacing w:line="480" w:lineRule="exact"/>
        <w:jc w:val="left"/>
        <w:rPr>
          <w:rFonts w:ascii="黑体" w:hAnsi="黑体" w:eastAsia="黑体"/>
          <w:kern w:val="0"/>
          <w:sz w:val="32"/>
          <w:szCs w:val="32"/>
        </w:rPr>
      </w:pPr>
    </w:p>
    <w:p>
      <w:pPr>
        <w:widowControl/>
        <w:spacing w:line="480" w:lineRule="exact"/>
        <w:jc w:val="left"/>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昌吉州教育局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1091.74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1091.74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904.78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71.92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115.04</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1091.74</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1091.74</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编制单位：昌吉州教育局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741" w:type="dxa"/>
        <w:tblInd w:w="-450" w:type="dxa"/>
        <w:tblLayout w:type="fixed"/>
        <w:tblCellMar>
          <w:top w:w="0" w:type="dxa"/>
          <w:left w:w="108" w:type="dxa"/>
          <w:bottom w:w="0" w:type="dxa"/>
          <w:right w:w="108" w:type="dxa"/>
        </w:tblCellMar>
      </w:tblPr>
      <w:tblGrid>
        <w:gridCol w:w="558"/>
        <w:gridCol w:w="567"/>
        <w:gridCol w:w="567"/>
        <w:gridCol w:w="1704"/>
        <w:gridCol w:w="1018"/>
        <w:gridCol w:w="850"/>
        <w:gridCol w:w="612"/>
        <w:gridCol w:w="892"/>
        <w:gridCol w:w="921"/>
        <w:gridCol w:w="660"/>
        <w:gridCol w:w="708"/>
        <w:gridCol w:w="684"/>
      </w:tblGrid>
      <w:tr>
        <w:tblPrEx>
          <w:tblCellMar>
            <w:top w:w="0" w:type="dxa"/>
            <w:left w:w="108" w:type="dxa"/>
            <w:bottom w:w="0" w:type="dxa"/>
            <w:right w:w="108" w:type="dxa"/>
          </w:tblCellMar>
        </w:tblPrEx>
        <w:trPr>
          <w:trHeight w:val="510" w:hRule="atLeast"/>
        </w:trPr>
        <w:tc>
          <w:tcPr>
            <w:tcW w:w="169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7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left"/>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61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89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7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jc w:val="left"/>
              <w:rPr>
                <w:rFonts w:ascii="仿宋_GB2312" w:hAnsi="宋体" w:eastAsia="仿宋_GB2312" w:cs="宋体"/>
                <w:color w:val="000000"/>
                <w:sz w:val="18"/>
                <w:szCs w:val="18"/>
              </w:rPr>
            </w:pPr>
          </w:p>
        </w:tc>
        <w:tc>
          <w:tcPr>
            <w:tcW w:w="61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9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教育支出</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904.78</w:t>
            </w:r>
          </w:p>
        </w:tc>
        <w:tc>
          <w:tcPr>
            <w:tcW w:w="8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904.78</w:t>
            </w:r>
          </w:p>
        </w:tc>
        <w:tc>
          <w:tcPr>
            <w:tcW w:w="61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教育管理事务</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904.78</w:t>
            </w:r>
          </w:p>
        </w:tc>
        <w:tc>
          <w:tcPr>
            <w:tcW w:w="8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904.78</w:t>
            </w:r>
          </w:p>
        </w:tc>
        <w:tc>
          <w:tcPr>
            <w:tcW w:w="61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725.78</w:t>
            </w:r>
          </w:p>
        </w:tc>
        <w:tc>
          <w:tcPr>
            <w:tcW w:w="8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725.78</w:t>
            </w:r>
          </w:p>
        </w:tc>
        <w:tc>
          <w:tcPr>
            <w:tcW w:w="61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其他教育管理事务支出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115.04</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115.04</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115.04</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115.04</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86.03</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86.03</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27.93</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27.93</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1.08</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1.08</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1091.74</w:t>
            </w:r>
          </w:p>
        </w:tc>
        <w:tc>
          <w:tcPr>
            <w:tcW w:w="85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1091.74</w:t>
            </w:r>
          </w:p>
        </w:tc>
        <w:tc>
          <w:tcPr>
            <w:tcW w:w="6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编制单位：昌吉州教育局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420" w:type="dxa"/>
        <w:tblInd w:w="-240" w:type="dxa"/>
        <w:tblLayout w:type="fixed"/>
        <w:tblCellMar>
          <w:top w:w="0" w:type="dxa"/>
          <w:left w:w="108" w:type="dxa"/>
          <w:bottom w:w="0" w:type="dxa"/>
          <w:right w:w="108" w:type="dxa"/>
        </w:tblCellMar>
      </w:tblPr>
      <w:tblGrid>
        <w:gridCol w:w="632"/>
        <w:gridCol w:w="567"/>
        <w:gridCol w:w="567"/>
        <w:gridCol w:w="2039"/>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76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0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0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教育支出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904.78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904.78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教育管理事务</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904.78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904.78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01</w:t>
            </w: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725.78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725.78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02</w:t>
            </w: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一般行政管理事务</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169</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169</w:t>
            </w: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205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99</w:t>
            </w: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其他教育管理事务支出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10</w:t>
            </w: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社会保障和就业支出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71.92</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71.92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yellow"/>
              </w:rPr>
            </w:pPr>
            <w:r>
              <w:rPr>
                <w:rFonts w:hint="eastAsia" w:ascii="仿宋_GB2312" w:hAnsi="宋体" w:eastAsia="仿宋_GB2312" w:cs="宋体"/>
                <w:color w:val="000000"/>
                <w:sz w:val="18"/>
                <w:szCs w:val="18"/>
              </w:rPr>
              <w:t>行政事业单位养老支出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71.92</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71.92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71.92</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71.92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卫生健康支出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115.04</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115.04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行政事业单位医疗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115.04</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115.04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86.03</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86.03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27.93</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27.93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03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90"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0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0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1091.74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912.74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179</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编制单位：昌吉州教育局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4"/>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 w:val="18"/>
                <w:szCs w:val="18"/>
              </w:rPr>
              <w:t>1091.74</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 w:val="18"/>
                <w:szCs w:val="18"/>
              </w:rPr>
              <w:t>1091.74</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904.78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904.78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71.92</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71.92</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115.04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115.04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1091.74</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1091.74</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1091.74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14" w:type="dxa"/>
        <w:tblInd w:w="-34" w:type="dxa"/>
        <w:tblLayout w:type="fixed"/>
        <w:tblCellMar>
          <w:top w:w="0" w:type="dxa"/>
          <w:left w:w="108" w:type="dxa"/>
          <w:bottom w:w="0" w:type="dxa"/>
          <w:right w:w="108" w:type="dxa"/>
        </w:tblCellMar>
      </w:tblPr>
      <w:tblGrid>
        <w:gridCol w:w="568"/>
        <w:gridCol w:w="492"/>
        <w:gridCol w:w="500"/>
        <w:gridCol w:w="2427"/>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编制单位：昌吉州教育局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56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2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2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525"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教育支出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904.78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725.78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w:t>
            </w:r>
          </w:p>
        </w:tc>
      </w:tr>
      <w:tr>
        <w:tblPrEx>
          <w:tblCellMar>
            <w:top w:w="0" w:type="dxa"/>
            <w:left w:w="108" w:type="dxa"/>
            <w:bottom w:w="0" w:type="dxa"/>
            <w:right w:w="108" w:type="dxa"/>
          </w:tblCellMar>
        </w:tblPrEx>
        <w:trPr>
          <w:trHeight w:val="57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教育管理事务</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904.78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725.78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725.78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725.78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54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169</w:t>
            </w:r>
          </w:p>
        </w:tc>
      </w:tr>
      <w:tr>
        <w:tblPrEx>
          <w:tblCellMar>
            <w:top w:w="0" w:type="dxa"/>
            <w:left w:w="108" w:type="dxa"/>
            <w:bottom w:w="0" w:type="dxa"/>
            <w:right w:w="108" w:type="dxa"/>
          </w:tblCellMar>
        </w:tblPrEx>
        <w:trPr>
          <w:trHeight w:val="57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其他教育管理事务支出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71.92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71.92</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71.92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115.04</w:t>
            </w:r>
          </w:p>
        </w:tc>
        <w:tc>
          <w:tcPr>
            <w:tcW w:w="1842" w:type="dxa"/>
            <w:gridSpan w:val="2"/>
            <w:tcBorders>
              <w:top w:val="nil"/>
              <w:left w:val="nil"/>
              <w:bottom w:val="single" w:color="auto" w:sz="4" w:space="0"/>
              <w:right w:val="single" w:color="auto" w:sz="4" w:space="0"/>
            </w:tcBorders>
            <w:vAlign w:val="center"/>
          </w:tcPr>
          <w:p>
            <w:pPr>
              <w:tabs>
                <w:tab w:val="left" w:pos="214"/>
              </w:tabs>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115.04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115.04</w:t>
            </w:r>
          </w:p>
        </w:tc>
        <w:tc>
          <w:tcPr>
            <w:tcW w:w="1842" w:type="dxa"/>
            <w:gridSpan w:val="2"/>
            <w:tcBorders>
              <w:top w:val="nil"/>
              <w:left w:val="nil"/>
              <w:bottom w:val="single" w:color="auto" w:sz="4" w:space="0"/>
              <w:right w:val="single" w:color="auto" w:sz="4" w:space="0"/>
            </w:tcBorders>
            <w:vAlign w:val="center"/>
          </w:tcPr>
          <w:p>
            <w:pPr>
              <w:tabs>
                <w:tab w:val="left" w:pos="214"/>
              </w:tabs>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115.04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86.03</w:t>
            </w:r>
          </w:p>
        </w:tc>
        <w:tc>
          <w:tcPr>
            <w:tcW w:w="1842" w:type="dxa"/>
            <w:gridSpan w:val="2"/>
            <w:tcBorders>
              <w:top w:val="nil"/>
              <w:left w:val="nil"/>
              <w:bottom w:val="single" w:color="auto" w:sz="4" w:space="0"/>
              <w:right w:val="single" w:color="auto" w:sz="4" w:space="0"/>
            </w:tcBorders>
            <w:vAlign w:val="center"/>
          </w:tcPr>
          <w:p>
            <w:pPr>
              <w:tabs>
                <w:tab w:val="left" w:pos="214"/>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86.03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27.93</w:t>
            </w:r>
          </w:p>
        </w:tc>
        <w:tc>
          <w:tcPr>
            <w:tcW w:w="1842" w:type="dxa"/>
            <w:gridSpan w:val="2"/>
            <w:tcBorders>
              <w:top w:val="nil"/>
              <w:left w:val="nil"/>
              <w:bottom w:val="single" w:color="auto" w:sz="4" w:space="0"/>
              <w:right w:val="single" w:color="auto" w:sz="4" w:space="0"/>
            </w:tcBorders>
            <w:vAlign w:val="center"/>
          </w:tcPr>
          <w:p>
            <w:pPr>
              <w:tabs>
                <w:tab w:val="left" w:pos="334"/>
              </w:tabs>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27.93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7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1091.74</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912.74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179</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编制单位：昌吉州教育局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275"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84"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1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cs="Dialog"/>
                <w:color w:val="000000"/>
                <w:kern w:val="0"/>
                <w:sz w:val="18"/>
                <w:szCs w:val="18"/>
              </w:rPr>
            </w:pPr>
            <w:r>
              <w:rPr>
                <w:rFonts w:hint="eastAsia" w:ascii="Dialog" w:hAnsi="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cs="Dialog"/>
                <w:color w:val="000000"/>
                <w:kern w:val="0"/>
                <w:sz w:val="18"/>
                <w:szCs w:val="18"/>
              </w:rPr>
            </w:pPr>
            <w:r>
              <w:rPr>
                <w:rFonts w:hint="eastAsia" w:ascii="Dialog" w:hAnsi="Dialog" w:cs="Dialog"/>
                <w:color w:val="000000"/>
                <w:kern w:val="0"/>
                <w:sz w:val="18"/>
                <w:szCs w:val="18"/>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774.9</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774.9</w:t>
            </w:r>
          </w:p>
        </w:tc>
        <w:tc>
          <w:tcPr>
            <w:tcW w:w="1701" w:type="dxa"/>
            <w:tcBorders>
              <w:top w:val="nil"/>
              <w:left w:val="nil"/>
              <w:bottom w:val="single" w:color="auto" w:sz="4" w:space="0"/>
              <w:right w:val="single" w:color="auto" w:sz="4" w:space="0"/>
            </w:tcBorders>
            <w:vAlign w:val="center"/>
          </w:tcPr>
          <w:p>
            <w:pPr>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280.7</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280.7</w:t>
            </w:r>
          </w:p>
        </w:tc>
        <w:tc>
          <w:tcPr>
            <w:tcW w:w="1701" w:type="dxa"/>
            <w:tcBorders>
              <w:top w:val="nil"/>
              <w:left w:val="nil"/>
              <w:bottom w:val="single" w:color="auto" w:sz="4" w:space="0"/>
              <w:right w:val="single" w:color="auto" w:sz="4" w:space="0"/>
            </w:tcBorders>
            <w:vAlign w:val="center"/>
          </w:tcPr>
          <w:p>
            <w:pPr>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5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76.02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76.02</w:t>
            </w:r>
          </w:p>
        </w:tc>
        <w:tc>
          <w:tcPr>
            <w:tcW w:w="1701" w:type="dxa"/>
            <w:tcBorders>
              <w:top w:val="nil"/>
              <w:left w:val="nil"/>
              <w:bottom w:val="single" w:color="auto" w:sz="4" w:space="0"/>
              <w:right w:val="single" w:color="auto" w:sz="4" w:space="0"/>
            </w:tcBorders>
            <w:vAlign w:val="center"/>
          </w:tcPr>
          <w:p>
            <w:pPr>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13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19.59</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19.59</w:t>
            </w:r>
          </w:p>
        </w:tc>
        <w:tc>
          <w:tcPr>
            <w:tcW w:w="1701" w:type="dxa"/>
            <w:tcBorders>
              <w:top w:val="nil"/>
              <w:left w:val="nil"/>
              <w:bottom w:val="single" w:color="auto" w:sz="4" w:space="0"/>
              <w:right w:val="single" w:color="auto" w:sz="4" w:space="0"/>
            </w:tcBorders>
            <w:vAlign w:val="center"/>
          </w:tcPr>
          <w:p>
            <w:pPr>
              <w:tabs>
                <w:tab w:val="left" w:pos="334"/>
              </w:tabs>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71.82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71.82</w:t>
            </w:r>
          </w:p>
        </w:tc>
        <w:tc>
          <w:tcPr>
            <w:tcW w:w="1701" w:type="dxa"/>
            <w:tcBorders>
              <w:top w:val="nil"/>
              <w:left w:val="nil"/>
              <w:bottom w:val="single" w:color="auto" w:sz="4" w:space="0"/>
              <w:right w:val="single" w:color="auto" w:sz="4" w:space="0"/>
            </w:tcBorders>
            <w:vAlign w:val="center"/>
          </w:tcPr>
          <w:p>
            <w:pPr>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53.94</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53.94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78.6</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78.6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3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7.27</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7.27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5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71.92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71.92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86.03</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86.03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27.93</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27.93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1.08</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3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cs="Dialog"/>
                <w:color w:val="000000"/>
                <w:kern w:val="0"/>
                <w:sz w:val="18"/>
                <w:szCs w:val="18"/>
              </w:rPr>
            </w:pPr>
            <w:r>
              <w:rPr>
                <w:rFonts w:hint="eastAsia" w:ascii="Dialog" w:hAnsi="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cs="Dialog"/>
                <w:color w:val="000000"/>
                <w:kern w:val="0"/>
                <w:sz w:val="18"/>
                <w:szCs w:val="18"/>
              </w:rPr>
            </w:pPr>
            <w:r>
              <w:rPr>
                <w:rFonts w:hint="eastAsia" w:ascii="Dialog" w:hAnsi="Dialog" w:cs="Dialog"/>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115.84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115.84</w:t>
            </w:r>
          </w:p>
        </w:tc>
      </w:tr>
      <w:tr>
        <w:tblPrEx>
          <w:tblCellMar>
            <w:top w:w="0" w:type="dxa"/>
            <w:left w:w="108" w:type="dxa"/>
            <w:bottom w:w="0" w:type="dxa"/>
            <w:right w:w="108" w:type="dxa"/>
          </w:tblCellMar>
        </w:tblPrEx>
        <w:trPr>
          <w:trHeight w:val="184"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6.78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6.78</w:t>
            </w: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0.5</w:t>
            </w:r>
          </w:p>
        </w:tc>
      </w:tr>
      <w:tr>
        <w:tblPrEx>
          <w:tblCellMar>
            <w:top w:w="0" w:type="dxa"/>
            <w:left w:w="108" w:type="dxa"/>
            <w:bottom w:w="0" w:type="dxa"/>
            <w:right w:w="108" w:type="dxa"/>
          </w:tblCellMar>
        </w:tblPrEx>
        <w:trPr>
          <w:trHeight w:val="19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咨询费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0.5</w:t>
            </w: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w:t>
            </w:r>
          </w:p>
        </w:tc>
      </w:tr>
      <w:tr>
        <w:tblPrEx>
          <w:tblCellMar>
            <w:top w:w="0" w:type="dxa"/>
            <w:left w:w="108" w:type="dxa"/>
            <w:bottom w:w="0" w:type="dxa"/>
            <w:right w:w="108" w:type="dxa"/>
          </w:tblCellMar>
        </w:tblPrEx>
        <w:trPr>
          <w:trHeight w:val="20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i/>
                <w:iCs/>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6</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w:t>
            </w:r>
          </w:p>
        </w:tc>
      </w:tr>
      <w:tr>
        <w:tblPrEx>
          <w:tblCellMar>
            <w:top w:w="0" w:type="dxa"/>
            <w:left w:w="108" w:type="dxa"/>
            <w:bottom w:w="0" w:type="dxa"/>
            <w:right w:w="108" w:type="dxa"/>
          </w:tblCellMar>
        </w:tblPrEx>
        <w:trPr>
          <w:trHeight w:val="236"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22.15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22.15</w:t>
            </w: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物业管理费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w:t>
            </w:r>
          </w:p>
        </w:tc>
      </w:tr>
      <w:tr>
        <w:tblPrEx>
          <w:tblCellMar>
            <w:top w:w="0" w:type="dxa"/>
            <w:left w:w="108" w:type="dxa"/>
            <w:bottom w:w="0" w:type="dxa"/>
            <w:right w:w="108" w:type="dxa"/>
          </w:tblCellMar>
        </w:tblPrEx>
        <w:trPr>
          <w:trHeight w:val="25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w:t>
            </w:r>
          </w:p>
        </w:tc>
      </w:tr>
      <w:tr>
        <w:tblPrEx>
          <w:tblCellMar>
            <w:top w:w="0" w:type="dxa"/>
            <w:left w:w="108" w:type="dxa"/>
            <w:bottom w:w="0" w:type="dxa"/>
            <w:right w:w="108" w:type="dxa"/>
          </w:tblCellMar>
        </w:tblPrEx>
        <w:trPr>
          <w:trHeight w:val="22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维修(护)费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w:t>
            </w: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租赁费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0.5</w:t>
            </w: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26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劳务费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w:t>
            </w:r>
          </w:p>
        </w:tc>
      </w:tr>
      <w:tr>
        <w:tblPrEx>
          <w:tblCellMar>
            <w:top w:w="0" w:type="dxa"/>
            <w:left w:w="108" w:type="dxa"/>
            <w:bottom w:w="0" w:type="dxa"/>
            <w:right w:w="108" w:type="dxa"/>
          </w:tblCellMar>
        </w:tblPrEx>
        <w:trPr>
          <w:trHeight w:val="25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27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委托业务费-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5.61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5.61</w:t>
            </w:r>
          </w:p>
        </w:tc>
      </w:tr>
      <w:tr>
        <w:tblPrEx>
          <w:tblCellMar>
            <w:top w:w="0" w:type="dxa"/>
            <w:left w:w="108" w:type="dxa"/>
            <w:bottom w:w="0" w:type="dxa"/>
            <w:right w:w="108" w:type="dxa"/>
          </w:tblCellMar>
        </w:tblPrEx>
        <w:trPr>
          <w:trHeight w:val="22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12.91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12.91</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12.3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12.3</w:t>
            </w:r>
          </w:p>
        </w:tc>
      </w:tr>
      <w:tr>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其他交通费用</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w:t>
            </w:r>
          </w:p>
        </w:tc>
      </w:tr>
      <w:tr>
        <w:tblPrEx>
          <w:tblCellMar>
            <w:top w:w="0" w:type="dxa"/>
            <w:left w:w="108" w:type="dxa"/>
            <w:bottom w:w="0" w:type="dxa"/>
            <w:right w:w="108" w:type="dxa"/>
          </w:tblCellMar>
        </w:tblPrEx>
        <w:trPr>
          <w:trHeight w:val="22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16.59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16.59</w:t>
            </w: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cs="Dialog"/>
                <w:color w:val="000000"/>
                <w:kern w:val="0"/>
                <w:sz w:val="18"/>
                <w:szCs w:val="18"/>
              </w:rPr>
            </w:pPr>
            <w:r>
              <w:rPr>
                <w:rFonts w:hint="eastAsia" w:ascii="Dialog" w:hAnsi="Dialog" w:cs="Dialog"/>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22</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2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hint="eastAsia" w:ascii="宋体" w:hAnsi="宋体" w:cs="宋体"/>
                <w:color w:val="000000"/>
                <w:kern w:val="0"/>
                <w:sz w:val="18"/>
                <w:szCs w:val="18"/>
              </w:rPr>
              <w:t>离休费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11.48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11.48</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2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cs="Dialog"/>
                <w:color w:val="000000"/>
                <w:kern w:val="0"/>
                <w:sz w:val="18"/>
                <w:szCs w:val="18"/>
              </w:rPr>
            </w:pPr>
            <w:r>
              <w:rPr>
                <w:rFonts w:hint="eastAsia" w:ascii="Dialog" w:hAnsi="Dialog" w:cs="Dialog"/>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4.22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4.22</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ascii="Dialog" w:hAnsi="Dialog" w:eastAsia="Dialog" w:cs="Dialog"/>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left"/>
              <w:textAlignment w:val="center"/>
              <w:rPr>
                <w:rFonts w:ascii="Dialog" w:hAnsi="Dialog" w:cs="Dialog"/>
                <w:color w:val="000000"/>
                <w:kern w:val="0"/>
                <w:sz w:val="18"/>
                <w:szCs w:val="18"/>
              </w:rPr>
            </w:pPr>
            <w:r>
              <w:rPr>
                <w:rFonts w:hint="eastAsia" w:ascii="Dialog" w:hAnsi="Dialog" w:cs="Dialog"/>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18"/>
                <w:szCs w:val="18"/>
              </w:rPr>
            </w:pPr>
            <w:r>
              <w:rPr>
                <w:rFonts w:hint="eastAsia" w:ascii="宋体" w:hAnsi="宋体"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6.3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6.3</w:t>
            </w: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912.74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796.9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115.84</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116" w:type="dxa"/>
        <w:tblInd w:w="0" w:type="dxa"/>
        <w:tblLayout w:type="fixed"/>
        <w:tblCellMar>
          <w:top w:w="0" w:type="dxa"/>
          <w:left w:w="108" w:type="dxa"/>
          <w:bottom w:w="0" w:type="dxa"/>
          <w:right w:w="108" w:type="dxa"/>
        </w:tblCellMar>
      </w:tblPr>
      <w:tblGrid>
        <w:gridCol w:w="262"/>
        <w:gridCol w:w="393"/>
        <w:gridCol w:w="428"/>
        <w:gridCol w:w="428"/>
        <w:gridCol w:w="970"/>
        <w:gridCol w:w="1176"/>
        <w:gridCol w:w="781"/>
        <w:gridCol w:w="201"/>
        <w:gridCol w:w="201"/>
        <w:gridCol w:w="687"/>
        <w:gridCol w:w="405"/>
        <w:gridCol w:w="405"/>
        <w:gridCol w:w="293"/>
        <w:gridCol w:w="293"/>
        <w:gridCol w:w="401"/>
        <w:gridCol w:w="586"/>
        <w:gridCol w:w="401"/>
        <w:gridCol w:w="405"/>
        <w:gridCol w:w="200"/>
        <w:gridCol w:w="200"/>
      </w:tblGrid>
      <w:tr>
        <w:trPr>
          <w:gridBefore w:val="1"/>
          <w:gridAfter w:val="1"/>
          <w:wBefore w:w="262" w:type="dxa"/>
          <w:wAfter w:w="200" w:type="dxa"/>
          <w:trHeight w:val="375" w:hRule="atLeast"/>
        </w:trPr>
        <w:tc>
          <w:tcPr>
            <w:tcW w:w="8654"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262" w:type="dxa"/>
          <w:wAfter w:w="200" w:type="dxa"/>
          <w:trHeight w:val="405" w:hRule="atLeast"/>
        </w:trPr>
        <w:tc>
          <w:tcPr>
            <w:tcW w:w="4377"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编制单位：昌吉州教育局</w:t>
            </w:r>
          </w:p>
        </w:tc>
        <w:tc>
          <w:tcPr>
            <w:tcW w:w="888"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10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28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1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7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7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8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02"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8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0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0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8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0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8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0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0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0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7" w:hRule="atLeast"/>
        </w:trPr>
        <w:tc>
          <w:tcPr>
            <w:tcW w:w="655"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7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7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8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2"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8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6"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55" w:type="dxa"/>
            <w:gridSpan w:val="2"/>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18"/>
                <w:szCs w:val="18"/>
              </w:rPr>
              <w:t>205</w:t>
            </w:r>
          </w:p>
        </w:tc>
        <w:tc>
          <w:tcPr>
            <w:tcW w:w="428" w:type="dxa"/>
            <w:vAlign w:val="center"/>
          </w:tcPr>
          <w:p>
            <w:pPr>
              <w:jc w:val="center"/>
              <w:rPr>
                <w:rFonts w:ascii="仿宋_GB2312" w:hAnsi="宋体" w:eastAsia="仿宋_GB2312"/>
                <w:kern w:val="0"/>
                <w:sz w:val="18"/>
                <w:szCs w:val="18"/>
                <w:highlight w:val="yellow"/>
              </w:rPr>
            </w:pPr>
          </w:p>
        </w:tc>
        <w:tc>
          <w:tcPr>
            <w:tcW w:w="428" w:type="dxa"/>
            <w:vAlign w:val="center"/>
          </w:tcPr>
          <w:p>
            <w:pPr>
              <w:jc w:val="center"/>
              <w:rPr>
                <w:rFonts w:ascii="仿宋_GB2312" w:hAnsi="宋体" w:eastAsia="仿宋_GB2312"/>
                <w:kern w:val="0"/>
                <w:sz w:val="18"/>
                <w:szCs w:val="18"/>
                <w:highlight w:val="yellow"/>
              </w:rPr>
            </w:pPr>
          </w:p>
        </w:tc>
        <w:tc>
          <w:tcPr>
            <w:tcW w:w="970" w:type="dxa"/>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18"/>
                <w:szCs w:val="18"/>
              </w:rPr>
              <w:t>教育支出</w:t>
            </w:r>
          </w:p>
        </w:tc>
        <w:tc>
          <w:tcPr>
            <w:tcW w:w="1176" w:type="dxa"/>
            <w:vAlign w:val="center"/>
          </w:tcPr>
          <w:p>
            <w:pPr>
              <w:widowControl/>
              <w:jc w:val="left"/>
              <w:textAlignment w:val="center"/>
              <w:rPr>
                <w:rFonts w:ascii="仿宋_GB2312" w:hAnsi="仿宋_GB2312" w:eastAsia="仿宋_GB2312" w:cs="仿宋_GB2312"/>
                <w:color w:val="000000"/>
                <w:kern w:val="0"/>
                <w:sz w:val="18"/>
                <w:szCs w:val="18"/>
                <w:highlight w:val="yellow"/>
              </w:rPr>
            </w:pPr>
          </w:p>
        </w:tc>
        <w:tc>
          <w:tcPr>
            <w:tcW w:w="781" w:type="dxa"/>
            <w:vAlign w:val="center"/>
          </w:tcPr>
          <w:p>
            <w:pPr>
              <w:widowControl/>
              <w:jc w:val="righ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179</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179</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655" w:type="dxa"/>
            <w:gridSpan w:val="2"/>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18"/>
                <w:szCs w:val="18"/>
              </w:rPr>
              <w:t>205</w:t>
            </w:r>
          </w:p>
        </w:tc>
        <w:tc>
          <w:tcPr>
            <w:tcW w:w="428" w:type="dxa"/>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18"/>
                <w:szCs w:val="18"/>
              </w:rPr>
              <w:t>01</w:t>
            </w:r>
          </w:p>
        </w:tc>
        <w:tc>
          <w:tcPr>
            <w:tcW w:w="428" w:type="dxa"/>
            <w:vAlign w:val="center"/>
          </w:tcPr>
          <w:p>
            <w:pPr>
              <w:jc w:val="center"/>
              <w:rPr>
                <w:rFonts w:ascii="仿宋_GB2312" w:hAnsi="宋体" w:eastAsia="仿宋_GB2312"/>
                <w:kern w:val="0"/>
                <w:sz w:val="18"/>
                <w:szCs w:val="18"/>
                <w:highlight w:val="yellow"/>
              </w:rPr>
            </w:pPr>
          </w:p>
        </w:tc>
        <w:tc>
          <w:tcPr>
            <w:tcW w:w="970" w:type="dxa"/>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18"/>
                <w:szCs w:val="18"/>
              </w:rPr>
              <w:t>教育管理事务</w:t>
            </w:r>
          </w:p>
        </w:tc>
        <w:tc>
          <w:tcPr>
            <w:tcW w:w="1176" w:type="dxa"/>
            <w:vAlign w:val="center"/>
          </w:tcPr>
          <w:p>
            <w:pPr>
              <w:widowControl/>
              <w:jc w:val="left"/>
              <w:textAlignment w:val="center"/>
              <w:rPr>
                <w:rFonts w:ascii="仿宋_GB2312" w:hAnsi="仿宋_GB2312" w:eastAsia="仿宋_GB2312" w:cs="仿宋_GB2312"/>
                <w:color w:val="000000"/>
                <w:kern w:val="0"/>
                <w:sz w:val="18"/>
                <w:szCs w:val="18"/>
                <w:highlight w:val="yellow"/>
              </w:rPr>
            </w:pPr>
          </w:p>
        </w:tc>
        <w:tc>
          <w:tcPr>
            <w:tcW w:w="781" w:type="dxa"/>
            <w:vAlign w:val="center"/>
          </w:tcPr>
          <w:p>
            <w:pPr>
              <w:widowControl/>
              <w:jc w:val="righ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179</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179</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655"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205</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01</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02</w:t>
            </w:r>
          </w:p>
        </w:tc>
        <w:tc>
          <w:tcPr>
            <w:tcW w:w="970"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76" w:type="dxa"/>
            <w:vAlign w:val="center"/>
          </w:tcPr>
          <w:p>
            <w:pPr>
              <w:widowControl/>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对口南疆支教经费</w:t>
            </w:r>
          </w:p>
        </w:tc>
        <w:tc>
          <w:tcPr>
            <w:tcW w:w="781" w:type="dxa"/>
            <w:vAlign w:val="center"/>
          </w:tcPr>
          <w:p>
            <w:pPr>
              <w:widowControl/>
              <w:jc w:val="righ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30.00</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rPr>
              <w:t>30.00</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655"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205</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01</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02</w:t>
            </w:r>
          </w:p>
        </w:tc>
        <w:tc>
          <w:tcPr>
            <w:tcW w:w="970"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76" w:type="dxa"/>
            <w:vAlign w:val="center"/>
          </w:tcPr>
          <w:p>
            <w:pPr>
              <w:widowControl/>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国语教育经费</w:t>
            </w:r>
          </w:p>
        </w:tc>
        <w:tc>
          <w:tcPr>
            <w:tcW w:w="781" w:type="dxa"/>
            <w:vAlign w:val="center"/>
          </w:tcPr>
          <w:p>
            <w:pPr>
              <w:widowControl/>
              <w:jc w:val="righ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43.00</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rPr>
              <w:t>43.00</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55"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205</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01</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02</w:t>
            </w:r>
          </w:p>
        </w:tc>
        <w:tc>
          <w:tcPr>
            <w:tcW w:w="970"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76" w:type="dxa"/>
            <w:vAlign w:val="center"/>
          </w:tcPr>
          <w:p>
            <w:pPr>
              <w:widowControl/>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教育督导专项经费</w:t>
            </w:r>
          </w:p>
        </w:tc>
        <w:tc>
          <w:tcPr>
            <w:tcW w:w="781" w:type="dxa"/>
            <w:vAlign w:val="center"/>
          </w:tcPr>
          <w:p>
            <w:pPr>
              <w:widowControl/>
              <w:jc w:val="righ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10.00</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rPr>
              <w:t>10.00</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55"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205</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01</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02</w:t>
            </w:r>
          </w:p>
        </w:tc>
        <w:tc>
          <w:tcPr>
            <w:tcW w:w="970"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76" w:type="dxa"/>
            <w:vAlign w:val="center"/>
          </w:tcPr>
          <w:p>
            <w:pPr>
              <w:widowControl/>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校长书记培训专项经费</w:t>
            </w:r>
          </w:p>
        </w:tc>
        <w:tc>
          <w:tcPr>
            <w:tcW w:w="781" w:type="dxa"/>
            <w:vAlign w:val="center"/>
          </w:tcPr>
          <w:p>
            <w:pPr>
              <w:widowControl/>
              <w:jc w:val="righ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30.00</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rPr>
              <w:t>30.00</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55"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205</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01</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02</w:t>
            </w:r>
          </w:p>
        </w:tc>
        <w:tc>
          <w:tcPr>
            <w:tcW w:w="970"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76" w:type="dxa"/>
            <w:vAlign w:val="center"/>
          </w:tcPr>
          <w:p>
            <w:pPr>
              <w:widowControl/>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语言文字工作经费</w:t>
            </w:r>
          </w:p>
        </w:tc>
        <w:tc>
          <w:tcPr>
            <w:tcW w:w="781" w:type="dxa"/>
            <w:vAlign w:val="center"/>
          </w:tcPr>
          <w:p>
            <w:pPr>
              <w:widowControl/>
              <w:jc w:val="righ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8.00</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rPr>
              <w:t>8.00</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trPr>
        <w:tc>
          <w:tcPr>
            <w:tcW w:w="655"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205</w:t>
            </w:r>
          </w:p>
          <w:p>
            <w:pPr>
              <w:rPr>
                <w:rFonts w:ascii="仿宋_GB2312" w:hAnsi="宋体" w:eastAsia="仿宋_GB2312"/>
                <w:kern w:val="0"/>
                <w:sz w:val="18"/>
                <w:szCs w:val="18"/>
              </w:rPr>
            </w:pP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01</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02</w:t>
            </w:r>
          </w:p>
        </w:tc>
        <w:tc>
          <w:tcPr>
            <w:tcW w:w="970"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76" w:type="dxa"/>
            <w:vAlign w:val="center"/>
          </w:tcPr>
          <w:p>
            <w:pPr>
              <w:widowControl/>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中小学教师招聘经费</w:t>
            </w:r>
          </w:p>
        </w:tc>
        <w:tc>
          <w:tcPr>
            <w:tcW w:w="781" w:type="dxa"/>
            <w:vAlign w:val="center"/>
          </w:tcPr>
          <w:p>
            <w:pPr>
              <w:widowControl/>
              <w:jc w:val="righ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18.00</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rPr>
              <w:t>18.00</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55"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205</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01</w:t>
            </w:r>
          </w:p>
        </w:tc>
        <w:tc>
          <w:tcPr>
            <w:tcW w:w="428"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02</w:t>
            </w:r>
          </w:p>
        </w:tc>
        <w:tc>
          <w:tcPr>
            <w:tcW w:w="970"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176" w:type="dxa"/>
            <w:vAlign w:val="center"/>
          </w:tcPr>
          <w:p>
            <w:pPr>
              <w:widowControl/>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中小学体育竞赛活动经费</w:t>
            </w:r>
          </w:p>
        </w:tc>
        <w:tc>
          <w:tcPr>
            <w:tcW w:w="781" w:type="dxa"/>
            <w:vAlign w:val="center"/>
          </w:tcPr>
          <w:p>
            <w:pPr>
              <w:widowControl/>
              <w:jc w:val="righ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30.00</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rPr>
              <w:t>30.00</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55"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205</w:t>
            </w:r>
          </w:p>
        </w:tc>
        <w:tc>
          <w:tcPr>
            <w:tcW w:w="428"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428"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9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其他教育管理事务支出</w:t>
            </w:r>
          </w:p>
        </w:tc>
        <w:tc>
          <w:tcPr>
            <w:tcW w:w="1176" w:type="dxa"/>
            <w:vAlign w:val="center"/>
          </w:tcPr>
          <w:p>
            <w:pPr>
              <w:widowControl/>
              <w:jc w:val="lef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中小学幼儿园教师职称评审费</w:t>
            </w:r>
          </w:p>
        </w:tc>
        <w:tc>
          <w:tcPr>
            <w:tcW w:w="781" w:type="dxa"/>
            <w:vAlign w:val="center"/>
          </w:tcPr>
          <w:p>
            <w:pPr>
              <w:widowControl/>
              <w:jc w:val="right"/>
              <w:textAlignment w:val="center"/>
              <w:rPr>
                <w:rFonts w:ascii="仿宋_GB2312" w:hAnsi="仿宋_GB2312" w:eastAsia="仿宋_GB2312" w:cs="仿宋_GB2312"/>
                <w:kern w:val="0"/>
                <w:sz w:val="18"/>
                <w:szCs w:val="18"/>
              </w:rPr>
            </w:pPr>
            <w:r>
              <w:rPr>
                <w:rFonts w:hint="eastAsia" w:ascii="仿宋_GB2312" w:hAnsi="仿宋_GB2312" w:eastAsia="仿宋_GB2312" w:cs="仿宋_GB2312"/>
                <w:color w:val="000000"/>
                <w:kern w:val="0"/>
                <w:sz w:val="18"/>
                <w:szCs w:val="18"/>
              </w:rPr>
              <w:t>10.00</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right"/>
              <w:textAlignment w:val="center"/>
              <w:rPr>
                <w:rFonts w:ascii="仿宋_GB2312" w:hAnsi="宋体" w:eastAsia="仿宋_GB2312"/>
                <w:kern w:val="0"/>
                <w:sz w:val="18"/>
                <w:szCs w:val="18"/>
              </w:rPr>
            </w:pPr>
            <w:r>
              <w:rPr>
                <w:rFonts w:hint="eastAsia" w:ascii="仿宋_GB2312" w:hAnsi="仿宋_GB2312" w:eastAsia="仿宋_GB2312" w:cs="仿宋_GB2312"/>
                <w:color w:val="000000"/>
                <w:kern w:val="0"/>
                <w:sz w:val="18"/>
                <w:szCs w:val="18"/>
              </w:rPr>
              <w:t>10.00</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55" w:type="dxa"/>
            <w:gridSpan w:val="2"/>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428" w:type="dxa"/>
            <w:vAlign w:val="center"/>
          </w:tcPr>
          <w:p>
            <w:pPr>
              <w:widowControl/>
              <w:jc w:val="center"/>
              <w:outlineLvl w:val="1"/>
              <w:rPr>
                <w:rFonts w:ascii="仿宋_GB2312" w:hAnsi="宋体" w:eastAsia="仿宋_GB2312"/>
                <w:kern w:val="0"/>
                <w:sz w:val="18"/>
                <w:szCs w:val="18"/>
              </w:rPr>
            </w:pPr>
          </w:p>
        </w:tc>
        <w:tc>
          <w:tcPr>
            <w:tcW w:w="970" w:type="dxa"/>
            <w:vAlign w:val="center"/>
          </w:tcPr>
          <w:p>
            <w:pPr>
              <w:widowControl/>
              <w:jc w:val="center"/>
              <w:outlineLvl w:val="1"/>
              <w:rPr>
                <w:rFonts w:ascii="仿宋_GB2312" w:hAnsi="宋体" w:eastAsia="仿宋_GB2312"/>
                <w:kern w:val="0"/>
                <w:sz w:val="18"/>
                <w:szCs w:val="18"/>
              </w:rPr>
            </w:pPr>
          </w:p>
        </w:tc>
        <w:tc>
          <w:tcPr>
            <w:tcW w:w="117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8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179</w:t>
            </w:r>
          </w:p>
        </w:tc>
        <w:tc>
          <w:tcPr>
            <w:tcW w:w="402" w:type="dxa"/>
            <w:gridSpan w:val="2"/>
            <w:vAlign w:val="center"/>
          </w:tcPr>
          <w:p>
            <w:pPr>
              <w:widowControl/>
              <w:jc w:val="center"/>
              <w:outlineLvl w:val="1"/>
              <w:rPr>
                <w:rFonts w:ascii="仿宋_GB2312" w:hAnsi="宋体" w:eastAsia="仿宋_GB2312"/>
                <w:kern w:val="0"/>
                <w:sz w:val="18"/>
                <w:szCs w:val="18"/>
              </w:rPr>
            </w:pPr>
          </w:p>
        </w:tc>
        <w:tc>
          <w:tcPr>
            <w:tcW w:w="68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179</w:t>
            </w:r>
          </w:p>
        </w:tc>
        <w:tc>
          <w:tcPr>
            <w:tcW w:w="405"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586" w:type="dxa"/>
            <w:gridSpan w:val="2"/>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586" w:type="dxa"/>
            <w:vAlign w:val="center"/>
          </w:tcPr>
          <w:p>
            <w:pPr>
              <w:widowControl/>
              <w:jc w:val="center"/>
              <w:outlineLvl w:val="1"/>
              <w:rPr>
                <w:rFonts w:ascii="仿宋_GB2312" w:hAnsi="宋体" w:eastAsia="仿宋_GB2312"/>
                <w:kern w:val="0"/>
                <w:sz w:val="18"/>
                <w:szCs w:val="18"/>
              </w:rPr>
            </w:pPr>
          </w:p>
        </w:tc>
        <w:tc>
          <w:tcPr>
            <w:tcW w:w="401" w:type="dxa"/>
            <w:vAlign w:val="center"/>
          </w:tcPr>
          <w:p>
            <w:pPr>
              <w:widowControl/>
              <w:jc w:val="center"/>
              <w:outlineLvl w:val="1"/>
              <w:rPr>
                <w:rFonts w:ascii="仿宋_GB2312" w:hAnsi="宋体" w:eastAsia="仿宋_GB2312"/>
                <w:kern w:val="0"/>
                <w:sz w:val="18"/>
                <w:szCs w:val="18"/>
              </w:rPr>
            </w:pPr>
          </w:p>
        </w:tc>
        <w:tc>
          <w:tcPr>
            <w:tcW w:w="405" w:type="dxa"/>
            <w:vAlign w:val="center"/>
          </w:tcPr>
          <w:p>
            <w:pPr>
              <w:widowControl/>
              <w:jc w:val="center"/>
              <w:outlineLvl w:val="1"/>
              <w:rPr>
                <w:rFonts w:ascii="仿宋_GB2312" w:hAnsi="宋体" w:eastAsia="仿宋_GB2312"/>
                <w:kern w:val="0"/>
                <w:sz w:val="18"/>
                <w:szCs w:val="18"/>
              </w:rPr>
            </w:pPr>
          </w:p>
        </w:tc>
        <w:tc>
          <w:tcPr>
            <w:tcW w:w="400"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昌吉州教育局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12.3</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编制单位：昌吉州教育局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9214" w:type="dxa"/>
        <w:tblInd w:w="-34" w:type="dxa"/>
        <w:tblLayout w:type="fixed"/>
        <w:tblCellMar>
          <w:top w:w="0" w:type="dxa"/>
          <w:left w:w="108" w:type="dxa"/>
          <w:bottom w:w="0" w:type="dxa"/>
          <w:right w:w="108" w:type="dxa"/>
        </w:tblCellMar>
      </w:tblPr>
      <w:tblGrid>
        <w:gridCol w:w="585"/>
        <w:gridCol w:w="550"/>
        <w:gridCol w:w="606"/>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2021年昌吉州教育局预算情况说明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昌吉州教育局2021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按照全口径预算的原则，昌吉州教育局2021年所有收入和支出均纳入单位预算管理。收支总预算1091.74万元。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收入预算包括：一般公共预算1091.74万元。</w:t>
      </w:r>
    </w:p>
    <w:p>
      <w:pPr>
        <w:spacing w:line="560" w:lineRule="exact"/>
        <w:ind w:firstLine="640" w:firstLineChars="200"/>
        <w:rPr>
          <w:rFonts w:ascii="仿宋" w:hAnsi="仿宋" w:eastAsia="仿宋" w:cs="宋体"/>
          <w:b/>
          <w:kern w:val="0"/>
          <w:sz w:val="32"/>
          <w:szCs w:val="32"/>
        </w:rPr>
      </w:pPr>
      <w:r>
        <w:rPr>
          <w:rFonts w:hint="eastAsia" w:ascii="仿宋" w:hAnsi="仿宋" w:eastAsia="仿宋" w:cs="宋体"/>
          <w:kern w:val="0"/>
          <w:sz w:val="32"/>
          <w:szCs w:val="32"/>
        </w:rPr>
        <w:t>支出预算包括：教育支出904.78万元、社会保障和就业支出71.92万元、卫生健康支出115.04万元。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昌吉州教育局2021</w:t>
      </w:r>
      <w:r>
        <w:rPr>
          <w:rFonts w:hint="eastAsia" w:ascii="黑体" w:hAnsi="宋体" w:eastAsia="黑体" w:cs="宋体"/>
          <w:kern w:val="0"/>
          <w:sz w:val="32"/>
          <w:szCs w:val="32"/>
        </w:rPr>
        <w:t>年收入预算情况说明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昌吉州教育局收入预算1091.74万元，其中：</w:t>
      </w:r>
    </w:p>
    <w:p>
      <w:pPr>
        <w:spacing w:line="560" w:lineRule="exact"/>
        <w:ind w:firstLine="640" w:firstLineChars="200"/>
        <w:rPr>
          <w:rFonts w:hint="eastAsia" w:ascii="仿宋" w:hAnsi="仿宋" w:eastAsia="仿宋" w:cs="宋体"/>
          <w:kern w:val="0"/>
          <w:sz w:val="32"/>
          <w:szCs w:val="32"/>
          <w:lang w:eastAsia="zh-CN"/>
        </w:rPr>
      </w:pPr>
      <w:r>
        <w:rPr>
          <w:rFonts w:hint="eastAsia" w:ascii="仿宋" w:hAnsi="仿宋" w:eastAsia="仿宋" w:cs="宋体"/>
          <w:kern w:val="0"/>
          <w:sz w:val="32"/>
          <w:szCs w:val="32"/>
        </w:rPr>
        <w:t>一般公共预算1091.74万元，占100%，比上年预算增加251.01万元，主要原因是新调入16人，增加了人员经费</w:t>
      </w:r>
      <w:r>
        <w:rPr>
          <w:rFonts w:hint="eastAsia" w:ascii="仿宋" w:hAnsi="仿宋" w:eastAsia="仿宋" w:cs="宋体"/>
          <w:kern w:val="0"/>
          <w:sz w:val="32"/>
          <w:szCs w:val="32"/>
          <w:lang w:eastAsia="zh-CN"/>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政府性基金预算未安排。</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昌吉州教育局2021</w:t>
      </w:r>
      <w:r>
        <w:rPr>
          <w:rFonts w:hint="eastAsia" w:ascii="黑体" w:hAnsi="宋体" w:eastAsia="黑体" w:cs="宋体"/>
          <w:kern w:val="0"/>
          <w:sz w:val="32"/>
          <w:szCs w:val="32"/>
        </w:rPr>
        <w:t>年支出预算情况说明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昌吉州教育局2021年支出预算1091.74万元，其中：</w:t>
      </w:r>
    </w:p>
    <w:p>
      <w:pPr>
        <w:spacing w:line="560" w:lineRule="exact"/>
        <w:ind w:firstLine="640" w:firstLineChars="200"/>
        <w:rPr>
          <w:rFonts w:ascii="仿宋" w:hAnsi="仿宋" w:eastAsia="仿宋" w:cs="宋体"/>
          <w:b/>
          <w:kern w:val="0"/>
          <w:sz w:val="32"/>
          <w:szCs w:val="32"/>
        </w:rPr>
      </w:pPr>
      <w:r>
        <w:rPr>
          <w:rFonts w:hint="eastAsia" w:ascii="仿宋" w:hAnsi="仿宋" w:eastAsia="仿宋" w:cs="宋体"/>
          <w:kern w:val="0"/>
          <w:sz w:val="32"/>
          <w:szCs w:val="32"/>
        </w:rPr>
        <w:t>基本支出912.74万元，占83.6%，比上年预算增加241.01万元，主要原因是新调入16人，增加了人员经费。</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项目支出179万元，占16.4%，比上预算年增加10万元，主要原因是把原非税收入管理的教师职称评审经费纳入预算管理。</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昌吉州教育局2021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昌吉州教育局2021年财政拨款收支总预算1091.74万元。</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收入全部为一般公共预算拨款，无政府性基金预算和国有资本经营预算拨款。</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收入预算包括：一般公共预算拨款</w:t>
      </w:r>
      <w:r>
        <w:rPr>
          <w:rFonts w:hint="eastAsia" w:ascii="仿宋" w:hAnsi="仿宋" w:eastAsia="仿宋" w:cs="宋体"/>
          <w:kern w:val="0"/>
          <w:sz w:val="32"/>
          <w:szCs w:val="32"/>
        </w:rPr>
        <w:t>1091.74</w:t>
      </w:r>
      <w:r>
        <w:rPr>
          <w:rFonts w:hint="eastAsia" w:ascii="仿宋" w:hAnsi="仿宋" w:eastAsia="仿宋" w:cs="宋体"/>
          <w:spacing w:val="-6"/>
          <w:kern w:val="0"/>
          <w:sz w:val="32"/>
          <w:szCs w:val="32"/>
        </w:rPr>
        <w:t>万元。</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一般公共预算支出包括：教育支出904.78万元，主要用于人员工资、津贴、维持机关运行的公用经费</w:t>
      </w:r>
      <w:r>
        <w:rPr>
          <w:rFonts w:hint="eastAsia" w:ascii="仿宋" w:hAnsi="仿宋" w:eastAsia="仿宋" w:cs="宋体"/>
          <w:spacing w:val="-6"/>
          <w:kern w:val="0"/>
          <w:sz w:val="32"/>
          <w:szCs w:val="32"/>
          <w:lang w:eastAsia="zh-CN"/>
        </w:rPr>
        <w:t>；</w:t>
      </w:r>
      <w:r>
        <w:rPr>
          <w:rFonts w:hint="eastAsia" w:ascii="仿宋" w:hAnsi="仿宋" w:eastAsia="仿宋" w:cs="宋体"/>
          <w:spacing w:val="-6"/>
          <w:kern w:val="0"/>
          <w:sz w:val="32"/>
          <w:szCs w:val="32"/>
        </w:rPr>
        <w:t>社会保障和就业支出71.92万元，主要用于职工基本养老保险缴费</w:t>
      </w:r>
      <w:r>
        <w:rPr>
          <w:rFonts w:hint="eastAsia" w:ascii="仿宋" w:hAnsi="仿宋" w:eastAsia="仿宋" w:cs="宋体"/>
          <w:spacing w:val="-6"/>
          <w:kern w:val="0"/>
          <w:sz w:val="32"/>
          <w:szCs w:val="32"/>
          <w:lang w:eastAsia="zh-CN"/>
        </w:rPr>
        <w:t>；</w:t>
      </w:r>
      <w:r>
        <w:rPr>
          <w:rFonts w:hint="eastAsia" w:ascii="仿宋" w:hAnsi="仿宋" w:eastAsia="仿宋" w:cs="宋体"/>
          <w:spacing w:val="-6"/>
          <w:kern w:val="0"/>
          <w:sz w:val="32"/>
          <w:szCs w:val="32"/>
        </w:rPr>
        <w:t>卫生健康支出115.04万元，主要用于职工医疗保险缴费、公务员医疗补助缴费。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昌吉州教育局2021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教育局2021年一般公共预算拨款合计1091.74万元，其中：基本支出912.74万元，占83.6%，比上年预算增加241.01万元，主要原因是新调入16人，增加了人员经费。项目支出179万元，占16.4%，比上年预算增加10万元，主要原因是把原非税收入管理的教师职称评审经费纳入预算管理。</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1.</w:t>
      </w:r>
      <w:r>
        <w:rPr>
          <w:rFonts w:hint="eastAsia" w:ascii="仿宋" w:hAnsi="仿宋" w:eastAsia="仿宋" w:cs="宋体"/>
          <w:kern w:val="0"/>
          <w:sz w:val="32"/>
          <w:szCs w:val="32"/>
        </w:rPr>
        <w:t>教育支出904.78万元</w:t>
      </w:r>
      <w:r>
        <w:rPr>
          <w:rFonts w:hint="eastAsia" w:ascii="仿宋" w:hAnsi="仿宋" w:eastAsia="仿宋"/>
          <w:sz w:val="32"/>
          <w:szCs w:val="32"/>
        </w:rPr>
        <w:t>，占82.88%。</w:t>
      </w:r>
    </w:p>
    <w:p>
      <w:pPr>
        <w:spacing w:line="560" w:lineRule="exact"/>
        <w:ind w:firstLine="640" w:firstLineChars="200"/>
        <w:rPr>
          <w:rFonts w:ascii="仿宋" w:hAnsi="仿宋" w:eastAsia="仿宋" w:cs="宋体"/>
          <w:spacing w:val="-6"/>
          <w:kern w:val="0"/>
          <w:sz w:val="32"/>
          <w:szCs w:val="32"/>
        </w:rPr>
      </w:pPr>
      <w:r>
        <w:rPr>
          <w:rFonts w:hint="eastAsia" w:ascii="仿宋" w:hAnsi="仿宋" w:eastAsia="仿宋" w:cs="宋体"/>
          <w:kern w:val="0"/>
          <w:sz w:val="32"/>
          <w:szCs w:val="32"/>
        </w:rPr>
        <w:t>2.</w:t>
      </w:r>
      <w:r>
        <w:rPr>
          <w:rFonts w:hint="eastAsia" w:ascii="仿宋" w:hAnsi="仿宋" w:eastAsia="仿宋" w:cs="宋体"/>
          <w:spacing w:val="-6"/>
          <w:kern w:val="0"/>
          <w:sz w:val="32"/>
          <w:szCs w:val="32"/>
          <w:lang w:eastAsia="zh-CN"/>
        </w:rPr>
        <w:t>社会保障和就业</w:t>
      </w:r>
      <w:r>
        <w:rPr>
          <w:rFonts w:hint="eastAsia" w:ascii="仿宋" w:hAnsi="仿宋" w:eastAsia="仿宋" w:cs="宋体"/>
          <w:spacing w:val="-6"/>
          <w:kern w:val="0"/>
          <w:sz w:val="32"/>
          <w:szCs w:val="32"/>
        </w:rPr>
        <w:t>支出71.92万元，占6.58%。</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3.</w:t>
      </w:r>
      <w:r>
        <w:rPr>
          <w:rFonts w:hint="eastAsia" w:ascii="仿宋" w:hAnsi="仿宋" w:eastAsia="仿宋" w:cs="宋体"/>
          <w:kern w:val="0"/>
          <w:sz w:val="32"/>
          <w:szCs w:val="32"/>
        </w:rPr>
        <w:t>卫生健康支出115.04万元</w:t>
      </w:r>
      <w:r>
        <w:rPr>
          <w:rFonts w:hint="eastAsia" w:ascii="仿宋" w:hAnsi="仿宋" w:eastAsia="仿宋" w:cs="宋体"/>
          <w:spacing w:val="-6"/>
          <w:kern w:val="0"/>
          <w:sz w:val="32"/>
          <w:szCs w:val="32"/>
        </w:rPr>
        <w:t>，占10.54%。</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1.教育支出（类）教育管理事务（款）行政运行（项）：2021年</w:t>
      </w:r>
      <w:r>
        <w:rPr>
          <w:rFonts w:ascii="仿宋" w:hAnsi="仿宋" w:eastAsia="仿宋" w:cs="宋体"/>
          <w:kern w:val="0"/>
          <w:sz w:val="32"/>
          <w:szCs w:val="32"/>
        </w:rPr>
        <w:t>预算数为</w:t>
      </w:r>
      <w:r>
        <w:rPr>
          <w:rFonts w:hint="eastAsia" w:ascii="仿宋" w:hAnsi="仿宋" w:eastAsia="仿宋" w:cs="宋体"/>
          <w:kern w:val="0"/>
          <w:sz w:val="32"/>
          <w:szCs w:val="32"/>
        </w:rPr>
        <w:t>725.78</w:t>
      </w:r>
      <w:r>
        <w:rPr>
          <w:rFonts w:ascii="仿宋" w:hAnsi="仿宋" w:eastAsia="仿宋" w:cs="宋体"/>
          <w:kern w:val="0"/>
          <w:sz w:val="32"/>
          <w:szCs w:val="32"/>
        </w:rPr>
        <w:t>万元</w:t>
      </w:r>
      <w:r>
        <w:rPr>
          <w:rFonts w:hint="eastAsia" w:ascii="仿宋" w:hAnsi="仿宋" w:eastAsia="仿宋" w:cs="宋体"/>
          <w:kern w:val="0"/>
          <w:sz w:val="32"/>
          <w:szCs w:val="32"/>
        </w:rPr>
        <w:t>，比上年预算数增加183.96万元，增加8%。主要原因是：新调入16名职工，增加人员经费、福利费、工会经费等。</w:t>
      </w:r>
    </w:p>
    <w:p>
      <w:pPr>
        <w:spacing w:line="560" w:lineRule="exact"/>
        <w:ind w:firstLine="640" w:firstLineChars="200"/>
        <w:rPr>
          <w:rFonts w:ascii="仿宋_GB2312" w:hAnsi="宋体" w:eastAsia="仿宋_GB2312" w:cs="宋体"/>
          <w:kern w:val="0"/>
          <w:sz w:val="32"/>
          <w:szCs w:val="32"/>
        </w:rPr>
      </w:pP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.教育支出（类）教育管理事务（款）</w:t>
      </w:r>
      <w:r>
        <w:rPr>
          <w:rFonts w:hint="eastAsia" w:ascii="仿宋" w:hAnsi="仿宋" w:eastAsia="仿宋" w:cs="宋体"/>
          <w:spacing w:val="-6"/>
          <w:kern w:val="0"/>
          <w:sz w:val="32"/>
          <w:szCs w:val="32"/>
        </w:rPr>
        <w:t>一般行政管理事务</w:t>
      </w:r>
      <w:r>
        <w:rPr>
          <w:rFonts w:hint="eastAsia" w:ascii="仿宋" w:hAnsi="仿宋" w:eastAsia="仿宋" w:cs="宋体"/>
          <w:kern w:val="0"/>
          <w:sz w:val="32"/>
          <w:szCs w:val="32"/>
        </w:rPr>
        <w:t>（项）：202</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年</w:t>
      </w:r>
      <w:r>
        <w:rPr>
          <w:rFonts w:ascii="仿宋" w:hAnsi="仿宋" w:eastAsia="仿宋" w:cs="宋体"/>
          <w:kern w:val="0"/>
          <w:sz w:val="32"/>
          <w:szCs w:val="32"/>
        </w:rPr>
        <w:t>预算数为</w:t>
      </w:r>
      <w:r>
        <w:rPr>
          <w:rFonts w:hint="eastAsia" w:ascii="仿宋" w:hAnsi="仿宋" w:eastAsia="仿宋" w:cs="宋体"/>
          <w:kern w:val="0"/>
          <w:sz w:val="32"/>
          <w:szCs w:val="32"/>
        </w:rPr>
        <w:t>169</w:t>
      </w:r>
      <w:r>
        <w:rPr>
          <w:rFonts w:ascii="仿宋" w:hAnsi="仿宋" w:eastAsia="仿宋" w:cs="宋体"/>
          <w:kern w:val="0"/>
          <w:sz w:val="32"/>
          <w:szCs w:val="32"/>
        </w:rPr>
        <w:t>万元</w:t>
      </w:r>
      <w:r>
        <w:rPr>
          <w:rFonts w:hint="eastAsia" w:ascii="仿宋" w:hAnsi="仿宋" w:eastAsia="仿宋" w:cs="宋体"/>
          <w:kern w:val="0"/>
          <w:sz w:val="32"/>
          <w:szCs w:val="32"/>
        </w:rPr>
        <w:t>，比上年预算数增加</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万元，增加</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w:t>
      </w:r>
      <w:r>
        <w:rPr>
          <w:rFonts w:hint="eastAsia" w:ascii="仿宋" w:hAnsi="仿宋" w:eastAsia="仿宋" w:cs="宋体"/>
          <w:kern w:val="0"/>
          <w:sz w:val="32"/>
          <w:szCs w:val="32"/>
          <w:lang w:eastAsia="zh-CN"/>
        </w:rPr>
        <w:t>，</w:t>
      </w:r>
      <w:r>
        <w:rPr>
          <w:rFonts w:hint="eastAsia" w:ascii="仿宋_GB2312" w:hAnsi="宋体" w:eastAsia="仿宋_GB2312" w:cs="宋体"/>
          <w:kern w:val="0"/>
          <w:sz w:val="32"/>
          <w:szCs w:val="32"/>
          <w:lang w:eastAsia="zh-CN"/>
        </w:rPr>
        <w:t>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pPr>
        <w:spacing w:line="560" w:lineRule="exact"/>
        <w:ind w:firstLine="640" w:firstLineChars="200"/>
        <w:rPr>
          <w:rFonts w:ascii="仿宋" w:hAnsi="仿宋" w:eastAsia="仿宋" w:cs="仿宋_GB2312"/>
          <w:kern w:val="0"/>
          <w:sz w:val="32"/>
          <w:szCs w:val="32"/>
        </w:rPr>
      </w:pP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.教育支出（类）教育管理事务（款）</w:t>
      </w:r>
      <w:r>
        <w:rPr>
          <w:rFonts w:hint="eastAsia" w:ascii="仿宋" w:hAnsi="仿宋" w:eastAsia="仿宋" w:cs="宋体"/>
          <w:spacing w:val="-6"/>
          <w:kern w:val="0"/>
          <w:sz w:val="32"/>
          <w:szCs w:val="32"/>
        </w:rPr>
        <w:t>其他教育管理事务支出</w:t>
      </w:r>
      <w:r>
        <w:rPr>
          <w:rFonts w:hint="eastAsia" w:ascii="仿宋" w:hAnsi="仿宋" w:eastAsia="仿宋" w:cs="宋体"/>
          <w:kern w:val="0"/>
          <w:sz w:val="32"/>
          <w:szCs w:val="32"/>
        </w:rPr>
        <w:t>（项）：202</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年</w:t>
      </w:r>
      <w:r>
        <w:rPr>
          <w:rFonts w:ascii="仿宋" w:hAnsi="仿宋" w:eastAsia="仿宋" w:cs="宋体"/>
          <w:kern w:val="0"/>
          <w:sz w:val="32"/>
          <w:szCs w:val="32"/>
        </w:rPr>
        <w:t>预算数为</w:t>
      </w:r>
      <w:r>
        <w:rPr>
          <w:rFonts w:hint="eastAsia" w:ascii="仿宋" w:hAnsi="仿宋" w:eastAsia="仿宋" w:cs="宋体"/>
          <w:kern w:val="0"/>
          <w:sz w:val="32"/>
          <w:szCs w:val="32"/>
        </w:rPr>
        <w:t>10</w:t>
      </w:r>
      <w:r>
        <w:rPr>
          <w:rFonts w:ascii="仿宋" w:hAnsi="仿宋" w:eastAsia="仿宋" w:cs="宋体"/>
          <w:kern w:val="0"/>
          <w:sz w:val="32"/>
          <w:szCs w:val="32"/>
        </w:rPr>
        <w:t>万元</w:t>
      </w:r>
      <w:r>
        <w:rPr>
          <w:rFonts w:hint="eastAsia" w:ascii="仿宋" w:hAnsi="仿宋" w:eastAsia="仿宋" w:cs="宋体"/>
          <w:kern w:val="0"/>
          <w:sz w:val="32"/>
          <w:szCs w:val="32"/>
        </w:rPr>
        <w:t>，比上年预算数增加10万元，增加100%。主要原因是：将原年中追加的非税收入职称评审经费纳入到了年初预算。</w:t>
      </w:r>
    </w:p>
    <w:p>
      <w:pPr>
        <w:spacing w:line="560" w:lineRule="exact"/>
        <w:ind w:firstLine="640" w:firstLineChars="200"/>
        <w:rPr>
          <w:rFonts w:ascii="仿宋" w:hAnsi="仿宋" w:eastAsia="仿宋" w:cs="宋体"/>
          <w:kern w:val="0"/>
          <w:sz w:val="32"/>
          <w:szCs w:val="32"/>
        </w:rPr>
      </w:pPr>
      <w:r>
        <w:rPr>
          <w:rFonts w:hint="eastAsia" w:ascii="仿宋" w:hAnsi="仿宋" w:eastAsia="仿宋" w:cs="仿宋_GB2312"/>
          <w:kern w:val="0"/>
          <w:sz w:val="32"/>
          <w:szCs w:val="32"/>
          <w:lang w:val="en-US" w:eastAsia="zh-CN"/>
        </w:rPr>
        <w:t>4</w:t>
      </w:r>
      <w:r>
        <w:rPr>
          <w:rFonts w:hint="eastAsia" w:ascii="仿宋" w:hAnsi="仿宋" w:eastAsia="仿宋" w:cs="仿宋_GB2312"/>
          <w:kern w:val="0"/>
          <w:sz w:val="32"/>
          <w:szCs w:val="32"/>
        </w:rPr>
        <w:t>.社会保障和就业支出（类）行政事业单位养老支出（款）</w:t>
      </w:r>
      <w:r>
        <w:rPr>
          <w:rFonts w:hint="eastAsia" w:ascii="仿宋" w:hAnsi="仿宋" w:eastAsia="仿宋" w:cs="宋体"/>
          <w:spacing w:val="-6"/>
          <w:kern w:val="0"/>
          <w:sz w:val="32"/>
          <w:szCs w:val="32"/>
        </w:rPr>
        <w:t>机关事业单位基本养老保险缴费支出（项）：</w:t>
      </w:r>
      <w:r>
        <w:rPr>
          <w:rFonts w:hint="eastAsia" w:ascii="仿宋" w:hAnsi="仿宋" w:eastAsia="仿宋" w:cs="宋体"/>
          <w:kern w:val="0"/>
          <w:sz w:val="32"/>
          <w:szCs w:val="32"/>
        </w:rPr>
        <w:t>2021年</w:t>
      </w:r>
      <w:r>
        <w:rPr>
          <w:rFonts w:ascii="仿宋" w:hAnsi="仿宋" w:eastAsia="仿宋" w:cs="宋体"/>
          <w:kern w:val="0"/>
          <w:sz w:val="32"/>
          <w:szCs w:val="32"/>
        </w:rPr>
        <w:t>预算数为</w:t>
      </w:r>
      <w:r>
        <w:rPr>
          <w:rFonts w:hint="eastAsia" w:ascii="仿宋" w:hAnsi="仿宋" w:eastAsia="仿宋" w:cs="宋体"/>
          <w:kern w:val="0"/>
          <w:sz w:val="32"/>
          <w:szCs w:val="32"/>
        </w:rPr>
        <w:t>71.92</w:t>
      </w:r>
      <w:r>
        <w:rPr>
          <w:rFonts w:ascii="仿宋" w:hAnsi="仿宋" w:eastAsia="仿宋" w:cs="宋体"/>
          <w:kern w:val="0"/>
          <w:sz w:val="32"/>
          <w:szCs w:val="32"/>
        </w:rPr>
        <w:t>万元</w:t>
      </w:r>
      <w:r>
        <w:rPr>
          <w:rFonts w:hint="eastAsia" w:ascii="仿宋" w:hAnsi="仿宋" w:eastAsia="仿宋" w:cs="宋体"/>
          <w:kern w:val="0"/>
          <w:sz w:val="32"/>
          <w:szCs w:val="32"/>
        </w:rPr>
        <w:t>，比上年预算数增加19.84万元，增加38%。主要原因是：新调入16名职工，增加</w:t>
      </w:r>
      <w:r>
        <w:rPr>
          <w:rFonts w:hint="eastAsia" w:ascii="仿宋" w:hAnsi="仿宋" w:eastAsia="仿宋" w:cs="宋体"/>
          <w:spacing w:val="-6"/>
          <w:kern w:val="0"/>
          <w:sz w:val="32"/>
          <w:szCs w:val="32"/>
        </w:rPr>
        <w:t>机关事业单位基本养老保险缴费拨款</w:t>
      </w:r>
      <w:r>
        <w:rPr>
          <w:rFonts w:hint="eastAsia" w:ascii="仿宋" w:hAnsi="仿宋" w:eastAsia="仿宋" w:cs="宋体"/>
          <w:kern w:val="0"/>
          <w:sz w:val="32"/>
          <w:szCs w:val="32"/>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lang w:val="en-US" w:eastAsia="zh-CN"/>
        </w:rPr>
        <w:t>5</w:t>
      </w:r>
      <w:r>
        <w:rPr>
          <w:rFonts w:hint="eastAsia" w:ascii="仿宋" w:hAnsi="仿宋" w:eastAsia="仿宋" w:cs="宋体"/>
          <w:kern w:val="0"/>
          <w:sz w:val="32"/>
          <w:szCs w:val="32"/>
        </w:rPr>
        <w:t>.卫生健康支出</w:t>
      </w:r>
      <w:r>
        <w:rPr>
          <w:rFonts w:hint="eastAsia" w:ascii="仿宋" w:hAnsi="仿宋" w:eastAsia="仿宋" w:cs="仿宋_GB2312"/>
          <w:kern w:val="0"/>
          <w:sz w:val="32"/>
          <w:szCs w:val="32"/>
        </w:rPr>
        <w:t>（类）行政事业单位医疗（款）</w:t>
      </w:r>
      <w:r>
        <w:rPr>
          <w:rFonts w:hint="eastAsia" w:ascii="仿宋" w:hAnsi="仿宋" w:eastAsia="仿宋" w:cs="宋体"/>
          <w:spacing w:val="-6"/>
          <w:kern w:val="0"/>
          <w:sz w:val="32"/>
          <w:szCs w:val="32"/>
        </w:rPr>
        <w:t>行政单位医疗（项）：</w:t>
      </w:r>
      <w:r>
        <w:rPr>
          <w:rFonts w:hint="eastAsia" w:ascii="仿宋" w:hAnsi="仿宋" w:eastAsia="仿宋" w:cs="宋体"/>
          <w:kern w:val="0"/>
          <w:sz w:val="32"/>
          <w:szCs w:val="32"/>
        </w:rPr>
        <w:t>2021年</w:t>
      </w:r>
      <w:r>
        <w:rPr>
          <w:rFonts w:ascii="仿宋" w:hAnsi="仿宋" w:eastAsia="仿宋" w:cs="宋体"/>
          <w:kern w:val="0"/>
          <w:sz w:val="32"/>
          <w:szCs w:val="32"/>
        </w:rPr>
        <w:t>预算数为</w:t>
      </w:r>
      <w:r>
        <w:rPr>
          <w:rFonts w:hint="eastAsia" w:ascii="仿宋" w:hAnsi="仿宋" w:eastAsia="仿宋" w:cs="宋体"/>
          <w:kern w:val="0"/>
          <w:sz w:val="32"/>
          <w:szCs w:val="32"/>
        </w:rPr>
        <w:t>86.03</w:t>
      </w:r>
      <w:r>
        <w:rPr>
          <w:rFonts w:ascii="仿宋" w:hAnsi="仿宋" w:eastAsia="仿宋" w:cs="宋体"/>
          <w:kern w:val="0"/>
          <w:sz w:val="32"/>
          <w:szCs w:val="32"/>
        </w:rPr>
        <w:t>万元</w:t>
      </w:r>
      <w:r>
        <w:rPr>
          <w:rFonts w:hint="eastAsia" w:ascii="仿宋" w:hAnsi="仿宋" w:eastAsia="仿宋" w:cs="宋体"/>
          <w:kern w:val="0"/>
          <w:sz w:val="32"/>
          <w:szCs w:val="32"/>
        </w:rPr>
        <w:t>，比上年预算数增加32.39万元，增加60%。主要原因是：新调入16名职工，增加</w:t>
      </w:r>
      <w:r>
        <w:rPr>
          <w:rFonts w:hint="eastAsia" w:ascii="仿宋" w:hAnsi="仿宋" w:eastAsia="仿宋" w:cs="宋体"/>
          <w:spacing w:val="-6"/>
          <w:kern w:val="0"/>
          <w:sz w:val="32"/>
          <w:szCs w:val="32"/>
        </w:rPr>
        <w:t>行政单位医疗拨款</w:t>
      </w:r>
      <w:r>
        <w:rPr>
          <w:rFonts w:hint="eastAsia" w:ascii="仿宋" w:hAnsi="仿宋" w:eastAsia="仿宋" w:cs="宋体"/>
          <w:kern w:val="0"/>
          <w:sz w:val="32"/>
          <w:szCs w:val="32"/>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lang w:val="en-US" w:eastAsia="zh-CN"/>
        </w:rPr>
        <w:t>6</w:t>
      </w:r>
      <w:r>
        <w:rPr>
          <w:rFonts w:hint="eastAsia" w:ascii="仿宋" w:hAnsi="仿宋" w:eastAsia="仿宋" w:cs="宋体"/>
          <w:kern w:val="0"/>
          <w:sz w:val="32"/>
          <w:szCs w:val="32"/>
        </w:rPr>
        <w:t>.卫生健康支出</w:t>
      </w:r>
      <w:r>
        <w:rPr>
          <w:rFonts w:hint="eastAsia" w:ascii="仿宋" w:hAnsi="仿宋" w:eastAsia="仿宋" w:cs="仿宋_GB2312"/>
          <w:kern w:val="0"/>
          <w:sz w:val="32"/>
          <w:szCs w:val="32"/>
        </w:rPr>
        <w:t>（类）行政事业单位医疗（款）</w:t>
      </w:r>
      <w:r>
        <w:rPr>
          <w:rFonts w:hint="eastAsia" w:ascii="仿宋" w:hAnsi="仿宋" w:eastAsia="仿宋" w:cs="宋体"/>
          <w:spacing w:val="-6"/>
          <w:kern w:val="0"/>
          <w:sz w:val="32"/>
          <w:szCs w:val="32"/>
        </w:rPr>
        <w:t>公务员医疗补助（项）：</w:t>
      </w:r>
      <w:r>
        <w:rPr>
          <w:rFonts w:hint="eastAsia" w:ascii="仿宋" w:hAnsi="仿宋" w:eastAsia="仿宋" w:cs="宋体"/>
          <w:kern w:val="0"/>
          <w:sz w:val="32"/>
          <w:szCs w:val="32"/>
        </w:rPr>
        <w:t>2021年</w:t>
      </w:r>
      <w:r>
        <w:rPr>
          <w:rFonts w:ascii="仿宋" w:hAnsi="仿宋" w:eastAsia="仿宋" w:cs="宋体"/>
          <w:kern w:val="0"/>
          <w:sz w:val="32"/>
          <w:szCs w:val="32"/>
        </w:rPr>
        <w:t>预算数为</w:t>
      </w:r>
      <w:r>
        <w:rPr>
          <w:rFonts w:hint="eastAsia" w:ascii="仿宋" w:hAnsi="仿宋" w:eastAsia="仿宋" w:cs="宋体"/>
          <w:kern w:val="0"/>
          <w:sz w:val="32"/>
          <w:szCs w:val="32"/>
        </w:rPr>
        <w:t>27.93</w:t>
      </w:r>
      <w:r>
        <w:rPr>
          <w:rFonts w:ascii="仿宋" w:hAnsi="仿宋" w:eastAsia="仿宋" w:cs="宋体"/>
          <w:kern w:val="0"/>
          <w:sz w:val="32"/>
          <w:szCs w:val="32"/>
        </w:rPr>
        <w:t>万元</w:t>
      </w:r>
      <w:r>
        <w:rPr>
          <w:rFonts w:hint="eastAsia" w:ascii="仿宋" w:hAnsi="仿宋" w:eastAsia="仿宋" w:cs="宋体"/>
          <w:kern w:val="0"/>
          <w:sz w:val="32"/>
          <w:szCs w:val="32"/>
        </w:rPr>
        <w:t>，比上年预算数增加5.34万元，增加23.6%。主要原因是：新调入16名职工，增加</w:t>
      </w:r>
      <w:r>
        <w:rPr>
          <w:rFonts w:hint="eastAsia" w:ascii="仿宋" w:hAnsi="仿宋" w:eastAsia="仿宋" w:cs="宋体"/>
          <w:spacing w:val="-6"/>
          <w:kern w:val="0"/>
          <w:sz w:val="32"/>
          <w:szCs w:val="32"/>
        </w:rPr>
        <w:t>公务员医疗补助拨款</w:t>
      </w:r>
      <w:r>
        <w:rPr>
          <w:rFonts w:hint="eastAsia" w:ascii="仿宋" w:hAnsi="仿宋" w:eastAsia="仿宋" w:cs="宋体"/>
          <w:kern w:val="0"/>
          <w:sz w:val="32"/>
          <w:szCs w:val="32"/>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lang w:val="en-US" w:eastAsia="zh-CN"/>
        </w:rPr>
        <w:t>7</w:t>
      </w:r>
      <w:r>
        <w:rPr>
          <w:rFonts w:hint="eastAsia" w:ascii="仿宋" w:hAnsi="仿宋" w:eastAsia="仿宋" w:cs="宋体"/>
          <w:kern w:val="0"/>
          <w:sz w:val="32"/>
          <w:szCs w:val="32"/>
        </w:rPr>
        <w:t>.卫生健康支出</w:t>
      </w:r>
      <w:r>
        <w:rPr>
          <w:rFonts w:hint="eastAsia" w:ascii="仿宋" w:hAnsi="仿宋" w:eastAsia="仿宋" w:cs="仿宋_GB2312"/>
          <w:kern w:val="0"/>
          <w:sz w:val="32"/>
          <w:szCs w:val="32"/>
        </w:rPr>
        <w:t>（类）行政事业单位医疗（款）</w:t>
      </w:r>
      <w:r>
        <w:rPr>
          <w:rFonts w:hint="eastAsia" w:ascii="仿宋" w:hAnsi="仿宋" w:eastAsia="仿宋" w:cs="宋体"/>
          <w:spacing w:val="-6"/>
          <w:kern w:val="0"/>
          <w:sz w:val="32"/>
          <w:szCs w:val="32"/>
        </w:rPr>
        <w:t>其他行政事业单位医疗支出（项）：</w:t>
      </w:r>
      <w:r>
        <w:rPr>
          <w:rFonts w:hint="eastAsia" w:ascii="仿宋" w:hAnsi="仿宋" w:eastAsia="仿宋" w:cs="宋体"/>
          <w:kern w:val="0"/>
          <w:sz w:val="32"/>
          <w:szCs w:val="32"/>
        </w:rPr>
        <w:t>2021年</w:t>
      </w:r>
      <w:r>
        <w:rPr>
          <w:rFonts w:ascii="仿宋" w:hAnsi="仿宋" w:eastAsia="仿宋" w:cs="宋体"/>
          <w:kern w:val="0"/>
          <w:sz w:val="32"/>
          <w:szCs w:val="32"/>
        </w:rPr>
        <w:t>预算数为</w:t>
      </w:r>
      <w:r>
        <w:rPr>
          <w:rFonts w:hint="eastAsia" w:ascii="仿宋" w:hAnsi="仿宋" w:eastAsia="仿宋" w:cs="宋体"/>
          <w:kern w:val="0"/>
          <w:sz w:val="32"/>
          <w:szCs w:val="32"/>
        </w:rPr>
        <w:t>1.08</w:t>
      </w:r>
      <w:r>
        <w:rPr>
          <w:rFonts w:ascii="仿宋" w:hAnsi="仿宋" w:eastAsia="仿宋" w:cs="宋体"/>
          <w:kern w:val="0"/>
          <w:sz w:val="32"/>
          <w:szCs w:val="32"/>
        </w:rPr>
        <w:t>万元</w:t>
      </w:r>
      <w:r>
        <w:rPr>
          <w:rFonts w:hint="eastAsia" w:ascii="仿宋" w:hAnsi="仿宋" w:eastAsia="仿宋" w:cs="宋体"/>
          <w:kern w:val="0"/>
          <w:sz w:val="32"/>
          <w:szCs w:val="32"/>
        </w:rPr>
        <w:t>，比上年预算数减少0.52万元，减少32%。主要原因是：生育保险并入医疗保险。</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昌吉州教育局2021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昌吉州教育局2021年一般公共预算基本支出912.74万元， 其中：</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人员经费796.9万元，主要包括：基本工资280.7万元、津贴补贴76.02万元、奖金19.59万元、伙食补助费71.82万元、绩效工资78.6万元、机关事业单位基本养老保险缴费71.92万元、职工基本医疗保险缴费86.03万元、公务员医疗补助缴费27.93万元、其他社会保障缴费1.08万元、住房公积金53.94万元、其他工资福利支出7.27万元、离休费11.06万元、奖励金4.22万元、其他对个人和家庭的补助6.72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公用经费115.84万元，主要包括：办公费6.78万元、印刷费0.5万元、咨询费0.5万元、水费5万元、电费6万元、邮电费7万元、取暖费22.15万元、物业管理费1万元、差旅费7万元、维修（护）费5万元、租赁费0.5万元、劳务费5万元、委托业务费1万元、工会经费5.61万元、福利费12.91万元、公务用车运行维护费12.3万元、其他交通费用1万元、其他商品和服务支出16.59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七、关于昌吉州教育局2021年一般公共预算项目支出情况说明</w:t>
      </w:r>
    </w:p>
    <w:p>
      <w:pPr>
        <w:widowControl/>
        <w:spacing w:line="580" w:lineRule="exact"/>
        <w:ind w:firstLine="640"/>
        <w:jc w:val="left"/>
        <w:rPr>
          <w:rFonts w:ascii="仿宋" w:hAnsi="仿宋" w:eastAsia="仿宋"/>
          <w:b/>
          <w:sz w:val="32"/>
          <w:szCs w:val="32"/>
        </w:rPr>
      </w:pPr>
      <w:r>
        <w:rPr>
          <w:rFonts w:hint="eastAsia" w:ascii="仿宋" w:hAnsi="仿宋" w:eastAsia="仿宋"/>
          <w:b/>
          <w:sz w:val="32"/>
          <w:szCs w:val="32"/>
        </w:rPr>
        <w:t>1、项目</w:t>
      </w:r>
      <w:r>
        <w:rPr>
          <w:rFonts w:ascii="仿宋" w:hAnsi="仿宋" w:eastAsia="仿宋"/>
          <w:b/>
          <w:sz w:val="32"/>
          <w:szCs w:val="32"/>
        </w:rPr>
        <w:t>名称</w:t>
      </w:r>
      <w:r>
        <w:rPr>
          <w:rFonts w:hint="eastAsia" w:ascii="仿宋" w:hAnsi="仿宋" w:eastAsia="仿宋"/>
          <w:b/>
          <w:sz w:val="32"/>
          <w:szCs w:val="32"/>
        </w:rPr>
        <w:t>：对口南疆支教经费</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：根据《南疆学前双语教育干部支教工作方案》（新党厅字2016.97号）文件规定执行。支教人员所需经费按照分级管理分级负担的原则列入自治区本级和各地财政预算。</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：30万元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：商品服务支出30万元，主要用于全州教师南疆支教过程中发生的费用开支。</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：2021年1月-12月</w:t>
      </w:r>
    </w:p>
    <w:p>
      <w:pPr>
        <w:widowControl/>
        <w:spacing w:line="580" w:lineRule="exact"/>
        <w:ind w:firstLine="640"/>
        <w:jc w:val="left"/>
        <w:rPr>
          <w:rFonts w:ascii="仿宋" w:hAnsi="仿宋" w:eastAsia="仿宋"/>
          <w:b/>
          <w:sz w:val="32"/>
          <w:szCs w:val="32"/>
        </w:rPr>
      </w:pPr>
      <w:r>
        <w:rPr>
          <w:rFonts w:hint="eastAsia" w:ascii="仿宋" w:hAnsi="仿宋" w:eastAsia="仿宋"/>
          <w:b/>
          <w:sz w:val="32"/>
          <w:szCs w:val="32"/>
        </w:rPr>
        <w:t>2、项目</w:t>
      </w:r>
      <w:r>
        <w:rPr>
          <w:rFonts w:ascii="仿宋" w:hAnsi="仿宋" w:eastAsia="仿宋"/>
          <w:b/>
          <w:sz w:val="32"/>
          <w:szCs w:val="32"/>
        </w:rPr>
        <w:t>名称</w:t>
      </w:r>
      <w:r>
        <w:rPr>
          <w:rFonts w:hint="eastAsia" w:ascii="仿宋" w:hAnsi="仿宋" w:eastAsia="仿宋"/>
          <w:b/>
          <w:sz w:val="32"/>
          <w:szCs w:val="32"/>
        </w:rPr>
        <w:t>：校长书记培训专项经费</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校长、书记是学校的管理者和各项政策规定在学校的执行者，校长、书记的能力素质决定学校的发展水平，加强校长、书记队伍建设，提高能力素质是促进教育健康、持续、快速发展的根本保证。根据国家教育部中小学校长培训规定，在每五年的培训周期内，中小学校长、书记必须接受不少于240学时的岗位培训和提高培训，并且将中小学校长、书记岗位和提高（双证）培训情况纳入工作指标考核体系。</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：30万元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：商品服务支出30万元，主要用于全州校长书记培训过程中发生的费用开支。</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：2021年1月-12月</w:t>
      </w:r>
    </w:p>
    <w:p>
      <w:pPr>
        <w:widowControl/>
        <w:spacing w:line="580" w:lineRule="exact"/>
        <w:ind w:firstLine="640"/>
        <w:jc w:val="left"/>
        <w:rPr>
          <w:rFonts w:ascii="仿宋" w:hAnsi="仿宋" w:eastAsia="仿宋"/>
          <w:b/>
          <w:sz w:val="32"/>
          <w:szCs w:val="32"/>
        </w:rPr>
      </w:pPr>
      <w:r>
        <w:rPr>
          <w:rFonts w:hint="eastAsia" w:ascii="仿宋" w:hAnsi="仿宋" w:eastAsia="仿宋"/>
          <w:b/>
          <w:sz w:val="32"/>
          <w:szCs w:val="32"/>
        </w:rPr>
        <w:t>3、项目</w:t>
      </w:r>
      <w:r>
        <w:rPr>
          <w:rFonts w:ascii="仿宋" w:hAnsi="仿宋" w:eastAsia="仿宋"/>
          <w:b/>
          <w:sz w:val="32"/>
          <w:szCs w:val="32"/>
        </w:rPr>
        <w:t>名称</w:t>
      </w:r>
      <w:r>
        <w:rPr>
          <w:rFonts w:hint="eastAsia" w:ascii="仿宋" w:hAnsi="仿宋" w:eastAsia="仿宋"/>
          <w:b/>
          <w:sz w:val="32"/>
          <w:szCs w:val="32"/>
        </w:rPr>
        <w:t>：中小学体育竞赛活动经费</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为全面贯彻党的教育方针,认真落实《自治区党委、自治区人民政府贯彻&lt;中共中央国务院关于加强青少年体育增强青少年体质的意见&gt;的实施意见》（新党发[2007]18号）精神，自治区、自治州每年都要开展相对固定的体育竞赛活动，所需体育竞赛活动经费由当地财政予以安排。</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：30万元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：商品服务支出30万元，主要用于全州中小学开展体育项目活动过程中发生的费用开支。</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：2021年1月-12月</w:t>
      </w:r>
    </w:p>
    <w:p>
      <w:pPr>
        <w:widowControl/>
        <w:spacing w:line="580" w:lineRule="exact"/>
        <w:ind w:firstLine="640"/>
        <w:jc w:val="left"/>
        <w:rPr>
          <w:rFonts w:ascii="仿宋" w:hAnsi="仿宋" w:eastAsia="仿宋"/>
          <w:b/>
          <w:sz w:val="32"/>
          <w:szCs w:val="32"/>
        </w:rPr>
      </w:pPr>
      <w:r>
        <w:rPr>
          <w:rFonts w:hint="eastAsia" w:ascii="仿宋" w:hAnsi="仿宋" w:eastAsia="仿宋"/>
          <w:b/>
          <w:sz w:val="32"/>
          <w:szCs w:val="32"/>
        </w:rPr>
        <w:t>4、项目</w:t>
      </w:r>
      <w:r>
        <w:rPr>
          <w:rFonts w:ascii="仿宋" w:hAnsi="仿宋" w:eastAsia="仿宋"/>
          <w:b/>
          <w:sz w:val="32"/>
          <w:szCs w:val="32"/>
        </w:rPr>
        <w:t>名称</w:t>
      </w:r>
      <w:r>
        <w:rPr>
          <w:rFonts w:hint="eastAsia" w:ascii="仿宋" w:hAnsi="仿宋" w:eastAsia="仿宋"/>
          <w:b/>
          <w:sz w:val="32"/>
          <w:szCs w:val="32"/>
        </w:rPr>
        <w:t>：教育督导专项经费</w:t>
      </w:r>
    </w:p>
    <w:p>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为认真贯彻落实《自治区人民政府对县级人民政府教育工作进行督导评估的实施意见》，2004年州党委、州人民政府印发了《自治州关于实行教育督导工作责任追究制度的意见》(昌州党办〔2004〕65号)，制定了自治州对县级人民政府教育工作进行综合督导评估、义务教育专项督导、教育投入专项督导、对中等学校督导评估、对教育重点难点工作的督查、实行教育工作表彰奖励和教育督导工作责任追究等七项教育督导制度。</w:t>
      </w:r>
    </w:p>
    <w:p>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：10万元</w:t>
      </w:r>
    </w:p>
    <w:p>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：昌吉州教育局</w:t>
      </w:r>
    </w:p>
    <w:p>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：商品服务支出10万元，主要用于教育督导差费、工作经费。</w:t>
      </w:r>
    </w:p>
    <w:p>
      <w:pPr>
        <w:widowControl/>
        <w:spacing w:line="580" w:lineRule="exact"/>
        <w:ind w:firstLine="642"/>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：2021年1月-12月</w:t>
      </w:r>
    </w:p>
    <w:p>
      <w:pPr>
        <w:spacing w:line="560" w:lineRule="exact"/>
        <w:ind w:firstLine="636"/>
        <w:rPr>
          <w:rFonts w:ascii="仿宋" w:hAnsi="仿宋" w:eastAsia="仿宋" w:cs="仿宋_GB2312"/>
          <w:b/>
          <w:sz w:val="32"/>
          <w:szCs w:val="32"/>
        </w:rPr>
      </w:pPr>
      <w:r>
        <w:rPr>
          <w:rFonts w:hint="eastAsia" w:ascii="仿宋" w:hAnsi="仿宋" w:eastAsia="仿宋"/>
          <w:b/>
          <w:sz w:val="32"/>
          <w:szCs w:val="32"/>
        </w:rPr>
        <w:t>5.</w:t>
      </w:r>
      <w:r>
        <w:rPr>
          <w:rFonts w:hint="eastAsia" w:ascii="仿宋" w:hAnsi="仿宋" w:eastAsia="仿宋" w:cs="仿宋_GB2312"/>
          <w:b/>
          <w:sz w:val="32"/>
          <w:szCs w:val="32"/>
        </w:rPr>
        <w:t>项目名称：2021年中小学教师招聘费用</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设立的政策依据：根据《自治区乡村教师支持计划（2015—2020年）实施办法》(新政办发〔2015〕171号)、《关于加强教师队伍的意见（试行）》(新党办发〔2016〕6号)、《关于做好2020年中小学幼儿园教师公开招聘有关工作的通知》（人社部发〔2020〕28号）、《关于做好2020年自治区中小学和幼儿园教师招聘工作的通知》（新教厅﹝2020﹞35号）、《昌吉州关于落实自治区党委编办等五部门&lt;关于自治区中小学和幼儿园实行人员、岗位、经费“三总量”管理的意见&gt;的通知》（昌州教发﹝2020﹞2号）精神，按照自治区的招聘计划和我州中小学及幼儿园教师急需补充现状，开展2021年昌吉州中小学和幼儿园教师招聘工作。</w:t>
      </w:r>
    </w:p>
    <w:p>
      <w:pPr>
        <w:spacing w:line="560" w:lineRule="exact"/>
        <w:ind w:firstLine="636"/>
        <w:rPr>
          <w:rFonts w:ascii="仿宋" w:hAnsi="仿宋" w:eastAsia="仿宋" w:cs="仿宋_GB2312"/>
          <w:sz w:val="32"/>
          <w:szCs w:val="32"/>
        </w:rPr>
      </w:pPr>
      <w:r>
        <w:rPr>
          <w:rFonts w:hint="eastAsia" w:ascii="仿宋" w:hAnsi="仿宋" w:eastAsia="仿宋" w:cs="仿宋_GB2312"/>
          <w:sz w:val="32"/>
          <w:szCs w:val="32"/>
        </w:rPr>
        <w:t>预算安排规模：18万元</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项目承担单位：昌吉州教育局</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资金分配情况：商品服务支出18万元，主要用于2021年全州中小学教师招聘工作中的面试费、考务费及办公费用等。</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资金执行时间：2021年1月—12月</w:t>
      </w:r>
    </w:p>
    <w:p>
      <w:pPr>
        <w:ind w:firstLine="643" w:firstLineChars="200"/>
        <w:rPr>
          <w:rFonts w:ascii="仿宋" w:hAnsi="仿宋" w:eastAsia="仿宋" w:cs="仿宋_GB2312"/>
          <w:b/>
          <w:sz w:val="32"/>
          <w:szCs w:val="32"/>
        </w:rPr>
      </w:pPr>
      <w:r>
        <w:rPr>
          <w:rFonts w:hint="eastAsia" w:ascii="仿宋" w:hAnsi="仿宋" w:eastAsia="仿宋" w:cs="仿宋_GB2312"/>
          <w:b/>
          <w:sz w:val="32"/>
          <w:szCs w:val="32"/>
        </w:rPr>
        <w:t>6.国语教育培训经费</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设立的政策依据：根据</w:t>
      </w:r>
      <w:r>
        <w:rPr>
          <w:rFonts w:hint="eastAsia" w:ascii="仿宋" w:hAnsi="仿宋" w:eastAsia="仿宋"/>
          <w:sz w:val="32"/>
          <w:szCs w:val="32"/>
        </w:rPr>
        <w:t>《自治区党委自治区人民政府关于全面深化新时代教师队伍建设改革的实施意见》（新党发〔2018〕27号）、《自治州关于进一步加强新时代教师队伍建设的实施意见》（</w:t>
      </w:r>
      <w:r>
        <w:rPr>
          <w:rFonts w:ascii="仿宋" w:hAnsi="仿宋" w:eastAsia="仿宋"/>
          <w:sz w:val="32"/>
          <w:szCs w:val="32"/>
        </w:rPr>
        <w:t>昌州党办发</w:t>
      </w:r>
      <w:r>
        <w:rPr>
          <w:rFonts w:hint="eastAsia" w:ascii="仿宋" w:hAnsi="仿宋" w:eastAsia="仿宋"/>
          <w:sz w:val="32"/>
          <w:szCs w:val="32"/>
        </w:rPr>
        <w:t>〔</w:t>
      </w:r>
      <w:r>
        <w:rPr>
          <w:rFonts w:ascii="仿宋" w:hAnsi="仿宋" w:eastAsia="仿宋"/>
          <w:sz w:val="32"/>
          <w:szCs w:val="32"/>
        </w:rPr>
        <w:t>2018</w:t>
      </w:r>
      <w:r>
        <w:rPr>
          <w:rFonts w:hint="eastAsia" w:ascii="仿宋" w:hAnsi="仿宋" w:eastAsia="仿宋"/>
          <w:sz w:val="32"/>
          <w:szCs w:val="32"/>
        </w:rPr>
        <w:t>〕</w:t>
      </w:r>
      <w:r>
        <w:rPr>
          <w:rFonts w:ascii="仿宋" w:hAnsi="仿宋" w:eastAsia="仿宋"/>
          <w:sz w:val="32"/>
          <w:szCs w:val="32"/>
        </w:rPr>
        <w:t>78号</w:t>
      </w:r>
      <w:r>
        <w:rPr>
          <w:rFonts w:hint="eastAsia" w:ascii="仿宋" w:hAnsi="仿宋" w:eastAsia="仿宋"/>
          <w:sz w:val="32"/>
          <w:szCs w:val="32"/>
        </w:rPr>
        <w:t>）、《新疆维吾尔自治区中小学和幼儿园教师继续教育规划（2019—2023年）》（新教厅〔2019〕6号）和《昌吉回族自治州中小学和幼儿园教师继续教育规划（2019-2023年）》精神，</w:t>
      </w:r>
      <w:r>
        <w:rPr>
          <w:rFonts w:hint="eastAsia" w:ascii="仿宋" w:hAnsi="仿宋" w:eastAsia="仿宋" w:cs="仿宋_GB2312"/>
          <w:sz w:val="32"/>
          <w:szCs w:val="32"/>
        </w:rPr>
        <w:t>为了不断提高少数民族教师国语水平和教育教学能力，促进自治州教师整体素质的提升，强化教师队伍建设，结合我州教育工作实际开展国语教育培训班。</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预算安排规模：43万元</w:t>
      </w:r>
    </w:p>
    <w:p>
      <w:pPr>
        <w:ind w:left="319" w:leftChars="152"/>
        <w:rPr>
          <w:rFonts w:ascii="仿宋" w:hAnsi="仿宋" w:eastAsia="仿宋" w:cs="仿宋_GB2312"/>
          <w:sz w:val="32"/>
          <w:szCs w:val="32"/>
        </w:rPr>
      </w:pPr>
      <w:r>
        <w:rPr>
          <w:rFonts w:hint="eastAsia" w:ascii="仿宋" w:hAnsi="仿宋" w:eastAsia="仿宋" w:cs="仿宋_GB2312"/>
          <w:sz w:val="32"/>
          <w:szCs w:val="32"/>
        </w:rPr>
        <w:t>项目承担单位：昌吉州教育局</w:t>
      </w:r>
      <w:r>
        <w:rPr>
          <w:rFonts w:hint="eastAsia" w:ascii="仿宋" w:hAnsi="仿宋" w:eastAsia="仿宋" w:cs="仿宋_GB2312"/>
          <w:sz w:val="32"/>
          <w:szCs w:val="32"/>
        </w:rPr>
        <w:br w:type="textWrapping"/>
      </w:r>
      <w:r>
        <w:rPr>
          <w:rFonts w:hint="eastAsia" w:ascii="仿宋" w:hAnsi="仿宋" w:eastAsia="仿宋" w:cs="仿宋_GB2312"/>
          <w:sz w:val="32"/>
          <w:szCs w:val="32"/>
        </w:rPr>
        <w:t>资金分配情况：商品服务支出43万元，用于培训食宿费</w:t>
      </w:r>
    </w:p>
    <w:p>
      <w:pPr>
        <w:ind w:left="640" w:hanging="640" w:hangingChars="200"/>
        <w:rPr>
          <w:rFonts w:ascii="仿宋" w:hAnsi="仿宋" w:eastAsia="仿宋" w:cs="仿宋_GB2312"/>
          <w:sz w:val="32"/>
          <w:szCs w:val="32"/>
        </w:rPr>
      </w:pPr>
      <w:r>
        <w:rPr>
          <w:rFonts w:hint="eastAsia" w:ascii="仿宋" w:hAnsi="仿宋" w:eastAsia="仿宋" w:cs="仿宋_GB2312"/>
          <w:sz w:val="32"/>
          <w:szCs w:val="32"/>
        </w:rPr>
        <w:t>用和支出</w:t>
      </w:r>
    </w:p>
    <w:p>
      <w:pPr>
        <w:ind w:left="639" w:leftChars="152" w:hanging="320" w:hangingChars="100"/>
        <w:rPr>
          <w:rFonts w:ascii="仿宋" w:hAnsi="仿宋" w:eastAsia="仿宋" w:cs="仿宋_GB2312"/>
          <w:sz w:val="32"/>
          <w:szCs w:val="32"/>
        </w:rPr>
      </w:pPr>
      <w:r>
        <w:rPr>
          <w:rFonts w:hint="eastAsia" w:ascii="仿宋" w:hAnsi="仿宋" w:eastAsia="仿宋" w:cs="仿宋_GB2312"/>
          <w:sz w:val="32"/>
          <w:szCs w:val="32"/>
        </w:rPr>
        <w:t>资金执行时间：2021年1月-12月</w:t>
      </w:r>
    </w:p>
    <w:p>
      <w:pPr>
        <w:ind w:left="529" w:leftChars="252" w:firstLine="161" w:firstLineChars="50"/>
        <w:rPr>
          <w:rFonts w:ascii="仿宋" w:hAnsi="仿宋" w:eastAsia="仿宋" w:cs="仿宋_GB2312"/>
          <w:b/>
          <w:sz w:val="32"/>
          <w:szCs w:val="32"/>
        </w:rPr>
      </w:pPr>
      <w:r>
        <w:rPr>
          <w:rFonts w:hint="eastAsia" w:ascii="仿宋" w:hAnsi="仿宋" w:eastAsia="仿宋" w:cs="仿宋_GB2312"/>
          <w:b/>
          <w:sz w:val="32"/>
          <w:szCs w:val="32"/>
        </w:rPr>
        <w:t>7、项目名称：职称评审</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设立的政策依据：据</w:t>
      </w:r>
      <w:r>
        <w:rPr>
          <w:rFonts w:hint="eastAsia" w:ascii="仿宋" w:hAnsi="仿宋" w:eastAsia="仿宋"/>
          <w:sz w:val="32"/>
          <w:szCs w:val="32"/>
        </w:rPr>
        <w:t>《自治区党委自治区人民政府关于全面深化新时代教师队伍建设改革的实施意见》（新党发〔2018〕27号）、《自治州关于进一步加强新时代教师队伍建设的实施意见》（</w:t>
      </w:r>
      <w:r>
        <w:rPr>
          <w:rFonts w:ascii="仿宋" w:hAnsi="仿宋" w:eastAsia="仿宋"/>
          <w:sz w:val="32"/>
          <w:szCs w:val="32"/>
        </w:rPr>
        <w:t>昌州党办发</w:t>
      </w:r>
      <w:r>
        <w:rPr>
          <w:rFonts w:hint="eastAsia" w:ascii="仿宋" w:hAnsi="仿宋" w:eastAsia="仿宋"/>
          <w:sz w:val="32"/>
          <w:szCs w:val="32"/>
        </w:rPr>
        <w:t>〔</w:t>
      </w:r>
      <w:r>
        <w:rPr>
          <w:rFonts w:ascii="仿宋" w:hAnsi="仿宋" w:eastAsia="仿宋"/>
          <w:sz w:val="32"/>
          <w:szCs w:val="32"/>
        </w:rPr>
        <w:t>2018</w:t>
      </w:r>
      <w:r>
        <w:rPr>
          <w:rFonts w:hint="eastAsia" w:ascii="仿宋" w:hAnsi="仿宋" w:eastAsia="仿宋"/>
          <w:sz w:val="32"/>
          <w:szCs w:val="32"/>
        </w:rPr>
        <w:t>〕</w:t>
      </w:r>
      <w:r>
        <w:rPr>
          <w:rFonts w:ascii="仿宋" w:hAnsi="仿宋" w:eastAsia="仿宋"/>
          <w:sz w:val="32"/>
          <w:szCs w:val="32"/>
        </w:rPr>
        <w:t>78号</w:t>
      </w:r>
      <w:r>
        <w:rPr>
          <w:rFonts w:hint="eastAsia" w:ascii="仿宋" w:hAnsi="仿宋" w:eastAsia="仿宋"/>
          <w:sz w:val="32"/>
          <w:szCs w:val="32"/>
        </w:rPr>
        <w:t>）精神，进一步完善教师职称评审体系，</w:t>
      </w:r>
      <w:r>
        <w:rPr>
          <w:rFonts w:hint="eastAsia" w:ascii="仿宋" w:hAnsi="仿宋" w:eastAsia="仿宋" w:cs="仿宋_GB2312"/>
          <w:sz w:val="32"/>
          <w:szCs w:val="32"/>
        </w:rPr>
        <w:t>落实好教师待遇，增强教师职业吸引力，建设高素质教师队伍。</w:t>
      </w:r>
    </w:p>
    <w:p>
      <w:pPr>
        <w:spacing w:line="560" w:lineRule="exact"/>
        <w:ind w:left="638" w:leftChars="304"/>
        <w:rPr>
          <w:rFonts w:ascii="仿宋" w:hAnsi="仿宋" w:eastAsia="仿宋" w:cs="仿宋_GB2312"/>
          <w:sz w:val="32"/>
          <w:szCs w:val="32"/>
        </w:rPr>
      </w:pPr>
      <w:r>
        <w:rPr>
          <w:rFonts w:hint="eastAsia" w:ascii="仿宋" w:hAnsi="仿宋" w:eastAsia="仿宋" w:cs="仿宋_GB2312"/>
          <w:sz w:val="32"/>
          <w:szCs w:val="32"/>
        </w:rPr>
        <w:t>预算安排规模：10万元</w:t>
      </w:r>
      <w:r>
        <w:rPr>
          <w:rFonts w:hint="eastAsia" w:ascii="仿宋" w:hAnsi="仿宋" w:eastAsia="仿宋" w:cs="仿宋_GB2312"/>
          <w:sz w:val="32"/>
          <w:szCs w:val="32"/>
        </w:rPr>
        <w:br w:type="textWrapping"/>
      </w:r>
      <w:r>
        <w:rPr>
          <w:rFonts w:hint="eastAsia" w:ascii="仿宋" w:hAnsi="仿宋" w:eastAsia="仿宋" w:cs="仿宋_GB2312"/>
          <w:sz w:val="32"/>
          <w:szCs w:val="32"/>
        </w:rPr>
        <w:t>项目承担单位：昌吉州教育局</w:t>
      </w:r>
      <w:r>
        <w:rPr>
          <w:rFonts w:hint="eastAsia" w:ascii="仿宋" w:hAnsi="仿宋" w:eastAsia="仿宋" w:cs="仿宋_GB2312"/>
          <w:sz w:val="32"/>
          <w:szCs w:val="32"/>
        </w:rPr>
        <w:br w:type="textWrapping"/>
      </w:r>
      <w:r>
        <w:rPr>
          <w:rFonts w:hint="eastAsia" w:ascii="仿宋" w:hAnsi="仿宋" w:eastAsia="仿宋" w:cs="仿宋_GB2312"/>
          <w:sz w:val="32"/>
          <w:szCs w:val="32"/>
        </w:rPr>
        <w:t>资金分配情况：商品服务支出10万元，用于专家评审、食宿及办公用品支出</w:t>
      </w:r>
      <w:r>
        <w:rPr>
          <w:rFonts w:hint="eastAsia" w:ascii="仿宋" w:hAnsi="仿宋" w:eastAsia="仿宋" w:cs="仿宋_GB2312"/>
          <w:sz w:val="32"/>
          <w:szCs w:val="32"/>
        </w:rPr>
        <w:br w:type="textWrapping"/>
      </w:r>
      <w:r>
        <w:rPr>
          <w:rFonts w:hint="eastAsia" w:ascii="仿宋" w:hAnsi="仿宋" w:eastAsia="仿宋" w:cs="仿宋_GB2312"/>
          <w:sz w:val="32"/>
          <w:szCs w:val="32"/>
        </w:rPr>
        <w:t>资金执行时间：2021年1月-12月</w:t>
      </w:r>
    </w:p>
    <w:p>
      <w:pPr>
        <w:tabs>
          <w:tab w:val="center" w:pos="4422"/>
        </w:tabs>
        <w:spacing w:line="560" w:lineRule="exact"/>
        <w:ind w:left="160" w:firstLine="482" w:firstLineChars="150"/>
        <w:rPr>
          <w:rFonts w:ascii="仿宋" w:hAnsi="仿宋" w:eastAsia="仿宋" w:cs="仿宋_GB2312"/>
          <w:b/>
          <w:sz w:val="32"/>
          <w:szCs w:val="32"/>
        </w:rPr>
      </w:pPr>
      <w:r>
        <w:rPr>
          <w:rFonts w:hint="eastAsia" w:ascii="仿宋" w:hAnsi="仿宋" w:eastAsia="仿宋" w:cs="仿宋_GB2312"/>
          <w:b/>
          <w:sz w:val="32"/>
          <w:szCs w:val="32"/>
        </w:rPr>
        <w:t>8.语言文字工作经费</w:t>
      </w:r>
    </w:p>
    <w:p>
      <w:pPr>
        <w:spacing w:line="560" w:lineRule="exact"/>
        <w:ind w:firstLine="640" w:firstLineChars="200"/>
        <w:rPr>
          <w:rFonts w:ascii="仿宋" w:hAnsi="仿宋" w:eastAsia="仿宋" w:cs="仿宋"/>
          <w:sz w:val="32"/>
          <w:szCs w:val="32"/>
        </w:rPr>
      </w:pPr>
      <w:r>
        <w:rPr>
          <w:rFonts w:hint="eastAsia" w:ascii="仿宋" w:hAnsi="仿宋" w:eastAsia="仿宋" w:cs="仿宋_GB2312"/>
          <w:sz w:val="32"/>
          <w:szCs w:val="32"/>
        </w:rPr>
        <w:t>设立的政策依据：</w:t>
      </w:r>
      <w:r>
        <w:rPr>
          <w:rFonts w:hint="eastAsia" w:ascii="仿宋" w:hAnsi="仿宋" w:eastAsia="仿宋" w:cs="仿宋"/>
          <w:sz w:val="32"/>
          <w:szCs w:val="32"/>
        </w:rPr>
        <w:t>根据昌州党机编发[2019]82号文件昌吉州教育局设立昌吉州语言文字普及推广中心，协助州语委开展国家通用语言文字普及推广工作和少数民族语言文字规范化、标准化、信息化工作。</w:t>
      </w:r>
    </w:p>
    <w:p>
      <w:pPr>
        <w:spacing w:line="560" w:lineRule="exact"/>
        <w:ind w:firstLine="636"/>
        <w:rPr>
          <w:rFonts w:ascii="仿宋" w:hAnsi="仿宋" w:eastAsia="仿宋" w:cs="仿宋_GB2312"/>
          <w:sz w:val="32"/>
          <w:szCs w:val="32"/>
        </w:rPr>
      </w:pPr>
      <w:r>
        <w:rPr>
          <w:rFonts w:hint="eastAsia" w:ascii="仿宋" w:hAnsi="仿宋" w:eastAsia="仿宋" w:cs="仿宋_GB2312"/>
          <w:sz w:val="32"/>
          <w:szCs w:val="32"/>
        </w:rPr>
        <w:t>预算安排规模：8万元</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项目承担单位：昌吉州教育局</w:t>
      </w:r>
    </w:p>
    <w:p>
      <w:pPr>
        <w:tabs>
          <w:tab w:val="center" w:pos="4422"/>
        </w:tabs>
        <w:spacing w:line="560" w:lineRule="exact"/>
        <w:ind w:firstLine="640"/>
        <w:rPr>
          <w:rFonts w:ascii="仿宋" w:hAnsi="仿宋" w:eastAsia="仿宋" w:cs="仿宋_GB2312"/>
          <w:sz w:val="32"/>
          <w:szCs w:val="32"/>
        </w:rPr>
      </w:pPr>
      <w:r>
        <w:rPr>
          <w:rFonts w:hint="eastAsia" w:ascii="仿宋" w:hAnsi="仿宋" w:eastAsia="仿宋" w:cs="仿宋_GB2312"/>
          <w:sz w:val="32"/>
          <w:szCs w:val="32"/>
        </w:rPr>
        <w:t>资金分配情况：商品服务支出8万元，其中：</w:t>
      </w:r>
      <w:r>
        <w:rPr>
          <w:rFonts w:hint="eastAsia" w:ascii="仿宋" w:hAnsi="仿宋" w:eastAsia="仿宋" w:cs="仿宋"/>
          <w:sz w:val="32"/>
          <w:szCs w:val="32"/>
        </w:rPr>
        <w:t>开展语言文字管理人员培训、推普协调及交流会、国家通用语言文字学习宣传培训、调研等3万元；中华经典诵读活动2万；开展语言文字达标校建设、第24届全国推普周系列活动3万元。</w:t>
      </w:r>
    </w:p>
    <w:p>
      <w:pPr>
        <w:widowControl/>
        <w:spacing w:line="560" w:lineRule="exact"/>
        <w:ind w:firstLine="642"/>
        <w:jc w:val="left"/>
        <w:rPr>
          <w:rFonts w:ascii="仿宋" w:hAnsi="仿宋" w:eastAsia="仿宋" w:cs="宋体"/>
          <w:kern w:val="0"/>
          <w:sz w:val="32"/>
          <w:szCs w:val="32"/>
        </w:rPr>
      </w:pPr>
      <w:r>
        <w:rPr>
          <w:rFonts w:ascii="仿宋" w:hAnsi="仿宋" w:eastAsia="仿宋"/>
          <w:sz w:val="32"/>
          <w:szCs w:val="32"/>
        </w:rPr>
        <w:t>资金执行时间</w:t>
      </w:r>
      <w:r>
        <w:rPr>
          <w:rFonts w:hint="eastAsia" w:ascii="仿宋" w:hAnsi="仿宋" w:eastAsia="仿宋"/>
          <w:sz w:val="32"/>
          <w:szCs w:val="32"/>
        </w:rPr>
        <w:t>：2021年1月-12月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八、关于昌吉州教育局2021年一般公共预算“三公”经费预算情况说明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昌吉州教育局2021年一般公共预算“三公”经费数为12.3万元，其中：因公出国（境）费0万元，公务用车购置0万元，公务用车运行费12.3万元，公务接待费0万元。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2021年一般公共预算“三公”经费比上年增加0万元，其中：因公出国（境）费增加0万元，主要原因是未安排预算；公务用车购置费为0万元，主要原因是未安排预算。公务用车运行费增加0万元，与上年</w:t>
      </w:r>
      <w:r>
        <w:rPr>
          <w:rFonts w:hint="eastAsia" w:ascii="仿宋" w:hAnsi="仿宋" w:eastAsia="仿宋" w:cs="宋体"/>
          <w:kern w:val="0"/>
          <w:sz w:val="32"/>
          <w:szCs w:val="32"/>
          <w:lang w:eastAsia="zh-CN"/>
        </w:rPr>
        <w:t>保持一致</w:t>
      </w:r>
      <w:r>
        <w:rPr>
          <w:rFonts w:hint="eastAsia" w:ascii="仿宋" w:hAnsi="仿宋" w:eastAsia="仿宋" w:cs="宋体"/>
          <w:kern w:val="0"/>
          <w:sz w:val="32"/>
          <w:szCs w:val="32"/>
        </w:rPr>
        <w:t>；公务接待费增加0万元，主要原因是未安排预算。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九、关于昌吉州教育局2021年政府性基金预算拨款情况说明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昌吉州教育局2021年没有使用政府性基金预算拨款安排的支出，政府性基金预算支出情况表为空表。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2021年，昌吉州教育局的机关运行经费财政拨款预算115.84万元，比上年预算增加22.26万元，增长23.7%。主要原因是调入人员增加公用经费支出。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2021年，昌吉州教育局政府采购预算77.12万元，其中：政府采购货物预算34.32万元，政府采购工程预算0万元，政府采购服务预算42.8万元。</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rPr>
        <w:t>2021年度本部门（单位）面向中小企业预留政府采购项目预算金额34.32万元，其中：面向小微企业预留政府采购项目预算金额42.8万元。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截至2020年底，昌吉州教育局占用使用国有资产总体情况为</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1.房屋9322.47平方米，价值1033.3万元。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2.车辆5辆，价值73.8万元；其中：一般公务用车5辆，价值73.8万元；执法执勤用车0辆，价值0万元；其他车辆0辆，价值0万元。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3.办公家具价值67.9万元。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4.其他资产价值465.7万元。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单位价值50万元以上大型设备0台（套），单位价值100万元以上大型设备0台（套）。</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2021年昌吉州教育局部门预算未安排购置车辆经费。</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2021年度，本年度实行绩效管理的一般公共预算项目   8个，涉及预算金额179万元。具体情况见下表（按项目分别填报）：</w:t>
      </w:r>
    </w:p>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tbl>
      <w:tblPr>
        <w:tblStyle w:val="4"/>
        <w:tblW w:w="8500" w:type="dxa"/>
        <w:tblInd w:w="108" w:type="dxa"/>
        <w:tblLayout w:type="fixed"/>
        <w:tblCellMar>
          <w:top w:w="0" w:type="dxa"/>
          <w:left w:w="108" w:type="dxa"/>
          <w:bottom w:w="0" w:type="dxa"/>
          <w:right w:w="108" w:type="dxa"/>
        </w:tblCellMar>
      </w:tblPr>
      <w:tblGrid>
        <w:gridCol w:w="1080"/>
        <w:gridCol w:w="1080"/>
        <w:gridCol w:w="460"/>
        <w:gridCol w:w="520"/>
        <w:gridCol w:w="740"/>
        <w:gridCol w:w="700"/>
        <w:gridCol w:w="880"/>
        <w:gridCol w:w="1080"/>
        <w:gridCol w:w="520"/>
        <w:gridCol w:w="1080"/>
        <w:gridCol w:w="360"/>
      </w:tblGrid>
      <w:tr>
        <w:trPr>
          <w:trHeight w:val="525" w:hRule="atLeast"/>
        </w:trPr>
        <w:tc>
          <w:tcPr>
            <w:tcW w:w="8500" w:type="dxa"/>
            <w:gridSpan w:val="11"/>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CellMar>
            <w:top w:w="0" w:type="dxa"/>
            <w:left w:w="108" w:type="dxa"/>
            <w:bottom w:w="0" w:type="dxa"/>
            <w:right w:w="108" w:type="dxa"/>
          </w:tblCellMar>
        </w:tblPrEx>
        <w:trPr>
          <w:trHeight w:val="525" w:hRule="atLeast"/>
        </w:trPr>
        <w:tc>
          <w:tcPr>
            <w:tcW w:w="8500" w:type="dxa"/>
            <w:gridSpan w:val="11"/>
            <w:tcBorders>
              <w:top w:val="nil"/>
              <w:left w:val="nil"/>
              <w:bottom w:val="single" w:color="auto" w:sz="4" w:space="0"/>
              <w:right w:val="nil"/>
            </w:tcBorders>
            <w:shd w:val="clear" w:color="auto" w:fill="auto"/>
            <w:vAlign w:val="center"/>
          </w:tcPr>
          <w:p>
            <w:pPr>
              <w:widowControl/>
              <w:jc w:val="center"/>
              <w:rPr>
                <w:rFonts w:ascii="宋体" w:hAnsi="宋体" w:cs="宋体"/>
                <w:b/>
                <w:bCs/>
                <w:color w:val="000000"/>
                <w:kern w:val="0"/>
                <w:sz w:val="32"/>
                <w:szCs w:val="32"/>
              </w:rPr>
            </w:pPr>
            <w:r>
              <w:rPr>
                <w:rFonts w:hint="eastAsia" w:ascii="宋体" w:hAnsi="宋体" w:cs="宋体"/>
                <w:b w:val="0"/>
                <w:bCs w:val="0"/>
                <w:color w:val="000000"/>
                <w:kern w:val="0"/>
                <w:sz w:val="24"/>
                <w:szCs w:val="24"/>
              </w:rPr>
              <w:t>(2021年)</w:t>
            </w:r>
          </w:p>
        </w:tc>
      </w:tr>
      <w:tr>
        <w:tblPrEx>
          <w:tblCellMar>
            <w:top w:w="0" w:type="dxa"/>
            <w:left w:w="108" w:type="dxa"/>
            <w:bottom w:w="0" w:type="dxa"/>
            <w:right w:w="108" w:type="dxa"/>
          </w:tblCellMar>
        </w:tblPrEx>
        <w:trPr>
          <w:trHeight w:val="52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50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昌吉回族自治州教育局</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040"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对口南疆支教经费</w:t>
            </w:r>
          </w:p>
        </w:tc>
      </w:tr>
      <w:tr>
        <w:tblPrEx>
          <w:tblCellMar>
            <w:top w:w="0" w:type="dxa"/>
            <w:left w:w="108" w:type="dxa"/>
            <w:bottom w:w="0" w:type="dxa"/>
            <w:right w:w="108" w:type="dxa"/>
          </w:tblCellMar>
        </w:tblPrEx>
        <w:trPr>
          <w:trHeight w:val="52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8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16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4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70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420" w:type="dxa"/>
            <w:gridSpan w:val="10"/>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通过对接支教工作，看望、慰问支教人员，支教人员的能力和素质显著提升，各项待遇得到落实，稳定支教人员队伍。南疆支教主要包括特岗教师学前教育支教、双向挂职、“三区支教”和新招聘公务员支教。</w:t>
            </w:r>
          </w:p>
        </w:tc>
      </w:tr>
      <w:tr>
        <w:tblPrEx>
          <w:tblCellMar>
            <w:top w:w="0" w:type="dxa"/>
            <w:left w:w="108" w:type="dxa"/>
            <w:bottom w:w="0" w:type="dxa"/>
            <w:right w:w="108" w:type="dxa"/>
          </w:tblCellMar>
        </w:tblPrEx>
        <w:trPr>
          <w:trHeight w:val="52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　</w:t>
            </w:r>
          </w:p>
        </w:tc>
        <w:tc>
          <w:tcPr>
            <w:tcW w:w="1080" w:type="dxa"/>
            <w:tcBorders>
              <w:top w:val="nil"/>
              <w:left w:val="nil"/>
              <w:bottom w:val="single" w:color="auto" w:sz="4" w:space="0"/>
              <w:right w:val="nil"/>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c>
          <w:tcPr>
            <w:tcW w:w="460" w:type="dxa"/>
            <w:tcBorders>
              <w:top w:val="nil"/>
              <w:left w:val="nil"/>
              <w:bottom w:val="single" w:color="auto" w:sz="4" w:space="0"/>
              <w:right w:val="nil"/>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c>
          <w:tcPr>
            <w:tcW w:w="520" w:type="dxa"/>
            <w:tcBorders>
              <w:top w:val="nil"/>
              <w:left w:val="nil"/>
              <w:bottom w:val="single" w:color="auto" w:sz="4" w:space="0"/>
              <w:right w:val="nil"/>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c>
          <w:tcPr>
            <w:tcW w:w="740" w:type="dxa"/>
            <w:tcBorders>
              <w:top w:val="nil"/>
              <w:left w:val="nil"/>
              <w:bottom w:val="single" w:color="auto" w:sz="4" w:space="0"/>
              <w:right w:val="nil"/>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c>
          <w:tcPr>
            <w:tcW w:w="700" w:type="dxa"/>
            <w:tcBorders>
              <w:top w:val="nil"/>
              <w:left w:val="nil"/>
              <w:bottom w:val="single" w:color="auto" w:sz="4" w:space="0"/>
              <w:right w:val="nil"/>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c>
          <w:tcPr>
            <w:tcW w:w="880" w:type="dxa"/>
            <w:tcBorders>
              <w:top w:val="nil"/>
              <w:left w:val="nil"/>
              <w:bottom w:val="single" w:color="auto" w:sz="4" w:space="0"/>
              <w:right w:val="nil"/>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nil"/>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c>
          <w:tcPr>
            <w:tcW w:w="520" w:type="dxa"/>
            <w:tcBorders>
              <w:top w:val="nil"/>
              <w:left w:val="nil"/>
              <w:bottom w:val="single" w:color="auto" w:sz="4" w:space="0"/>
              <w:right w:val="nil"/>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c>
          <w:tcPr>
            <w:tcW w:w="1080" w:type="dxa"/>
            <w:tcBorders>
              <w:top w:val="nil"/>
              <w:left w:val="nil"/>
              <w:bottom w:val="single" w:color="auto" w:sz="4" w:space="0"/>
              <w:right w:val="nil"/>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c>
          <w:tcPr>
            <w:tcW w:w="360" w:type="dxa"/>
            <w:tcBorders>
              <w:top w:val="nil"/>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2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4380"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19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705" w:hRule="atLeast"/>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4380" w:type="dxa"/>
            <w:gridSpan w:val="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送教、送培、慰问等次数（次）</w:t>
            </w:r>
          </w:p>
        </w:tc>
        <w:tc>
          <w:tcPr>
            <w:tcW w:w="19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&gt;=5次</w:t>
            </w:r>
          </w:p>
        </w:tc>
      </w:tr>
      <w:tr>
        <w:trPr>
          <w:trHeight w:val="675"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4380" w:type="dxa"/>
            <w:gridSpan w:val="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送教、送培、慰问工作完成率（%）</w:t>
            </w:r>
          </w:p>
        </w:tc>
        <w:tc>
          <w:tcPr>
            <w:tcW w:w="19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rPr>
          <w:trHeight w:val="525"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4380" w:type="dxa"/>
            <w:gridSpan w:val="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完成送教、送培、慰问工作完成时间</w:t>
            </w:r>
          </w:p>
        </w:tc>
        <w:tc>
          <w:tcPr>
            <w:tcW w:w="19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2021年12月31日</w:t>
            </w:r>
          </w:p>
        </w:tc>
      </w:tr>
      <w:tr>
        <w:tblPrEx>
          <w:tblCellMar>
            <w:top w:w="0" w:type="dxa"/>
            <w:left w:w="108" w:type="dxa"/>
            <w:bottom w:w="0" w:type="dxa"/>
            <w:right w:w="108" w:type="dxa"/>
          </w:tblCellMar>
        </w:tblPrEx>
        <w:trPr>
          <w:trHeight w:val="765"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4380" w:type="dxa"/>
            <w:gridSpan w:val="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送教、送培、看望慰问、管理等经费（万）</w:t>
            </w:r>
          </w:p>
        </w:tc>
        <w:tc>
          <w:tcPr>
            <w:tcW w:w="19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&lt;=30万元</w:t>
            </w:r>
          </w:p>
        </w:tc>
      </w:tr>
      <w:tr>
        <w:tblPrEx>
          <w:tblCellMar>
            <w:top w:w="0" w:type="dxa"/>
            <w:left w:w="108" w:type="dxa"/>
            <w:bottom w:w="0" w:type="dxa"/>
            <w:right w:w="108" w:type="dxa"/>
          </w:tblCellMar>
        </w:tblPrEx>
        <w:trPr>
          <w:trHeight w:val="804"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4380" w:type="dxa"/>
            <w:gridSpan w:val="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提高受援学校教育教学水平和质量</w:t>
            </w:r>
          </w:p>
        </w:tc>
        <w:tc>
          <w:tcPr>
            <w:tcW w:w="19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提高</w:t>
            </w:r>
          </w:p>
        </w:tc>
      </w:tr>
      <w:tr>
        <w:tblPrEx>
          <w:tblCellMar>
            <w:top w:w="0" w:type="dxa"/>
            <w:left w:w="108" w:type="dxa"/>
            <w:bottom w:w="0" w:type="dxa"/>
            <w:right w:w="108" w:type="dxa"/>
          </w:tblCellMar>
        </w:tblPrEx>
        <w:trPr>
          <w:trHeight w:val="1164"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4380" w:type="dxa"/>
            <w:gridSpan w:val="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加强区内协作，帮扶南疆教育发展,提升南疆教育教学水平</w:t>
            </w:r>
          </w:p>
        </w:tc>
        <w:tc>
          <w:tcPr>
            <w:tcW w:w="19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提升</w:t>
            </w:r>
          </w:p>
        </w:tc>
      </w:tr>
      <w:tr>
        <w:tblPrEx>
          <w:tblCellMar>
            <w:top w:w="0" w:type="dxa"/>
            <w:left w:w="108" w:type="dxa"/>
            <w:bottom w:w="0" w:type="dxa"/>
            <w:right w:w="108" w:type="dxa"/>
          </w:tblCellMar>
        </w:tblPrEx>
        <w:trPr>
          <w:trHeight w:val="919"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4380" w:type="dxa"/>
            <w:gridSpan w:val="6"/>
            <w:tcBorders>
              <w:top w:val="single" w:color="auto" w:sz="4" w:space="0"/>
              <w:left w:val="nil"/>
              <w:bottom w:val="single" w:color="auto" w:sz="4" w:space="0"/>
              <w:right w:val="single" w:color="auto"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学生、家长、社会满意率（%）</w:t>
            </w:r>
          </w:p>
        </w:tc>
        <w:tc>
          <w:tcPr>
            <w:tcW w:w="196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&gt;=95%</w:t>
            </w:r>
          </w:p>
        </w:tc>
      </w:tr>
    </w:tbl>
    <w:p>
      <w:pPr>
        <w:widowControl/>
        <w:spacing w:before="156" w:beforeLines="50" w:line="520" w:lineRule="exact"/>
        <w:jc w:val="left"/>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left"/>
        <w:outlineLvl w:val="1"/>
        <w:rPr>
          <w:rFonts w:ascii="黑体" w:hAnsi="黑体" w:eastAsia="黑体"/>
          <w:kern w:val="0"/>
          <w:sz w:val="32"/>
          <w:szCs w:val="32"/>
        </w:rPr>
      </w:pPr>
    </w:p>
    <w:p>
      <w:pPr>
        <w:widowControl/>
        <w:spacing w:before="156" w:beforeLines="50" w:line="520" w:lineRule="exact"/>
        <w:jc w:val="left"/>
        <w:outlineLvl w:val="1"/>
        <w:rPr>
          <w:rFonts w:ascii="黑体" w:hAnsi="黑体" w:eastAsia="黑体"/>
          <w:kern w:val="0"/>
          <w:sz w:val="32"/>
          <w:szCs w:val="32"/>
        </w:rPr>
      </w:pPr>
    </w:p>
    <w:p>
      <w:pPr>
        <w:widowControl/>
        <w:spacing w:before="156" w:beforeLines="50" w:line="520" w:lineRule="exact"/>
        <w:jc w:val="both"/>
        <w:outlineLvl w:val="1"/>
        <w:rPr>
          <w:rFonts w:ascii="黑体" w:hAnsi="黑体" w:eastAsia="黑体"/>
          <w:kern w:val="0"/>
          <w:sz w:val="32"/>
          <w:szCs w:val="32"/>
        </w:rPr>
      </w:pPr>
    </w:p>
    <w:p>
      <w:pPr>
        <w:widowControl/>
        <w:spacing w:before="156" w:beforeLines="50" w:line="520" w:lineRule="exact"/>
        <w:jc w:val="left"/>
        <w:outlineLvl w:val="1"/>
        <w:rPr>
          <w:rFonts w:ascii="黑体" w:hAnsi="黑体" w:eastAsia="黑体"/>
          <w:kern w:val="0"/>
          <w:sz w:val="32"/>
          <w:szCs w:val="32"/>
        </w:rPr>
      </w:pPr>
      <w:r>
        <w:rPr>
          <w:rFonts w:hint="eastAsia" w:ascii="黑体" w:hAnsi="黑体" w:eastAsia="黑体"/>
          <w:kern w:val="0"/>
          <w:sz w:val="32"/>
          <w:szCs w:val="32"/>
        </w:rPr>
        <w:t xml:space="preserve"> </w:t>
      </w:r>
    </w:p>
    <w:tbl>
      <w:tblPr>
        <w:tblStyle w:val="4"/>
        <w:tblW w:w="8414" w:type="dxa"/>
        <w:tblInd w:w="108" w:type="dxa"/>
        <w:tblLayout w:type="fixed"/>
        <w:tblCellMar>
          <w:top w:w="0" w:type="dxa"/>
          <w:left w:w="108" w:type="dxa"/>
          <w:bottom w:w="0" w:type="dxa"/>
          <w:right w:w="108" w:type="dxa"/>
        </w:tblCellMar>
      </w:tblPr>
      <w:tblGrid>
        <w:gridCol w:w="1547"/>
        <w:gridCol w:w="1885"/>
        <w:gridCol w:w="301"/>
        <w:gridCol w:w="536"/>
        <w:gridCol w:w="630"/>
        <w:gridCol w:w="630"/>
        <w:gridCol w:w="1215"/>
        <w:gridCol w:w="432"/>
        <w:gridCol w:w="432"/>
        <w:gridCol w:w="403"/>
        <w:gridCol w:w="403"/>
      </w:tblGrid>
      <w:tr>
        <w:tblPrEx>
          <w:tblCellMar>
            <w:top w:w="0" w:type="dxa"/>
            <w:left w:w="108" w:type="dxa"/>
            <w:bottom w:w="0" w:type="dxa"/>
            <w:right w:w="108" w:type="dxa"/>
          </w:tblCellMar>
        </w:tblPrEx>
        <w:trPr>
          <w:trHeight w:val="390" w:hRule="atLeast"/>
        </w:trPr>
        <w:tc>
          <w:tcPr>
            <w:tcW w:w="8414" w:type="dxa"/>
            <w:gridSpan w:val="11"/>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CellMar>
            <w:top w:w="0" w:type="dxa"/>
            <w:left w:w="108" w:type="dxa"/>
            <w:bottom w:w="0" w:type="dxa"/>
            <w:right w:w="108" w:type="dxa"/>
          </w:tblCellMar>
        </w:tblPrEx>
        <w:trPr>
          <w:trHeight w:val="405" w:hRule="atLeast"/>
        </w:trPr>
        <w:tc>
          <w:tcPr>
            <w:tcW w:w="8414" w:type="dxa"/>
            <w:gridSpan w:val="11"/>
            <w:tcBorders>
              <w:top w:val="nil"/>
              <w:left w:val="nil"/>
              <w:bottom w:val="single" w:color="auto" w:sz="4" w:space="0"/>
              <w:right w:val="nil"/>
            </w:tcBorders>
            <w:shd w:val="clear" w:color="auto" w:fill="auto"/>
            <w:vAlign w:val="center"/>
          </w:tcPr>
          <w:p>
            <w:pPr>
              <w:widowControl/>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(2021年)</w:t>
            </w:r>
          </w:p>
        </w:tc>
      </w:tr>
      <w:tr>
        <w:tblPrEx>
          <w:tblCellMar>
            <w:top w:w="0" w:type="dxa"/>
            <w:left w:w="108" w:type="dxa"/>
            <w:bottom w:w="0" w:type="dxa"/>
            <w:right w:w="108" w:type="dxa"/>
          </w:tblCellMar>
        </w:tblPrEx>
        <w:trPr>
          <w:trHeight w:val="570" w:hRule="atLeast"/>
        </w:trPr>
        <w:tc>
          <w:tcPr>
            <w:tcW w:w="15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预算单位</w:t>
            </w:r>
          </w:p>
        </w:tc>
        <w:tc>
          <w:tcPr>
            <w:tcW w:w="398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昌吉回族自治州教育局</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项目名称</w:t>
            </w:r>
          </w:p>
        </w:tc>
        <w:tc>
          <w:tcPr>
            <w:tcW w:w="1670"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国语教育培训经费</w:t>
            </w:r>
          </w:p>
        </w:tc>
      </w:tr>
      <w:tr>
        <w:tblPrEx>
          <w:tblCellMar>
            <w:top w:w="0" w:type="dxa"/>
            <w:left w:w="108" w:type="dxa"/>
            <w:bottom w:w="0" w:type="dxa"/>
            <w:right w:w="108" w:type="dxa"/>
          </w:tblCellMar>
        </w:tblPrEx>
        <w:trPr>
          <w:trHeight w:val="570" w:hRule="atLeast"/>
        </w:trPr>
        <w:tc>
          <w:tcPr>
            <w:tcW w:w="15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项目资金（万元）</w:t>
            </w:r>
          </w:p>
        </w:tc>
        <w:tc>
          <w:tcPr>
            <w:tcW w:w="21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年度资金总额：</w:t>
            </w:r>
          </w:p>
        </w:tc>
        <w:tc>
          <w:tcPr>
            <w:tcW w:w="53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43</w:t>
            </w:r>
          </w:p>
        </w:tc>
        <w:tc>
          <w:tcPr>
            <w:tcW w:w="12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其中：财政拨款</w:t>
            </w:r>
          </w:p>
        </w:tc>
        <w:tc>
          <w:tcPr>
            <w:tcW w:w="121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43</w:t>
            </w:r>
          </w:p>
        </w:tc>
        <w:tc>
          <w:tcPr>
            <w:tcW w:w="86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其他资金</w:t>
            </w:r>
          </w:p>
        </w:tc>
        <w:tc>
          <w:tcPr>
            <w:tcW w:w="80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0" w:hRule="atLeast"/>
        </w:trPr>
        <w:tc>
          <w:tcPr>
            <w:tcW w:w="15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项目总体目标</w:t>
            </w:r>
          </w:p>
        </w:tc>
        <w:tc>
          <w:tcPr>
            <w:tcW w:w="6867" w:type="dxa"/>
            <w:gridSpan w:val="10"/>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通过举办培训班，参训教师的整治素质和国家通用语言文字教育教学技能进一步提升，能够胜任国家通用语言文字教学工作，项目主要用于支付参加培训教师的食宿培训费用等。国语教育培训70人，培训35天、280个学时，43万元。</w:t>
            </w:r>
          </w:p>
        </w:tc>
      </w:tr>
      <w:tr>
        <w:tblPrEx>
          <w:tblCellMar>
            <w:top w:w="0" w:type="dxa"/>
            <w:left w:w="108" w:type="dxa"/>
            <w:bottom w:w="0" w:type="dxa"/>
            <w:right w:w="108" w:type="dxa"/>
          </w:tblCellMar>
        </w:tblPrEx>
        <w:trPr>
          <w:trHeight w:val="570" w:hRule="atLeast"/>
        </w:trPr>
        <w:tc>
          <w:tcPr>
            <w:tcW w:w="15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　</w:t>
            </w:r>
          </w:p>
        </w:tc>
        <w:tc>
          <w:tcPr>
            <w:tcW w:w="1885"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301"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536"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630"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630"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1215"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32"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32"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03"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03" w:type="dxa"/>
            <w:tcBorders>
              <w:top w:val="nil"/>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0" w:hRule="atLeast"/>
        </w:trPr>
        <w:tc>
          <w:tcPr>
            <w:tcW w:w="15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一级指标</w:t>
            </w:r>
          </w:p>
        </w:tc>
        <w:tc>
          <w:tcPr>
            <w:tcW w:w="188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二级指标</w:t>
            </w:r>
          </w:p>
        </w:tc>
        <w:tc>
          <w:tcPr>
            <w:tcW w:w="3744"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三级指标</w:t>
            </w:r>
          </w:p>
        </w:tc>
        <w:tc>
          <w:tcPr>
            <w:tcW w:w="12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570" w:hRule="atLeast"/>
        </w:trPr>
        <w:tc>
          <w:tcPr>
            <w:tcW w:w="154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产出指标</w:t>
            </w:r>
          </w:p>
        </w:tc>
        <w:tc>
          <w:tcPr>
            <w:tcW w:w="188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数量指标</w:t>
            </w:r>
          </w:p>
        </w:tc>
        <w:tc>
          <w:tcPr>
            <w:tcW w:w="3744"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培训次数</w:t>
            </w:r>
          </w:p>
        </w:tc>
        <w:tc>
          <w:tcPr>
            <w:tcW w:w="12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&gt;=1次</w:t>
            </w:r>
          </w:p>
        </w:tc>
      </w:tr>
      <w:tr>
        <w:trPr>
          <w:trHeight w:val="570" w:hRule="atLeast"/>
        </w:trPr>
        <w:tc>
          <w:tcPr>
            <w:tcW w:w="15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8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数量指标</w:t>
            </w:r>
          </w:p>
        </w:tc>
        <w:tc>
          <w:tcPr>
            <w:tcW w:w="3744"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培训人数</w:t>
            </w:r>
          </w:p>
        </w:tc>
        <w:tc>
          <w:tcPr>
            <w:tcW w:w="12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&gt;=100人</w:t>
            </w:r>
          </w:p>
        </w:tc>
      </w:tr>
      <w:tr>
        <w:trPr>
          <w:trHeight w:val="570" w:hRule="atLeast"/>
        </w:trPr>
        <w:tc>
          <w:tcPr>
            <w:tcW w:w="15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8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质量指标</w:t>
            </w:r>
          </w:p>
        </w:tc>
        <w:tc>
          <w:tcPr>
            <w:tcW w:w="3744"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培训完成率（%）</w:t>
            </w:r>
          </w:p>
        </w:tc>
        <w:tc>
          <w:tcPr>
            <w:tcW w:w="12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570" w:hRule="atLeast"/>
        </w:trPr>
        <w:tc>
          <w:tcPr>
            <w:tcW w:w="15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8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时效指标</w:t>
            </w:r>
          </w:p>
        </w:tc>
        <w:tc>
          <w:tcPr>
            <w:tcW w:w="3744"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培训按期完成率</w:t>
            </w:r>
          </w:p>
        </w:tc>
        <w:tc>
          <w:tcPr>
            <w:tcW w:w="12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570" w:hRule="atLeast"/>
        </w:trPr>
        <w:tc>
          <w:tcPr>
            <w:tcW w:w="15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8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成本指标</w:t>
            </w:r>
          </w:p>
        </w:tc>
        <w:tc>
          <w:tcPr>
            <w:tcW w:w="3744"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国语提升培训经费（万）</w:t>
            </w:r>
          </w:p>
        </w:tc>
        <w:tc>
          <w:tcPr>
            <w:tcW w:w="12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&lt;=43万元</w:t>
            </w:r>
          </w:p>
        </w:tc>
      </w:tr>
      <w:tr>
        <w:tblPrEx>
          <w:tblCellMar>
            <w:top w:w="0" w:type="dxa"/>
            <w:left w:w="108" w:type="dxa"/>
            <w:bottom w:w="0" w:type="dxa"/>
            <w:right w:w="108" w:type="dxa"/>
          </w:tblCellMar>
        </w:tblPrEx>
        <w:trPr>
          <w:trHeight w:val="570" w:hRule="atLeast"/>
        </w:trPr>
        <w:tc>
          <w:tcPr>
            <w:tcW w:w="154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效益指标</w:t>
            </w:r>
          </w:p>
        </w:tc>
        <w:tc>
          <w:tcPr>
            <w:tcW w:w="188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经济效益指标</w:t>
            </w:r>
          </w:p>
        </w:tc>
        <w:tc>
          <w:tcPr>
            <w:tcW w:w="3744"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提高少数民族教师国语水平</w:t>
            </w:r>
          </w:p>
        </w:tc>
        <w:tc>
          <w:tcPr>
            <w:tcW w:w="12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提高</w:t>
            </w:r>
          </w:p>
        </w:tc>
      </w:tr>
      <w:tr>
        <w:tblPrEx>
          <w:tblCellMar>
            <w:top w:w="0" w:type="dxa"/>
            <w:left w:w="108" w:type="dxa"/>
            <w:bottom w:w="0" w:type="dxa"/>
            <w:right w:w="108" w:type="dxa"/>
          </w:tblCellMar>
        </w:tblPrEx>
        <w:trPr>
          <w:trHeight w:val="570" w:hRule="atLeast"/>
        </w:trPr>
        <w:tc>
          <w:tcPr>
            <w:tcW w:w="154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8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可持续影响指标</w:t>
            </w:r>
          </w:p>
        </w:tc>
        <w:tc>
          <w:tcPr>
            <w:tcW w:w="3744"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提升少数民族教师国语水平，提高国语授课能力</w:t>
            </w:r>
          </w:p>
        </w:tc>
        <w:tc>
          <w:tcPr>
            <w:tcW w:w="12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提升</w:t>
            </w:r>
          </w:p>
        </w:tc>
      </w:tr>
      <w:tr>
        <w:tblPrEx>
          <w:tblCellMar>
            <w:top w:w="0" w:type="dxa"/>
            <w:left w:w="108" w:type="dxa"/>
            <w:bottom w:w="0" w:type="dxa"/>
            <w:right w:w="108" w:type="dxa"/>
          </w:tblCellMar>
        </w:tblPrEx>
        <w:trPr>
          <w:trHeight w:val="570" w:hRule="atLeast"/>
        </w:trPr>
        <w:tc>
          <w:tcPr>
            <w:tcW w:w="154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188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3744"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培训人员满意度（%）</w:t>
            </w:r>
          </w:p>
        </w:tc>
        <w:tc>
          <w:tcPr>
            <w:tcW w:w="123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&gt;=95%</w:t>
            </w:r>
          </w:p>
        </w:tc>
      </w:tr>
    </w:tbl>
    <w:p>
      <w:pPr>
        <w:widowControl/>
        <w:spacing w:before="156" w:beforeLines="50" w:line="520" w:lineRule="exact"/>
        <w:jc w:val="left"/>
        <w:outlineLvl w:val="1"/>
        <w:rPr>
          <w:rFonts w:ascii="黑体" w:hAnsi="黑体" w:eastAsia="黑体"/>
          <w:kern w:val="0"/>
          <w:sz w:val="32"/>
          <w:szCs w:val="32"/>
        </w:rPr>
      </w:pPr>
      <w:r>
        <w:rPr>
          <w:rFonts w:hint="eastAsia" w:ascii="黑体" w:hAnsi="黑体" w:eastAsia="黑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p>
    <w:p>
      <w:pPr>
        <w:widowControl/>
        <w:tabs>
          <w:tab w:val="left" w:pos="3088"/>
        </w:tabs>
        <w:spacing w:before="156" w:beforeLines="50" w:line="520" w:lineRule="exact"/>
        <w:jc w:val="left"/>
        <w:outlineLvl w:val="1"/>
        <w:rPr>
          <w:rFonts w:hint="eastAsia" w:ascii="黑体" w:hAnsi="黑体" w:eastAsia="黑体"/>
          <w:kern w:val="0"/>
          <w:sz w:val="32"/>
          <w:szCs w:val="32"/>
          <w:lang w:eastAsia="zh-CN"/>
        </w:rPr>
      </w:pPr>
      <w:r>
        <w:rPr>
          <w:rFonts w:hint="eastAsia" w:ascii="黑体" w:hAnsi="黑体" w:eastAsia="黑体"/>
          <w:kern w:val="0"/>
          <w:sz w:val="32"/>
          <w:szCs w:val="32"/>
          <w:lang w:eastAsia="zh-CN"/>
        </w:rPr>
        <w:tab/>
      </w:r>
    </w:p>
    <w:p>
      <w:pPr>
        <w:widowControl/>
        <w:tabs>
          <w:tab w:val="left" w:pos="3088"/>
        </w:tabs>
        <w:spacing w:before="156" w:beforeLines="50" w:line="520" w:lineRule="exact"/>
        <w:jc w:val="left"/>
        <w:outlineLvl w:val="1"/>
        <w:rPr>
          <w:rFonts w:hint="eastAsia" w:ascii="黑体" w:hAnsi="黑体" w:eastAsia="黑体"/>
          <w:kern w:val="0"/>
          <w:sz w:val="32"/>
          <w:szCs w:val="32"/>
          <w:lang w:eastAsia="zh-CN"/>
        </w:rPr>
      </w:pPr>
    </w:p>
    <w:p>
      <w:pPr>
        <w:widowControl/>
        <w:spacing w:before="156" w:beforeLines="50" w:line="520" w:lineRule="exact"/>
        <w:jc w:val="left"/>
        <w:outlineLvl w:val="1"/>
        <w:rPr>
          <w:rFonts w:ascii="黑体" w:hAnsi="黑体" w:eastAsia="黑体"/>
          <w:kern w:val="0"/>
          <w:sz w:val="32"/>
          <w:szCs w:val="32"/>
        </w:rPr>
      </w:pPr>
    </w:p>
    <w:tbl>
      <w:tblPr>
        <w:tblStyle w:val="4"/>
        <w:tblW w:w="8414" w:type="dxa"/>
        <w:tblInd w:w="108" w:type="dxa"/>
        <w:tblLayout w:type="fixed"/>
        <w:tblCellMar>
          <w:top w:w="0" w:type="dxa"/>
          <w:left w:w="108" w:type="dxa"/>
          <w:bottom w:w="0" w:type="dxa"/>
          <w:right w:w="108" w:type="dxa"/>
        </w:tblCellMar>
      </w:tblPr>
      <w:tblGrid>
        <w:gridCol w:w="1544"/>
        <w:gridCol w:w="1890"/>
        <w:gridCol w:w="302"/>
        <w:gridCol w:w="538"/>
        <w:gridCol w:w="628"/>
        <w:gridCol w:w="628"/>
        <w:gridCol w:w="1218"/>
        <w:gridCol w:w="431"/>
        <w:gridCol w:w="431"/>
        <w:gridCol w:w="402"/>
        <w:gridCol w:w="402"/>
      </w:tblGrid>
      <w:tr>
        <w:trPr>
          <w:trHeight w:val="390" w:hRule="atLeast"/>
        </w:trPr>
        <w:tc>
          <w:tcPr>
            <w:tcW w:w="8414" w:type="dxa"/>
            <w:gridSpan w:val="11"/>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CellMar>
            <w:top w:w="0" w:type="dxa"/>
            <w:left w:w="108" w:type="dxa"/>
            <w:bottom w:w="0" w:type="dxa"/>
            <w:right w:w="108" w:type="dxa"/>
          </w:tblCellMar>
        </w:tblPrEx>
        <w:trPr>
          <w:trHeight w:val="405" w:hRule="atLeast"/>
        </w:trPr>
        <w:tc>
          <w:tcPr>
            <w:tcW w:w="8414" w:type="dxa"/>
            <w:gridSpan w:val="11"/>
            <w:tcBorders>
              <w:top w:val="nil"/>
              <w:left w:val="nil"/>
              <w:bottom w:val="single" w:color="auto" w:sz="4" w:space="0"/>
              <w:right w:val="nil"/>
            </w:tcBorders>
            <w:shd w:val="clear" w:color="auto" w:fill="auto"/>
            <w:vAlign w:val="center"/>
          </w:tcPr>
          <w:p>
            <w:pPr>
              <w:widowControl/>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(2021年)</w:t>
            </w:r>
          </w:p>
        </w:tc>
      </w:tr>
      <w:tr>
        <w:tblPrEx>
          <w:tblCellMar>
            <w:top w:w="0" w:type="dxa"/>
            <w:left w:w="108" w:type="dxa"/>
            <w:bottom w:w="0" w:type="dxa"/>
            <w:right w:w="108" w:type="dxa"/>
          </w:tblCellMar>
        </w:tblPrEx>
        <w:trPr>
          <w:trHeight w:val="270" w:hRule="atLeast"/>
        </w:trPr>
        <w:tc>
          <w:tcPr>
            <w:tcW w:w="15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预算单位</w:t>
            </w:r>
          </w:p>
        </w:tc>
        <w:tc>
          <w:tcPr>
            <w:tcW w:w="398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昌吉回族自治州教育局</w:t>
            </w:r>
          </w:p>
        </w:tc>
        <w:tc>
          <w:tcPr>
            <w:tcW w:w="121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项目名称</w:t>
            </w:r>
          </w:p>
        </w:tc>
        <w:tc>
          <w:tcPr>
            <w:tcW w:w="1666"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教育督导专项经费</w:t>
            </w:r>
          </w:p>
        </w:tc>
      </w:tr>
      <w:tr>
        <w:tblPrEx>
          <w:tblCellMar>
            <w:top w:w="0" w:type="dxa"/>
            <w:left w:w="108" w:type="dxa"/>
            <w:bottom w:w="0" w:type="dxa"/>
            <w:right w:w="108" w:type="dxa"/>
          </w:tblCellMar>
        </w:tblPrEx>
        <w:trPr>
          <w:trHeight w:val="450" w:hRule="atLeast"/>
        </w:trPr>
        <w:tc>
          <w:tcPr>
            <w:tcW w:w="15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项目资金（万元）</w:t>
            </w:r>
          </w:p>
        </w:tc>
        <w:tc>
          <w:tcPr>
            <w:tcW w:w="219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年度资金总额：</w:t>
            </w:r>
          </w:p>
        </w:tc>
        <w:tc>
          <w:tcPr>
            <w:tcW w:w="53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w:t>
            </w:r>
          </w:p>
        </w:tc>
        <w:tc>
          <w:tcPr>
            <w:tcW w:w="125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其中：财政拨款</w:t>
            </w:r>
          </w:p>
        </w:tc>
        <w:tc>
          <w:tcPr>
            <w:tcW w:w="121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w:t>
            </w:r>
          </w:p>
        </w:tc>
        <w:tc>
          <w:tcPr>
            <w:tcW w:w="8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其他资金</w:t>
            </w:r>
          </w:p>
        </w:tc>
        <w:tc>
          <w:tcPr>
            <w:tcW w:w="80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765" w:hRule="atLeast"/>
        </w:trPr>
        <w:tc>
          <w:tcPr>
            <w:tcW w:w="15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项目总体目标</w:t>
            </w:r>
          </w:p>
        </w:tc>
        <w:tc>
          <w:tcPr>
            <w:tcW w:w="6870" w:type="dxa"/>
            <w:gridSpan w:val="10"/>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贯彻执行国家和自治区有关教育方针、政策，按照有关规定行使教育督导职权；受州人民政府委托及教育部门委托，对下级人民政府的教育工作进行监督、检查、评估、指导。不断提高教育教学质量，进一步促进教育公平，努力办人民满意的教育。</w:t>
            </w:r>
          </w:p>
        </w:tc>
      </w:tr>
      <w:tr>
        <w:tblPrEx>
          <w:tblCellMar>
            <w:top w:w="0" w:type="dxa"/>
            <w:left w:w="108" w:type="dxa"/>
            <w:bottom w:w="0" w:type="dxa"/>
            <w:right w:w="108" w:type="dxa"/>
          </w:tblCellMar>
        </w:tblPrEx>
        <w:trPr>
          <w:trHeight w:val="765" w:hRule="atLeast"/>
        </w:trPr>
        <w:tc>
          <w:tcPr>
            <w:tcW w:w="15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　</w:t>
            </w:r>
          </w:p>
        </w:tc>
        <w:tc>
          <w:tcPr>
            <w:tcW w:w="1890"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302"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538"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628"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628"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1218"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31"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31"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02"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02" w:type="dxa"/>
            <w:tcBorders>
              <w:top w:val="nil"/>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765" w:hRule="atLeast"/>
        </w:trPr>
        <w:tc>
          <w:tcPr>
            <w:tcW w:w="15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一级指标</w:t>
            </w:r>
          </w:p>
        </w:tc>
        <w:tc>
          <w:tcPr>
            <w:tcW w:w="189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二级指标</w:t>
            </w:r>
          </w:p>
        </w:tc>
        <w:tc>
          <w:tcPr>
            <w:tcW w:w="3745"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三级指标</w:t>
            </w:r>
          </w:p>
        </w:tc>
        <w:tc>
          <w:tcPr>
            <w:tcW w:w="12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765" w:hRule="atLeast"/>
        </w:trPr>
        <w:tc>
          <w:tcPr>
            <w:tcW w:w="154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产出指标</w:t>
            </w:r>
          </w:p>
        </w:tc>
        <w:tc>
          <w:tcPr>
            <w:tcW w:w="189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数量指标</w:t>
            </w:r>
          </w:p>
        </w:tc>
        <w:tc>
          <w:tcPr>
            <w:tcW w:w="3745"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各县市政府对教育履职的各类情况督导</w:t>
            </w:r>
          </w:p>
        </w:tc>
        <w:tc>
          <w:tcPr>
            <w:tcW w:w="12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&gt;=7个</w:t>
            </w:r>
          </w:p>
        </w:tc>
      </w:tr>
      <w:tr>
        <w:trPr>
          <w:trHeight w:val="765" w:hRule="atLeast"/>
        </w:trPr>
        <w:tc>
          <w:tcPr>
            <w:tcW w:w="15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9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质量指标</w:t>
            </w:r>
          </w:p>
        </w:tc>
        <w:tc>
          <w:tcPr>
            <w:tcW w:w="3745"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教育督导各项目标任务完成率（%）</w:t>
            </w:r>
          </w:p>
        </w:tc>
        <w:tc>
          <w:tcPr>
            <w:tcW w:w="12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w:t>
            </w:r>
          </w:p>
        </w:tc>
      </w:tr>
      <w:tr>
        <w:trPr>
          <w:trHeight w:val="765" w:hRule="atLeast"/>
        </w:trPr>
        <w:tc>
          <w:tcPr>
            <w:tcW w:w="15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9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时效指标</w:t>
            </w:r>
          </w:p>
        </w:tc>
        <w:tc>
          <w:tcPr>
            <w:tcW w:w="3745"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各项工作完成时间</w:t>
            </w:r>
          </w:p>
        </w:tc>
        <w:tc>
          <w:tcPr>
            <w:tcW w:w="12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2021年12月31日前</w:t>
            </w:r>
          </w:p>
        </w:tc>
      </w:tr>
      <w:tr>
        <w:tblPrEx>
          <w:tblCellMar>
            <w:top w:w="0" w:type="dxa"/>
            <w:left w:w="108" w:type="dxa"/>
            <w:bottom w:w="0" w:type="dxa"/>
            <w:right w:w="108" w:type="dxa"/>
          </w:tblCellMar>
        </w:tblPrEx>
        <w:trPr>
          <w:trHeight w:val="765" w:hRule="atLeast"/>
        </w:trPr>
        <w:tc>
          <w:tcPr>
            <w:tcW w:w="15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9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成本指标</w:t>
            </w:r>
          </w:p>
        </w:tc>
        <w:tc>
          <w:tcPr>
            <w:tcW w:w="3745"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各项督导检查验收食宿差旅费</w:t>
            </w:r>
          </w:p>
        </w:tc>
        <w:tc>
          <w:tcPr>
            <w:tcW w:w="12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&lt;=10万元</w:t>
            </w:r>
          </w:p>
        </w:tc>
      </w:tr>
      <w:tr>
        <w:tblPrEx>
          <w:tblCellMar>
            <w:top w:w="0" w:type="dxa"/>
            <w:left w:w="108" w:type="dxa"/>
            <w:bottom w:w="0" w:type="dxa"/>
            <w:right w:w="108" w:type="dxa"/>
          </w:tblCellMar>
        </w:tblPrEx>
        <w:trPr>
          <w:trHeight w:val="765" w:hRule="atLeast"/>
        </w:trPr>
        <w:tc>
          <w:tcPr>
            <w:tcW w:w="15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9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社会效益指标</w:t>
            </w:r>
          </w:p>
        </w:tc>
        <w:tc>
          <w:tcPr>
            <w:tcW w:w="3745"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提升教育质量，促进教育公平</w:t>
            </w:r>
          </w:p>
        </w:tc>
        <w:tc>
          <w:tcPr>
            <w:tcW w:w="12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提升</w:t>
            </w:r>
          </w:p>
        </w:tc>
      </w:tr>
      <w:tr>
        <w:tblPrEx>
          <w:tblCellMar>
            <w:top w:w="0" w:type="dxa"/>
            <w:left w:w="108" w:type="dxa"/>
            <w:bottom w:w="0" w:type="dxa"/>
            <w:right w:w="108" w:type="dxa"/>
          </w:tblCellMar>
        </w:tblPrEx>
        <w:trPr>
          <w:trHeight w:val="765" w:hRule="atLeast"/>
        </w:trPr>
        <w:tc>
          <w:tcPr>
            <w:tcW w:w="154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9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可持续影响指标</w:t>
            </w:r>
          </w:p>
        </w:tc>
        <w:tc>
          <w:tcPr>
            <w:tcW w:w="3745"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努力办人民满意教育</w:t>
            </w:r>
          </w:p>
        </w:tc>
        <w:tc>
          <w:tcPr>
            <w:tcW w:w="12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持续</w:t>
            </w:r>
          </w:p>
        </w:tc>
      </w:tr>
      <w:tr>
        <w:tblPrEx>
          <w:tblCellMar>
            <w:top w:w="0" w:type="dxa"/>
            <w:left w:w="108" w:type="dxa"/>
            <w:bottom w:w="0" w:type="dxa"/>
            <w:right w:w="108" w:type="dxa"/>
          </w:tblCellMar>
        </w:tblPrEx>
        <w:trPr>
          <w:trHeight w:val="765" w:hRule="atLeast"/>
        </w:trPr>
        <w:tc>
          <w:tcPr>
            <w:tcW w:w="154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189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3745"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学生满意度(%)</w:t>
            </w:r>
          </w:p>
        </w:tc>
        <w:tc>
          <w:tcPr>
            <w:tcW w:w="12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&gt;=95%</w:t>
            </w:r>
          </w:p>
        </w:tc>
      </w:tr>
    </w:tbl>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tbl>
      <w:tblPr>
        <w:tblStyle w:val="4"/>
        <w:tblW w:w="8414" w:type="dxa"/>
        <w:tblInd w:w="108" w:type="dxa"/>
        <w:tblLayout w:type="fixed"/>
        <w:tblCellMar>
          <w:top w:w="0" w:type="dxa"/>
          <w:left w:w="108" w:type="dxa"/>
          <w:bottom w:w="0" w:type="dxa"/>
          <w:right w:w="108" w:type="dxa"/>
        </w:tblCellMar>
      </w:tblPr>
      <w:tblGrid>
        <w:gridCol w:w="1534"/>
        <w:gridCol w:w="1916"/>
        <w:gridCol w:w="307"/>
        <w:gridCol w:w="548"/>
        <w:gridCol w:w="613"/>
        <w:gridCol w:w="613"/>
        <w:gridCol w:w="1235"/>
        <w:gridCol w:w="425"/>
        <w:gridCol w:w="425"/>
        <w:gridCol w:w="399"/>
        <w:gridCol w:w="399"/>
      </w:tblGrid>
      <w:tr>
        <w:tblPrEx>
          <w:tblCellMar>
            <w:top w:w="0" w:type="dxa"/>
            <w:left w:w="108" w:type="dxa"/>
            <w:bottom w:w="0" w:type="dxa"/>
            <w:right w:w="108" w:type="dxa"/>
          </w:tblCellMar>
        </w:tblPrEx>
        <w:trPr>
          <w:trHeight w:val="390" w:hRule="atLeast"/>
        </w:trPr>
        <w:tc>
          <w:tcPr>
            <w:tcW w:w="8414" w:type="dxa"/>
            <w:gridSpan w:val="11"/>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CellMar>
            <w:top w:w="0" w:type="dxa"/>
            <w:left w:w="108" w:type="dxa"/>
            <w:bottom w:w="0" w:type="dxa"/>
            <w:right w:w="108" w:type="dxa"/>
          </w:tblCellMar>
        </w:tblPrEx>
        <w:trPr>
          <w:trHeight w:val="405" w:hRule="atLeast"/>
        </w:trPr>
        <w:tc>
          <w:tcPr>
            <w:tcW w:w="8414" w:type="dxa"/>
            <w:gridSpan w:val="11"/>
            <w:tcBorders>
              <w:top w:val="nil"/>
              <w:left w:val="nil"/>
              <w:bottom w:val="single" w:color="auto" w:sz="4" w:space="0"/>
              <w:right w:val="nil"/>
            </w:tcBorders>
            <w:shd w:val="clear" w:color="auto" w:fill="auto"/>
            <w:vAlign w:val="center"/>
          </w:tcPr>
          <w:p>
            <w:pPr>
              <w:widowControl/>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(2021年)</w:t>
            </w:r>
          </w:p>
        </w:tc>
      </w:tr>
      <w:tr>
        <w:tblPrEx>
          <w:tblCellMar>
            <w:top w:w="0" w:type="dxa"/>
            <w:left w:w="108" w:type="dxa"/>
            <w:bottom w:w="0" w:type="dxa"/>
            <w:right w:w="108" w:type="dxa"/>
          </w:tblCellMar>
        </w:tblPrEx>
        <w:trPr>
          <w:trHeight w:val="270" w:hRule="atLeast"/>
        </w:trPr>
        <w:tc>
          <w:tcPr>
            <w:tcW w:w="15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预算单位</w:t>
            </w:r>
          </w:p>
        </w:tc>
        <w:tc>
          <w:tcPr>
            <w:tcW w:w="3997"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昌吉回族自治州教育局</w:t>
            </w:r>
          </w:p>
        </w:tc>
        <w:tc>
          <w:tcPr>
            <w:tcW w:w="12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项目名称</w:t>
            </w:r>
          </w:p>
        </w:tc>
        <w:tc>
          <w:tcPr>
            <w:tcW w:w="164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校长书记培训经费</w:t>
            </w:r>
          </w:p>
        </w:tc>
      </w:tr>
      <w:tr>
        <w:tblPrEx>
          <w:tblCellMar>
            <w:top w:w="0" w:type="dxa"/>
            <w:left w:w="108" w:type="dxa"/>
            <w:bottom w:w="0" w:type="dxa"/>
            <w:right w:w="108" w:type="dxa"/>
          </w:tblCellMar>
        </w:tblPrEx>
        <w:trPr>
          <w:trHeight w:val="450" w:hRule="atLeast"/>
        </w:trPr>
        <w:tc>
          <w:tcPr>
            <w:tcW w:w="15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项目资金（万元）</w:t>
            </w:r>
          </w:p>
        </w:tc>
        <w:tc>
          <w:tcPr>
            <w:tcW w:w="222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年度资金总额：</w:t>
            </w:r>
          </w:p>
        </w:tc>
        <w:tc>
          <w:tcPr>
            <w:tcW w:w="5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30</w:t>
            </w:r>
          </w:p>
        </w:tc>
        <w:tc>
          <w:tcPr>
            <w:tcW w:w="122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其中：财政拨款</w:t>
            </w:r>
          </w:p>
        </w:tc>
        <w:tc>
          <w:tcPr>
            <w:tcW w:w="12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30</w:t>
            </w: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其他资金</w:t>
            </w:r>
          </w:p>
        </w:tc>
        <w:tc>
          <w:tcPr>
            <w:tcW w:w="79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960" w:hRule="atLeast"/>
        </w:trPr>
        <w:tc>
          <w:tcPr>
            <w:tcW w:w="15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项目总体目标</w:t>
            </w:r>
          </w:p>
        </w:tc>
        <w:tc>
          <w:tcPr>
            <w:tcW w:w="6880" w:type="dxa"/>
            <w:gridSpan w:val="10"/>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贯彻落实自治州党政机构改革工作部署，本次划入职能为民宗委民族语言文字工作，划出职能为中小学党建工作、意识形态领域等工作。采取“走出去、请进来”培训方式，依托华东师范大学、北京师范学校等校长、书记培训基地，培养一支适应新形势新要求，政治过硬、知识面广、懂管理、能力强的高素质、专业化的书记、校长队伍，全面提升自治州教育教学质量。校长培训50人，培训15天、120个学时，30万元。</w:t>
            </w:r>
          </w:p>
        </w:tc>
      </w:tr>
      <w:tr>
        <w:tblPrEx>
          <w:tblCellMar>
            <w:top w:w="0" w:type="dxa"/>
            <w:left w:w="108" w:type="dxa"/>
            <w:bottom w:w="0" w:type="dxa"/>
            <w:right w:w="108" w:type="dxa"/>
          </w:tblCellMar>
        </w:tblPrEx>
        <w:trPr>
          <w:trHeight w:val="420" w:hRule="atLeast"/>
        </w:trPr>
        <w:tc>
          <w:tcPr>
            <w:tcW w:w="15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　</w:t>
            </w:r>
          </w:p>
        </w:tc>
        <w:tc>
          <w:tcPr>
            <w:tcW w:w="1916"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307"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548"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613"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613"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1235"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25"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25"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399"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399" w:type="dxa"/>
            <w:tcBorders>
              <w:top w:val="nil"/>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0" w:hRule="atLeast"/>
        </w:trPr>
        <w:tc>
          <w:tcPr>
            <w:tcW w:w="15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一级指标</w:t>
            </w:r>
          </w:p>
        </w:tc>
        <w:tc>
          <w:tcPr>
            <w:tcW w:w="191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二级指标</w:t>
            </w:r>
          </w:p>
        </w:tc>
        <w:tc>
          <w:tcPr>
            <w:tcW w:w="3741"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三级指标</w:t>
            </w:r>
          </w:p>
        </w:tc>
        <w:tc>
          <w:tcPr>
            <w:tcW w:w="12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480" w:hRule="atLeast"/>
        </w:trPr>
        <w:tc>
          <w:tcPr>
            <w:tcW w:w="15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产出指标</w:t>
            </w:r>
          </w:p>
        </w:tc>
        <w:tc>
          <w:tcPr>
            <w:tcW w:w="191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数量指标</w:t>
            </w:r>
          </w:p>
        </w:tc>
        <w:tc>
          <w:tcPr>
            <w:tcW w:w="3741"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培训次数</w:t>
            </w:r>
          </w:p>
        </w:tc>
        <w:tc>
          <w:tcPr>
            <w:tcW w:w="12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=1次</w:t>
            </w:r>
          </w:p>
        </w:tc>
      </w:tr>
      <w:tr>
        <w:trPr>
          <w:trHeight w:val="480" w:hRule="atLeast"/>
        </w:trPr>
        <w:tc>
          <w:tcPr>
            <w:tcW w:w="1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1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数量指标</w:t>
            </w:r>
          </w:p>
        </w:tc>
        <w:tc>
          <w:tcPr>
            <w:tcW w:w="3741"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校长培训人数</w:t>
            </w:r>
          </w:p>
        </w:tc>
        <w:tc>
          <w:tcPr>
            <w:tcW w:w="12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&gt;=45人</w:t>
            </w:r>
          </w:p>
        </w:tc>
      </w:tr>
      <w:tr>
        <w:trPr>
          <w:trHeight w:val="480" w:hRule="atLeast"/>
        </w:trPr>
        <w:tc>
          <w:tcPr>
            <w:tcW w:w="1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1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质量指标</w:t>
            </w:r>
          </w:p>
        </w:tc>
        <w:tc>
          <w:tcPr>
            <w:tcW w:w="3741"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培训结业率（%）</w:t>
            </w:r>
          </w:p>
        </w:tc>
        <w:tc>
          <w:tcPr>
            <w:tcW w:w="12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480" w:hRule="atLeast"/>
        </w:trPr>
        <w:tc>
          <w:tcPr>
            <w:tcW w:w="1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1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时效指标</w:t>
            </w:r>
          </w:p>
        </w:tc>
        <w:tc>
          <w:tcPr>
            <w:tcW w:w="3741"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校长培训完成时间</w:t>
            </w:r>
          </w:p>
        </w:tc>
        <w:tc>
          <w:tcPr>
            <w:tcW w:w="12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2021年12月31日前</w:t>
            </w:r>
          </w:p>
        </w:tc>
      </w:tr>
      <w:tr>
        <w:tblPrEx>
          <w:tblCellMar>
            <w:top w:w="0" w:type="dxa"/>
            <w:left w:w="108" w:type="dxa"/>
            <w:bottom w:w="0" w:type="dxa"/>
            <w:right w:w="108" w:type="dxa"/>
          </w:tblCellMar>
        </w:tblPrEx>
        <w:trPr>
          <w:trHeight w:val="480" w:hRule="atLeast"/>
        </w:trPr>
        <w:tc>
          <w:tcPr>
            <w:tcW w:w="1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1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成本指标</w:t>
            </w:r>
          </w:p>
        </w:tc>
        <w:tc>
          <w:tcPr>
            <w:tcW w:w="3741"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开展业务培训经费（万）</w:t>
            </w:r>
          </w:p>
        </w:tc>
        <w:tc>
          <w:tcPr>
            <w:tcW w:w="12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&lt;=30万元</w:t>
            </w:r>
          </w:p>
        </w:tc>
      </w:tr>
      <w:tr>
        <w:tblPrEx>
          <w:tblCellMar>
            <w:top w:w="0" w:type="dxa"/>
            <w:left w:w="108" w:type="dxa"/>
            <w:bottom w:w="0" w:type="dxa"/>
            <w:right w:w="108" w:type="dxa"/>
          </w:tblCellMar>
        </w:tblPrEx>
        <w:trPr>
          <w:trHeight w:val="480" w:hRule="atLeast"/>
        </w:trPr>
        <w:tc>
          <w:tcPr>
            <w:tcW w:w="1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1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社会效益指标</w:t>
            </w:r>
          </w:p>
        </w:tc>
        <w:tc>
          <w:tcPr>
            <w:tcW w:w="3741"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提升校长办学治校能力</w:t>
            </w:r>
          </w:p>
        </w:tc>
        <w:tc>
          <w:tcPr>
            <w:tcW w:w="12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提高</w:t>
            </w:r>
          </w:p>
        </w:tc>
      </w:tr>
      <w:tr>
        <w:tblPrEx>
          <w:tblCellMar>
            <w:top w:w="0" w:type="dxa"/>
            <w:left w:w="108" w:type="dxa"/>
            <w:bottom w:w="0" w:type="dxa"/>
            <w:right w:w="108" w:type="dxa"/>
          </w:tblCellMar>
        </w:tblPrEx>
        <w:trPr>
          <w:trHeight w:val="480" w:hRule="atLeast"/>
        </w:trPr>
        <w:tc>
          <w:tcPr>
            <w:tcW w:w="1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1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可持续影响指标</w:t>
            </w:r>
          </w:p>
        </w:tc>
        <w:tc>
          <w:tcPr>
            <w:tcW w:w="3741"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全面提升校长办学治校能力，办好人民满意的教育,持续促进我州教育事业发</w:t>
            </w:r>
          </w:p>
        </w:tc>
        <w:tc>
          <w:tcPr>
            <w:tcW w:w="12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促进</w:t>
            </w:r>
          </w:p>
        </w:tc>
      </w:tr>
      <w:tr>
        <w:tblPrEx>
          <w:tblCellMar>
            <w:top w:w="0" w:type="dxa"/>
            <w:left w:w="108" w:type="dxa"/>
            <w:bottom w:w="0" w:type="dxa"/>
            <w:right w:w="108" w:type="dxa"/>
          </w:tblCellMar>
        </w:tblPrEx>
        <w:trPr>
          <w:trHeight w:val="480" w:hRule="atLeast"/>
        </w:trPr>
        <w:tc>
          <w:tcPr>
            <w:tcW w:w="153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191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3741"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师生和家长满意度(%)</w:t>
            </w:r>
          </w:p>
        </w:tc>
        <w:tc>
          <w:tcPr>
            <w:tcW w:w="12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&gt;=95%</w:t>
            </w:r>
          </w:p>
        </w:tc>
      </w:tr>
    </w:tbl>
    <w:p>
      <w:pPr>
        <w:widowControl/>
        <w:spacing w:before="156" w:beforeLines="50" w:line="520" w:lineRule="exact"/>
        <w:jc w:val="left"/>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tbl>
      <w:tblPr>
        <w:tblStyle w:val="4"/>
        <w:tblW w:w="8414" w:type="dxa"/>
        <w:tblInd w:w="108" w:type="dxa"/>
        <w:tblLayout w:type="fixed"/>
        <w:tblCellMar>
          <w:top w:w="0" w:type="dxa"/>
          <w:left w:w="108" w:type="dxa"/>
          <w:bottom w:w="0" w:type="dxa"/>
          <w:right w:w="108" w:type="dxa"/>
        </w:tblCellMar>
      </w:tblPr>
      <w:tblGrid>
        <w:gridCol w:w="1572"/>
        <w:gridCol w:w="1943"/>
        <w:gridCol w:w="306"/>
        <w:gridCol w:w="421"/>
        <w:gridCol w:w="627"/>
        <w:gridCol w:w="627"/>
        <w:gridCol w:w="1248"/>
        <w:gridCol w:w="431"/>
        <w:gridCol w:w="431"/>
        <w:gridCol w:w="404"/>
        <w:gridCol w:w="404"/>
      </w:tblGrid>
      <w:tr>
        <w:trPr>
          <w:trHeight w:val="390" w:hRule="atLeast"/>
        </w:trPr>
        <w:tc>
          <w:tcPr>
            <w:tcW w:w="8414" w:type="dxa"/>
            <w:gridSpan w:val="11"/>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CellMar>
            <w:top w:w="0" w:type="dxa"/>
            <w:left w:w="108" w:type="dxa"/>
            <w:bottom w:w="0" w:type="dxa"/>
            <w:right w:w="108" w:type="dxa"/>
          </w:tblCellMar>
        </w:tblPrEx>
        <w:trPr>
          <w:trHeight w:val="405" w:hRule="atLeast"/>
        </w:trPr>
        <w:tc>
          <w:tcPr>
            <w:tcW w:w="8414" w:type="dxa"/>
            <w:gridSpan w:val="11"/>
            <w:tcBorders>
              <w:top w:val="nil"/>
              <w:left w:val="nil"/>
              <w:bottom w:val="single" w:color="auto" w:sz="4" w:space="0"/>
              <w:right w:val="nil"/>
            </w:tcBorders>
            <w:shd w:val="clear" w:color="auto" w:fill="auto"/>
            <w:vAlign w:val="center"/>
          </w:tcPr>
          <w:p>
            <w:pPr>
              <w:widowControl/>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(2021年)</w:t>
            </w:r>
          </w:p>
        </w:tc>
      </w:tr>
      <w:tr>
        <w:tblPrEx>
          <w:tblCellMar>
            <w:top w:w="0" w:type="dxa"/>
            <w:left w:w="108" w:type="dxa"/>
            <w:bottom w:w="0" w:type="dxa"/>
            <w:right w:w="108" w:type="dxa"/>
          </w:tblCellMar>
        </w:tblPrEx>
        <w:trPr>
          <w:trHeight w:val="450"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预算单位</w:t>
            </w:r>
          </w:p>
        </w:tc>
        <w:tc>
          <w:tcPr>
            <w:tcW w:w="3924"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昌吉回族自治州教育局</w:t>
            </w:r>
          </w:p>
        </w:tc>
        <w:tc>
          <w:tcPr>
            <w:tcW w:w="12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项目名称</w:t>
            </w:r>
          </w:p>
        </w:tc>
        <w:tc>
          <w:tcPr>
            <w:tcW w:w="1670"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语言文字专项经费</w:t>
            </w:r>
          </w:p>
        </w:tc>
      </w:tr>
      <w:tr>
        <w:tblPrEx>
          <w:tblCellMar>
            <w:top w:w="0" w:type="dxa"/>
            <w:left w:w="108" w:type="dxa"/>
            <w:bottom w:w="0" w:type="dxa"/>
            <w:right w:w="108" w:type="dxa"/>
          </w:tblCellMar>
        </w:tblPrEx>
        <w:trPr>
          <w:trHeight w:val="450"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项目资金（万元）</w:t>
            </w:r>
          </w:p>
        </w:tc>
        <w:tc>
          <w:tcPr>
            <w:tcW w:w="224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年度资金总额：</w:t>
            </w:r>
          </w:p>
        </w:tc>
        <w:tc>
          <w:tcPr>
            <w:tcW w:w="4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8</w:t>
            </w:r>
          </w:p>
        </w:tc>
        <w:tc>
          <w:tcPr>
            <w:tcW w:w="12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其中：财政拨款</w:t>
            </w:r>
          </w:p>
        </w:tc>
        <w:tc>
          <w:tcPr>
            <w:tcW w:w="124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8</w:t>
            </w:r>
          </w:p>
        </w:tc>
        <w:tc>
          <w:tcPr>
            <w:tcW w:w="8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其他资金</w:t>
            </w:r>
          </w:p>
        </w:tc>
        <w:tc>
          <w:tcPr>
            <w:tcW w:w="80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780"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项目总体目标</w:t>
            </w:r>
          </w:p>
        </w:tc>
        <w:tc>
          <w:tcPr>
            <w:tcW w:w="6842" w:type="dxa"/>
            <w:gridSpan w:val="10"/>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贯彻落实自治州党政机构改革工作部署，采取“走出去、请进来”培训方式，培养一支适应新形势新要求，政治过硬、知识面广、懂管理、能力强的高素质、专业化教师队伍，通过评先评优、职称评审，进一步激发广大教师工作的积极性，全面提升自治州教育教学质量。1.职称评审，10万元。</w:t>
            </w:r>
          </w:p>
        </w:tc>
      </w:tr>
      <w:tr>
        <w:tblPrEx>
          <w:tblCellMar>
            <w:top w:w="0" w:type="dxa"/>
            <w:left w:w="108" w:type="dxa"/>
            <w:bottom w:w="0" w:type="dxa"/>
            <w:right w:w="108" w:type="dxa"/>
          </w:tblCellMar>
        </w:tblPrEx>
        <w:trPr>
          <w:trHeight w:val="58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　</w:t>
            </w:r>
          </w:p>
        </w:tc>
        <w:tc>
          <w:tcPr>
            <w:tcW w:w="1943"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306"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21"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627"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627"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1248"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31"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31"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04"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04" w:type="dxa"/>
            <w:tcBorders>
              <w:top w:val="nil"/>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85"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一级指标</w:t>
            </w:r>
          </w:p>
        </w:tc>
        <w:tc>
          <w:tcPr>
            <w:tcW w:w="19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二级指标</w:t>
            </w:r>
          </w:p>
        </w:tc>
        <w:tc>
          <w:tcPr>
            <w:tcW w:w="3660"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三级指标</w:t>
            </w:r>
          </w:p>
        </w:tc>
        <w:tc>
          <w:tcPr>
            <w:tcW w:w="123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720" w:hRule="atLeast"/>
        </w:trPr>
        <w:tc>
          <w:tcPr>
            <w:tcW w:w="15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产出指标</w:t>
            </w:r>
          </w:p>
        </w:tc>
        <w:tc>
          <w:tcPr>
            <w:tcW w:w="194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数量指标</w:t>
            </w:r>
          </w:p>
        </w:tc>
        <w:tc>
          <w:tcPr>
            <w:tcW w:w="3660"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开展语言文字相关培训及活动（次）</w:t>
            </w:r>
          </w:p>
        </w:tc>
        <w:tc>
          <w:tcPr>
            <w:tcW w:w="123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&gt;=4次</w:t>
            </w:r>
          </w:p>
        </w:tc>
      </w:tr>
      <w:tr>
        <w:trPr>
          <w:trHeight w:val="720" w:hRule="atLeast"/>
        </w:trPr>
        <w:tc>
          <w:tcPr>
            <w:tcW w:w="15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4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质量指标</w:t>
            </w:r>
          </w:p>
        </w:tc>
        <w:tc>
          <w:tcPr>
            <w:tcW w:w="3660"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开展普及推广语言文字应用等相关工作完成率（%）</w:t>
            </w:r>
          </w:p>
        </w:tc>
        <w:tc>
          <w:tcPr>
            <w:tcW w:w="123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w:t>
            </w:r>
          </w:p>
        </w:tc>
      </w:tr>
      <w:tr>
        <w:trPr>
          <w:trHeight w:val="720" w:hRule="atLeast"/>
        </w:trPr>
        <w:tc>
          <w:tcPr>
            <w:tcW w:w="15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4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时效指标</w:t>
            </w:r>
          </w:p>
        </w:tc>
        <w:tc>
          <w:tcPr>
            <w:tcW w:w="3660"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语言文字相关培训及活动开展时间</w:t>
            </w:r>
          </w:p>
        </w:tc>
        <w:tc>
          <w:tcPr>
            <w:tcW w:w="123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2021年1-12月</w:t>
            </w:r>
          </w:p>
        </w:tc>
      </w:tr>
      <w:tr>
        <w:tblPrEx>
          <w:tblCellMar>
            <w:top w:w="0" w:type="dxa"/>
            <w:left w:w="108" w:type="dxa"/>
            <w:bottom w:w="0" w:type="dxa"/>
            <w:right w:w="108" w:type="dxa"/>
          </w:tblCellMar>
        </w:tblPrEx>
        <w:trPr>
          <w:trHeight w:val="720" w:hRule="atLeast"/>
        </w:trPr>
        <w:tc>
          <w:tcPr>
            <w:tcW w:w="15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4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成本指标</w:t>
            </w:r>
          </w:p>
        </w:tc>
        <w:tc>
          <w:tcPr>
            <w:tcW w:w="3660"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语言文字相关活动经费（万元）</w:t>
            </w:r>
          </w:p>
        </w:tc>
        <w:tc>
          <w:tcPr>
            <w:tcW w:w="123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&lt;=8万元</w:t>
            </w:r>
          </w:p>
        </w:tc>
      </w:tr>
      <w:tr>
        <w:tblPrEx>
          <w:tblCellMar>
            <w:top w:w="0" w:type="dxa"/>
            <w:left w:w="108" w:type="dxa"/>
            <w:bottom w:w="0" w:type="dxa"/>
            <w:right w:w="108" w:type="dxa"/>
          </w:tblCellMar>
        </w:tblPrEx>
        <w:trPr>
          <w:trHeight w:val="720" w:hRule="atLeast"/>
        </w:trPr>
        <w:tc>
          <w:tcPr>
            <w:tcW w:w="15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4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社会效益指标</w:t>
            </w:r>
          </w:p>
        </w:tc>
        <w:tc>
          <w:tcPr>
            <w:tcW w:w="3660"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促进我州少数民族语言文字规范化、标准化、信息化工作。</w:t>
            </w:r>
          </w:p>
        </w:tc>
        <w:tc>
          <w:tcPr>
            <w:tcW w:w="123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提升</w:t>
            </w:r>
          </w:p>
        </w:tc>
      </w:tr>
      <w:tr>
        <w:tblPrEx>
          <w:tblCellMar>
            <w:top w:w="0" w:type="dxa"/>
            <w:left w:w="108" w:type="dxa"/>
            <w:bottom w:w="0" w:type="dxa"/>
            <w:right w:w="108" w:type="dxa"/>
          </w:tblCellMar>
        </w:tblPrEx>
        <w:trPr>
          <w:trHeight w:val="720" w:hRule="atLeast"/>
        </w:trPr>
        <w:tc>
          <w:tcPr>
            <w:tcW w:w="157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94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可持续影响指标</w:t>
            </w:r>
          </w:p>
        </w:tc>
        <w:tc>
          <w:tcPr>
            <w:tcW w:w="3660"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传承弘扬中华优秀传统文化,全面提高市民语言文字应用能力和文化素养。</w:t>
            </w:r>
          </w:p>
        </w:tc>
        <w:tc>
          <w:tcPr>
            <w:tcW w:w="123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推动</w:t>
            </w:r>
          </w:p>
        </w:tc>
      </w:tr>
      <w:tr>
        <w:tblPrEx>
          <w:tblCellMar>
            <w:top w:w="0" w:type="dxa"/>
            <w:left w:w="108" w:type="dxa"/>
            <w:bottom w:w="0" w:type="dxa"/>
            <w:right w:w="108" w:type="dxa"/>
          </w:tblCellMar>
        </w:tblPrEx>
        <w:trPr>
          <w:trHeight w:val="720" w:hRule="atLeast"/>
        </w:trPr>
        <w:tc>
          <w:tcPr>
            <w:tcW w:w="157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1943"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3660"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社会满意度（%）</w:t>
            </w:r>
          </w:p>
        </w:tc>
        <w:tc>
          <w:tcPr>
            <w:tcW w:w="123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&gt;=95%</w:t>
            </w:r>
          </w:p>
        </w:tc>
      </w:tr>
    </w:tbl>
    <w:p>
      <w:pPr>
        <w:widowControl/>
        <w:spacing w:before="156" w:beforeLines="50" w:line="520" w:lineRule="exact"/>
        <w:jc w:val="left"/>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tbl>
      <w:tblPr>
        <w:tblStyle w:val="4"/>
        <w:tblW w:w="8414" w:type="dxa"/>
        <w:tblInd w:w="108" w:type="dxa"/>
        <w:tblLayout w:type="fixed"/>
        <w:tblCellMar>
          <w:top w:w="0" w:type="dxa"/>
          <w:left w:w="108" w:type="dxa"/>
          <w:bottom w:w="0" w:type="dxa"/>
          <w:right w:w="108" w:type="dxa"/>
        </w:tblCellMar>
      </w:tblPr>
      <w:tblGrid>
        <w:gridCol w:w="1494"/>
        <w:gridCol w:w="1464"/>
        <w:gridCol w:w="246"/>
        <w:gridCol w:w="683"/>
        <w:gridCol w:w="570"/>
        <w:gridCol w:w="737"/>
        <w:gridCol w:w="954"/>
        <w:gridCol w:w="403"/>
        <w:gridCol w:w="708"/>
        <w:gridCol w:w="577"/>
        <w:gridCol w:w="578"/>
      </w:tblGrid>
      <w:tr>
        <w:tblPrEx>
          <w:tblCellMar>
            <w:top w:w="0" w:type="dxa"/>
            <w:left w:w="108" w:type="dxa"/>
            <w:bottom w:w="0" w:type="dxa"/>
            <w:right w:w="108" w:type="dxa"/>
          </w:tblCellMar>
        </w:tblPrEx>
        <w:trPr>
          <w:trHeight w:val="390" w:hRule="atLeast"/>
        </w:trPr>
        <w:tc>
          <w:tcPr>
            <w:tcW w:w="8414" w:type="dxa"/>
            <w:gridSpan w:val="11"/>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CellMar>
            <w:top w:w="0" w:type="dxa"/>
            <w:left w:w="108" w:type="dxa"/>
            <w:bottom w:w="0" w:type="dxa"/>
            <w:right w:w="108" w:type="dxa"/>
          </w:tblCellMar>
        </w:tblPrEx>
        <w:trPr>
          <w:trHeight w:val="405" w:hRule="atLeast"/>
        </w:trPr>
        <w:tc>
          <w:tcPr>
            <w:tcW w:w="8414" w:type="dxa"/>
            <w:gridSpan w:val="11"/>
            <w:tcBorders>
              <w:top w:val="nil"/>
              <w:left w:val="nil"/>
              <w:bottom w:val="single" w:color="auto" w:sz="4" w:space="0"/>
              <w:right w:val="nil"/>
            </w:tcBorders>
            <w:shd w:val="clear" w:color="auto" w:fill="auto"/>
            <w:vAlign w:val="center"/>
          </w:tcPr>
          <w:p>
            <w:pPr>
              <w:widowControl/>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(2021年)</w:t>
            </w:r>
          </w:p>
        </w:tc>
      </w:tr>
      <w:tr>
        <w:tblPrEx>
          <w:tblCellMar>
            <w:top w:w="0" w:type="dxa"/>
            <w:left w:w="108" w:type="dxa"/>
            <w:bottom w:w="0" w:type="dxa"/>
            <w:right w:w="108" w:type="dxa"/>
          </w:tblCellMar>
        </w:tblPrEx>
        <w:trPr>
          <w:trHeight w:val="495" w:hRule="atLeast"/>
        </w:trPr>
        <w:tc>
          <w:tcPr>
            <w:tcW w:w="149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预算单位</w:t>
            </w:r>
          </w:p>
        </w:tc>
        <w:tc>
          <w:tcPr>
            <w:tcW w:w="3700"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昌吉回族自治州教育局</w:t>
            </w:r>
          </w:p>
        </w:tc>
        <w:tc>
          <w:tcPr>
            <w:tcW w:w="9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项目名称</w:t>
            </w:r>
          </w:p>
        </w:tc>
        <w:tc>
          <w:tcPr>
            <w:tcW w:w="2266"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中小学教师招聘</w:t>
            </w:r>
          </w:p>
        </w:tc>
      </w:tr>
      <w:tr>
        <w:tblPrEx>
          <w:tblCellMar>
            <w:top w:w="0" w:type="dxa"/>
            <w:left w:w="108" w:type="dxa"/>
            <w:bottom w:w="0" w:type="dxa"/>
            <w:right w:w="108" w:type="dxa"/>
          </w:tblCellMar>
        </w:tblPrEx>
        <w:trPr>
          <w:trHeight w:val="450" w:hRule="atLeast"/>
        </w:trPr>
        <w:tc>
          <w:tcPr>
            <w:tcW w:w="149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项目资金（万元）</w:t>
            </w:r>
          </w:p>
        </w:tc>
        <w:tc>
          <w:tcPr>
            <w:tcW w:w="171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年度资金总额：</w:t>
            </w:r>
          </w:p>
        </w:tc>
        <w:tc>
          <w:tcPr>
            <w:tcW w:w="68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18</w:t>
            </w:r>
          </w:p>
        </w:tc>
        <w:tc>
          <w:tcPr>
            <w:tcW w:w="130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其中：财政拨款</w:t>
            </w:r>
          </w:p>
        </w:tc>
        <w:tc>
          <w:tcPr>
            <w:tcW w:w="95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18</w:t>
            </w:r>
          </w:p>
        </w:tc>
        <w:tc>
          <w:tcPr>
            <w:tcW w:w="111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其他资金</w:t>
            </w:r>
          </w:p>
        </w:tc>
        <w:tc>
          <w:tcPr>
            <w:tcW w:w="115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615" w:hRule="atLeast"/>
        </w:trPr>
        <w:tc>
          <w:tcPr>
            <w:tcW w:w="149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项目总体目标</w:t>
            </w:r>
          </w:p>
        </w:tc>
        <w:tc>
          <w:tcPr>
            <w:tcW w:w="6920" w:type="dxa"/>
            <w:gridSpan w:val="10"/>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指导各级各类学校的教育教学改革。按期完成2021年中小学（幼儿园）教师招聘计划。</w:t>
            </w:r>
          </w:p>
        </w:tc>
      </w:tr>
      <w:tr>
        <w:tblPrEx>
          <w:tblCellMar>
            <w:top w:w="0" w:type="dxa"/>
            <w:left w:w="108" w:type="dxa"/>
            <w:bottom w:w="0" w:type="dxa"/>
            <w:right w:w="108" w:type="dxa"/>
          </w:tblCellMar>
        </w:tblPrEx>
        <w:trPr>
          <w:trHeight w:val="615" w:hRule="atLeast"/>
        </w:trPr>
        <w:tc>
          <w:tcPr>
            <w:tcW w:w="149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　</w:t>
            </w:r>
          </w:p>
        </w:tc>
        <w:tc>
          <w:tcPr>
            <w:tcW w:w="1464"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246"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683"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570"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737"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954"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403"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708"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577" w:type="dxa"/>
            <w:tcBorders>
              <w:top w:val="nil"/>
              <w:left w:val="nil"/>
              <w:bottom w:val="single" w:color="auto" w:sz="4" w:space="0"/>
              <w:right w:val="nil"/>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c>
          <w:tcPr>
            <w:tcW w:w="578" w:type="dxa"/>
            <w:tcBorders>
              <w:top w:val="nil"/>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600" w:hRule="atLeast"/>
        </w:trPr>
        <w:tc>
          <w:tcPr>
            <w:tcW w:w="149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一级指标</w:t>
            </w:r>
          </w:p>
        </w:tc>
        <w:tc>
          <w:tcPr>
            <w:tcW w:w="146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二级指标</w:t>
            </w:r>
          </w:p>
        </w:tc>
        <w:tc>
          <w:tcPr>
            <w:tcW w:w="3593"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三级指标</w:t>
            </w:r>
          </w:p>
        </w:tc>
        <w:tc>
          <w:tcPr>
            <w:tcW w:w="186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600" w:hRule="atLeast"/>
        </w:trPr>
        <w:tc>
          <w:tcPr>
            <w:tcW w:w="149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产出指标</w:t>
            </w:r>
          </w:p>
        </w:tc>
        <w:tc>
          <w:tcPr>
            <w:tcW w:w="1464"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数量指标</w:t>
            </w:r>
          </w:p>
        </w:tc>
        <w:tc>
          <w:tcPr>
            <w:tcW w:w="3593"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招聘教师数量（人）</w:t>
            </w:r>
          </w:p>
        </w:tc>
        <w:tc>
          <w:tcPr>
            <w:tcW w:w="186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100-600人</w:t>
            </w:r>
          </w:p>
        </w:tc>
      </w:tr>
      <w:tr>
        <w:trPr>
          <w:trHeight w:val="600" w:hRule="atLeast"/>
        </w:trPr>
        <w:tc>
          <w:tcPr>
            <w:tcW w:w="1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64"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质量指标</w:t>
            </w:r>
          </w:p>
        </w:tc>
        <w:tc>
          <w:tcPr>
            <w:tcW w:w="3593"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招聘教师考核达标率（%）</w:t>
            </w:r>
          </w:p>
        </w:tc>
        <w:tc>
          <w:tcPr>
            <w:tcW w:w="186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600" w:hRule="atLeast"/>
        </w:trPr>
        <w:tc>
          <w:tcPr>
            <w:tcW w:w="1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64"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时效指标</w:t>
            </w:r>
          </w:p>
        </w:tc>
        <w:tc>
          <w:tcPr>
            <w:tcW w:w="3593"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招聘工作完成时间</w:t>
            </w:r>
          </w:p>
        </w:tc>
        <w:tc>
          <w:tcPr>
            <w:tcW w:w="186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2021年12月31之前</w:t>
            </w:r>
          </w:p>
        </w:tc>
      </w:tr>
      <w:tr>
        <w:tblPrEx>
          <w:tblCellMar>
            <w:top w:w="0" w:type="dxa"/>
            <w:left w:w="108" w:type="dxa"/>
            <w:bottom w:w="0" w:type="dxa"/>
            <w:right w:w="108" w:type="dxa"/>
          </w:tblCellMar>
        </w:tblPrEx>
        <w:trPr>
          <w:trHeight w:val="600" w:hRule="atLeast"/>
        </w:trPr>
        <w:tc>
          <w:tcPr>
            <w:tcW w:w="1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64"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成本指标</w:t>
            </w:r>
          </w:p>
        </w:tc>
        <w:tc>
          <w:tcPr>
            <w:tcW w:w="3593"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面试费、考务费（万元）</w:t>
            </w:r>
          </w:p>
        </w:tc>
        <w:tc>
          <w:tcPr>
            <w:tcW w:w="186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&lt;=18万元</w:t>
            </w:r>
          </w:p>
        </w:tc>
      </w:tr>
      <w:tr>
        <w:tblPrEx>
          <w:tblCellMar>
            <w:top w:w="0" w:type="dxa"/>
            <w:left w:w="108" w:type="dxa"/>
            <w:bottom w:w="0" w:type="dxa"/>
            <w:right w:w="108" w:type="dxa"/>
          </w:tblCellMar>
        </w:tblPrEx>
        <w:trPr>
          <w:trHeight w:val="600" w:hRule="atLeast"/>
        </w:trPr>
        <w:tc>
          <w:tcPr>
            <w:tcW w:w="1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64"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社会效益指标</w:t>
            </w:r>
          </w:p>
        </w:tc>
        <w:tc>
          <w:tcPr>
            <w:tcW w:w="3593"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补充教师队伍不足，增加就业</w:t>
            </w:r>
          </w:p>
        </w:tc>
        <w:tc>
          <w:tcPr>
            <w:tcW w:w="186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增加</w:t>
            </w:r>
          </w:p>
        </w:tc>
      </w:tr>
      <w:tr>
        <w:tblPrEx>
          <w:tblCellMar>
            <w:top w:w="0" w:type="dxa"/>
            <w:left w:w="108" w:type="dxa"/>
            <w:bottom w:w="0" w:type="dxa"/>
            <w:right w:w="108" w:type="dxa"/>
          </w:tblCellMar>
        </w:tblPrEx>
        <w:trPr>
          <w:trHeight w:val="600" w:hRule="atLeast"/>
        </w:trPr>
        <w:tc>
          <w:tcPr>
            <w:tcW w:w="1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464"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可持续影响指标</w:t>
            </w:r>
          </w:p>
        </w:tc>
        <w:tc>
          <w:tcPr>
            <w:tcW w:w="3593"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持续加强教师队伍建设</w:t>
            </w:r>
          </w:p>
        </w:tc>
        <w:tc>
          <w:tcPr>
            <w:tcW w:w="186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持续</w:t>
            </w:r>
          </w:p>
        </w:tc>
      </w:tr>
      <w:tr>
        <w:tblPrEx>
          <w:tblCellMar>
            <w:top w:w="0" w:type="dxa"/>
            <w:left w:w="108" w:type="dxa"/>
            <w:bottom w:w="0" w:type="dxa"/>
            <w:right w:w="108" w:type="dxa"/>
          </w:tblCellMar>
        </w:tblPrEx>
        <w:trPr>
          <w:trHeight w:val="602" w:hRule="atLeast"/>
        </w:trPr>
        <w:tc>
          <w:tcPr>
            <w:tcW w:w="149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1464"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3593" w:type="dxa"/>
            <w:gridSpan w:val="6"/>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招聘教师满意度</w:t>
            </w:r>
          </w:p>
        </w:tc>
        <w:tc>
          <w:tcPr>
            <w:tcW w:w="186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&gt;=95%</w:t>
            </w:r>
          </w:p>
        </w:tc>
      </w:tr>
    </w:tbl>
    <w:p>
      <w:pPr>
        <w:widowControl/>
        <w:spacing w:before="156" w:beforeLines="50" w:line="520" w:lineRule="exact"/>
        <w:jc w:val="left"/>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tbl>
      <w:tblPr>
        <w:tblStyle w:val="4"/>
        <w:tblW w:w="8414" w:type="dxa"/>
        <w:tblInd w:w="108" w:type="dxa"/>
        <w:tblLayout w:type="fixed"/>
        <w:tblCellMar>
          <w:top w:w="0" w:type="dxa"/>
          <w:left w:w="108" w:type="dxa"/>
          <w:bottom w:w="0" w:type="dxa"/>
          <w:right w:w="108" w:type="dxa"/>
        </w:tblCellMar>
      </w:tblPr>
      <w:tblGrid>
        <w:gridCol w:w="1522"/>
        <w:gridCol w:w="1717"/>
        <w:gridCol w:w="492"/>
        <w:gridCol w:w="1717"/>
        <w:gridCol w:w="1097"/>
        <w:gridCol w:w="342"/>
        <w:gridCol w:w="353"/>
        <w:gridCol w:w="1174"/>
      </w:tblGrid>
      <w:tr>
        <w:tblPrEx>
          <w:tblCellMar>
            <w:top w:w="0" w:type="dxa"/>
            <w:left w:w="108" w:type="dxa"/>
            <w:bottom w:w="0" w:type="dxa"/>
            <w:right w:w="108" w:type="dxa"/>
          </w:tblCellMar>
        </w:tblPrEx>
        <w:trPr>
          <w:trHeight w:val="390" w:hRule="atLeast"/>
        </w:trPr>
        <w:tc>
          <w:tcPr>
            <w:tcW w:w="8414" w:type="dxa"/>
            <w:gridSpan w:val="8"/>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CellMar>
            <w:top w:w="0" w:type="dxa"/>
            <w:left w:w="108" w:type="dxa"/>
            <w:bottom w:w="0" w:type="dxa"/>
            <w:right w:w="108" w:type="dxa"/>
          </w:tblCellMar>
        </w:tblPrEx>
        <w:trPr>
          <w:trHeight w:val="405" w:hRule="atLeast"/>
        </w:trPr>
        <w:tc>
          <w:tcPr>
            <w:tcW w:w="8414" w:type="dxa"/>
            <w:gridSpan w:val="8"/>
            <w:tcBorders>
              <w:top w:val="nil"/>
              <w:left w:val="nil"/>
              <w:bottom w:val="single" w:color="auto" w:sz="4" w:space="0"/>
              <w:right w:val="nil"/>
            </w:tcBorders>
            <w:shd w:val="clear" w:color="auto" w:fill="auto"/>
            <w:vAlign w:val="center"/>
          </w:tcPr>
          <w:p>
            <w:pPr>
              <w:widowControl/>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(2021年)</w:t>
            </w:r>
          </w:p>
        </w:tc>
      </w:tr>
      <w:tr>
        <w:tblPrEx>
          <w:tblCellMar>
            <w:top w:w="0" w:type="dxa"/>
            <w:left w:w="108" w:type="dxa"/>
            <w:bottom w:w="0" w:type="dxa"/>
            <w:right w:w="108" w:type="dxa"/>
          </w:tblCellMar>
        </w:tblPrEx>
        <w:trPr>
          <w:trHeight w:val="270" w:hRule="atLeast"/>
        </w:trPr>
        <w:tc>
          <w:tcPr>
            <w:tcW w:w="152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预算单位</w:t>
            </w:r>
          </w:p>
        </w:tc>
        <w:tc>
          <w:tcPr>
            <w:tcW w:w="392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昌吉回族自治州教育局</w:t>
            </w:r>
          </w:p>
        </w:tc>
        <w:tc>
          <w:tcPr>
            <w:tcW w:w="109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项目名称</w:t>
            </w:r>
          </w:p>
        </w:tc>
        <w:tc>
          <w:tcPr>
            <w:tcW w:w="186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中小学体育竞赛活动经费</w:t>
            </w:r>
          </w:p>
        </w:tc>
      </w:tr>
      <w:tr>
        <w:tblPrEx>
          <w:tblCellMar>
            <w:top w:w="0" w:type="dxa"/>
            <w:left w:w="108" w:type="dxa"/>
            <w:bottom w:w="0" w:type="dxa"/>
            <w:right w:w="108" w:type="dxa"/>
          </w:tblCellMar>
        </w:tblPrEx>
        <w:trPr>
          <w:trHeight w:val="450" w:hRule="atLeast"/>
        </w:trPr>
        <w:tc>
          <w:tcPr>
            <w:tcW w:w="152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项目资金（万元）</w:t>
            </w:r>
          </w:p>
        </w:tc>
        <w:tc>
          <w:tcPr>
            <w:tcW w:w="17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年度资金总额：</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30</w:t>
            </w:r>
          </w:p>
        </w:tc>
        <w:tc>
          <w:tcPr>
            <w:tcW w:w="17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其中：财政拨款</w:t>
            </w:r>
          </w:p>
        </w:tc>
        <w:tc>
          <w:tcPr>
            <w:tcW w:w="109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30</w:t>
            </w:r>
          </w:p>
        </w:tc>
        <w:tc>
          <w:tcPr>
            <w:tcW w:w="6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其他资金</w:t>
            </w:r>
          </w:p>
        </w:tc>
        <w:tc>
          <w:tcPr>
            <w:tcW w:w="117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705" w:hRule="atLeast"/>
        </w:trPr>
        <w:tc>
          <w:tcPr>
            <w:tcW w:w="152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项目总体目标</w:t>
            </w:r>
          </w:p>
        </w:tc>
        <w:tc>
          <w:tcPr>
            <w:tcW w:w="6892" w:type="dxa"/>
            <w:gridSpan w:val="7"/>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xml:space="preserve">    项目目标：参加自治区体育赛事，包括自治区大中学生田径运动会、中学生篮球赛；组织昌吉州中小学生体育赛事有：昌吉州中小学生阳光体育田径运动会、中小学生校园篮球联赛、中小学校园足球联赛、中小学生跆拳道比赛、中小学生武术比赛、第十四届冬季中小学生校园篮球联赛.</w:t>
            </w:r>
          </w:p>
        </w:tc>
      </w:tr>
      <w:tr>
        <w:tblPrEx>
          <w:tblCellMar>
            <w:top w:w="0" w:type="dxa"/>
            <w:left w:w="108" w:type="dxa"/>
            <w:bottom w:w="0" w:type="dxa"/>
            <w:right w:w="108" w:type="dxa"/>
          </w:tblCellMar>
        </w:tblPrEx>
        <w:trPr>
          <w:trHeight w:val="420" w:hRule="atLeast"/>
        </w:trPr>
        <w:tc>
          <w:tcPr>
            <w:tcW w:w="152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一级指标</w:t>
            </w:r>
          </w:p>
        </w:tc>
        <w:tc>
          <w:tcPr>
            <w:tcW w:w="171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二级指标</w:t>
            </w:r>
          </w:p>
        </w:tc>
        <w:tc>
          <w:tcPr>
            <w:tcW w:w="3648"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三级指标</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指标值（包含数字及文字描述）</w:t>
            </w:r>
          </w:p>
        </w:tc>
      </w:tr>
      <w:tr>
        <w:trPr>
          <w:trHeight w:val="870" w:hRule="atLeast"/>
        </w:trPr>
        <w:tc>
          <w:tcPr>
            <w:tcW w:w="152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产出指标</w:t>
            </w:r>
          </w:p>
        </w:tc>
        <w:tc>
          <w:tcPr>
            <w:tcW w:w="17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数量指标</w:t>
            </w:r>
          </w:p>
        </w:tc>
        <w:tc>
          <w:tcPr>
            <w:tcW w:w="3648"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参加自治区各类比赛项目（个）</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&gt;=8个</w:t>
            </w:r>
          </w:p>
        </w:tc>
      </w:tr>
      <w:tr>
        <w:trPr>
          <w:trHeight w:val="870" w:hRule="atLeast"/>
        </w:trPr>
        <w:tc>
          <w:tcPr>
            <w:tcW w:w="152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7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质量指标</w:t>
            </w:r>
          </w:p>
        </w:tc>
        <w:tc>
          <w:tcPr>
            <w:tcW w:w="3648"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各类比赛开展率（%）</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w:t>
            </w:r>
          </w:p>
        </w:tc>
      </w:tr>
      <w:tr>
        <w:trPr>
          <w:trHeight w:val="870" w:hRule="atLeast"/>
        </w:trPr>
        <w:tc>
          <w:tcPr>
            <w:tcW w:w="152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7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时效指标</w:t>
            </w:r>
          </w:p>
        </w:tc>
        <w:tc>
          <w:tcPr>
            <w:tcW w:w="3648"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各项工作开展时间</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2021年1-12月</w:t>
            </w:r>
          </w:p>
        </w:tc>
      </w:tr>
      <w:tr>
        <w:tblPrEx>
          <w:tblCellMar>
            <w:top w:w="0" w:type="dxa"/>
            <w:left w:w="108" w:type="dxa"/>
            <w:bottom w:w="0" w:type="dxa"/>
            <w:right w:w="108" w:type="dxa"/>
          </w:tblCellMar>
        </w:tblPrEx>
        <w:trPr>
          <w:trHeight w:val="870" w:hRule="atLeast"/>
        </w:trPr>
        <w:tc>
          <w:tcPr>
            <w:tcW w:w="152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7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成本指标</w:t>
            </w:r>
          </w:p>
        </w:tc>
        <w:tc>
          <w:tcPr>
            <w:tcW w:w="3648"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自治区各类比赛经费（万元）</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&lt;=30万元</w:t>
            </w:r>
          </w:p>
        </w:tc>
      </w:tr>
      <w:tr>
        <w:tblPrEx>
          <w:tblCellMar>
            <w:top w:w="0" w:type="dxa"/>
            <w:left w:w="108" w:type="dxa"/>
            <w:bottom w:w="0" w:type="dxa"/>
            <w:right w:w="108" w:type="dxa"/>
          </w:tblCellMar>
        </w:tblPrEx>
        <w:trPr>
          <w:trHeight w:val="870" w:hRule="atLeast"/>
        </w:trPr>
        <w:tc>
          <w:tcPr>
            <w:tcW w:w="152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7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社会效益指标</w:t>
            </w:r>
          </w:p>
        </w:tc>
        <w:tc>
          <w:tcPr>
            <w:tcW w:w="3648"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提升中小学学生的身体健康素质</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提升</w:t>
            </w:r>
          </w:p>
        </w:tc>
      </w:tr>
      <w:tr>
        <w:tblPrEx>
          <w:tblCellMar>
            <w:top w:w="0" w:type="dxa"/>
            <w:left w:w="108" w:type="dxa"/>
            <w:bottom w:w="0" w:type="dxa"/>
            <w:right w:w="108" w:type="dxa"/>
          </w:tblCellMar>
        </w:tblPrEx>
        <w:trPr>
          <w:trHeight w:val="870" w:hRule="atLeast"/>
        </w:trPr>
        <w:tc>
          <w:tcPr>
            <w:tcW w:w="152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7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可持续影响指标</w:t>
            </w:r>
          </w:p>
        </w:tc>
        <w:tc>
          <w:tcPr>
            <w:tcW w:w="3648"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持续提升昌吉州中小学生体育竞技水平</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提升</w:t>
            </w:r>
          </w:p>
        </w:tc>
      </w:tr>
      <w:tr>
        <w:tblPrEx>
          <w:tblCellMar>
            <w:top w:w="0" w:type="dxa"/>
            <w:left w:w="108" w:type="dxa"/>
            <w:bottom w:w="0" w:type="dxa"/>
            <w:right w:w="108" w:type="dxa"/>
          </w:tblCellMar>
        </w:tblPrEx>
        <w:trPr>
          <w:trHeight w:val="870" w:hRule="atLeast"/>
        </w:trPr>
        <w:tc>
          <w:tcPr>
            <w:tcW w:w="1522"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17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3648"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学生和家长的满意度</w:t>
            </w:r>
          </w:p>
        </w:tc>
        <w:tc>
          <w:tcPr>
            <w:tcW w:w="152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&gt;=95%</w:t>
            </w:r>
          </w:p>
        </w:tc>
      </w:tr>
    </w:tbl>
    <w:p>
      <w:pPr>
        <w:widowControl/>
        <w:spacing w:before="156" w:beforeLines="50" w:line="520" w:lineRule="exact"/>
        <w:jc w:val="left"/>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tbl>
      <w:tblPr>
        <w:tblStyle w:val="4"/>
        <w:tblW w:w="8414" w:type="dxa"/>
        <w:tblInd w:w="108" w:type="dxa"/>
        <w:tblLayout w:type="fixed"/>
        <w:tblCellMar>
          <w:top w:w="0" w:type="dxa"/>
          <w:left w:w="108" w:type="dxa"/>
          <w:bottom w:w="0" w:type="dxa"/>
          <w:right w:w="108" w:type="dxa"/>
        </w:tblCellMar>
      </w:tblPr>
      <w:tblGrid>
        <w:gridCol w:w="1521"/>
        <w:gridCol w:w="1706"/>
        <w:gridCol w:w="489"/>
        <w:gridCol w:w="1706"/>
        <w:gridCol w:w="1089"/>
        <w:gridCol w:w="338"/>
        <w:gridCol w:w="348"/>
        <w:gridCol w:w="1217"/>
      </w:tblGrid>
      <w:tr>
        <w:tblPrEx>
          <w:tblCellMar>
            <w:top w:w="0" w:type="dxa"/>
            <w:left w:w="108" w:type="dxa"/>
            <w:bottom w:w="0" w:type="dxa"/>
            <w:right w:w="108" w:type="dxa"/>
          </w:tblCellMar>
        </w:tblPrEx>
        <w:trPr>
          <w:trHeight w:val="390" w:hRule="atLeast"/>
        </w:trPr>
        <w:tc>
          <w:tcPr>
            <w:tcW w:w="8414" w:type="dxa"/>
            <w:gridSpan w:val="8"/>
            <w:tcBorders>
              <w:top w:val="nil"/>
              <w:left w:val="nil"/>
              <w:bottom w:val="nil"/>
              <w:right w:val="nil"/>
            </w:tcBorders>
            <w:shd w:val="clear" w:color="auto" w:fill="auto"/>
            <w:noWrap/>
            <w:vAlign w:val="center"/>
          </w:tcPr>
          <w:p>
            <w:pPr>
              <w:widowControl/>
              <w:jc w:val="center"/>
              <w:rPr>
                <w:rFonts w:ascii="宋体" w:hAnsi="宋体" w:cs="宋体"/>
                <w:b/>
                <w:bCs/>
                <w:kern w:val="0"/>
                <w:sz w:val="32"/>
                <w:szCs w:val="32"/>
              </w:rPr>
            </w:pPr>
            <w:r>
              <w:rPr>
                <w:rFonts w:hint="eastAsia" w:ascii="宋体" w:hAnsi="宋体" w:cs="宋体"/>
                <w:b/>
                <w:bCs/>
                <w:kern w:val="0"/>
                <w:sz w:val="32"/>
                <w:szCs w:val="32"/>
              </w:rPr>
              <w:t>项  目  支  出  绩  效  目  标  表</w:t>
            </w:r>
          </w:p>
        </w:tc>
      </w:tr>
      <w:tr>
        <w:tblPrEx>
          <w:tblCellMar>
            <w:top w:w="0" w:type="dxa"/>
            <w:left w:w="108" w:type="dxa"/>
            <w:bottom w:w="0" w:type="dxa"/>
            <w:right w:w="108" w:type="dxa"/>
          </w:tblCellMar>
        </w:tblPrEx>
        <w:trPr>
          <w:trHeight w:val="405" w:hRule="atLeast"/>
        </w:trPr>
        <w:tc>
          <w:tcPr>
            <w:tcW w:w="8414" w:type="dxa"/>
            <w:gridSpan w:val="8"/>
            <w:tcBorders>
              <w:top w:val="nil"/>
              <w:left w:val="nil"/>
              <w:bottom w:val="single" w:color="auto" w:sz="4" w:space="0"/>
              <w:right w:val="nil"/>
            </w:tcBorders>
            <w:shd w:val="clear" w:color="auto" w:fill="auto"/>
            <w:vAlign w:val="center"/>
          </w:tcPr>
          <w:p>
            <w:pPr>
              <w:widowControl/>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(2021年)</w:t>
            </w:r>
          </w:p>
        </w:tc>
      </w:tr>
      <w:tr>
        <w:tblPrEx>
          <w:tblCellMar>
            <w:top w:w="0" w:type="dxa"/>
            <w:left w:w="108" w:type="dxa"/>
            <w:bottom w:w="0" w:type="dxa"/>
            <w:right w:w="108" w:type="dxa"/>
          </w:tblCellMar>
        </w:tblPrEx>
        <w:trPr>
          <w:trHeight w:val="270" w:hRule="atLeast"/>
        </w:trPr>
        <w:tc>
          <w:tcPr>
            <w:tcW w:w="1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预算单位</w:t>
            </w:r>
          </w:p>
        </w:tc>
        <w:tc>
          <w:tcPr>
            <w:tcW w:w="390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昌吉回族自治州教育局</w:t>
            </w:r>
          </w:p>
        </w:tc>
        <w:tc>
          <w:tcPr>
            <w:tcW w:w="108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项目名称</w:t>
            </w:r>
          </w:p>
        </w:tc>
        <w:tc>
          <w:tcPr>
            <w:tcW w:w="190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中小学幼儿园教师职称评审</w:t>
            </w:r>
          </w:p>
        </w:tc>
      </w:tr>
      <w:tr>
        <w:tblPrEx>
          <w:tblCellMar>
            <w:top w:w="0" w:type="dxa"/>
            <w:left w:w="108" w:type="dxa"/>
            <w:bottom w:w="0" w:type="dxa"/>
            <w:right w:w="108" w:type="dxa"/>
          </w:tblCellMar>
        </w:tblPrEx>
        <w:trPr>
          <w:trHeight w:val="450" w:hRule="atLeast"/>
        </w:trPr>
        <w:tc>
          <w:tcPr>
            <w:tcW w:w="1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项目资金（万元）</w:t>
            </w:r>
          </w:p>
        </w:tc>
        <w:tc>
          <w:tcPr>
            <w:tcW w:w="17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年度资金总额：</w:t>
            </w:r>
          </w:p>
        </w:tc>
        <w:tc>
          <w:tcPr>
            <w:tcW w:w="48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w:t>
            </w:r>
          </w:p>
        </w:tc>
        <w:tc>
          <w:tcPr>
            <w:tcW w:w="17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其中：财政拨款</w:t>
            </w:r>
          </w:p>
        </w:tc>
        <w:tc>
          <w:tcPr>
            <w:tcW w:w="108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w:t>
            </w:r>
          </w:p>
        </w:tc>
        <w:tc>
          <w:tcPr>
            <w:tcW w:w="6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其他资金</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765" w:hRule="atLeast"/>
        </w:trPr>
        <w:tc>
          <w:tcPr>
            <w:tcW w:w="1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项目总体目标</w:t>
            </w:r>
          </w:p>
        </w:tc>
        <w:tc>
          <w:tcPr>
            <w:tcW w:w="6893" w:type="dxa"/>
            <w:gridSpan w:val="7"/>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贯彻落实自治州党政机构改革工作部署，采取“走出去、请进来”培训方式，培养一支适应新形势新要求，政治过硬、知识面广、懂管理、能力强的高素质、专业化教师队伍，通过评先评优、职称评审，进一步激发广大教师工作的积极性，全面提升自治州教育教学质量。1.职称评审，10万元。</w:t>
            </w:r>
          </w:p>
        </w:tc>
      </w:tr>
      <w:tr>
        <w:tblPrEx>
          <w:tblCellMar>
            <w:top w:w="0" w:type="dxa"/>
            <w:left w:w="108" w:type="dxa"/>
            <w:bottom w:w="0" w:type="dxa"/>
            <w:right w:w="108" w:type="dxa"/>
          </w:tblCellMar>
        </w:tblPrEx>
        <w:trPr>
          <w:trHeight w:val="450" w:hRule="atLeast"/>
        </w:trPr>
        <w:tc>
          <w:tcPr>
            <w:tcW w:w="15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一级指标</w:t>
            </w:r>
          </w:p>
        </w:tc>
        <w:tc>
          <w:tcPr>
            <w:tcW w:w="170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二级指标</w:t>
            </w:r>
          </w:p>
        </w:tc>
        <w:tc>
          <w:tcPr>
            <w:tcW w:w="3622"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三级指标</w:t>
            </w:r>
          </w:p>
        </w:tc>
        <w:tc>
          <w:tcPr>
            <w:tcW w:w="156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765" w:hRule="atLeast"/>
        </w:trPr>
        <w:tc>
          <w:tcPr>
            <w:tcW w:w="152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产出指标</w:t>
            </w:r>
          </w:p>
        </w:tc>
        <w:tc>
          <w:tcPr>
            <w:tcW w:w="170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数量指标</w:t>
            </w:r>
          </w:p>
        </w:tc>
        <w:tc>
          <w:tcPr>
            <w:tcW w:w="3622"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评审次数（次）</w:t>
            </w:r>
          </w:p>
        </w:tc>
        <w:tc>
          <w:tcPr>
            <w:tcW w:w="156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&gt;=1次</w:t>
            </w:r>
          </w:p>
        </w:tc>
      </w:tr>
      <w:tr>
        <w:tblPrEx>
          <w:tblCellMar>
            <w:top w:w="0" w:type="dxa"/>
            <w:left w:w="108" w:type="dxa"/>
            <w:bottom w:w="0" w:type="dxa"/>
            <w:right w:w="108" w:type="dxa"/>
          </w:tblCellMar>
        </w:tblPrEx>
        <w:trPr>
          <w:trHeight w:val="765" w:hRule="atLeast"/>
        </w:trPr>
        <w:tc>
          <w:tcPr>
            <w:tcW w:w="15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70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质量指标</w:t>
            </w:r>
          </w:p>
        </w:tc>
        <w:tc>
          <w:tcPr>
            <w:tcW w:w="3622"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完成率（%）</w:t>
            </w:r>
          </w:p>
        </w:tc>
        <w:tc>
          <w:tcPr>
            <w:tcW w:w="156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765" w:hRule="atLeast"/>
        </w:trPr>
        <w:tc>
          <w:tcPr>
            <w:tcW w:w="15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70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时效指标</w:t>
            </w:r>
          </w:p>
        </w:tc>
        <w:tc>
          <w:tcPr>
            <w:tcW w:w="3622"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评审工作完成时间</w:t>
            </w:r>
          </w:p>
        </w:tc>
        <w:tc>
          <w:tcPr>
            <w:tcW w:w="156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2021年12月31前完成</w:t>
            </w:r>
          </w:p>
        </w:tc>
      </w:tr>
      <w:tr>
        <w:tblPrEx>
          <w:tblCellMar>
            <w:top w:w="0" w:type="dxa"/>
            <w:left w:w="108" w:type="dxa"/>
            <w:bottom w:w="0" w:type="dxa"/>
            <w:right w:w="108" w:type="dxa"/>
          </w:tblCellMar>
        </w:tblPrEx>
        <w:trPr>
          <w:trHeight w:val="765" w:hRule="atLeast"/>
        </w:trPr>
        <w:tc>
          <w:tcPr>
            <w:tcW w:w="15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70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成本指标</w:t>
            </w:r>
          </w:p>
        </w:tc>
        <w:tc>
          <w:tcPr>
            <w:tcW w:w="3622"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开展业务评审工作（万元）</w:t>
            </w:r>
          </w:p>
        </w:tc>
        <w:tc>
          <w:tcPr>
            <w:tcW w:w="156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&lt;=10万元</w:t>
            </w:r>
          </w:p>
        </w:tc>
      </w:tr>
      <w:tr>
        <w:tblPrEx>
          <w:tblCellMar>
            <w:top w:w="0" w:type="dxa"/>
            <w:left w:w="108" w:type="dxa"/>
            <w:bottom w:w="0" w:type="dxa"/>
            <w:right w:w="108" w:type="dxa"/>
          </w:tblCellMar>
        </w:tblPrEx>
        <w:trPr>
          <w:trHeight w:val="765" w:hRule="atLeast"/>
        </w:trPr>
        <w:tc>
          <w:tcPr>
            <w:tcW w:w="15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70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社会效益指标</w:t>
            </w:r>
          </w:p>
        </w:tc>
        <w:tc>
          <w:tcPr>
            <w:tcW w:w="3622"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开展职称评审工作，服务广大教师</w:t>
            </w:r>
          </w:p>
        </w:tc>
        <w:tc>
          <w:tcPr>
            <w:tcW w:w="156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提高</w:t>
            </w:r>
          </w:p>
        </w:tc>
      </w:tr>
      <w:tr>
        <w:tblPrEx>
          <w:tblCellMar>
            <w:top w:w="0" w:type="dxa"/>
            <w:left w:w="108" w:type="dxa"/>
            <w:bottom w:w="0" w:type="dxa"/>
            <w:right w:w="108" w:type="dxa"/>
          </w:tblCellMar>
        </w:tblPrEx>
        <w:trPr>
          <w:trHeight w:val="765" w:hRule="atLeast"/>
        </w:trPr>
        <w:tc>
          <w:tcPr>
            <w:tcW w:w="152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1706"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满意度指标</w:t>
            </w:r>
          </w:p>
        </w:tc>
        <w:tc>
          <w:tcPr>
            <w:tcW w:w="3622" w:type="dxa"/>
            <w:gridSpan w:val="4"/>
            <w:tcBorders>
              <w:top w:val="single" w:color="auto" w:sz="4" w:space="0"/>
              <w:left w:val="nil"/>
              <w:bottom w:val="single" w:color="auto" w:sz="4" w:space="0"/>
              <w:right w:val="single" w:color="auto"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教师、社会满意率（%）</w:t>
            </w:r>
          </w:p>
        </w:tc>
        <w:tc>
          <w:tcPr>
            <w:tcW w:w="156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=100%</w:t>
            </w:r>
          </w:p>
        </w:tc>
      </w:tr>
    </w:tbl>
    <w:p>
      <w:pPr>
        <w:widowControl/>
        <w:spacing w:before="156" w:beforeLines="50" w:line="520" w:lineRule="exact"/>
        <w:jc w:val="left"/>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line="480" w:lineRule="exact"/>
        <w:ind w:firstLine="643" w:firstLineChars="200"/>
        <w:jc w:val="left"/>
        <w:rPr>
          <w:rFonts w:hint="eastAsia" w:ascii="楷体_GB2312" w:hAnsi="宋体" w:eastAsia="楷体_GB2312" w:cs="宋体"/>
          <w:b/>
          <w:kern w:val="0"/>
          <w:sz w:val="32"/>
          <w:szCs w:val="32"/>
        </w:rPr>
      </w:pPr>
    </w:p>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before="156" w:beforeLines="50" w:line="520" w:lineRule="exact"/>
        <w:ind w:firstLine="640" w:firstLineChars="200"/>
        <w:jc w:val="both"/>
        <w:outlineLvl w:val="1"/>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before="156" w:beforeLines="50" w:line="520" w:lineRule="exact"/>
        <w:ind w:firstLine="640" w:firstLineChars="200"/>
        <w:jc w:val="both"/>
        <w:outlineLvl w:val="1"/>
        <w:rPr>
          <w:rFonts w:hint="eastAsia" w:ascii="仿宋_GB2312" w:hAnsi="宋体" w:eastAsia="仿宋_GB2312" w:cs="宋体"/>
          <w:kern w:val="0"/>
          <w:sz w:val="32"/>
          <w:szCs w:val="32"/>
        </w:rPr>
      </w:pPr>
    </w:p>
    <w:p>
      <w:pPr>
        <w:widowControl/>
        <w:spacing w:before="156" w:beforeLines="50" w:line="520" w:lineRule="exact"/>
        <w:ind w:firstLine="640" w:firstLineChars="200"/>
        <w:jc w:val="both"/>
        <w:outlineLvl w:val="1"/>
        <w:rPr>
          <w:rFonts w:hint="eastAsia" w:ascii="仿宋_GB2312" w:hAnsi="宋体" w:eastAsia="仿宋_GB2312" w:cs="宋体"/>
          <w:kern w:val="0"/>
          <w:sz w:val="32"/>
          <w:szCs w:val="32"/>
        </w:rPr>
      </w:pPr>
    </w:p>
    <w:p>
      <w:pPr>
        <w:widowControl/>
        <w:spacing w:before="156" w:beforeLines="50" w:line="520" w:lineRule="exact"/>
        <w:ind w:firstLine="640" w:firstLineChars="200"/>
        <w:jc w:val="both"/>
        <w:outlineLvl w:val="1"/>
        <w:rPr>
          <w:rFonts w:hint="eastAsia"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昌吉州教育局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Dialog">
    <w:altName w:val="Times New Roman"/>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588F"/>
    <w:rsid w:val="000B4794"/>
    <w:rsid w:val="002916C8"/>
    <w:rsid w:val="00323EC2"/>
    <w:rsid w:val="004F4DB1"/>
    <w:rsid w:val="00655DD3"/>
    <w:rsid w:val="008C2A16"/>
    <w:rsid w:val="00A4588F"/>
    <w:rsid w:val="00B80A56"/>
    <w:rsid w:val="00CD315C"/>
    <w:rsid w:val="01C32524"/>
    <w:rsid w:val="05417A9F"/>
    <w:rsid w:val="096E1719"/>
    <w:rsid w:val="0CC32C85"/>
    <w:rsid w:val="0F97531B"/>
    <w:rsid w:val="0FC81E0C"/>
    <w:rsid w:val="11245C46"/>
    <w:rsid w:val="12416845"/>
    <w:rsid w:val="162B627F"/>
    <w:rsid w:val="17637E35"/>
    <w:rsid w:val="17F9194A"/>
    <w:rsid w:val="182C3199"/>
    <w:rsid w:val="194804A7"/>
    <w:rsid w:val="1BD16179"/>
    <w:rsid w:val="1BED1A59"/>
    <w:rsid w:val="1C526364"/>
    <w:rsid w:val="1F8E7393"/>
    <w:rsid w:val="205443F1"/>
    <w:rsid w:val="20B53078"/>
    <w:rsid w:val="21A40ACF"/>
    <w:rsid w:val="238A5765"/>
    <w:rsid w:val="241C4F25"/>
    <w:rsid w:val="279138F0"/>
    <w:rsid w:val="27D17E3C"/>
    <w:rsid w:val="282C25D3"/>
    <w:rsid w:val="2A5532F9"/>
    <w:rsid w:val="2D2B66F2"/>
    <w:rsid w:val="2FC73449"/>
    <w:rsid w:val="30161F54"/>
    <w:rsid w:val="33283252"/>
    <w:rsid w:val="33462B51"/>
    <w:rsid w:val="36794121"/>
    <w:rsid w:val="380F7DE6"/>
    <w:rsid w:val="38A76A5C"/>
    <w:rsid w:val="39D91096"/>
    <w:rsid w:val="3ABD31B8"/>
    <w:rsid w:val="3B124494"/>
    <w:rsid w:val="3BCA4E57"/>
    <w:rsid w:val="3D194991"/>
    <w:rsid w:val="3D72222B"/>
    <w:rsid w:val="3DD642BE"/>
    <w:rsid w:val="3EA36219"/>
    <w:rsid w:val="3F9B7AB0"/>
    <w:rsid w:val="40A41796"/>
    <w:rsid w:val="40D709BD"/>
    <w:rsid w:val="427E143D"/>
    <w:rsid w:val="431C6BB6"/>
    <w:rsid w:val="43F93626"/>
    <w:rsid w:val="443A5AA8"/>
    <w:rsid w:val="4613511E"/>
    <w:rsid w:val="46D37C96"/>
    <w:rsid w:val="4A047C43"/>
    <w:rsid w:val="4A0E5AC7"/>
    <w:rsid w:val="4A527DBF"/>
    <w:rsid w:val="4C405ED8"/>
    <w:rsid w:val="51B80C8A"/>
    <w:rsid w:val="52855EC9"/>
    <w:rsid w:val="53127169"/>
    <w:rsid w:val="53CD77A2"/>
    <w:rsid w:val="55024508"/>
    <w:rsid w:val="595B00A8"/>
    <w:rsid w:val="5B8339A2"/>
    <w:rsid w:val="61EC64C6"/>
    <w:rsid w:val="63797818"/>
    <w:rsid w:val="648A1623"/>
    <w:rsid w:val="66135AC0"/>
    <w:rsid w:val="689E4845"/>
    <w:rsid w:val="699C708A"/>
    <w:rsid w:val="6B817DDC"/>
    <w:rsid w:val="6BE4208B"/>
    <w:rsid w:val="6D2C6577"/>
    <w:rsid w:val="720726B2"/>
    <w:rsid w:val="732E7F3E"/>
    <w:rsid w:val="74C73CAA"/>
    <w:rsid w:val="784F1C33"/>
    <w:rsid w:val="78DD3C5B"/>
    <w:rsid w:val="7B1711EA"/>
    <w:rsid w:val="7C0E12FE"/>
    <w:rsid w:val="7DC65AD2"/>
    <w:rsid w:val="7DE20975"/>
    <w:rsid w:val="7FAF5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rFonts w:eastAsia="黑体"/>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批注框文本1"/>
    <w:basedOn w:val="1"/>
    <w:link w:val="7"/>
    <w:qFormat/>
    <w:uiPriority w:val="0"/>
    <w:rPr>
      <w:sz w:val="18"/>
      <w:szCs w:val="18"/>
    </w:rPr>
  </w:style>
  <w:style w:type="character" w:customStyle="1" w:styleId="7">
    <w:name w:val="批注框文本 Char"/>
    <w:link w:val="6"/>
    <w:semiHidden/>
    <w:qFormat/>
    <w:uiPriority w:val="0"/>
    <w:rPr>
      <w:sz w:val="18"/>
      <w:szCs w:val="18"/>
    </w:rPr>
  </w:style>
  <w:style w:type="character" w:customStyle="1" w:styleId="8">
    <w:name w:val="页脚 字符"/>
    <w:link w:val="2"/>
    <w:semiHidden/>
    <w:qFormat/>
    <w:uiPriority w:val="0"/>
    <w:rPr>
      <w:rFonts w:eastAsia="黑体"/>
      <w:sz w:val="18"/>
      <w:szCs w:val="18"/>
    </w:rPr>
  </w:style>
  <w:style w:type="character" w:customStyle="1" w:styleId="9">
    <w:name w:val="页眉 字符"/>
    <w:link w:val="3"/>
    <w:semiHidden/>
    <w:qFormat/>
    <w:uiPriority w:val="0"/>
    <w:rPr>
      <w:sz w:val="18"/>
      <w:szCs w:val="18"/>
    </w:rPr>
  </w:style>
  <w:style w:type="character" w:customStyle="1" w:styleId="10">
    <w:name w:val="正文文本缩进 3 Char"/>
    <w:link w:val="11"/>
    <w:semiHidden/>
    <w:qFormat/>
    <w:uiPriority w:val="0"/>
    <w:rPr>
      <w:rFonts w:eastAsia="仿宋_GB2312"/>
      <w:sz w:val="32"/>
      <w:szCs w:val="24"/>
    </w:rPr>
  </w:style>
  <w:style w:type="paragraph" w:customStyle="1" w:styleId="11">
    <w:name w:val="正文文本缩进 31"/>
    <w:basedOn w:val="1"/>
    <w:link w:val="10"/>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character" w:customStyle="1" w:styleId="12">
    <w:name w:val="页眉 Char1"/>
    <w:qFormat/>
    <w:uiPriority w:val="0"/>
    <w:rPr>
      <w:rFonts w:ascii="Times New Roman" w:hAnsi="Times New Roman" w:eastAsia="宋体" w:cs="Times New Roman"/>
      <w:sz w:val="18"/>
      <w:szCs w:val="18"/>
    </w:rPr>
  </w:style>
  <w:style w:type="character" w:customStyle="1" w:styleId="13">
    <w:name w:val="正文文本缩进 3 Char1"/>
    <w:qFormat/>
    <w:uiPriority w:val="0"/>
    <w:rPr>
      <w:rFonts w:ascii="Times New Roman" w:hAnsi="Times New Roman" w:eastAsia="宋体" w:cs="Times New Roman"/>
      <w:sz w:val="16"/>
      <w:szCs w:val="16"/>
    </w:rPr>
  </w:style>
  <w:style w:type="character" w:customStyle="1" w:styleId="14">
    <w:name w:val="页脚 Char1"/>
    <w:qFormat/>
    <w:uiPriority w:val="0"/>
    <w:rPr>
      <w:rFonts w:ascii="Times New Roman" w:hAnsi="Times New Roman" w:eastAsia="宋体" w:cs="Times New Roman"/>
      <w:sz w:val="18"/>
      <w:szCs w:val="18"/>
    </w:rPr>
  </w:style>
  <w:style w:type="character" w:customStyle="1" w:styleId="15">
    <w:name w:val="批注框文本 Char1"/>
    <w:qFormat/>
    <w:uiPriority w:val="0"/>
    <w:rPr>
      <w:rFonts w:ascii="Times New Roman" w:hAnsi="Times New Roman" w:eastAsia="宋体" w:cs="Times New Roman"/>
      <w:sz w:val="18"/>
      <w:szCs w:val="18"/>
    </w:rPr>
  </w:style>
  <w:style w:type="character" w:customStyle="1" w:styleId="16">
    <w:name w:val="font31"/>
    <w:qFormat/>
    <w:uiPriority w:val="0"/>
    <w:rPr>
      <w:rFonts w:hint="eastAsia" w:ascii="宋体" w:hAnsi="宋体" w:eastAsia="宋体" w:cs="宋体"/>
      <w:color w:val="000000"/>
      <w:sz w:val="24"/>
      <w:szCs w:val="24"/>
      <w:u w:val="none"/>
    </w:rPr>
  </w:style>
  <w:style w:type="character" w:customStyle="1" w:styleId="17">
    <w:name w:val="font21"/>
    <w:qFormat/>
    <w:uiPriority w:val="0"/>
    <w:rPr>
      <w:rFonts w:hint="eastAsia" w:ascii="宋体" w:hAnsi="宋体" w:eastAsia="宋体" w:cs="宋体"/>
      <w:b/>
      <w:color w:val="000000"/>
      <w:sz w:val="24"/>
      <w:szCs w:val="24"/>
      <w:u w:val="none"/>
    </w:rPr>
  </w:style>
  <w:style w:type="character" w:customStyle="1" w:styleId="18">
    <w:name w:val="font0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A4638-9D3D-49A1-A662-1052E5303084}">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36</Pages>
  <Words>12523</Words>
  <Characters>14539</Characters>
  <Lines>130</Lines>
  <Paragraphs>36</Paragraphs>
  <TotalTime>1</TotalTime>
  <ScaleCrop>false</ScaleCrop>
  <LinksUpToDate>false</LinksUpToDate>
  <CharactersWithSpaces>15536</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2021-02-07T10:26:00Z</dcterms:created>
  <dc:creator>闫超</dc:creator>
  <cp:lastModifiedBy>Administrator</cp:lastModifiedBy>
  <cp:lastPrinted>2021-04-08T17:40:00Z</cp:lastPrinted>
  <dcterms:modified xsi:type="dcterms:W3CDTF">2022-04-04T16:57:46Z</dcterms:modified>
  <dc:title>Administrator</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76B8E0134DB944728DC447435554797A</vt:lpwstr>
  </property>
</Properties>
</file>