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昌吉州文联2021年</w:t>
      </w:r>
      <w:r>
        <w:rPr>
          <w:rFonts w:hint="eastAsia" w:ascii="方正小标宋_GBK" w:hAnsi="宋体" w:eastAsia="方正小标宋_GBK"/>
          <w:kern w:val="0"/>
          <w:sz w:val="44"/>
          <w:szCs w:val="44"/>
          <w:lang w:eastAsia="zh-CN"/>
        </w:rPr>
        <w:t>单位</w:t>
      </w:r>
      <w:r>
        <w:rPr>
          <w:rFonts w:hint="eastAsia" w:ascii="方正小标宋_GBK" w:hAnsi="宋体" w:eastAsia="方正小标宋_GBK"/>
          <w:kern w:val="0"/>
          <w:sz w:val="44"/>
          <w:szCs w:val="44"/>
        </w:rPr>
        <w:t>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昌吉州文联</w:t>
      </w:r>
      <w:r>
        <w:rPr>
          <w:rFonts w:hint="eastAsia" w:ascii="仿宋_GB2312" w:hAnsi="宋体" w:eastAsia="仿宋_GB2312"/>
          <w:b/>
          <w:kern w:val="0"/>
          <w:sz w:val="32"/>
          <w:szCs w:val="32"/>
          <w:lang w:eastAsia="zh-CN"/>
        </w:rPr>
        <w:t>单位</w:t>
      </w:r>
      <w:bookmarkStart w:id="0" w:name="_GoBack"/>
      <w:bookmarkEnd w:id="0"/>
      <w:r>
        <w:rPr>
          <w:rFonts w:hint="eastAsia" w:ascii="仿宋_GB2312" w:hAnsi="宋体" w:eastAsia="仿宋_GB2312"/>
          <w:b/>
          <w:kern w:val="0"/>
          <w:sz w:val="32"/>
          <w:szCs w:val="32"/>
        </w:rPr>
        <w:t>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2021年单位预算公开表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一、昌吉州文联收支总体情况表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二、昌吉州文联收入总体情况表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三、昌吉州文联支出总体情况表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一、关于昌吉州文联2021年收支预算情况的总体说明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二、关于昌吉州文联2021年收入预算情况说明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三、关于昌吉州文联2021年支出预算情况说明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昌吉州文联2021</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五、关于昌吉州文联2021年一般公共预算当年拨款情况说明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六、关于昌吉州文联2021年一般公共预算基本支出情况说明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七、关于昌吉州文联2021年一般公共预算项目支出情况说明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八、关于昌吉州文联2021年一般公共预算“三公”经费预算情况说明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九、关于昌吉州文联2021年政府性基金预算拨款情况说明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w:t>
      </w:r>
      <w:r>
        <w:rPr>
          <w:rFonts w:hint="eastAsia" w:ascii="黑体" w:hAnsi="黑体" w:eastAsia="黑体"/>
          <w:kern w:val="0"/>
          <w:sz w:val="32"/>
          <w:szCs w:val="32"/>
          <w:lang w:val="en-US" w:eastAsia="zh-CN"/>
        </w:rPr>
        <w:t>州文联</w:t>
      </w:r>
      <w:r>
        <w:rPr>
          <w:rFonts w:hint="eastAsia" w:ascii="黑体" w:hAnsi="黑体" w:eastAsia="黑体"/>
          <w:kern w:val="0"/>
          <w:sz w:val="32"/>
          <w:szCs w:val="32"/>
        </w:rPr>
        <w:t>单位概况</w:t>
      </w:r>
    </w:p>
    <w:p>
      <w:pPr>
        <w:widowControl/>
        <w:spacing w:line="560" w:lineRule="exact"/>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60" w:lineRule="exact"/>
        <w:ind w:firstLine="627" w:firstLineChars="196"/>
        <w:rPr>
          <w:rFonts w:ascii="仿宋_GB2312" w:hAnsi="宋体" w:eastAsia="仿宋_GB2312" w:cs="宋体"/>
          <w:bCs/>
          <w:kern w:val="0"/>
          <w:sz w:val="32"/>
          <w:szCs w:val="32"/>
        </w:rPr>
      </w:pPr>
      <w:r>
        <w:rPr>
          <w:rFonts w:hint="eastAsia" w:ascii="仿宋_GB2312" w:hAnsi="宋体" w:eastAsia="仿宋_GB2312"/>
          <w:sz w:val="32"/>
          <w:szCs w:val="32"/>
        </w:rPr>
        <w:t>对各团体会员开展联络、协调、服务工作，通过组织学习、深入生活、文艺创作、理论研究、学术讨论、文艺评奖、书刊出版、人才培训、对外交流和权益保护等各项工作。</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spacing w:line="560" w:lineRule="exact"/>
        <w:ind w:firstLine="640" w:firstLineChars="200"/>
        <w:rPr>
          <w:rFonts w:ascii="仿宋_GB2312" w:hAnsi="宋体" w:eastAsia="仿宋_GB2312"/>
          <w:sz w:val="32"/>
          <w:szCs w:val="32"/>
          <w:highlight w:val="none"/>
        </w:rPr>
      </w:pPr>
      <w:r>
        <w:rPr>
          <w:rFonts w:hint="eastAsia" w:ascii="仿宋_GB2312" w:hAnsi="宋体" w:eastAsia="仿宋_GB2312" w:cs="宋体"/>
          <w:kern w:val="0"/>
          <w:sz w:val="32"/>
          <w:szCs w:val="32"/>
        </w:rPr>
        <w:t>昌吉州文联</w:t>
      </w:r>
      <w:r>
        <w:rPr>
          <w:rFonts w:hint="eastAsia" w:ascii="仿宋_GB2312" w:hAnsi="黑体" w:eastAsia="仿宋_GB2312" w:cs="宋体"/>
          <w:bCs/>
          <w:kern w:val="0"/>
          <w:sz w:val="32"/>
          <w:szCs w:val="32"/>
          <w:highlight w:val="none"/>
        </w:rPr>
        <w:t>无下属预算单位，下设</w:t>
      </w:r>
      <w:r>
        <w:rPr>
          <w:rFonts w:hint="eastAsia" w:ascii="仿宋_GB2312" w:hAnsi="黑体" w:eastAsia="仿宋_GB2312" w:cs="宋体"/>
          <w:bCs/>
          <w:kern w:val="0"/>
          <w:sz w:val="32"/>
          <w:szCs w:val="32"/>
          <w:highlight w:val="none"/>
          <w:lang w:val="en-US" w:eastAsia="zh-CN"/>
        </w:rPr>
        <w:t>3</w:t>
      </w:r>
      <w:r>
        <w:rPr>
          <w:rFonts w:hint="eastAsia" w:ascii="仿宋_GB2312" w:hAnsi="黑体" w:eastAsia="仿宋_GB2312" w:cs="宋体"/>
          <w:bCs/>
          <w:kern w:val="0"/>
          <w:sz w:val="32"/>
          <w:szCs w:val="32"/>
          <w:highlight w:val="none"/>
        </w:rPr>
        <w:t>个科室，分别是：</w:t>
      </w:r>
      <w:r>
        <w:rPr>
          <w:rFonts w:hint="eastAsia" w:ascii="仿宋_GB2312" w:hAnsi="宋体" w:eastAsia="仿宋_GB2312"/>
          <w:sz w:val="32"/>
          <w:szCs w:val="32"/>
          <w:highlight w:val="none"/>
        </w:rPr>
        <w:t>办公室、组织联络室</w:t>
      </w:r>
      <w:r>
        <w:rPr>
          <w:rFonts w:hint="eastAsia" w:ascii="仿宋_GB2312" w:hAnsi="宋体" w:eastAsia="仿宋_GB2312"/>
          <w:sz w:val="32"/>
          <w:szCs w:val="32"/>
          <w:highlight w:val="none"/>
          <w:lang w:val="en-US" w:eastAsia="zh-CN"/>
        </w:rPr>
        <w:t>、</w:t>
      </w:r>
      <w:r>
        <w:rPr>
          <w:rFonts w:hint="eastAsia" w:ascii="仿宋_GB2312" w:hAnsi="宋体" w:eastAsia="仿宋_GB2312"/>
          <w:sz w:val="32"/>
          <w:szCs w:val="32"/>
          <w:highlight w:val="none"/>
        </w:rPr>
        <w:t>昌吉州美术馆（昌吉州书画院、文艺创作研究室）。</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highlight w:val="none"/>
        </w:rPr>
        <w:t xml:space="preserve">    昌吉州文联编制数15，实有人数</w:t>
      </w:r>
      <w:r>
        <w:rPr>
          <w:rFonts w:hint="eastAsia" w:ascii="仿宋_GB2312" w:hAnsi="宋体" w:eastAsia="仿宋_GB2312" w:cs="宋体"/>
          <w:kern w:val="0"/>
          <w:sz w:val="32"/>
          <w:szCs w:val="32"/>
          <w:highlight w:val="none"/>
          <w:lang w:val="en-US" w:eastAsia="zh-CN"/>
        </w:rPr>
        <w:t>24</w:t>
      </w:r>
      <w:r>
        <w:rPr>
          <w:rFonts w:hint="eastAsia" w:ascii="仿宋_GB2312" w:hAnsi="宋体" w:eastAsia="仿宋_GB2312" w:cs="宋体"/>
          <w:kern w:val="0"/>
          <w:sz w:val="32"/>
          <w:szCs w:val="32"/>
          <w:highlight w:val="none"/>
        </w:rPr>
        <w:t>人，其中：在职15人，增加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人；退休9人，增加0人；离休0人，增加0人。</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40" w:lineRule="exact"/>
        <w:ind w:firstLine="1440" w:firstLineChars="450"/>
        <w:outlineLvl w:val="1"/>
        <w:rPr>
          <w:rFonts w:ascii="黑体" w:hAnsi="黑体" w:eastAsia="黑体"/>
          <w:kern w:val="0"/>
          <w:sz w:val="32"/>
          <w:szCs w:val="32"/>
        </w:rPr>
      </w:pPr>
      <w:r>
        <w:rPr>
          <w:rFonts w:hint="eastAsia" w:ascii="黑体" w:hAnsi="黑体" w:eastAsia="黑体"/>
          <w:kern w:val="0"/>
          <w:sz w:val="32"/>
          <w:szCs w:val="32"/>
        </w:rPr>
        <w:t>第二部分  2021年单位预算公开表</w:t>
      </w:r>
    </w:p>
    <w:p>
      <w:pPr>
        <w:widowControl/>
        <w:spacing w:line="440" w:lineRule="exact"/>
        <w:outlineLvl w:val="1"/>
        <w:rPr>
          <w:rFonts w:ascii="仿宋_GB2312" w:hAnsi="宋体" w:eastAsia="仿宋_GB2312"/>
          <w:b/>
          <w:kern w:val="0"/>
          <w:sz w:val="32"/>
          <w:szCs w:val="32"/>
        </w:rPr>
      </w:pP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 xml:space="preserve">编制单位： 昌吉州文联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4"/>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25"/>
        <w:gridCol w:w="1418"/>
        <w:gridCol w:w="3260"/>
        <w:gridCol w:w="15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301.87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301.87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258.17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24.07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301.87</w:t>
            </w:r>
          </w:p>
        </w:tc>
        <w:tc>
          <w:tcPr>
            <w:tcW w:w="3260"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301.87</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编制单位：昌吉州文联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741" w:type="dxa"/>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8"/>
        <w:gridCol w:w="426"/>
        <w:gridCol w:w="567"/>
        <w:gridCol w:w="1845"/>
        <w:gridCol w:w="1018"/>
        <w:gridCol w:w="797"/>
        <w:gridCol w:w="762"/>
        <w:gridCol w:w="795"/>
        <w:gridCol w:w="921"/>
        <w:gridCol w:w="660"/>
        <w:gridCol w:w="708"/>
        <w:gridCol w:w="6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79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6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6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sz w:val="18"/>
                <w:szCs w:val="18"/>
                <w:highlight w:val="none"/>
              </w:rPr>
            </w:pPr>
            <w:r>
              <w:rPr>
                <w:rFonts w:hint="eastAsia" w:ascii="仿宋_GB2312" w:hAnsi="宋体" w:eastAsia="仿宋_GB2312" w:cs="宋体"/>
                <w:b/>
                <w:bCs/>
                <w:color w:val="000000"/>
                <w:sz w:val="18"/>
                <w:szCs w:val="18"/>
                <w:highlight w:val="none"/>
              </w:rPr>
              <w:t>207</w:t>
            </w:r>
          </w:p>
        </w:tc>
        <w:tc>
          <w:tcPr>
            <w:tcW w:w="42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sz w:val="18"/>
                <w:szCs w:val="18"/>
                <w:highlight w:val="none"/>
              </w:rPr>
            </w:pP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sz w:val="18"/>
                <w:szCs w:val="18"/>
                <w:highlight w:val="none"/>
              </w:rPr>
            </w:pPr>
          </w:p>
        </w:tc>
        <w:tc>
          <w:tcPr>
            <w:tcW w:w="18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sz w:val="18"/>
                <w:szCs w:val="18"/>
                <w:highlight w:val="none"/>
              </w:rPr>
            </w:pPr>
            <w:r>
              <w:rPr>
                <w:rFonts w:hint="eastAsia" w:ascii="仿宋_GB2312" w:hAnsi="宋体" w:eastAsia="仿宋_GB2312" w:cs="宋体"/>
                <w:b/>
                <w:bCs/>
                <w:color w:val="000000"/>
                <w:sz w:val="18"/>
                <w:szCs w:val="18"/>
                <w:highlight w:val="none"/>
              </w:rPr>
              <w:t>文化旅游体育与传媒支出</w:t>
            </w:r>
          </w:p>
        </w:tc>
        <w:tc>
          <w:tcPr>
            <w:tcW w:w="1018" w:type="dxa"/>
            <w:tcBorders>
              <w:top w:val="nil"/>
              <w:left w:val="nil"/>
              <w:bottom w:val="single" w:color="auto" w:sz="4" w:space="0"/>
              <w:right w:val="single" w:color="auto" w:sz="4" w:space="0"/>
            </w:tcBorders>
            <w:shd w:val="clear" w:color="000000" w:fill="FFFFFF"/>
            <w:vAlign w:val="center"/>
          </w:tcPr>
          <w:p>
            <w:pPr>
              <w:jc w:val="right"/>
              <w:rPr>
                <w:rFonts w:hint="default" w:ascii="仿宋_GB2312" w:hAnsi="宋体" w:eastAsia="仿宋_GB2312" w:cs="宋体"/>
                <w:b/>
                <w:bCs/>
                <w:color w:val="000000"/>
                <w:sz w:val="18"/>
                <w:szCs w:val="18"/>
                <w:lang w:val="en-US" w:eastAsia="zh-CN"/>
              </w:rPr>
            </w:pPr>
            <w:r>
              <w:rPr>
                <w:rFonts w:hint="eastAsia" w:ascii="仿宋_GB2312" w:hAnsi="宋体" w:eastAsia="仿宋_GB2312" w:cs="宋体"/>
                <w:b/>
                <w:bCs/>
                <w:color w:val="000000"/>
                <w:sz w:val="18"/>
                <w:szCs w:val="18"/>
                <w:lang w:val="en-US" w:eastAsia="zh-CN"/>
              </w:rPr>
              <w:t>258.17</w:t>
            </w:r>
          </w:p>
        </w:tc>
        <w:tc>
          <w:tcPr>
            <w:tcW w:w="797" w:type="dxa"/>
            <w:tcBorders>
              <w:top w:val="nil"/>
              <w:left w:val="nil"/>
              <w:bottom w:val="single" w:color="auto" w:sz="4" w:space="0"/>
              <w:right w:val="single" w:color="auto" w:sz="4" w:space="0"/>
            </w:tcBorders>
            <w:shd w:val="clear" w:color="000000" w:fill="FFFFFF"/>
            <w:vAlign w:val="center"/>
          </w:tcPr>
          <w:p>
            <w:pPr>
              <w:jc w:val="right"/>
              <w:rPr>
                <w:rFonts w:hint="default" w:ascii="仿宋_GB2312" w:hAnsi="宋体" w:eastAsia="仿宋_GB2312" w:cs="宋体"/>
                <w:b/>
                <w:bCs/>
                <w:color w:val="000000"/>
                <w:sz w:val="18"/>
                <w:szCs w:val="18"/>
                <w:lang w:val="en-US" w:eastAsia="zh-CN"/>
              </w:rPr>
            </w:pPr>
            <w:r>
              <w:rPr>
                <w:rFonts w:hint="eastAsia" w:ascii="仿宋_GB2312" w:hAnsi="宋体" w:eastAsia="仿宋_GB2312" w:cs="宋体"/>
                <w:b/>
                <w:bCs/>
                <w:color w:val="000000"/>
                <w:sz w:val="18"/>
                <w:szCs w:val="18"/>
                <w:lang w:val="en-US" w:eastAsia="zh-CN"/>
              </w:rPr>
              <w:t>258.17</w:t>
            </w:r>
          </w:p>
        </w:tc>
        <w:tc>
          <w:tcPr>
            <w:tcW w:w="762"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b/>
                <w:bCs/>
                <w:color w:val="000000"/>
                <w:sz w:val="18"/>
                <w:szCs w:val="18"/>
              </w:rPr>
            </w:pPr>
          </w:p>
        </w:tc>
        <w:tc>
          <w:tcPr>
            <w:tcW w:w="795"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b/>
                <w:bCs/>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b/>
                <w:bCs/>
                <w:color w:val="000000"/>
                <w:sz w:val="18"/>
                <w:szCs w:val="18"/>
              </w:rPr>
            </w:pPr>
          </w:p>
        </w:tc>
        <w:tc>
          <w:tcPr>
            <w:tcW w:w="660"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b/>
                <w:bCs/>
                <w:color w:val="000000"/>
                <w:sz w:val="18"/>
                <w:szCs w:val="18"/>
              </w:rPr>
            </w:pPr>
          </w:p>
        </w:tc>
        <w:tc>
          <w:tcPr>
            <w:tcW w:w="708"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b/>
                <w:bCs/>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b/>
                <w:bCs/>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b/>
                <w:bCs/>
                <w:color w:val="000000"/>
                <w:sz w:val="18"/>
                <w:szCs w:val="18"/>
                <w:highlight w:val="none"/>
                <w:lang w:val="en-US" w:eastAsia="zh-CN"/>
              </w:rPr>
            </w:pPr>
            <w:r>
              <w:rPr>
                <w:rFonts w:hint="eastAsia" w:ascii="仿宋_GB2312" w:hAnsi="宋体" w:eastAsia="仿宋_GB2312" w:cs="宋体"/>
                <w:b/>
                <w:bCs/>
                <w:color w:val="000000"/>
                <w:sz w:val="18"/>
                <w:szCs w:val="18"/>
                <w:highlight w:val="none"/>
                <w:lang w:val="en-US" w:eastAsia="zh-CN"/>
              </w:rPr>
              <w:t>207</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bCs/>
                <w:color w:val="000000"/>
                <w:sz w:val="18"/>
                <w:szCs w:val="18"/>
                <w:highlight w:val="none"/>
                <w:lang w:val="en-US" w:eastAsia="zh-CN"/>
              </w:rPr>
            </w:pPr>
            <w:r>
              <w:rPr>
                <w:rFonts w:hint="eastAsia" w:ascii="仿宋_GB2312" w:hAnsi="宋体" w:eastAsia="仿宋_GB2312" w:cs="宋体"/>
                <w:b/>
                <w:bCs/>
                <w:color w:val="000000"/>
                <w:sz w:val="18"/>
                <w:szCs w:val="18"/>
                <w:highlight w:val="none"/>
                <w:lang w:val="en-US" w:eastAsia="zh-CN"/>
              </w:rPr>
              <w:t>01</w:t>
            </w: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sz w:val="18"/>
                <w:szCs w:val="18"/>
                <w:highlight w:val="none"/>
              </w:rPr>
            </w:pPr>
          </w:p>
        </w:tc>
        <w:tc>
          <w:tcPr>
            <w:tcW w:w="1845" w:type="dxa"/>
            <w:tcBorders>
              <w:top w:val="nil"/>
              <w:left w:val="nil"/>
              <w:bottom w:val="single" w:color="auto" w:sz="4" w:space="0"/>
              <w:right w:val="single" w:color="auto" w:sz="4" w:space="0"/>
            </w:tcBorders>
            <w:vAlign w:val="center"/>
          </w:tcPr>
          <w:p>
            <w:pPr>
              <w:jc w:val="center"/>
              <w:rPr>
                <w:rFonts w:hint="eastAsia" w:ascii="仿宋_GB2312" w:eastAsia="仿宋_GB2312"/>
                <w:b/>
                <w:bCs/>
                <w:color w:val="000000"/>
                <w:sz w:val="20"/>
                <w:szCs w:val="20"/>
                <w:highlight w:val="none"/>
              </w:rPr>
            </w:pPr>
            <w:r>
              <w:rPr>
                <w:rFonts w:hint="eastAsia" w:ascii="仿宋_GB2312" w:eastAsia="仿宋_GB2312"/>
                <w:b/>
                <w:bCs/>
                <w:color w:val="000000"/>
                <w:sz w:val="20"/>
                <w:szCs w:val="20"/>
                <w:highlight w:val="none"/>
              </w:rPr>
              <w:t>文化和旅游</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bCs/>
                <w:color w:val="000000"/>
                <w:sz w:val="18"/>
                <w:szCs w:val="18"/>
                <w:lang w:val="en-US" w:eastAsia="zh-CN"/>
              </w:rPr>
            </w:pPr>
            <w:r>
              <w:rPr>
                <w:rFonts w:hint="eastAsia" w:ascii="仿宋_GB2312" w:hAnsi="宋体" w:eastAsia="仿宋_GB2312" w:cs="宋体"/>
                <w:b/>
                <w:bCs/>
                <w:color w:val="000000"/>
                <w:sz w:val="18"/>
                <w:szCs w:val="18"/>
                <w:lang w:val="en-US" w:eastAsia="zh-CN"/>
              </w:rPr>
              <w:t>258.17</w:t>
            </w:r>
          </w:p>
        </w:tc>
        <w:tc>
          <w:tcPr>
            <w:tcW w:w="79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bCs/>
                <w:color w:val="000000"/>
                <w:sz w:val="18"/>
                <w:szCs w:val="18"/>
                <w:lang w:val="en-US" w:eastAsia="zh-CN"/>
              </w:rPr>
            </w:pPr>
            <w:r>
              <w:rPr>
                <w:rFonts w:hint="eastAsia" w:ascii="仿宋_GB2312" w:hAnsi="宋体" w:eastAsia="仿宋_GB2312" w:cs="宋体"/>
                <w:b/>
                <w:bCs/>
                <w:color w:val="000000"/>
                <w:sz w:val="18"/>
                <w:szCs w:val="18"/>
                <w:lang w:val="en-US" w:eastAsia="zh-CN"/>
              </w:rPr>
              <w:t>258.17</w:t>
            </w:r>
          </w:p>
        </w:tc>
        <w:tc>
          <w:tcPr>
            <w:tcW w:w="762"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207</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01</w:t>
            </w:r>
          </w:p>
        </w:tc>
        <w:tc>
          <w:tcPr>
            <w:tcW w:w="5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01</w:t>
            </w:r>
          </w:p>
        </w:tc>
        <w:tc>
          <w:tcPr>
            <w:tcW w:w="1845"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highlight w:val="none"/>
              </w:rPr>
            </w:pPr>
            <w:r>
              <w:rPr>
                <w:rFonts w:hint="eastAsia" w:ascii="仿宋_GB2312" w:eastAsia="仿宋_GB2312"/>
                <w:color w:val="000000"/>
                <w:sz w:val="20"/>
                <w:szCs w:val="20"/>
                <w:highlight w:val="none"/>
              </w:rPr>
              <w:t xml:space="preserve">  行政运行</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178.17</w:t>
            </w:r>
          </w:p>
        </w:tc>
        <w:tc>
          <w:tcPr>
            <w:tcW w:w="79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178.17</w:t>
            </w:r>
          </w:p>
        </w:tc>
        <w:tc>
          <w:tcPr>
            <w:tcW w:w="7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207</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02</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eastAsia="仿宋_GB2312"/>
                <w:color w:val="000000"/>
                <w:sz w:val="20"/>
                <w:szCs w:val="20"/>
                <w:highlight w:val="none"/>
              </w:rPr>
              <w:t>一般行政管理</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80</w:t>
            </w:r>
          </w:p>
        </w:tc>
        <w:tc>
          <w:tcPr>
            <w:tcW w:w="79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80</w:t>
            </w:r>
          </w:p>
        </w:tc>
        <w:tc>
          <w:tcPr>
            <w:tcW w:w="7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b/>
                <w:bCs/>
                <w:color w:val="000000"/>
                <w:sz w:val="18"/>
                <w:szCs w:val="18"/>
                <w:highlight w:val="none"/>
                <w:lang w:val="en-US" w:eastAsia="zh-CN"/>
              </w:rPr>
            </w:pPr>
            <w:r>
              <w:rPr>
                <w:rFonts w:hint="eastAsia" w:ascii="仿宋_GB2312" w:hAnsi="宋体" w:eastAsia="仿宋_GB2312" w:cs="宋体"/>
                <w:b/>
                <w:bCs/>
                <w:color w:val="000000"/>
                <w:sz w:val="18"/>
                <w:szCs w:val="18"/>
                <w:highlight w:val="none"/>
                <w:lang w:val="en-US" w:eastAsia="zh-CN"/>
              </w:rPr>
              <w:t>208</w:t>
            </w:r>
          </w:p>
        </w:tc>
        <w:tc>
          <w:tcPr>
            <w:tcW w:w="42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sz w:val="18"/>
                <w:szCs w:val="18"/>
                <w:highlight w:val="none"/>
              </w:rPr>
            </w:pP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sz w:val="18"/>
                <w:szCs w:val="18"/>
                <w:highlight w:val="none"/>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sz w:val="18"/>
                <w:szCs w:val="18"/>
                <w:highlight w:val="none"/>
              </w:rPr>
            </w:pPr>
            <w:r>
              <w:rPr>
                <w:rFonts w:hint="eastAsia" w:ascii="仿宋_GB2312" w:hAnsi="宋体" w:eastAsia="仿宋_GB2312" w:cs="宋体"/>
                <w:b/>
                <w:bCs/>
                <w:color w:val="000000"/>
                <w:sz w:val="18"/>
                <w:szCs w:val="18"/>
                <w:highlight w:val="none"/>
              </w:rPr>
              <w:t>社会保障和就业支出</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bCs/>
                <w:color w:val="000000"/>
                <w:sz w:val="18"/>
                <w:szCs w:val="18"/>
                <w:lang w:val="en-US" w:eastAsia="zh-CN"/>
              </w:rPr>
            </w:pPr>
            <w:r>
              <w:rPr>
                <w:rFonts w:hint="eastAsia" w:ascii="仿宋_GB2312" w:hAnsi="宋体" w:eastAsia="仿宋_GB2312" w:cs="宋体"/>
                <w:b/>
                <w:bCs/>
                <w:color w:val="000000"/>
                <w:sz w:val="18"/>
                <w:szCs w:val="18"/>
                <w:lang w:val="en-US" w:eastAsia="zh-CN"/>
              </w:rPr>
              <w:t>19.63</w:t>
            </w:r>
          </w:p>
        </w:tc>
        <w:tc>
          <w:tcPr>
            <w:tcW w:w="79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bCs/>
                <w:color w:val="000000"/>
                <w:sz w:val="18"/>
                <w:szCs w:val="18"/>
                <w:lang w:val="en-US" w:eastAsia="zh-CN"/>
              </w:rPr>
            </w:pPr>
            <w:r>
              <w:rPr>
                <w:rFonts w:hint="eastAsia" w:ascii="仿宋_GB2312" w:hAnsi="宋体" w:eastAsia="仿宋_GB2312" w:cs="宋体"/>
                <w:b/>
                <w:bCs/>
                <w:color w:val="000000"/>
                <w:sz w:val="18"/>
                <w:szCs w:val="18"/>
                <w:lang w:val="en-US" w:eastAsia="zh-CN"/>
              </w:rPr>
              <w:t>19.63</w:t>
            </w:r>
          </w:p>
        </w:tc>
        <w:tc>
          <w:tcPr>
            <w:tcW w:w="762"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b/>
                <w:bCs/>
                <w:color w:val="000000"/>
                <w:sz w:val="18"/>
                <w:szCs w:val="18"/>
                <w:highlight w:val="none"/>
                <w:lang w:val="en-US" w:eastAsia="zh-CN"/>
              </w:rPr>
            </w:pPr>
            <w:r>
              <w:rPr>
                <w:rFonts w:hint="eastAsia" w:ascii="仿宋_GB2312" w:hAnsi="宋体" w:eastAsia="仿宋_GB2312" w:cs="宋体"/>
                <w:b/>
                <w:bCs/>
                <w:color w:val="000000"/>
                <w:sz w:val="18"/>
                <w:szCs w:val="18"/>
                <w:highlight w:val="none"/>
                <w:lang w:val="en-US" w:eastAsia="zh-CN"/>
              </w:rPr>
              <w:t>208</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bCs/>
                <w:color w:val="000000"/>
                <w:sz w:val="18"/>
                <w:szCs w:val="18"/>
                <w:highlight w:val="none"/>
                <w:lang w:val="en-US" w:eastAsia="zh-CN"/>
              </w:rPr>
            </w:pPr>
            <w:r>
              <w:rPr>
                <w:rFonts w:hint="eastAsia" w:ascii="仿宋_GB2312" w:hAnsi="宋体" w:eastAsia="仿宋_GB2312" w:cs="宋体"/>
                <w:b/>
                <w:bCs/>
                <w:color w:val="000000"/>
                <w:sz w:val="18"/>
                <w:szCs w:val="18"/>
                <w:highlight w:val="none"/>
                <w:lang w:val="en-US" w:eastAsia="zh-CN"/>
              </w:rPr>
              <w:t>05</w:t>
            </w: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sz w:val="18"/>
                <w:szCs w:val="18"/>
                <w:highlight w:val="none"/>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sz w:val="18"/>
                <w:szCs w:val="18"/>
                <w:highlight w:val="none"/>
              </w:rPr>
            </w:pPr>
            <w:r>
              <w:rPr>
                <w:rFonts w:hint="eastAsia" w:ascii="仿宋_GB2312" w:hAnsi="宋体" w:eastAsia="仿宋_GB2312" w:cs="宋体"/>
                <w:b/>
                <w:bCs/>
                <w:color w:val="000000"/>
                <w:sz w:val="18"/>
                <w:szCs w:val="18"/>
                <w:highlight w:val="none"/>
              </w:rPr>
              <w:t>行政事业单位养老支出</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bCs/>
                <w:color w:val="000000"/>
                <w:sz w:val="18"/>
                <w:szCs w:val="18"/>
                <w:lang w:val="en-US" w:eastAsia="zh-CN"/>
              </w:rPr>
            </w:pPr>
            <w:r>
              <w:rPr>
                <w:rFonts w:hint="eastAsia" w:ascii="仿宋_GB2312" w:hAnsi="宋体" w:eastAsia="仿宋_GB2312" w:cs="宋体"/>
                <w:b/>
                <w:bCs/>
                <w:color w:val="000000"/>
                <w:sz w:val="18"/>
                <w:szCs w:val="18"/>
                <w:lang w:val="en-US" w:eastAsia="zh-CN"/>
              </w:rPr>
              <w:t>19.63</w:t>
            </w:r>
          </w:p>
        </w:tc>
        <w:tc>
          <w:tcPr>
            <w:tcW w:w="79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bCs/>
                <w:color w:val="000000"/>
                <w:sz w:val="18"/>
                <w:szCs w:val="18"/>
                <w:lang w:val="en-US" w:eastAsia="zh-CN"/>
              </w:rPr>
            </w:pPr>
            <w:r>
              <w:rPr>
                <w:rFonts w:hint="eastAsia" w:ascii="仿宋_GB2312" w:hAnsi="宋体" w:eastAsia="仿宋_GB2312" w:cs="宋体"/>
                <w:b/>
                <w:bCs/>
                <w:color w:val="000000"/>
                <w:sz w:val="18"/>
                <w:szCs w:val="18"/>
                <w:lang w:val="en-US" w:eastAsia="zh-CN"/>
              </w:rPr>
              <w:t>19.63</w:t>
            </w:r>
          </w:p>
        </w:tc>
        <w:tc>
          <w:tcPr>
            <w:tcW w:w="762"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05</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机关事业单位基本养老保险支出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19.63</w:t>
            </w:r>
          </w:p>
        </w:tc>
        <w:tc>
          <w:tcPr>
            <w:tcW w:w="79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19.63</w:t>
            </w:r>
          </w:p>
        </w:tc>
        <w:tc>
          <w:tcPr>
            <w:tcW w:w="7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b/>
                <w:bCs/>
                <w:color w:val="000000"/>
                <w:sz w:val="18"/>
                <w:szCs w:val="18"/>
                <w:highlight w:val="none"/>
                <w:lang w:val="en-US" w:eastAsia="zh-CN"/>
              </w:rPr>
            </w:pPr>
            <w:r>
              <w:rPr>
                <w:rFonts w:hint="eastAsia" w:ascii="仿宋_GB2312" w:hAnsi="宋体" w:eastAsia="仿宋_GB2312" w:cs="宋体"/>
                <w:b/>
                <w:bCs/>
                <w:color w:val="000000"/>
                <w:sz w:val="18"/>
                <w:szCs w:val="18"/>
                <w:highlight w:val="none"/>
                <w:lang w:val="en-US" w:eastAsia="zh-CN"/>
              </w:rPr>
              <w:t>210</w:t>
            </w:r>
          </w:p>
        </w:tc>
        <w:tc>
          <w:tcPr>
            <w:tcW w:w="42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sz w:val="18"/>
                <w:szCs w:val="18"/>
                <w:highlight w:val="none"/>
              </w:rPr>
            </w:pP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sz w:val="18"/>
                <w:szCs w:val="18"/>
                <w:highlight w:val="none"/>
              </w:rPr>
            </w:pPr>
          </w:p>
        </w:tc>
        <w:tc>
          <w:tcPr>
            <w:tcW w:w="18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bCs/>
                <w:color w:val="000000"/>
                <w:sz w:val="18"/>
                <w:szCs w:val="18"/>
                <w:highlight w:val="none"/>
                <w:lang w:val="en-US" w:eastAsia="zh-CN"/>
              </w:rPr>
            </w:pPr>
            <w:r>
              <w:rPr>
                <w:rFonts w:hint="eastAsia" w:ascii="仿宋_GB2312" w:hAnsi="宋体" w:eastAsia="仿宋_GB2312" w:cs="宋体"/>
                <w:b/>
                <w:bCs/>
                <w:color w:val="000000"/>
                <w:sz w:val="18"/>
                <w:szCs w:val="18"/>
                <w:highlight w:val="none"/>
                <w:lang w:val="en-US" w:eastAsia="zh-CN"/>
              </w:rPr>
              <w:t>卫生健康支出</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bCs/>
                <w:color w:val="000000"/>
                <w:sz w:val="18"/>
                <w:szCs w:val="18"/>
                <w:lang w:val="en-US" w:eastAsia="zh-CN"/>
              </w:rPr>
            </w:pPr>
            <w:r>
              <w:rPr>
                <w:rFonts w:hint="eastAsia" w:ascii="仿宋_GB2312" w:hAnsi="宋体" w:eastAsia="仿宋_GB2312" w:cs="宋体"/>
                <w:b/>
                <w:bCs/>
                <w:color w:val="000000"/>
                <w:sz w:val="18"/>
                <w:szCs w:val="18"/>
                <w:lang w:val="en-US" w:eastAsia="zh-CN"/>
              </w:rPr>
              <w:t>24.07</w:t>
            </w:r>
          </w:p>
        </w:tc>
        <w:tc>
          <w:tcPr>
            <w:tcW w:w="79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bCs/>
                <w:color w:val="000000"/>
                <w:sz w:val="18"/>
                <w:szCs w:val="18"/>
                <w:lang w:val="en-US" w:eastAsia="zh-CN"/>
              </w:rPr>
            </w:pPr>
            <w:r>
              <w:rPr>
                <w:rFonts w:hint="eastAsia" w:ascii="仿宋_GB2312" w:hAnsi="宋体" w:eastAsia="仿宋_GB2312" w:cs="宋体"/>
                <w:b/>
                <w:bCs/>
                <w:color w:val="000000"/>
                <w:sz w:val="18"/>
                <w:szCs w:val="18"/>
                <w:lang w:val="en-US" w:eastAsia="zh-CN"/>
              </w:rPr>
              <w:t>24.07</w:t>
            </w:r>
          </w:p>
        </w:tc>
        <w:tc>
          <w:tcPr>
            <w:tcW w:w="762"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b/>
                <w:bCs/>
                <w:color w:val="000000"/>
                <w:sz w:val="18"/>
                <w:szCs w:val="18"/>
                <w:highlight w:val="none"/>
                <w:lang w:val="en-US" w:eastAsia="zh-CN"/>
              </w:rPr>
            </w:pPr>
            <w:r>
              <w:rPr>
                <w:rFonts w:hint="eastAsia" w:ascii="仿宋_GB2312" w:hAnsi="宋体" w:eastAsia="仿宋_GB2312" w:cs="宋体"/>
                <w:b/>
                <w:bCs/>
                <w:color w:val="000000"/>
                <w:sz w:val="18"/>
                <w:szCs w:val="18"/>
                <w:highlight w:val="none"/>
                <w:lang w:val="en-US" w:eastAsia="zh-CN"/>
              </w:rPr>
              <w:t>210</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bCs/>
                <w:color w:val="000000"/>
                <w:sz w:val="18"/>
                <w:szCs w:val="18"/>
                <w:highlight w:val="none"/>
                <w:lang w:val="en-US" w:eastAsia="zh-CN"/>
              </w:rPr>
            </w:pPr>
            <w:r>
              <w:rPr>
                <w:rFonts w:hint="eastAsia" w:ascii="仿宋_GB2312" w:hAnsi="宋体" w:eastAsia="仿宋_GB2312" w:cs="宋体"/>
                <w:b/>
                <w:bCs/>
                <w:color w:val="000000"/>
                <w:sz w:val="18"/>
                <w:szCs w:val="18"/>
                <w:highlight w:val="none"/>
                <w:lang w:val="en-US" w:eastAsia="zh-CN"/>
              </w:rPr>
              <w:t>11</w:t>
            </w: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sz w:val="18"/>
                <w:szCs w:val="18"/>
                <w:highlight w:val="none"/>
              </w:rPr>
            </w:pPr>
          </w:p>
        </w:tc>
        <w:tc>
          <w:tcPr>
            <w:tcW w:w="18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bCs/>
                <w:color w:val="000000"/>
                <w:sz w:val="18"/>
                <w:szCs w:val="18"/>
                <w:highlight w:val="none"/>
                <w:lang w:val="en-US" w:eastAsia="zh-CN"/>
              </w:rPr>
            </w:pPr>
            <w:r>
              <w:rPr>
                <w:rFonts w:hint="eastAsia" w:ascii="仿宋_GB2312" w:hAnsi="宋体" w:eastAsia="仿宋_GB2312" w:cs="宋体"/>
                <w:b/>
                <w:bCs/>
                <w:color w:val="000000"/>
                <w:sz w:val="18"/>
                <w:szCs w:val="18"/>
                <w:highlight w:val="none"/>
                <w:lang w:val="en-US" w:eastAsia="zh-CN"/>
              </w:rPr>
              <w:t>行政事业单位医疗</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bCs/>
                <w:color w:val="000000"/>
                <w:sz w:val="18"/>
                <w:szCs w:val="18"/>
                <w:lang w:val="en-US" w:eastAsia="zh-CN"/>
              </w:rPr>
            </w:pPr>
            <w:r>
              <w:rPr>
                <w:rFonts w:hint="eastAsia" w:ascii="仿宋_GB2312" w:hAnsi="宋体" w:eastAsia="仿宋_GB2312" w:cs="宋体"/>
                <w:b/>
                <w:bCs/>
                <w:color w:val="000000"/>
                <w:sz w:val="18"/>
                <w:szCs w:val="18"/>
                <w:lang w:val="en-US" w:eastAsia="zh-CN"/>
              </w:rPr>
              <w:t>24.07</w:t>
            </w:r>
          </w:p>
        </w:tc>
        <w:tc>
          <w:tcPr>
            <w:tcW w:w="79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b/>
                <w:bCs/>
                <w:color w:val="000000"/>
                <w:sz w:val="18"/>
                <w:szCs w:val="18"/>
                <w:lang w:val="en-US" w:eastAsia="zh-CN"/>
              </w:rPr>
            </w:pPr>
            <w:r>
              <w:rPr>
                <w:rFonts w:hint="eastAsia" w:ascii="仿宋_GB2312" w:hAnsi="宋体" w:eastAsia="仿宋_GB2312" w:cs="宋体"/>
                <w:b/>
                <w:bCs/>
                <w:color w:val="000000"/>
                <w:sz w:val="18"/>
                <w:szCs w:val="18"/>
                <w:lang w:val="en-US" w:eastAsia="zh-CN"/>
              </w:rPr>
              <w:t>24.07</w:t>
            </w:r>
          </w:p>
        </w:tc>
        <w:tc>
          <w:tcPr>
            <w:tcW w:w="762"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01</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行政单位医疗</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18.07</w:t>
            </w:r>
          </w:p>
        </w:tc>
        <w:tc>
          <w:tcPr>
            <w:tcW w:w="79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18.07</w:t>
            </w:r>
          </w:p>
        </w:tc>
        <w:tc>
          <w:tcPr>
            <w:tcW w:w="7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03</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公务员医疗补助</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5.82</w:t>
            </w:r>
          </w:p>
        </w:tc>
        <w:tc>
          <w:tcPr>
            <w:tcW w:w="79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5.82</w:t>
            </w:r>
          </w:p>
        </w:tc>
        <w:tc>
          <w:tcPr>
            <w:tcW w:w="7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99</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其他行政事业单位医疗支出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0.18</w:t>
            </w:r>
          </w:p>
        </w:tc>
        <w:tc>
          <w:tcPr>
            <w:tcW w:w="79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0.18</w:t>
            </w:r>
          </w:p>
        </w:tc>
        <w:tc>
          <w:tcPr>
            <w:tcW w:w="7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301.87</w:t>
            </w:r>
          </w:p>
        </w:tc>
        <w:tc>
          <w:tcPr>
            <w:tcW w:w="79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301.87</w:t>
            </w:r>
          </w:p>
        </w:tc>
        <w:tc>
          <w:tcPr>
            <w:tcW w:w="7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编制单位：昌吉州文联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420"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5"/>
        <w:gridCol w:w="435"/>
        <w:gridCol w:w="435"/>
        <w:gridCol w:w="2440"/>
        <w:gridCol w:w="1855"/>
        <w:gridCol w:w="1856"/>
        <w:gridCol w:w="19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365"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44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44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pPr>
              <w:jc w:val="center"/>
              <w:rPr>
                <w:rFonts w:hint="default" w:ascii="宋体" w:hAnsi="宋体" w:eastAsia="宋体" w:cs="宋体"/>
                <w:b/>
                <w:bCs/>
                <w:color w:val="000000"/>
                <w:kern w:val="0"/>
                <w:sz w:val="16"/>
                <w:szCs w:val="16"/>
                <w:highlight w:val="none"/>
                <w:lang w:val="en-US" w:eastAsia="zh-CN"/>
              </w:rPr>
            </w:pPr>
            <w:r>
              <w:rPr>
                <w:rFonts w:hint="eastAsia" w:ascii="仿宋_GB2312" w:hAnsi="宋体" w:eastAsia="仿宋_GB2312" w:cs="宋体"/>
                <w:b/>
                <w:bCs/>
                <w:color w:val="000000"/>
                <w:sz w:val="18"/>
                <w:szCs w:val="18"/>
                <w:highlight w:val="none"/>
              </w:rPr>
              <w:t>207</w:t>
            </w:r>
          </w:p>
        </w:tc>
        <w:tc>
          <w:tcPr>
            <w:tcW w:w="435" w:type="dxa"/>
            <w:tcBorders>
              <w:top w:val="nil"/>
              <w:left w:val="nil"/>
              <w:bottom w:val="single" w:color="auto" w:sz="4" w:space="0"/>
              <w:right w:val="single" w:color="auto" w:sz="4" w:space="0"/>
            </w:tcBorders>
            <w:vAlign w:val="center"/>
          </w:tcPr>
          <w:p>
            <w:pPr>
              <w:jc w:val="center"/>
              <w:rPr>
                <w:rFonts w:hint="eastAsia" w:ascii="宋体" w:hAnsi="宋体" w:cs="宋体"/>
                <w:b/>
                <w:bCs/>
                <w:color w:val="000000"/>
                <w:kern w:val="0"/>
                <w:sz w:val="16"/>
                <w:szCs w:val="16"/>
                <w:highlight w:val="none"/>
              </w:rPr>
            </w:pPr>
          </w:p>
        </w:tc>
        <w:tc>
          <w:tcPr>
            <w:tcW w:w="435" w:type="dxa"/>
            <w:tcBorders>
              <w:top w:val="nil"/>
              <w:left w:val="nil"/>
              <w:bottom w:val="single" w:color="auto" w:sz="4" w:space="0"/>
              <w:right w:val="single" w:color="auto" w:sz="4" w:space="0"/>
            </w:tcBorders>
            <w:vAlign w:val="center"/>
          </w:tcPr>
          <w:p>
            <w:pPr>
              <w:jc w:val="center"/>
              <w:rPr>
                <w:rFonts w:hint="eastAsia" w:ascii="宋体" w:hAnsi="宋体" w:cs="宋体"/>
                <w:b/>
                <w:bCs/>
                <w:color w:val="000000"/>
                <w:kern w:val="0"/>
                <w:sz w:val="16"/>
                <w:szCs w:val="16"/>
                <w:highlight w:val="none"/>
              </w:rPr>
            </w:pPr>
          </w:p>
        </w:tc>
        <w:tc>
          <w:tcPr>
            <w:tcW w:w="2440" w:type="dxa"/>
            <w:tcBorders>
              <w:top w:val="nil"/>
              <w:left w:val="nil"/>
              <w:bottom w:val="single" w:color="auto" w:sz="4" w:space="0"/>
              <w:right w:val="single" w:color="auto" w:sz="4" w:space="0"/>
            </w:tcBorders>
            <w:vAlign w:val="center"/>
          </w:tcPr>
          <w:p>
            <w:pPr>
              <w:jc w:val="center"/>
              <w:rPr>
                <w:rFonts w:hint="eastAsia" w:ascii="仿宋_GB2312" w:eastAsia="仿宋_GB2312"/>
                <w:b/>
                <w:bCs/>
                <w:color w:val="000000"/>
                <w:sz w:val="20"/>
                <w:szCs w:val="20"/>
                <w:highlight w:val="none"/>
              </w:rPr>
            </w:pPr>
            <w:r>
              <w:rPr>
                <w:rFonts w:hint="eastAsia" w:ascii="仿宋_GB2312" w:hAnsi="宋体" w:eastAsia="仿宋_GB2312" w:cs="宋体"/>
                <w:b/>
                <w:bCs/>
                <w:color w:val="000000"/>
                <w:sz w:val="18"/>
                <w:szCs w:val="18"/>
                <w:highlight w:val="none"/>
              </w:rPr>
              <w:t>文化旅游体育与传媒支出</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258.17</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178.17</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5" w:hRule="atLeast"/>
        </w:trPr>
        <w:tc>
          <w:tcPr>
            <w:tcW w:w="495" w:type="dxa"/>
            <w:tcBorders>
              <w:top w:val="nil"/>
              <w:left w:val="single" w:color="auto" w:sz="4" w:space="0"/>
              <w:bottom w:val="single" w:color="auto" w:sz="4" w:space="0"/>
              <w:right w:val="single" w:color="auto" w:sz="4" w:space="0"/>
            </w:tcBorders>
            <w:vAlign w:val="center"/>
          </w:tcPr>
          <w:p>
            <w:pPr>
              <w:jc w:val="center"/>
              <w:rPr>
                <w:rFonts w:hint="eastAsia" w:ascii="宋体" w:hAnsi="宋体" w:cs="宋体"/>
                <w:b/>
                <w:bCs/>
                <w:color w:val="000000"/>
                <w:kern w:val="0"/>
                <w:sz w:val="16"/>
                <w:szCs w:val="16"/>
                <w:highlight w:val="none"/>
              </w:rPr>
            </w:pPr>
            <w:r>
              <w:rPr>
                <w:rFonts w:hint="eastAsia" w:ascii="仿宋_GB2312" w:hAnsi="宋体" w:eastAsia="仿宋_GB2312" w:cs="宋体"/>
                <w:b/>
                <w:bCs/>
                <w:color w:val="000000"/>
                <w:sz w:val="18"/>
                <w:szCs w:val="18"/>
                <w:highlight w:val="none"/>
                <w:lang w:val="en-US" w:eastAsia="zh-CN"/>
              </w:rPr>
              <w:t>207</w:t>
            </w:r>
          </w:p>
        </w:tc>
        <w:tc>
          <w:tcPr>
            <w:tcW w:w="435" w:type="dxa"/>
            <w:tcBorders>
              <w:top w:val="nil"/>
              <w:left w:val="nil"/>
              <w:bottom w:val="single" w:color="auto" w:sz="4" w:space="0"/>
              <w:right w:val="single" w:color="auto" w:sz="4" w:space="0"/>
            </w:tcBorders>
            <w:vAlign w:val="center"/>
          </w:tcPr>
          <w:p>
            <w:pPr>
              <w:jc w:val="center"/>
              <w:rPr>
                <w:rFonts w:hint="eastAsia" w:ascii="宋体" w:hAnsi="宋体" w:cs="宋体"/>
                <w:b/>
                <w:bCs/>
                <w:color w:val="000000"/>
                <w:kern w:val="0"/>
                <w:sz w:val="16"/>
                <w:szCs w:val="16"/>
                <w:highlight w:val="none"/>
              </w:rPr>
            </w:pPr>
            <w:r>
              <w:rPr>
                <w:rFonts w:hint="eastAsia" w:ascii="仿宋_GB2312" w:hAnsi="宋体" w:eastAsia="仿宋_GB2312" w:cs="宋体"/>
                <w:b/>
                <w:bCs/>
                <w:color w:val="000000"/>
                <w:sz w:val="18"/>
                <w:szCs w:val="18"/>
                <w:highlight w:val="none"/>
                <w:lang w:val="en-US" w:eastAsia="zh-CN"/>
              </w:rPr>
              <w:t>01</w:t>
            </w:r>
          </w:p>
        </w:tc>
        <w:tc>
          <w:tcPr>
            <w:tcW w:w="435" w:type="dxa"/>
            <w:tcBorders>
              <w:top w:val="nil"/>
              <w:left w:val="nil"/>
              <w:bottom w:val="single" w:color="auto" w:sz="4" w:space="0"/>
              <w:right w:val="single" w:color="auto" w:sz="4" w:space="0"/>
            </w:tcBorders>
            <w:vAlign w:val="center"/>
          </w:tcPr>
          <w:p>
            <w:pPr>
              <w:jc w:val="center"/>
              <w:rPr>
                <w:rFonts w:hint="eastAsia" w:ascii="宋体" w:hAnsi="宋体" w:cs="宋体"/>
                <w:b/>
                <w:bCs/>
                <w:color w:val="000000"/>
                <w:kern w:val="0"/>
                <w:sz w:val="16"/>
                <w:szCs w:val="16"/>
                <w:highlight w:val="none"/>
              </w:rPr>
            </w:pPr>
          </w:p>
        </w:tc>
        <w:tc>
          <w:tcPr>
            <w:tcW w:w="2440" w:type="dxa"/>
            <w:tcBorders>
              <w:top w:val="nil"/>
              <w:left w:val="nil"/>
              <w:bottom w:val="single" w:color="auto" w:sz="4" w:space="0"/>
              <w:right w:val="single" w:color="auto" w:sz="4" w:space="0"/>
            </w:tcBorders>
            <w:vAlign w:val="center"/>
          </w:tcPr>
          <w:p>
            <w:pPr>
              <w:jc w:val="center"/>
              <w:rPr>
                <w:rFonts w:hint="eastAsia" w:ascii="仿宋_GB2312" w:eastAsia="仿宋_GB2312"/>
                <w:b/>
                <w:bCs/>
                <w:color w:val="000000"/>
                <w:sz w:val="20"/>
                <w:szCs w:val="20"/>
                <w:highlight w:val="none"/>
              </w:rPr>
            </w:pPr>
            <w:r>
              <w:rPr>
                <w:rFonts w:hint="eastAsia" w:ascii="仿宋_GB2312" w:eastAsia="仿宋_GB2312"/>
                <w:b/>
                <w:bCs/>
                <w:color w:val="000000"/>
                <w:sz w:val="20"/>
                <w:szCs w:val="20"/>
                <w:highlight w:val="none"/>
              </w:rPr>
              <w:t>文化和旅游</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258.17</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178.17</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5" w:hRule="atLeast"/>
        </w:trPr>
        <w:tc>
          <w:tcPr>
            <w:tcW w:w="49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highlight w:val="none"/>
              </w:rPr>
            </w:pPr>
            <w:r>
              <w:rPr>
                <w:rFonts w:hint="eastAsia" w:ascii="宋体" w:hAnsi="宋体" w:cs="宋体"/>
                <w:bCs/>
                <w:color w:val="000000"/>
                <w:kern w:val="0"/>
                <w:sz w:val="16"/>
                <w:szCs w:val="16"/>
                <w:highlight w:val="none"/>
              </w:rPr>
              <w:t>207</w:t>
            </w:r>
          </w:p>
        </w:tc>
        <w:tc>
          <w:tcPr>
            <w:tcW w:w="4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highlight w:val="none"/>
              </w:rPr>
            </w:pPr>
            <w:r>
              <w:rPr>
                <w:rFonts w:hint="eastAsia" w:ascii="宋体" w:hAnsi="宋体" w:cs="宋体"/>
                <w:bCs/>
                <w:color w:val="000000"/>
                <w:kern w:val="0"/>
                <w:sz w:val="16"/>
                <w:szCs w:val="16"/>
                <w:highlight w:val="none"/>
              </w:rPr>
              <w:t>01</w:t>
            </w:r>
          </w:p>
        </w:tc>
        <w:tc>
          <w:tcPr>
            <w:tcW w:w="4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highlight w:val="none"/>
              </w:rPr>
            </w:pPr>
            <w:r>
              <w:rPr>
                <w:rFonts w:hint="eastAsia" w:ascii="宋体" w:hAnsi="宋体" w:cs="宋体"/>
                <w:bCs/>
                <w:color w:val="000000"/>
                <w:kern w:val="0"/>
                <w:sz w:val="16"/>
                <w:szCs w:val="16"/>
                <w:highlight w:val="none"/>
              </w:rPr>
              <w:t>01</w:t>
            </w:r>
          </w:p>
        </w:tc>
        <w:tc>
          <w:tcPr>
            <w:tcW w:w="2440"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highlight w:val="none"/>
              </w:rPr>
            </w:pPr>
            <w:r>
              <w:rPr>
                <w:rFonts w:hint="eastAsia" w:ascii="仿宋_GB2312" w:eastAsia="仿宋_GB2312"/>
                <w:color w:val="000000"/>
                <w:sz w:val="20"/>
                <w:szCs w:val="20"/>
                <w:highlight w:val="none"/>
              </w:rPr>
              <w:t>行政运行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178.17</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178.17</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5" w:hRule="atLeast"/>
        </w:trPr>
        <w:tc>
          <w:tcPr>
            <w:tcW w:w="49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宋体" w:hAnsi="宋体" w:cs="宋体"/>
                <w:bCs/>
                <w:color w:val="000000"/>
                <w:kern w:val="0"/>
                <w:sz w:val="16"/>
                <w:szCs w:val="16"/>
              </w:rPr>
              <w:t>207</w:t>
            </w:r>
          </w:p>
        </w:tc>
        <w:tc>
          <w:tcPr>
            <w:tcW w:w="4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宋体" w:hAnsi="宋体" w:cs="宋体"/>
                <w:bCs/>
                <w:color w:val="000000"/>
                <w:kern w:val="0"/>
                <w:sz w:val="16"/>
                <w:szCs w:val="16"/>
              </w:rPr>
              <w:t>01</w:t>
            </w:r>
          </w:p>
        </w:tc>
        <w:tc>
          <w:tcPr>
            <w:tcW w:w="4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r>
              <w:rPr>
                <w:rFonts w:hint="eastAsia" w:ascii="宋体" w:hAnsi="宋体" w:cs="宋体"/>
                <w:bCs/>
                <w:color w:val="000000"/>
                <w:kern w:val="0"/>
                <w:sz w:val="16"/>
                <w:szCs w:val="16"/>
              </w:rPr>
              <w:t>02</w:t>
            </w:r>
          </w:p>
        </w:tc>
        <w:tc>
          <w:tcPr>
            <w:tcW w:w="2440" w:type="dxa"/>
            <w:tcBorders>
              <w:top w:val="nil"/>
              <w:left w:val="nil"/>
              <w:bottom w:val="single" w:color="auto" w:sz="4" w:space="0"/>
              <w:right w:val="single" w:color="auto" w:sz="4" w:space="0"/>
            </w:tcBorders>
            <w:vAlign w:val="center"/>
          </w:tcPr>
          <w:p>
            <w:pPr>
              <w:rPr>
                <w:rFonts w:ascii="仿宋_GB2312" w:hAnsi="宋体" w:eastAsia="仿宋_GB2312" w:cs="宋体"/>
                <w:bCs/>
                <w:color w:val="000000"/>
                <w:kern w:val="0"/>
                <w:sz w:val="18"/>
                <w:szCs w:val="18"/>
              </w:rPr>
            </w:pPr>
            <w:r>
              <w:rPr>
                <w:rFonts w:hint="eastAsia" w:ascii="仿宋_GB2312" w:eastAsia="仿宋_GB2312"/>
                <w:color w:val="000000"/>
                <w:sz w:val="20"/>
                <w:szCs w:val="20"/>
              </w:rPr>
              <w:t>　   一般行政管理</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80</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5" w:hRule="atLeast"/>
        </w:trPr>
        <w:tc>
          <w:tcPr>
            <w:tcW w:w="495"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b/>
                <w:bCs/>
                <w:color w:val="000000"/>
                <w:kern w:val="2"/>
                <w:sz w:val="18"/>
                <w:szCs w:val="18"/>
                <w:highlight w:val="none"/>
                <w:lang w:val="en-US" w:eastAsia="zh-CN" w:bidi="ar-SA"/>
              </w:rPr>
            </w:pPr>
            <w:r>
              <w:rPr>
                <w:rFonts w:hint="eastAsia" w:ascii="仿宋_GB2312" w:hAnsi="宋体" w:eastAsia="仿宋_GB2312" w:cs="宋体"/>
                <w:b/>
                <w:bCs/>
                <w:color w:val="000000"/>
                <w:sz w:val="18"/>
                <w:szCs w:val="18"/>
                <w:highlight w:val="none"/>
                <w:lang w:val="en-US" w:eastAsia="zh-CN"/>
              </w:rPr>
              <w:t>208</w:t>
            </w:r>
          </w:p>
        </w:tc>
        <w:tc>
          <w:tcPr>
            <w:tcW w:w="43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kern w:val="2"/>
                <w:sz w:val="18"/>
                <w:szCs w:val="18"/>
                <w:highlight w:val="none"/>
                <w:lang w:val="en-US" w:eastAsia="zh-CN" w:bidi="ar-SA"/>
              </w:rPr>
            </w:pPr>
          </w:p>
        </w:tc>
        <w:tc>
          <w:tcPr>
            <w:tcW w:w="43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kern w:val="2"/>
                <w:sz w:val="18"/>
                <w:szCs w:val="18"/>
                <w:highlight w:val="none"/>
                <w:lang w:val="en-US" w:eastAsia="zh-CN" w:bidi="ar-SA"/>
              </w:rPr>
            </w:pPr>
          </w:p>
        </w:tc>
        <w:tc>
          <w:tcPr>
            <w:tcW w:w="244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kern w:val="2"/>
                <w:sz w:val="18"/>
                <w:szCs w:val="18"/>
                <w:highlight w:val="none"/>
                <w:lang w:val="en-US" w:eastAsia="zh-CN" w:bidi="ar-SA"/>
              </w:rPr>
            </w:pPr>
            <w:r>
              <w:rPr>
                <w:rFonts w:hint="eastAsia" w:ascii="仿宋_GB2312" w:hAnsi="宋体" w:eastAsia="仿宋_GB2312" w:cs="宋体"/>
                <w:b/>
                <w:bCs/>
                <w:color w:val="000000"/>
                <w:sz w:val="18"/>
                <w:szCs w:val="18"/>
                <w:highlight w:val="none"/>
              </w:rPr>
              <w:t>社会保障和就业支出</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19.63</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19.63</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5" w:hRule="atLeast"/>
        </w:trPr>
        <w:tc>
          <w:tcPr>
            <w:tcW w:w="495"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b/>
                <w:bCs/>
                <w:color w:val="000000"/>
                <w:kern w:val="2"/>
                <w:sz w:val="18"/>
                <w:szCs w:val="18"/>
                <w:highlight w:val="none"/>
                <w:lang w:val="en-US" w:eastAsia="zh-CN" w:bidi="ar-SA"/>
              </w:rPr>
            </w:pPr>
            <w:r>
              <w:rPr>
                <w:rFonts w:hint="eastAsia" w:ascii="仿宋_GB2312" w:hAnsi="宋体" w:eastAsia="仿宋_GB2312" w:cs="宋体"/>
                <w:b/>
                <w:bCs/>
                <w:color w:val="000000"/>
                <w:sz w:val="18"/>
                <w:szCs w:val="18"/>
                <w:highlight w:val="none"/>
                <w:lang w:val="en-US" w:eastAsia="zh-CN"/>
              </w:rPr>
              <w:t>208</w:t>
            </w:r>
          </w:p>
        </w:tc>
        <w:tc>
          <w:tcPr>
            <w:tcW w:w="43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kern w:val="2"/>
                <w:sz w:val="18"/>
                <w:szCs w:val="18"/>
                <w:highlight w:val="none"/>
                <w:lang w:val="en-US" w:eastAsia="zh-CN" w:bidi="ar-SA"/>
              </w:rPr>
            </w:pPr>
            <w:r>
              <w:rPr>
                <w:rFonts w:hint="eastAsia" w:ascii="仿宋_GB2312" w:hAnsi="宋体" w:eastAsia="仿宋_GB2312" w:cs="宋体"/>
                <w:b/>
                <w:bCs/>
                <w:color w:val="000000"/>
                <w:sz w:val="18"/>
                <w:szCs w:val="18"/>
                <w:highlight w:val="none"/>
                <w:lang w:val="en-US" w:eastAsia="zh-CN"/>
              </w:rPr>
              <w:t>05</w:t>
            </w:r>
          </w:p>
        </w:tc>
        <w:tc>
          <w:tcPr>
            <w:tcW w:w="43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kern w:val="2"/>
                <w:sz w:val="18"/>
                <w:szCs w:val="18"/>
                <w:highlight w:val="none"/>
                <w:lang w:val="en-US" w:eastAsia="zh-CN" w:bidi="ar-SA"/>
              </w:rPr>
            </w:pPr>
          </w:p>
        </w:tc>
        <w:tc>
          <w:tcPr>
            <w:tcW w:w="244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kern w:val="2"/>
                <w:sz w:val="18"/>
                <w:szCs w:val="18"/>
                <w:highlight w:val="none"/>
                <w:lang w:val="en-US" w:eastAsia="zh-CN" w:bidi="ar-SA"/>
              </w:rPr>
            </w:pPr>
            <w:r>
              <w:rPr>
                <w:rFonts w:hint="eastAsia" w:ascii="仿宋_GB2312" w:hAnsi="宋体" w:eastAsia="仿宋_GB2312" w:cs="宋体"/>
                <w:b/>
                <w:bCs/>
                <w:color w:val="000000"/>
                <w:sz w:val="18"/>
                <w:szCs w:val="18"/>
                <w:highlight w:val="none"/>
              </w:rPr>
              <w:t>行政事业单位养老支出</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19.63</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19.63</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5" w:hRule="atLeast"/>
        </w:trPr>
        <w:tc>
          <w:tcPr>
            <w:tcW w:w="49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208</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05</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05</w:t>
            </w:r>
          </w:p>
        </w:tc>
        <w:tc>
          <w:tcPr>
            <w:tcW w:w="2440"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机关事业单位基本养老保险支出</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19.63</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19.63</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5" w:hRule="atLeast"/>
        </w:trPr>
        <w:tc>
          <w:tcPr>
            <w:tcW w:w="495"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b/>
                <w:bCs/>
                <w:color w:val="000000"/>
                <w:kern w:val="2"/>
                <w:sz w:val="18"/>
                <w:szCs w:val="18"/>
                <w:highlight w:val="none"/>
                <w:lang w:val="en-US" w:eastAsia="zh-CN" w:bidi="ar-SA"/>
              </w:rPr>
            </w:pPr>
            <w:r>
              <w:rPr>
                <w:rFonts w:hint="eastAsia" w:ascii="仿宋_GB2312" w:hAnsi="宋体" w:eastAsia="仿宋_GB2312" w:cs="宋体"/>
                <w:b/>
                <w:bCs/>
                <w:color w:val="000000"/>
                <w:sz w:val="18"/>
                <w:szCs w:val="18"/>
                <w:highlight w:val="none"/>
                <w:lang w:val="en-US" w:eastAsia="zh-CN"/>
              </w:rPr>
              <w:t>210</w:t>
            </w:r>
          </w:p>
        </w:tc>
        <w:tc>
          <w:tcPr>
            <w:tcW w:w="43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kern w:val="2"/>
                <w:sz w:val="18"/>
                <w:szCs w:val="18"/>
                <w:highlight w:val="none"/>
                <w:lang w:val="en-US" w:eastAsia="zh-CN" w:bidi="ar-SA"/>
              </w:rPr>
            </w:pPr>
          </w:p>
        </w:tc>
        <w:tc>
          <w:tcPr>
            <w:tcW w:w="43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kern w:val="2"/>
                <w:sz w:val="18"/>
                <w:szCs w:val="18"/>
                <w:highlight w:val="none"/>
                <w:lang w:val="en-US" w:eastAsia="zh-CN" w:bidi="ar-SA"/>
              </w:rPr>
            </w:pPr>
          </w:p>
        </w:tc>
        <w:tc>
          <w:tcPr>
            <w:tcW w:w="244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kern w:val="2"/>
                <w:sz w:val="18"/>
                <w:szCs w:val="18"/>
                <w:highlight w:val="none"/>
                <w:lang w:val="en-US" w:eastAsia="zh-CN" w:bidi="ar-SA"/>
              </w:rPr>
            </w:pPr>
            <w:r>
              <w:rPr>
                <w:rFonts w:hint="eastAsia" w:ascii="仿宋_GB2312" w:hAnsi="宋体" w:eastAsia="仿宋_GB2312" w:cs="宋体"/>
                <w:b/>
                <w:bCs/>
                <w:color w:val="000000"/>
                <w:sz w:val="18"/>
                <w:szCs w:val="18"/>
                <w:highlight w:val="none"/>
                <w:lang w:val="en-US" w:eastAsia="zh-CN"/>
              </w:rPr>
              <w:t>卫生健康支出</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24.07</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24.07</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5" w:hRule="atLeast"/>
        </w:trPr>
        <w:tc>
          <w:tcPr>
            <w:tcW w:w="495"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b/>
                <w:bCs/>
                <w:color w:val="000000"/>
                <w:kern w:val="2"/>
                <w:sz w:val="18"/>
                <w:szCs w:val="18"/>
                <w:highlight w:val="none"/>
                <w:lang w:val="en-US" w:eastAsia="zh-CN" w:bidi="ar-SA"/>
              </w:rPr>
            </w:pPr>
            <w:r>
              <w:rPr>
                <w:rFonts w:hint="eastAsia" w:ascii="仿宋_GB2312" w:hAnsi="宋体" w:eastAsia="仿宋_GB2312" w:cs="宋体"/>
                <w:b/>
                <w:bCs/>
                <w:color w:val="000000"/>
                <w:sz w:val="18"/>
                <w:szCs w:val="18"/>
                <w:highlight w:val="none"/>
                <w:lang w:val="en-US" w:eastAsia="zh-CN"/>
              </w:rPr>
              <w:t>210</w:t>
            </w:r>
          </w:p>
        </w:tc>
        <w:tc>
          <w:tcPr>
            <w:tcW w:w="43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kern w:val="2"/>
                <w:sz w:val="18"/>
                <w:szCs w:val="18"/>
                <w:highlight w:val="none"/>
                <w:lang w:val="en-US" w:eastAsia="zh-CN" w:bidi="ar-SA"/>
              </w:rPr>
            </w:pPr>
            <w:r>
              <w:rPr>
                <w:rFonts w:hint="eastAsia" w:ascii="仿宋_GB2312" w:hAnsi="宋体" w:eastAsia="仿宋_GB2312" w:cs="宋体"/>
                <w:b/>
                <w:bCs/>
                <w:color w:val="000000"/>
                <w:sz w:val="18"/>
                <w:szCs w:val="18"/>
                <w:highlight w:val="none"/>
                <w:lang w:val="en-US" w:eastAsia="zh-CN"/>
              </w:rPr>
              <w:t>11</w:t>
            </w:r>
          </w:p>
        </w:tc>
        <w:tc>
          <w:tcPr>
            <w:tcW w:w="43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kern w:val="2"/>
                <w:sz w:val="18"/>
                <w:szCs w:val="18"/>
                <w:highlight w:val="none"/>
                <w:lang w:val="en-US" w:eastAsia="zh-CN" w:bidi="ar-SA"/>
              </w:rPr>
            </w:pPr>
          </w:p>
        </w:tc>
        <w:tc>
          <w:tcPr>
            <w:tcW w:w="244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kern w:val="2"/>
                <w:sz w:val="18"/>
                <w:szCs w:val="18"/>
                <w:highlight w:val="none"/>
                <w:lang w:val="en-US" w:eastAsia="zh-CN" w:bidi="ar-SA"/>
              </w:rPr>
            </w:pPr>
            <w:r>
              <w:rPr>
                <w:rFonts w:hint="eastAsia" w:ascii="仿宋_GB2312" w:hAnsi="宋体" w:eastAsia="仿宋_GB2312" w:cs="宋体"/>
                <w:b/>
                <w:bCs/>
                <w:color w:val="000000"/>
                <w:sz w:val="18"/>
                <w:szCs w:val="18"/>
                <w:highlight w:val="none"/>
                <w:lang w:val="en-US" w:eastAsia="zh-CN"/>
              </w:rPr>
              <w:t>行政事业单位医疗</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24.07</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24.07</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5" w:hRule="atLeast"/>
        </w:trPr>
        <w:tc>
          <w:tcPr>
            <w:tcW w:w="49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210</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11</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01</w:t>
            </w:r>
          </w:p>
        </w:tc>
        <w:tc>
          <w:tcPr>
            <w:tcW w:w="2440"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行政单位医疗</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18.07</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18.07</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5" w:hRule="atLeast"/>
        </w:trPr>
        <w:tc>
          <w:tcPr>
            <w:tcW w:w="49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210</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11</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03</w:t>
            </w:r>
          </w:p>
        </w:tc>
        <w:tc>
          <w:tcPr>
            <w:tcW w:w="2440"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公务员医疗补助</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5.82</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5.82</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5" w:hRule="atLeast"/>
        </w:trPr>
        <w:tc>
          <w:tcPr>
            <w:tcW w:w="495"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210</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11</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99</w:t>
            </w:r>
          </w:p>
        </w:tc>
        <w:tc>
          <w:tcPr>
            <w:tcW w:w="2440"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其他行政事业单位医疗支出</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0.18</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5" w:hRule="atLeast"/>
        </w:trPr>
        <w:tc>
          <w:tcPr>
            <w:tcW w:w="4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5" w:hRule="atLeast"/>
        </w:trPr>
        <w:tc>
          <w:tcPr>
            <w:tcW w:w="4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5" w:hRule="atLeast"/>
        </w:trPr>
        <w:tc>
          <w:tcPr>
            <w:tcW w:w="4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5" w:hRule="atLeast"/>
        </w:trPr>
        <w:tc>
          <w:tcPr>
            <w:tcW w:w="4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5" w:hRule="atLeast"/>
        </w:trPr>
        <w:tc>
          <w:tcPr>
            <w:tcW w:w="4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5" w:hRule="atLeast"/>
        </w:trPr>
        <w:tc>
          <w:tcPr>
            <w:tcW w:w="4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5" w:hRule="atLeast"/>
        </w:trPr>
        <w:tc>
          <w:tcPr>
            <w:tcW w:w="4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5" w:hRule="atLeast"/>
        </w:trPr>
        <w:tc>
          <w:tcPr>
            <w:tcW w:w="4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5" w:hRule="atLeast"/>
        </w:trPr>
        <w:tc>
          <w:tcPr>
            <w:tcW w:w="4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5" w:hRule="atLeast"/>
        </w:trPr>
        <w:tc>
          <w:tcPr>
            <w:tcW w:w="4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5" w:hRule="atLeast"/>
        </w:trPr>
        <w:tc>
          <w:tcPr>
            <w:tcW w:w="4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5" w:hRule="atLeast"/>
        </w:trPr>
        <w:tc>
          <w:tcPr>
            <w:tcW w:w="4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4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301.87</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221.87</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80</w:t>
            </w:r>
          </w:p>
        </w:tc>
      </w:tr>
    </w:tbl>
    <w:p>
      <w:pPr>
        <w:widowControl/>
        <w:spacing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 xml:space="preserve">编制单位：昌吉州文联                                 </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rPr>
        <w:t xml:space="preserve"> 单位：万元</w:t>
      </w:r>
    </w:p>
    <w:tbl>
      <w:tblPr>
        <w:tblStyle w:val="4"/>
        <w:tblW w:w="10583"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301.87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301.87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258.17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258.17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19.63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19.63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24.07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24.07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301.87</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301.87</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301.87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hint="eastAsia"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p>
            <w:pPr>
              <w:widowControl/>
              <w:jc w:val="center"/>
              <w:rPr>
                <w:rFonts w:hint="eastAsia" w:ascii="仿宋_GB2312" w:hAnsi="宋体" w:eastAsia="仿宋_GB2312" w:cs="宋体"/>
                <w:b/>
                <w:bCs/>
                <w:color w:val="000000"/>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编制单位：昌吉州文联</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宋体" w:hAnsi="宋体" w:eastAsia="宋体" w:cs="宋体"/>
                <w:b/>
                <w:bCs/>
                <w:color w:val="000000"/>
                <w:kern w:val="0"/>
                <w:sz w:val="16"/>
                <w:szCs w:val="16"/>
                <w:highlight w:val="none"/>
                <w:lang w:val="en-US" w:eastAsia="zh-CN" w:bidi="ar-SA"/>
              </w:rPr>
            </w:pPr>
            <w:r>
              <w:rPr>
                <w:rFonts w:hint="eastAsia" w:ascii="仿宋_GB2312" w:hAnsi="宋体" w:eastAsia="仿宋_GB2312" w:cs="宋体"/>
                <w:b/>
                <w:bCs/>
                <w:color w:val="000000"/>
                <w:sz w:val="18"/>
                <w:szCs w:val="18"/>
                <w:highlight w:val="none"/>
              </w:rPr>
              <w:t>207</w:t>
            </w:r>
          </w:p>
        </w:tc>
        <w:tc>
          <w:tcPr>
            <w:tcW w:w="492" w:type="dxa"/>
            <w:tcBorders>
              <w:top w:val="nil"/>
              <w:left w:val="nil"/>
              <w:bottom w:val="single" w:color="auto" w:sz="4" w:space="0"/>
              <w:right w:val="single" w:color="auto" w:sz="4" w:space="0"/>
            </w:tcBorders>
            <w:vAlign w:val="center"/>
          </w:tcPr>
          <w:p>
            <w:pPr>
              <w:jc w:val="center"/>
              <w:rPr>
                <w:rFonts w:hint="eastAsia" w:ascii="宋体" w:hAnsi="宋体" w:eastAsia="宋体" w:cs="宋体"/>
                <w:b/>
                <w:bCs/>
                <w:color w:val="000000"/>
                <w:kern w:val="0"/>
                <w:sz w:val="16"/>
                <w:szCs w:val="16"/>
                <w:highlight w:val="none"/>
                <w:lang w:val="en-US" w:eastAsia="zh-CN" w:bidi="ar-SA"/>
              </w:rPr>
            </w:pPr>
          </w:p>
        </w:tc>
        <w:tc>
          <w:tcPr>
            <w:tcW w:w="417" w:type="dxa"/>
            <w:tcBorders>
              <w:top w:val="nil"/>
              <w:left w:val="nil"/>
              <w:bottom w:val="single" w:color="auto" w:sz="4" w:space="0"/>
              <w:right w:val="single" w:color="auto" w:sz="4" w:space="0"/>
            </w:tcBorders>
            <w:vAlign w:val="center"/>
          </w:tcPr>
          <w:p>
            <w:pPr>
              <w:jc w:val="center"/>
              <w:rPr>
                <w:rFonts w:hint="eastAsia" w:ascii="宋体" w:hAnsi="宋体" w:eastAsia="宋体" w:cs="宋体"/>
                <w:b/>
                <w:bCs/>
                <w:color w:val="000000"/>
                <w:kern w:val="0"/>
                <w:sz w:val="16"/>
                <w:szCs w:val="16"/>
                <w:highlight w:val="none"/>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Times New Roman" w:eastAsia="仿宋_GB2312" w:cs="Times New Roman"/>
                <w:b/>
                <w:bCs/>
                <w:color w:val="000000"/>
                <w:kern w:val="2"/>
                <w:sz w:val="20"/>
                <w:szCs w:val="20"/>
                <w:highlight w:val="none"/>
                <w:lang w:val="en-US" w:eastAsia="zh-CN" w:bidi="ar-SA"/>
              </w:rPr>
            </w:pPr>
            <w:r>
              <w:rPr>
                <w:rFonts w:hint="eastAsia" w:ascii="仿宋_GB2312" w:hAnsi="宋体" w:eastAsia="仿宋_GB2312" w:cs="宋体"/>
                <w:b/>
                <w:bCs/>
                <w:color w:val="000000"/>
                <w:sz w:val="18"/>
                <w:szCs w:val="18"/>
                <w:highlight w:val="none"/>
              </w:rPr>
              <w:t>文化旅游体育与传媒支出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bidi="ar-SA"/>
              </w:rPr>
            </w:pPr>
            <w:r>
              <w:rPr>
                <w:rFonts w:hint="eastAsia" w:ascii="仿宋_GB2312" w:hAnsi="宋体" w:eastAsia="仿宋_GB2312" w:cs="宋体"/>
                <w:b/>
                <w:bCs/>
                <w:color w:val="000000"/>
                <w:kern w:val="0"/>
                <w:sz w:val="18"/>
                <w:szCs w:val="18"/>
                <w:lang w:val="en-US" w:eastAsia="zh-CN"/>
              </w:rPr>
              <w:t>258.17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lang w:val="en-US" w:eastAsia="zh-CN" w:bidi="ar-SA"/>
              </w:rPr>
            </w:pPr>
            <w:r>
              <w:rPr>
                <w:rFonts w:hint="eastAsia" w:ascii="仿宋_GB2312" w:hAnsi="宋体" w:eastAsia="仿宋_GB2312" w:cs="宋体"/>
                <w:b/>
                <w:bCs/>
                <w:color w:val="000000"/>
                <w:kern w:val="0"/>
                <w:sz w:val="18"/>
                <w:szCs w:val="18"/>
                <w:lang w:val="en-US" w:eastAsia="zh-CN"/>
              </w:rPr>
              <w:t>178.17</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宋体" w:hAnsi="宋体" w:eastAsia="宋体" w:cs="宋体"/>
                <w:b/>
                <w:bCs/>
                <w:color w:val="000000"/>
                <w:kern w:val="0"/>
                <w:sz w:val="16"/>
                <w:szCs w:val="16"/>
                <w:highlight w:val="none"/>
                <w:lang w:val="en-US" w:eastAsia="zh-CN" w:bidi="ar-SA"/>
              </w:rPr>
            </w:pPr>
            <w:r>
              <w:rPr>
                <w:rFonts w:hint="eastAsia" w:ascii="仿宋_GB2312" w:hAnsi="宋体" w:eastAsia="仿宋_GB2312" w:cs="宋体"/>
                <w:b/>
                <w:bCs/>
                <w:color w:val="000000"/>
                <w:sz w:val="18"/>
                <w:szCs w:val="18"/>
                <w:highlight w:val="none"/>
                <w:lang w:val="en-US" w:eastAsia="zh-CN"/>
              </w:rPr>
              <w:t>207</w:t>
            </w:r>
          </w:p>
        </w:tc>
        <w:tc>
          <w:tcPr>
            <w:tcW w:w="492" w:type="dxa"/>
            <w:tcBorders>
              <w:top w:val="nil"/>
              <w:left w:val="nil"/>
              <w:bottom w:val="single" w:color="auto" w:sz="4" w:space="0"/>
              <w:right w:val="single" w:color="auto" w:sz="4" w:space="0"/>
            </w:tcBorders>
            <w:vAlign w:val="center"/>
          </w:tcPr>
          <w:p>
            <w:pPr>
              <w:jc w:val="center"/>
              <w:rPr>
                <w:rFonts w:hint="eastAsia" w:ascii="宋体" w:hAnsi="宋体" w:eastAsia="宋体" w:cs="宋体"/>
                <w:b/>
                <w:bCs/>
                <w:color w:val="000000"/>
                <w:kern w:val="0"/>
                <w:sz w:val="16"/>
                <w:szCs w:val="16"/>
                <w:highlight w:val="none"/>
                <w:lang w:val="en-US" w:eastAsia="zh-CN" w:bidi="ar-SA"/>
              </w:rPr>
            </w:pPr>
            <w:r>
              <w:rPr>
                <w:rFonts w:hint="eastAsia" w:ascii="仿宋_GB2312" w:hAnsi="宋体" w:eastAsia="仿宋_GB2312" w:cs="宋体"/>
                <w:b/>
                <w:bCs/>
                <w:color w:val="000000"/>
                <w:sz w:val="18"/>
                <w:szCs w:val="18"/>
                <w:highlight w:val="none"/>
                <w:lang w:val="en-US" w:eastAsia="zh-CN"/>
              </w:rPr>
              <w:t>01</w:t>
            </w:r>
          </w:p>
        </w:tc>
        <w:tc>
          <w:tcPr>
            <w:tcW w:w="417" w:type="dxa"/>
            <w:tcBorders>
              <w:top w:val="nil"/>
              <w:left w:val="nil"/>
              <w:bottom w:val="single" w:color="auto" w:sz="4" w:space="0"/>
              <w:right w:val="single" w:color="auto" w:sz="4" w:space="0"/>
            </w:tcBorders>
            <w:vAlign w:val="center"/>
          </w:tcPr>
          <w:p>
            <w:pPr>
              <w:jc w:val="center"/>
              <w:rPr>
                <w:rFonts w:hint="eastAsia" w:ascii="宋体" w:hAnsi="宋体" w:eastAsia="宋体" w:cs="宋体"/>
                <w:b/>
                <w:bCs/>
                <w:color w:val="000000"/>
                <w:kern w:val="0"/>
                <w:sz w:val="16"/>
                <w:szCs w:val="16"/>
                <w:highlight w:val="none"/>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Times New Roman" w:eastAsia="仿宋_GB2312" w:cs="Times New Roman"/>
                <w:b/>
                <w:bCs/>
                <w:color w:val="000000"/>
                <w:kern w:val="2"/>
                <w:sz w:val="20"/>
                <w:szCs w:val="20"/>
                <w:highlight w:val="none"/>
                <w:lang w:val="en-US" w:eastAsia="zh-CN" w:bidi="ar-SA"/>
              </w:rPr>
            </w:pPr>
            <w:r>
              <w:rPr>
                <w:rFonts w:hint="eastAsia" w:ascii="仿宋_GB2312" w:eastAsia="仿宋_GB2312"/>
                <w:b/>
                <w:bCs/>
                <w:color w:val="000000"/>
                <w:sz w:val="20"/>
                <w:szCs w:val="20"/>
                <w:highlight w:val="none"/>
              </w:rPr>
              <w:t>文化和旅游</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bidi="ar-SA"/>
              </w:rPr>
            </w:pPr>
            <w:r>
              <w:rPr>
                <w:rFonts w:hint="eastAsia" w:ascii="仿宋_GB2312" w:hAnsi="宋体" w:eastAsia="仿宋_GB2312" w:cs="宋体"/>
                <w:b/>
                <w:bCs/>
                <w:color w:val="000000"/>
                <w:kern w:val="0"/>
                <w:sz w:val="18"/>
                <w:szCs w:val="18"/>
                <w:lang w:val="en-US" w:eastAsia="zh-CN"/>
              </w:rPr>
              <w:t>258.17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lang w:val="en-US" w:eastAsia="zh-CN" w:bidi="ar-SA"/>
              </w:rPr>
            </w:pPr>
            <w:r>
              <w:rPr>
                <w:rFonts w:hint="eastAsia" w:ascii="仿宋_GB2312" w:hAnsi="宋体" w:eastAsia="仿宋_GB2312" w:cs="宋体"/>
                <w:b/>
                <w:bCs/>
                <w:color w:val="000000"/>
                <w:kern w:val="0"/>
                <w:sz w:val="18"/>
                <w:szCs w:val="18"/>
                <w:lang w:val="en-US" w:eastAsia="zh-CN"/>
              </w:rPr>
              <w:t>178.17</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宋体" w:hAnsi="宋体" w:cs="宋体"/>
                <w:bCs/>
                <w:color w:val="000000"/>
                <w:kern w:val="0"/>
                <w:sz w:val="16"/>
                <w:szCs w:val="16"/>
                <w:highlight w:val="none"/>
              </w:rPr>
              <w:t>207</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宋体" w:hAnsi="宋体" w:cs="宋体"/>
                <w:bCs/>
                <w:color w:val="000000"/>
                <w:kern w:val="0"/>
                <w:sz w:val="16"/>
                <w:szCs w:val="16"/>
                <w:highlight w:val="none"/>
              </w:rPr>
              <w:t>01</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宋体" w:hAnsi="宋体" w:cs="宋体"/>
                <w:bCs/>
                <w:color w:val="000000"/>
                <w:kern w:val="0"/>
                <w:sz w:val="16"/>
                <w:szCs w:val="16"/>
                <w:highlight w:val="none"/>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eastAsia="仿宋_GB2312"/>
                <w:color w:val="000000"/>
                <w:sz w:val="20"/>
                <w:szCs w:val="20"/>
                <w:highlight w:val="none"/>
              </w:rPr>
              <w:t>行政运行</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178.17</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178.17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宋体" w:hAnsi="宋体" w:cs="宋体"/>
                <w:bCs/>
                <w:color w:val="000000"/>
                <w:kern w:val="0"/>
                <w:sz w:val="16"/>
                <w:szCs w:val="16"/>
                <w:highlight w:val="none"/>
              </w:rPr>
              <w:t>207</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宋体" w:hAnsi="宋体" w:cs="宋体"/>
                <w:bCs/>
                <w:color w:val="000000"/>
                <w:kern w:val="0"/>
                <w:sz w:val="16"/>
                <w:szCs w:val="16"/>
                <w:highlight w:val="none"/>
              </w:rPr>
              <w:t>01</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宋体" w:hAnsi="宋体" w:cs="宋体"/>
                <w:bCs/>
                <w:color w:val="000000"/>
                <w:kern w:val="0"/>
                <w:sz w:val="16"/>
                <w:szCs w:val="16"/>
                <w:highlight w:val="none"/>
              </w:rPr>
              <w:t>02</w:t>
            </w:r>
          </w:p>
        </w:tc>
        <w:tc>
          <w:tcPr>
            <w:tcW w:w="2510" w:type="dxa"/>
            <w:tcBorders>
              <w:top w:val="nil"/>
              <w:left w:val="nil"/>
              <w:bottom w:val="single" w:color="auto" w:sz="4" w:space="0"/>
              <w:right w:val="single" w:color="auto" w:sz="4" w:space="0"/>
            </w:tcBorders>
            <w:vAlign w:val="center"/>
          </w:tcPr>
          <w:p>
            <w:pPr>
              <w:rPr>
                <w:rFonts w:ascii="仿宋_GB2312" w:hAnsi="宋体" w:eastAsia="仿宋_GB2312" w:cs="宋体"/>
                <w:color w:val="000000"/>
                <w:kern w:val="0"/>
                <w:sz w:val="18"/>
                <w:szCs w:val="18"/>
                <w:highlight w:val="none"/>
              </w:rPr>
            </w:pPr>
            <w:r>
              <w:rPr>
                <w:rFonts w:hint="eastAsia" w:ascii="仿宋_GB2312" w:eastAsia="仿宋_GB2312"/>
                <w:color w:val="000000"/>
                <w:sz w:val="20"/>
                <w:szCs w:val="20"/>
                <w:highlight w:val="none"/>
              </w:rPr>
              <w:t>　  一般行政管理</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80</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b/>
                <w:bCs/>
                <w:color w:val="000000"/>
                <w:kern w:val="2"/>
                <w:sz w:val="18"/>
                <w:szCs w:val="18"/>
                <w:highlight w:val="none"/>
                <w:lang w:val="en-US" w:eastAsia="zh-CN" w:bidi="ar-SA"/>
              </w:rPr>
            </w:pPr>
            <w:r>
              <w:rPr>
                <w:rFonts w:hint="eastAsia" w:ascii="仿宋_GB2312" w:hAnsi="宋体" w:eastAsia="仿宋_GB2312" w:cs="宋体"/>
                <w:b/>
                <w:bCs/>
                <w:color w:val="000000"/>
                <w:sz w:val="18"/>
                <w:szCs w:val="18"/>
                <w:highlight w:val="none"/>
                <w:lang w:val="en-US" w:eastAsia="zh-CN"/>
              </w:rPr>
              <w:t>208</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kern w:val="2"/>
                <w:sz w:val="18"/>
                <w:szCs w:val="18"/>
                <w:highlight w:val="none"/>
                <w:lang w:val="en-US" w:eastAsia="zh-CN" w:bidi="ar-SA"/>
              </w:rPr>
            </w:pP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kern w:val="2"/>
                <w:sz w:val="18"/>
                <w:szCs w:val="18"/>
                <w:highlight w:val="none"/>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kern w:val="2"/>
                <w:sz w:val="18"/>
                <w:szCs w:val="18"/>
                <w:highlight w:val="none"/>
                <w:lang w:val="en-US" w:eastAsia="zh-CN" w:bidi="ar-SA"/>
              </w:rPr>
            </w:pPr>
            <w:r>
              <w:rPr>
                <w:rFonts w:hint="eastAsia" w:ascii="仿宋_GB2312" w:hAnsi="宋体" w:eastAsia="仿宋_GB2312" w:cs="宋体"/>
                <w:b/>
                <w:bCs/>
                <w:color w:val="000000"/>
                <w:sz w:val="18"/>
                <w:szCs w:val="18"/>
                <w:highlight w:val="none"/>
              </w:rPr>
              <w:t>社会保障和就业支出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lang w:val="en-US" w:eastAsia="zh-CN" w:bidi="ar-SA"/>
              </w:rPr>
            </w:pPr>
            <w:r>
              <w:rPr>
                <w:rFonts w:hint="eastAsia" w:ascii="仿宋_GB2312" w:hAnsi="宋体" w:eastAsia="仿宋_GB2312" w:cs="宋体"/>
                <w:b/>
                <w:bCs/>
                <w:color w:val="000000"/>
                <w:kern w:val="0"/>
                <w:sz w:val="18"/>
                <w:szCs w:val="18"/>
                <w:lang w:val="en-US" w:eastAsia="zh-CN"/>
              </w:rPr>
              <w:t>19.63</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lang w:val="en-US" w:eastAsia="zh-CN" w:bidi="ar-SA"/>
              </w:rPr>
            </w:pPr>
            <w:r>
              <w:rPr>
                <w:rFonts w:hint="eastAsia" w:ascii="仿宋_GB2312" w:hAnsi="宋体" w:eastAsia="仿宋_GB2312" w:cs="宋体"/>
                <w:b/>
                <w:bCs/>
                <w:color w:val="000000"/>
                <w:kern w:val="0"/>
                <w:sz w:val="18"/>
                <w:szCs w:val="18"/>
                <w:lang w:val="en-US" w:eastAsia="zh-CN"/>
              </w:rPr>
              <w:t>19.63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b/>
                <w:bCs/>
                <w:color w:val="000000"/>
                <w:kern w:val="2"/>
                <w:sz w:val="18"/>
                <w:szCs w:val="18"/>
                <w:highlight w:val="none"/>
                <w:lang w:val="en-US" w:eastAsia="zh-CN" w:bidi="ar-SA"/>
              </w:rPr>
            </w:pPr>
            <w:r>
              <w:rPr>
                <w:rFonts w:hint="eastAsia" w:ascii="仿宋_GB2312" w:hAnsi="宋体" w:eastAsia="仿宋_GB2312" w:cs="宋体"/>
                <w:b/>
                <w:bCs/>
                <w:color w:val="000000"/>
                <w:sz w:val="18"/>
                <w:szCs w:val="18"/>
                <w:highlight w:val="none"/>
                <w:lang w:val="en-US" w:eastAsia="zh-CN"/>
              </w:rPr>
              <w:t>208</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kern w:val="2"/>
                <w:sz w:val="18"/>
                <w:szCs w:val="18"/>
                <w:highlight w:val="none"/>
                <w:lang w:val="en-US" w:eastAsia="zh-CN" w:bidi="ar-SA"/>
              </w:rPr>
            </w:pPr>
            <w:r>
              <w:rPr>
                <w:rFonts w:hint="eastAsia" w:ascii="仿宋_GB2312" w:hAnsi="宋体" w:eastAsia="仿宋_GB2312" w:cs="宋体"/>
                <w:b/>
                <w:bCs/>
                <w:color w:val="000000"/>
                <w:sz w:val="18"/>
                <w:szCs w:val="18"/>
                <w:highlight w:val="none"/>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kern w:val="2"/>
                <w:sz w:val="18"/>
                <w:szCs w:val="18"/>
                <w:highlight w:val="none"/>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kern w:val="2"/>
                <w:sz w:val="18"/>
                <w:szCs w:val="18"/>
                <w:highlight w:val="none"/>
                <w:lang w:val="en-US" w:eastAsia="zh-CN" w:bidi="ar-SA"/>
              </w:rPr>
            </w:pPr>
            <w:r>
              <w:rPr>
                <w:rFonts w:hint="eastAsia" w:ascii="仿宋_GB2312" w:hAnsi="宋体" w:eastAsia="仿宋_GB2312" w:cs="宋体"/>
                <w:b/>
                <w:bCs/>
                <w:color w:val="000000"/>
                <w:sz w:val="18"/>
                <w:szCs w:val="18"/>
                <w:highlight w:val="none"/>
              </w:rPr>
              <w:t>行政事业单位养老支出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lang w:val="en-US" w:eastAsia="zh-CN" w:bidi="ar-SA"/>
              </w:rPr>
            </w:pPr>
            <w:r>
              <w:rPr>
                <w:rFonts w:hint="eastAsia" w:ascii="仿宋_GB2312" w:hAnsi="宋体" w:eastAsia="仿宋_GB2312" w:cs="宋体"/>
                <w:b/>
                <w:bCs/>
                <w:color w:val="000000"/>
                <w:kern w:val="0"/>
                <w:sz w:val="18"/>
                <w:szCs w:val="18"/>
                <w:lang w:val="en-US" w:eastAsia="zh-CN"/>
              </w:rPr>
              <w:t>19.63</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lang w:val="en-US" w:eastAsia="zh-CN" w:bidi="ar-SA"/>
              </w:rPr>
            </w:pPr>
            <w:r>
              <w:rPr>
                <w:rFonts w:hint="eastAsia" w:ascii="仿宋_GB2312" w:hAnsi="宋体" w:eastAsia="仿宋_GB2312" w:cs="宋体"/>
                <w:b/>
                <w:bCs/>
                <w:color w:val="000000"/>
                <w:kern w:val="0"/>
                <w:sz w:val="18"/>
                <w:szCs w:val="18"/>
                <w:lang w:val="en-US" w:eastAsia="zh-CN"/>
              </w:rPr>
              <w:t>19.63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05</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机关事业单位基本养老保险支出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19.63</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19.63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卫生健康支出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lang w:val="en-US" w:eastAsia="zh-CN" w:bidi="ar-SA"/>
              </w:rPr>
            </w:pPr>
            <w:r>
              <w:rPr>
                <w:rFonts w:hint="eastAsia" w:ascii="仿宋_GB2312" w:hAnsi="宋体" w:eastAsia="仿宋_GB2312" w:cs="宋体"/>
                <w:b/>
                <w:bCs/>
                <w:color w:val="000000"/>
                <w:kern w:val="0"/>
                <w:sz w:val="18"/>
                <w:szCs w:val="18"/>
                <w:lang w:val="en-US" w:eastAsia="zh-CN"/>
              </w:rPr>
              <w:t>24.07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lang w:val="en-US" w:eastAsia="zh-CN" w:bidi="ar-SA"/>
              </w:rPr>
            </w:pPr>
            <w:r>
              <w:rPr>
                <w:rFonts w:hint="eastAsia" w:ascii="仿宋_GB2312" w:hAnsi="宋体" w:eastAsia="仿宋_GB2312" w:cs="宋体"/>
                <w:b/>
                <w:bCs/>
                <w:color w:val="000000"/>
                <w:kern w:val="0"/>
                <w:sz w:val="18"/>
                <w:szCs w:val="18"/>
                <w:lang w:val="en-US" w:eastAsia="zh-CN"/>
              </w:rPr>
              <w:t>24.07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行政事业单位医疗</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lang w:val="en-US" w:eastAsia="zh-CN" w:bidi="ar-SA"/>
              </w:rPr>
            </w:pPr>
            <w:r>
              <w:rPr>
                <w:rFonts w:hint="eastAsia" w:ascii="仿宋_GB2312" w:hAnsi="宋体" w:eastAsia="仿宋_GB2312" w:cs="宋体"/>
                <w:b/>
                <w:bCs/>
                <w:color w:val="000000"/>
                <w:kern w:val="0"/>
                <w:sz w:val="18"/>
                <w:szCs w:val="18"/>
                <w:lang w:val="en-US" w:eastAsia="zh-CN"/>
              </w:rPr>
              <w:t>24.07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lang w:val="en-US" w:eastAsia="zh-CN" w:bidi="ar-SA"/>
              </w:rPr>
            </w:pPr>
            <w:r>
              <w:rPr>
                <w:rFonts w:hint="eastAsia" w:ascii="仿宋_GB2312" w:hAnsi="宋体" w:eastAsia="仿宋_GB2312" w:cs="宋体"/>
                <w:b/>
                <w:bCs/>
                <w:color w:val="000000"/>
                <w:kern w:val="0"/>
                <w:sz w:val="18"/>
                <w:szCs w:val="18"/>
                <w:lang w:val="en-US" w:eastAsia="zh-CN"/>
              </w:rPr>
              <w:t>24.07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行政单位医疗</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18.07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18.07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03</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公务员医疗补助</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5.82</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5.82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99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其他行政事业单位医疗支出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0.18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0.18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301.87</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221.87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80</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4"/>
        <w:tblW w:w="9328" w:type="dxa"/>
        <w:tblInd w:w="-1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编制单位：昌吉州文联</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default" w:ascii="仿宋" w:hAnsi="仿宋" w:eastAsia="仿宋" w:cs="Dialog"/>
                <w:b/>
                <w:bCs/>
                <w:color w:val="000000"/>
                <w:kern w:val="0"/>
                <w:szCs w:val="21"/>
                <w:highlight w:val="none"/>
                <w:lang w:val="en-US" w:eastAsia="zh-CN"/>
              </w:rPr>
            </w:pPr>
            <w:r>
              <w:rPr>
                <w:rFonts w:hint="eastAsia" w:ascii="仿宋" w:hAnsi="仿宋" w:eastAsia="仿宋" w:cs="Dialog"/>
                <w:b/>
                <w:bCs/>
                <w:color w:val="000000"/>
                <w:kern w:val="0"/>
                <w:szCs w:val="21"/>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Dialog"/>
                <w:b/>
                <w:bCs/>
                <w:color w:val="000000"/>
                <w:kern w:val="0"/>
                <w:szCs w:val="21"/>
                <w:highlight w:val="none"/>
              </w:rPr>
            </w:pP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Dialog"/>
                <w:b/>
                <w:bCs/>
                <w:color w:val="000000"/>
                <w:kern w:val="0"/>
                <w:szCs w:val="21"/>
                <w:lang w:eastAsia="zh-CN"/>
              </w:rPr>
            </w:pPr>
            <w:r>
              <w:rPr>
                <w:rFonts w:hint="eastAsia" w:ascii="仿宋" w:hAnsi="仿宋" w:eastAsia="仿宋" w:cs="Dialog"/>
                <w:b/>
                <w:bCs/>
                <w:color w:val="000000"/>
                <w:kern w:val="0"/>
                <w:szCs w:val="21"/>
                <w:lang w:eastAsia="zh-CN"/>
              </w:rPr>
              <w:t>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198.8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highlight w:val="none"/>
              </w:rPr>
            </w:pPr>
            <w:r>
              <w:rPr>
                <w:rFonts w:ascii="仿宋" w:hAnsi="仿宋" w:eastAsia="仿宋" w:cs="Dialog"/>
                <w:color w:val="000000"/>
                <w:kern w:val="0"/>
                <w:szCs w:val="21"/>
                <w:highlight w:val="none"/>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highlight w:val="none"/>
              </w:rPr>
            </w:pPr>
            <w:r>
              <w:rPr>
                <w:rFonts w:ascii="仿宋" w:hAnsi="仿宋" w:eastAsia="仿宋" w:cs="Dialog"/>
                <w:color w:val="000000"/>
                <w:kern w:val="0"/>
                <w:szCs w:val="21"/>
                <w:highlight w:val="none"/>
              </w:rPr>
              <w:t>01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78.18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02</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28.46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03</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奖金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wordWrap w:val="0"/>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5.48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06</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伙食补助费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16.38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13</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14.72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08</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19.63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10</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18.07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11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5.82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12</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07</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绩效工资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11.88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default" w:ascii="仿宋" w:hAnsi="仿宋" w:eastAsia="仿宋" w:cs="Dialog"/>
                <w:b/>
                <w:bCs/>
                <w:color w:val="000000"/>
                <w:kern w:val="0"/>
                <w:szCs w:val="21"/>
                <w:highlight w:val="none"/>
                <w:lang w:val="en-US" w:eastAsia="zh-CN"/>
              </w:rPr>
            </w:pPr>
            <w:r>
              <w:rPr>
                <w:rFonts w:hint="eastAsia" w:ascii="仿宋" w:hAnsi="仿宋" w:eastAsia="仿宋" w:cs="Dialog"/>
                <w:b/>
                <w:bCs/>
                <w:color w:val="000000"/>
                <w:kern w:val="0"/>
                <w:szCs w:val="21"/>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Dialog"/>
                <w:b/>
                <w:bCs/>
                <w:color w:val="000000"/>
                <w:kern w:val="0"/>
                <w:szCs w:val="21"/>
                <w:highlight w:val="none"/>
              </w:rPr>
            </w:pP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Dialog"/>
                <w:b/>
                <w:bCs/>
                <w:color w:val="000000"/>
                <w:kern w:val="0"/>
                <w:szCs w:val="21"/>
                <w:lang w:eastAsia="zh-CN"/>
              </w:rPr>
            </w:pPr>
            <w:r>
              <w:rPr>
                <w:rFonts w:hint="eastAsia" w:ascii="仿宋" w:hAnsi="仿宋" w:eastAsia="仿宋" w:cs="Dialog"/>
                <w:b/>
                <w:bCs/>
                <w:color w:val="000000"/>
                <w:kern w:val="0"/>
                <w:szCs w:val="21"/>
                <w:lang w:eastAsia="zh-CN"/>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21.67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highlight w:val="none"/>
              </w:rPr>
            </w:pPr>
            <w:r>
              <w:rPr>
                <w:rFonts w:ascii="仿宋" w:hAnsi="仿宋" w:eastAsia="仿宋" w:cs="Dialog"/>
                <w:color w:val="000000"/>
                <w:kern w:val="0"/>
                <w:szCs w:val="21"/>
                <w:highlight w:val="none"/>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highlight w:val="none"/>
              </w:rPr>
            </w:pPr>
            <w:r>
              <w:rPr>
                <w:rFonts w:ascii="仿宋" w:hAnsi="仿宋" w:eastAsia="仿宋" w:cs="Dialog"/>
                <w:color w:val="000000"/>
                <w:kern w:val="0"/>
                <w:szCs w:val="21"/>
                <w:highlight w:val="none"/>
              </w:rPr>
              <w:t>01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办公费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07</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邮电费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11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差旅费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26</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劳务费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28</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工会经费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29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福利费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31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公务车运行维护费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99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其他商品和服务支出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hint="default" w:ascii="仿宋" w:hAnsi="仿宋" w:eastAsia="仿宋" w:cs="Dialog"/>
                <w:b/>
                <w:bCs/>
                <w:color w:val="000000"/>
                <w:kern w:val="0"/>
                <w:szCs w:val="21"/>
                <w:highlight w:val="none"/>
                <w:lang w:val="en-US" w:eastAsia="zh-CN"/>
              </w:rPr>
            </w:pPr>
            <w:r>
              <w:rPr>
                <w:rFonts w:hint="eastAsia" w:ascii="仿宋" w:hAnsi="仿宋" w:eastAsia="仿宋" w:cs="Dialog"/>
                <w:b/>
                <w:bCs/>
                <w:color w:val="000000"/>
                <w:kern w:val="0"/>
                <w:szCs w:val="21"/>
                <w:highlight w:val="none"/>
                <w:lang w:val="en-US" w:eastAsia="zh-CN"/>
              </w:rPr>
              <w:t>303</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 w:hAnsi="仿宋" w:eastAsia="仿宋" w:cs="Dialog"/>
                <w:b/>
                <w:bCs/>
                <w:color w:val="000000"/>
                <w:kern w:val="0"/>
                <w:szCs w:val="21"/>
                <w:highlight w:val="none"/>
              </w:rPr>
            </w:pP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Dialog"/>
                <w:b/>
                <w:bCs/>
                <w:color w:val="000000"/>
                <w:kern w:val="0"/>
                <w:szCs w:val="21"/>
                <w:lang w:eastAsia="zh-CN"/>
              </w:rPr>
            </w:pPr>
            <w:r>
              <w:rPr>
                <w:rFonts w:hint="eastAsia" w:ascii="仿宋" w:hAnsi="仿宋" w:eastAsia="仿宋" w:cs="Dialog"/>
                <w:b/>
                <w:bCs/>
                <w:color w:val="000000"/>
                <w:kern w:val="0"/>
                <w:szCs w:val="21"/>
                <w:lang w:eastAsia="zh-CN"/>
              </w:rPr>
              <w:t>对个人和家庭的补助</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1.4</w:t>
            </w:r>
          </w:p>
        </w:tc>
        <w:tc>
          <w:tcPr>
            <w:tcW w:w="1701" w:type="dxa"/>
            <w:tcBorders>
              <w:top w:val="nil"/>
              <w:left w:val="nil"/>
              <w:bottom w:val="single" w:color="auto" w:sz="4" w:space="0"/>
              <w:right w:val="single" w:color="auto" w:sz="4" w:space="0"/>
            </w:tcBorders>
            <w:vAlign w:val="center"/>
          </w:tcPr>
          <w:p>
            <w:pPr>
              <w:widowControl/>
              <w:jc w:val="both"/>
              <w:rPr>
                <w:rFonts w:hint="default" w:ascii="仿宋_GB2312" w:hAnsi="宋体" w:eastAsia="仿宋_GB2312" w:cs="宋体"/>
                <w:b/>
                <w:bCs/>
                <w:color w:val="000000"/>
                <w:kern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highlight w:val="none"/>
              </w:rPr>
            </w:pPr>
            <w:r>
              <w:rPr>
                <w:rFonts w:ascii="仿宋" w:hAnsi="仿宋" w:eastAsia="仿宋" w:cs="Dialog"/>
                <w:color w:val="000000"/>
                <w:kern w:val="0"/>
                <w:szCs w:val="21"/>
                <w:highlight w:val="none"/>
              </w:rPr>
              <w:t>303</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highlight w:val="none"/>
              </w:rPr>
            </w:pPr>
            <w:r>
              <w:rPr>
                <w:rFonts w:ascii="仿宋" w:hAnsi="仿宋" w:eastAsia="仿宋" w:cs="Dialog"/>
                <w:color w:val="000000"/>
                <w:kern w:val="0"/>
                <w:szCs w:val="21"/>
                <w:highlight w:val="none"/>
              </w:rPr>
              <w:t>09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仿宋" w:hAnsi="仿宋" w:eastAsia="仿宋" w:cs="Dialog"/>
                <w:color w:val="000000"/>
                <w:kern w:val="0"/>
                <w:szCs w:val="21"/>
              </w:rPr>
              <w:t>奖励金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color w:val="000000"/>
                <w:kern w:val="0"/>
                <w:sz w:val="18"/>
                <w:szCs w:val="18"/>
              </w:rPr>
            </w:pPr>
            <w:r>
              <w:rPr>
                <w:rFonts w:hint="eastAsia" w:ascii="仿宋" w:hAnsi="仿宋" w:eastAsia="仿宋" w:cs="宋体"/>
                <w:color w:val="000000"/>
                <w:kern w:val="0"/>
                <w:szCs w:val="21"/>
              </w:rPr>
              <w:t>303</w:t>
            </w:r>
          </w:p>
        </w:tc>
        <w:tc>
          <w:tcPr>
            <w:tcW w:w="577" w:type="dxa"/>
            <w:tcBorders>
              <w:top w:val="nil"/>
              <w:left w:val="nil"/>
              <w:bottom w:val="single" w:color="auto" w:sz="4" w:space="0"/>
              <w:right w:val="single" w:color="auto" w:sz="4" w:space="0"/>
            </w:tcBorders>
            <w:vAlign w:val="center"/>
          </w:tcPr>
          <w:p>
            <w:pPr>
              <w:widowControl/>
              <w:rPr>
                <w:rFonts w:ascii="仿宋_GB2312" w:hAnsi="宋体" w:eastAsia="仿宋_GB2312" w:cs="宋体"/>
                <w:color w:val="000000"/>
                <w:kern w:val="0"/>
                <w:sz w:val="18"/>
                <w:szCs w:val="18"/>
              </w:rPr>
            </w:pPr>
            <w:r>
              <w:rPr>
                <w:rFonts w:hint="eastAsia" w:ascii="仿宋" w:hAnsi="仿宋" w:eastAsia="仿宋" w:cs="宋体"/>
                <w:color w:val="000000"/>
                <w:kern w:val="0"/>
                <w:szCs w:val="21"/>
              </w:rPr>
              <w:t>14</w:t>
            </w:r>
          </w:p>
        </w:tc>
        <w:tc>
          <w:tcPr>
            <w:tcW w:w="2891" w:type="dxa"/>
            <w:tcBorders>
              <w:top w:val="nil"/>
              <w:left w:val="nil"/>
              <w:bottom w:val="single" w:color="auto" w:sz="4" w:space="0"/>
              <w:right w:val="single" w:color="auto" w:sz="4" w:space="0"/>
            </w:tcBorders>
            <w:vAlign w:val="center"/>
          </w:tcPr>
          <w:p>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对个人和家庭的补助支出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142.92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129.13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13.79</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4"/>
        <w:tblW w:w="9540" w:type="dxa"/>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
        <w:gridCol w:w="558"/>
        <w:gridCol w:w="480"/>
        <w:gridCol w:w="540"/>
        <w:gridCol w:w="930"/>
        <w:gridCol w:w="982"/>
        <w:gridCol w:w="750"/>
        <w:gridCol w:w="110"/>
        <w:gridCol w:w="459"/>
        <w:gridCol w:w="536"/>
        <w:gridCol w:w="463"/>
        <w:gridCol w:w="495"/>
        <w:gridCol w:w="465"/>
        <w:gridCol w:w="259"/>
        <w:gridCol w:w="619"/>
        <w:gridCol w:w="578"/>
        <w:gridCol w:w="420"/>
        <w:gridCol w:w="420"/>
        <w:gridCol w:w="389"/>
        <w:gridCol w:w="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编制部门（单位）：昌吉州文联</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5"/>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86"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3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982"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6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49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46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8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66"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80"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540"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30"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98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63"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95"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65"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87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6" w:type="dxa"/>
            <w:gridSpan w:val="2"/>
            <w:vAlign w:val="top"/>
          </w:tcPr>
          <w:p>
            <w:pPr>
              <w:widowControl/>
              <w:jc w:val="center"/>
              <w:outlineLvl w:val="1"/>
              <w:rPr>
                <w:rFonts w:hint="default" w:ascii="仿宋_GB2312" w:hAnsi="宋体" w:eastAsia="仿宋_GB2312"/>
                <w:b/>
                <w:bCs/>
                <w:kern w:val="0"/>
                <w:szCs w:val="21"/>
                <w:highlight w:val="none"/>
                <w:lang w:val="en-US" w:eastAsia="zh-CN"/>
              </w:rPr>
            </w:pPr>
            <w:r>
              <w:rPr>
                <w:rFonts w:hint="eastAsia" w:ascii="仿宋_GB2312" w:hAnsi="宋体" w:eastAsia="仿宋_GB2312"/>
                <w:b/>
                <w:bCs/>
                <w:kern w:val="0"/>
                <w:szCs w:val="21"/>
                <w:highlight w:val="none"/>
                <w:lang w:val="en-US" w:eastAsia="zh-CN"/>
              </w:rPr>
              <w:t>207</w:t>
            </w:r>
          </w:p>
        </w:tc>
        <w:tc>
          <w:tcPr>
            <w:tcW w:w="480" w:type="dxa"/>
            <w:vAlign w:val="top"/>
          </w:tcPr>
          <w:p>
            <w:pPr>
              <w:widowControl/>
              <w:jc w:val="center"/>
              <w:outlineLvl w:val="1"/>
              <w:rPr>
                <w:rFonts w:hint="eastAsia" w:ascii="仿宋_GB2312" w:hAnsi="宋体" w:eastAsia="仿宋_GB2312"/>
                <w:b/>
                <w:bCs/>
                <w:kern w:val="0"/>
                <w:szCs w:val="21"/>
                <w:highlight w:val="none"/>
              </w:rPr>
            </w:pPr>
          </w:p>
        </w:tc>
        <w:tc>
          <w:tcPr>
            <w:tcW w:w="540" w:type="dxa"/>
            <w:vAlign w:val="top"/>
          </w:tcPr>
          <w:p>
            <w:pPr>
              <w:widowControl/>
              <w:jc w:val="center"/>
              <w:outlineLvl w:val="1"/>
              <w:rPr>
                <w:rFonts w:hint="eastAsia" w:ascii="仿宋_GB2312" w:hAnsi="宋体" w:eastAsia="仿宋_GB2312"/>
                <w:b/>
                <w:bCs/>
                <w:kern w:val="0"/>
                <w:szCs w:val="21"/>
                <w:highlight w:val="none"/>
              </w:rPr>
            </w:pPr>
          </w:p>
        </w:tc>
        <w:tc>
          <w:tcPr>
            <w:tcW w:w="930" w:type="dxa"/>
            <w:vAlign w:val="top"/>
          </w:tcPr>
          <w:p>
            <w:pPr>
              <w:widowControl/>
              <w:jc w:val="center"/>
              <w:outlineLvl w:val="1"/>
              <w:rPr>
                <w:rFonts w:hint="eastAsia" w:ascii="仿宋_GB2312" w:hAnsi="宋体" w:eastAsia="仿宋_GB2312"/>
                <w:b/>
                <w:bCs/>
                <w:kern w:val="0"/>
                <w:szCs w:val="21"/>
                <w:highlight w:val="none"/>
              </w:rPr>
            </w:pPr>
            <w:r>
              <w:rPr>
                <w:rFonts w:hint="eastAsia" w:ascii="仿宋_GB2312" w:hAnsi="宋体" w:eastAsia="仿宋_GB2312"/>
                <w:b/>
                <w:bCs/>
                <w:kern w:val="0"/>
                <w:szCs w:val="21"/>
                <w:highlight w:val="none"/>
              </w:rPr>
              <w:t>文化旅游体育与传媒支出</w:t>
            </w:r>
          </w:p>
        </w:tc>
        <w:tc>
          <w:tcPr>
            <w:tcW w:w="982" w:type="dxa"/>
            <w:vAlign w:val="top"/>
          </w:tcPr>
          <w:p>
            <w:pPr>
              <w:widowControl/>
              <w:jc w:val="center"/>
              <w:outlineLvl w:val="1"/>
              <w:rPr>
                <w:rFonts w:hint="eastAsia" w:ascii="仿宋_GB2312" w:hAnsi="宋体" w:eastAsia="仿宋_GB2312"/>
                <w:b/>
                <w:bCs/>
                <w:kern w:val="0"/>
                <w:szCs w:val="21"/>
                <w:highlight w:val="none"/>
              </w:rPr>
            </w:pPr>
          </w:p>
        </w:tc>
        <w:tc>
          <w:tcPr>
            <w:tcW w:w="750" w:type="dxa"/>
            <w:vAlign w:val="top"/>
          </w:tcPr>
          <w:p>
            <w:pPr>
              <w:widowControl/>
              <w:jc w:val="center"/>
              <w:outlineLvl w:val="1"/>
              <w:rPr>
                <w:rFonts w:hint="default" w:ascii="仿宋_GB2312" w:hAnsi="宋体" w:eastAsia="仿宋_GB2312"/>
                <w:b/>
                <w:bCs/>
                <w:kern w:val="0"/>
                <w:szCs w:val="21"/>
                <w:lang w:val="en-US" w:eastAsia="zh-CN"/>
              </w:rPr>
            </w:pPr>
            <w:r>
              <w:rPr>
                <w:rFonts w:hint="eastAsia" w:ascii="仿宋_GB2312" w:hAnsi="宋体" w:eastAsia="仿宋_GB2312"/>
                <w:b/>
                <w:bCs/>
                <w:kern w:val="0"/>
                <w:szCs w:val="21"/>
                <w:lang w:val="en-US" w:eastAsia="zh-CN"/>
              </w:rPr>
              <w:t>80</w:t>
            </w:r>
          </w:p>
        </w:tc>
        <w:tc>
          <w:tcPr>
            <w:tcW w:w="569" w:type="dxa"/>
            <w:gridSpan w:val="2"/>
            <w:vAlign w:val="top"/>
          </w:tcPr>
          <w:p>
            <w:pPr>
              <w:widowControl/>
              <w:jc w:val="center"/>
              <w:outlineLvl w:val="1"/>
              <w:rPr>
                <w:rFonts w:ascii="仿宋_GB2312" w:hAnsi="宋体" w:eastAsia="仿宋_GB2312"/>
                <w:b/>
                <w:bCs/>
                <w:kern w:val="0"/>
                <w:sz w:val="18"/>
                <w:szCs w:val="18"/>
              </w:rPr>
            </w:pPr>
          </w:p>
        </w:tc>
        <w:tc>
          <w:tcPr>
            <w:tcW w:w="536" w:type="dxa"/>
            <w:vAlign w:val="top"/>
          </w:tcPr>
          <w:p>
            <w:pPr>
              <w:widowControl/>
              <w:jc w:val="center"/>
              <w:outlineLvl w:val="1"/>
              <w:rPr>
                <w:rFonts w:hint="default" w:ascii="仿宋_GB2312" w:hAnsi="宋体" w:eastAsia="仿宋_GB2312"/>
                <w:b/>
                <w:bCs/>
                <w:kern w:val="0"/>
                <w:szCs w:val="21"/>
                <w:lang w:val="en-US" w:eastAsia="zh-CN"/>
              </w:rPr>
            </w:pPr>
            <w:r>
              <w:rPr>
                <w:rFonts w:hint="eastAsia" w:ascii="仿宋_GB2312" w:hAnsi="宋体" w:eastAsia="仿宋_GB2312"/>
                <w:b/>
                <w:bCs/>
                <w:kern w:val="0"/>
                <w:szCs w:val="21"/>
                <w:lang w:val="en-US" w:eastAsia="zh-CN"/>
              </w:rPr>
              <w:t>80</w:t>
            </w:r>
          </w:p>
        </w:tc>
        <w:tc>
          <w:tcPr>
            <w:tcW w:w="463" w:type="dxa"/>
            <w:vAlign w:val="center"/>
          </w:tcPr>
          <w:p>
            <w:pPr>
              <w:widowControl/>
              <w:jc w:val="center"/>
              <w:outlineLvl w:val="1"/>
              <w:rPr>
                <w:rFonts w:ascii="仿宋_GB2312" w:hAnsi="宋体" w:eastAsia="仿宋_GB2312"/>
                <w:b/>
                <w:bCs/>
                <w:kern w:val="0"/>
                <w:sz w:val="18"/>
                <w:szCs w:val="18"/>
              </w:rPr>
            </w:pPr>
          </w:p>
        </w:tc>
        <w:tc>
          <w:tcPr>
            <w:tcW w:w="495" w:type="dxa"/>
            <w:vAlign w:val="center"/>
          </w:tcPr>
          <w:p>
            <w:pPr>
              <w:widowControl/>
              <w:jc w:val="center"/>
              <w:outlineLvl w:val="1"/>
              <w:rPr>
                <w:rFonts w:ascii="仿宋_GB2312" w:hAnsi="宋体" w:eastAsia="仿宋_GB2312"/>
                <w:b/>
                <w:bCs/>
                <w:kern w:val="0"/>
                <w:sz w:val="18"/>
                <w:szCs w:val="18"/>
              </w:rPr>
            </w:pPr>
          </w:p>
        </w:tc>
        <w:tc>
          <w:tcPr>
            <w:tcW w:w="465" w:type="dxa"/>
            <w:vAlign w:val="center"/>
          </w:tcPr>
          <w:p>
            <w:pPr>
              <w:widowControl/>
              <w:jc w:val="center"/>
              <w:outlineLvl w:val="1"/>
              <w:rPr>
                <w:rFonts w:ascii="仿宋_GB2312" w:hAnsi="宋体" w:eastAsia="仿宋_GB2312"/>
                <w:b/>
                <w:bCs/>
                <w:kern w:val="0"/>
                <w:sz w:val="18"/>
                <w:szCs w:val="18"/>
              </w:rPr>
            </w:pPr>
          </w:p>
        </w:tc>
        <w:tc>
          <w:tcPr>
            <w:tcW w:w="878" w:type="dxa"/>
            <w:gridSpan w:val="2"/>
            <w:vAlign w:val="center"/>
          </w:tcPr>
          <w:p>
            <w:pPr>
              <w:widowControl/>
              <w:jc w:val="center"/>
              <w:outlineLvl w:val="1"/>
              <w:rPr>
                <w:rFonts w:ascii="仿宋_GB2312" w:hAnsi="宋体" w:eastAsia="仿宋_GB2312"/>
                <w:b/>
                <w:bCs/>
                <w:kern w:val="0"/>
                <w:sz w:val="18"/>
                <w:szCs w:val="18"/>
              </w:rPr>
            </w:pPr>
          </w:p>
        </w:tc>
        <w:tc>
          <w:tcPr>
            <w:tcW w:w="578" w:type="dxa"/>
            <w:vAlign w:val="center"/>
          </w:tcPr>
          <w:p>
            <w:pPr>
              <w:widowControl/>
              <w:jc w:val="center"/>
              <w:outlineLvl w:val="1"/>
              <w:rPr>
                <w:rFonts w:ascii="仿宋_GB2312" w:hAnsi="宋体" w:eastAsia="仿宋_GB2312"/>
                <w:b/>
                <w:bCs/>
                <w:kern w:val="0"/>
                <w:sz w:val="18"/>
                <w:szCs w:val="18"/>
              </w:rPr>
            </w:pPr>
          </w:p>
        </w:tc>
        <w:tc>
          <w:tcPr>
            <w:tcW w:w="420" w:type="dxa"/>
            <w:vAlign w:val="center"/>
          </w:tcPr>
          <w:p>
            <w:pPr>
              <w:widowControl/>
              <w:jc w:val="center"/>
              <w:outlineLvl w:val="1"/>
              <w:rPr>
                <w:rFonts w:ascii="仿宋_GB2312" w:hAnsi="宋体" w:eastAsia="仿宋_GB2312"/>
                <w:b/>
                <w:bCs/>
                <w:kern w:val="0"/>
                <w:sz w:val="18"/>
                <w:szCs w:val="18"/>
              </w:rPr>
            </w:pPr>
          </w:p>
        </w:tc>
        <w:tc>
          <w:tcPr>
            <w:tcW w:w="420" w:type="dxa"/>
            <w:vAlign w:val="center"/>
          </w:tcPr>
          <w:p>
            <w:pPr>
              <w:widowControl/>
              <w:jc w:val="center"/>
              <w:outlineLvl w:val="1"/>
              <w:rPr>
                <w:rFonts w:ascii="仿宋_GB2312" w:hAnsi="宋体" w:eastAsia="仿宋_GB2312"/>
                <w:b/>
                <w:bCs/>
                <w:kern w:val="0"/>
                <w:sz w:val="18"/>
                <w:szCs w:val="18"/>
              </w:rPr>
            </w:pPr>
          </w:p>
        </w:tc>
        <w:tc>
          <w:tcPr>
            <w:tcW w:w="468" w:type="dxa"/>
            <w:gridSpan w:val="2"/>
            <w:vAlign w:val="center"/>
          </w:tcPr>
          <w:p>
            <w:pPr>
              <w:widowControl/>
              <w:jc w:val="center"/>
              <w:outlineLvl w:val="1"/>
              <w:rPr>
                <w:rFonts w:ascii="仿宋_GB2312" w:hAnsi="宋体" w:eastAsia="仿宋_GB2312"/>
                <w:b/>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6" w:type="dxa"/>
            <w:gridSpan w:val="2"/>
            <w:vAlign w:val="top"/>
          </w:tcPr>
          <w:p>
            <w:pPr>
              <w:widowControl/>
              <w:jc w:val="center"/>
              <w:outlineLvl w:val="1"/>
              <w:rPr>
                <w:rFonts w:hint="default" w:ascii="仿宋_GB2312" w:hAnsi="宋体" w:eastAsia="仿宋_GB2312"/>
                <w:b/>
                <w:bCs/>
                <w:kern w:val="0"/>
                <w:szCs w:val="21"/>
                <w:highlight w:val="none"/>
                <w:lang w:val="en-US" w:eastAsia="zh-CN"/>
              </w:rPr>
            </w:pPr>
            <w:r>
              <w:rPr>
                <w:rFonts w:hint="eastAsia" w:ascii="仿宋_GB2312" w:hAnsi="宋体" w:eastAsia="仿宋_GB2312"/>
                <w:b/>
                <w:bCs/>
                <w:kern w:val="0"/>
                <w:szCs w:val="21"/>
                <w:highlight w:val="none"/>
                <w:lang w:val="en-US" w:eastAsia="zh-CN"/>
              </w:rPr>
              <w:t>207</w:t>
            </w:r>
          </w:p>
        </w:tc>
        <w:tc>
          <w:tcPr>
            <w:tcW w:w="480" w:type="dxa"/>
            <w:vAlign w:val="top"/>
          </w:tcPr>
          <w:p>
            <w:pPr>
              <w:widowControl/>
              <w:jc w:val="center"/>
              <w:outlineLvl w:val="1"/>
              <w:rPr>
                <w:rFonts w:hint="default" w:ascii="仿宋_GB2312" w:hAnsi="宋体" w:eastAsia="仿宋_GB2312"/>
                <w:b/>
                <w:bCs/>
                <w:kern w:val="0"/>
                <w:szCs w:val="21"/>
                <w:highlight w:val="none"/>
                <w:lang w:val="en-US" w:eastAsia="zh-CN"/>
              </w:rPr>
            </w:pPr>
            <w:r>
              <w:rPr>
                <w:rFonts w:hint="eastAsia" w:ascii="仿宋_GB2312" w:hAnsi="宋体" w:eastAsia="仿宋_GB2312"/>
                <w:b/>
                <w:bCs/>
                <w:kern w:val="0"/>
                <w:szCs w:val="21"/>
                <w:highlight w:val="none"/>
                <w:lang w:val="en-US" w:eastAsia="zh-CN"/>
              </w:rPr>
              <w:t>01</w:t>
            </w:r>
          </w:p>
        </w:tc>
        <w:tc>
          <w:tcPr>
            <w:tcW w:w="540" w:type="dxa"/>
            <w:vAlign w:val="top"/>
          </w:tcPr>
          <w:p>
            <w:pPr>
              <w:widowControl/>
              <w:jc w:val="center"/>
              <w:outlineLvl w:val="1"/>
              <w:rPr>
                <w:rFonts w:hint="eastAsia" w:ascii="仿宋_GB2312" w:hAnsi="宋体" w:eastAsia="仿宋_GB2312"/>
                <w:b/>
                <w:bCs/>
                <w:kern w:val="0"/>
                <w:szCs w:val="21"/>
                <w:highlight w:val="none"/>
              </w:rPr>
            </w:pPr>
          </w:p>
        </w:tc>
        <w:tc>
          <w:tcPr>
            <w:tcW w:w="930" w:type="dxa"/>
            <w:vAlign w:val="top"/>
          </w:tcPr>
          <w:p>
            <w:pPr>
              <w:widowControl/>
              <w:jc w:val="center"/>
              <w:outlineLvl w:val="1"/>
              <w:rPr>
                <w:rFonts w:hint="eastAsia" w:ascii="仿宋_GB2312" w:hAnsi="宋体" w:eastAsia="仿宋_GB2312"/>
                <w:b/>
                <w:bCs/>
                <w:kern w:val="0"/>
                <w:szCs w:val="21"/>
                <w:highlight w:val="none"/>
              </w:rPr>
            </w:pPr>
            <w:r>
              <w:rPr>
                <w:rFonts w:hint="eastAsia" w:ascii="仿宋_GB2312" w:hAnsi="宋体" w:eastAsia="仿宋_GB2312"/>
                <w:b/>
                <w:bCs/>
                <w:kern w:val="0"/>
                <w:szCs w:val="21"/>
                <w:highlight w:val="none"/>
              </w:rPr>
              <w:t>文化和旅游</w:t>
            </w:r>
          </w:p>
        </w:tc>
        <w:tc>
          <w:tcPr>
            <w:tcW w:w="982" w:type="dxa"/>
            <w:vAlign w:val="top"/>
          </w:tcPr>
          <w:p>
            <w:pPr>
              <w:widowControl/>
              <w:jc w:val="center"/>
              <w:outlineLvl w:val="1"/>
              <w:rPr>
                <w:rFonts w:hint="eastAsia" w:ascii="仿宋_GB2312" w:hAnsi="宋体" w:eastAsia="仿宋_GB2312"/>
                <w:b/>
                <w:bCs/>
                <w:kern w:val="0"/>
                <w:szCs w:val="21"/>
                <w:highlight w:val="none"/>
              </w:rPr>
            </w:pPr>
          </w:p>
        </w:tc>
        <w:tc>
          <w:tcPr>
            <w:tcW w:w="750" w:type="dxa"/>
            <w:vAlign w:val="top"/>
          </w:tcPr>
          <w:p>
            <w:pPr>
              <w:widowControl/>
              <w:jc w:val="center"/>
              <w:outlineLvl w:val="1"/>
              <w:rPr>
                <w:rFonts w:hint="default" w:ascii="仿宋_GB2312" w:hAnsi="宋体" w:eastAsia="仿宋_GB2312"/>
                <w:b/>
                <w:bCs/>
                <w:kern w:val="0"/>
                <w:szCs w:val="21"/>
                <w:lang w:val="en-US" w:eastAsia="zh-CN"/>
              </w:rPr>
            </w:pPr>
            <w:r>
              <w:rPr>
                <w:rFonts w:hint="eastAsia" w:ascii="仿宋_GB2312" w:hAnsi="宋体" w:eastAsia="仿宋_GB2312"/>
                <w:b/>
                <w:bCs/>
                <w:kern w:val="0"/>
                <w:szCs w:val="21"/>
                <w:lang w:val="en-US" w:eastAsia="zh-CN"/>
              </w:rPr>
              <w:t>80</w:t>
            </w:r>
          </w:p>
        </w:tc>
        <w:tc>
          <w:tcPr>
            <w:tcW w:w="569" w:type="dxa"/>
            <w:gridSpan w:val="2"/>
            <w:vAlign w:val="top"/>
          </w:tcPr>
          <w:p>
            <w:pPr>
              <w:widowControl/>
              <w:jc w:val="center"/>
              <w:outlineLvl w:val="1"/>
              <w:rPr>
                <w:rFonts w:ascii="仿宋_GB2312" w:hAnsi="宋体" w:eastAsia="仿宋_GB2312"/>
                <w:b/>
                <w:bCs/>
                <w:kern w:val="0"/>
                <w:sz w:val="18"/>
                <w:szCs w:val="18"/>
              </w:rPr>
            </w:pPr>
          </w:p>
        </w:tc>
        <w:tc>
          <w:tcPr>
            <w:tcW w:w="536" w:type="dxa"/>
            <w:vAlign w:val="top"/>
          </w:tcPr>
          <w:p>
            <w:pPr>
              <w:widowControl/>
              <w:jc w:val="center"/>
              <w:outlineLvl w:val="1"/>
              <w:rPr>
                <w:rFonts w:hint="default" w:ascii="仿宋_GB2312" w:hAnsi="宋体" w:eastAsia="仿宋_GB2312"/>
                <w:b/>
                <w:bCs/>
                <w:kern w:val="0"/>
                <w:szCs w:val="21"/>
                <w:lang w:val="en-US" w:eastAsia="zh-CN"/>
              </w:rPr>
            </w:pPr>
            <w:r>
              <w:rPr>
                <w:rFonts w:hint="eastAsia" w:ascii="仿宋_GB2312" w:hAnsi="宋体" w:eastAsia="仿宋_GB2312"/>
                <w:b/>
                <w:bCs/>
                <w:kern w:val="0"/>
                <w:szCs w:val="21"/>
                <w:lang w:val="en-US" w:eastAsia="zh-CN"/>
              </w:rPr>
              <w:t>80</w:t>
            </w:r>
          </w:p>
        </w:tc>
        <w:tc>
          <w:tcPr>
            <w:tcW w:w="463" w:type="dxa"/>
            <w:vAlign w:val="center"/>
          </w:tcPr>
          <w:p>
            <w:pPr>
              <w:widowControl/>
              <w:jc w:val="center"/>
              <w:outlineLvl w:val="1"/>
              <w:rPr>
                <w:rFonts w:ascii="仿宋_GB2312" w:hAnsi="宋体" w:eastAsia="仿宋_GB2312"/>
                <w:b/>
                <w:bCs/>
                <w:kern w:val="0"/>
                <w:sz w:val="18"/>
                <w:szCs w:val="18"/>
              </w:rPr>
            </w:pPr>
          </w:p>
        </w:tc>
        <w:tc>
          <w:tcPr>
            <w:tcW w:w="495" w:type="dxa"/>
            <w:vAlign w:val="center"/>
          </w:tcPr>
          <w:p>
            <w:pPr>
              <w:widowControl/>
              <w:jc w:val="center"/>
              <w:outlineLvl w:val="1"/>
              <w:rPr>
                <w:rFonts w:ascii="仿宋_GB2312" w:hAnsi="宋体" w:eastAsia="仿宋_GB2312"/>
                <w:b/>
                <w:bCs/>
                <w:kern w:val="0"/>
                <w:sz w:val="18"/>
                <w:szCs w:val="18"/>
              </w:rPr>
            </w:pPr>
          </w:p>
        </w:tc>
        <w:tc>
          <w:tcPr>
            <w:tcW w:w="465" w:type="dxa"/>
            <w:vAlign w:val="center"/>
          </w:tcPr>
          <w:p>
            <w:pPr>
              <w:widowControl/>
              <w:jc w:val="center"/>
              <w:outlineLvl w:val="1"/>
              <w:rPr>
                <w:rFonts w:ascii="仿宋_GB2312" w:hAnsi="宋体" w:eastAsia="仿宋_GB2312"/>
                <w:b/>
                <w:bCs/>
                <w:kern w:val="0"/>
                <w:sz w:val="18"/>
                <w:szCs w:val="18"/>
              </w:rPr>
            </w:pPr>
          </w:p>
        </w:tc>
        <w:tc>
          <w:tcPr>
            <w:tcW w:w="878" w:type="dxa"/>
            <w:gridSpan w:val="2"/>
            <w:vAlign w:val="center"/>
          </w:tcPr>
          <w:p>
            <w:pPr>
              <w:widowControl/>
              <w:jc w:val="center"/>
              <w:outlineLvl w:val="1"/>
              <w:rPr>
                <w:rFonts w:ascii="仿宋_GB2312" w:hAnsi="宋体" w:eastAsia="仿宋_GB2312"/>
                <w:b/>
                <w:bCs/>
                <w:kern w:val="0"/>
                <w:sz w:val="18"/>
                <w:szCs w:val="18"/>
              </w:rPr>
            </w:pPr>
          </w:p>
        </w:tc>
        <w:tc>
          <w:tcPr>
            <w:tcW w:w="578" w:type="dxa"/>
            <w:vAlign w:val="center"/>
          </w:tcPr>
          <w:p>
            <w:pPr>
              <w:widowControl/>
              <w:jc w:val="center"/>
              <w:outlineLvl w:val="1"/>
              <w:rPr>
                <w:rFonts w:ascii="仿宋_GB2312" w:hAnsi="宋体" w:eastAsia="仿宋_GB2312"/>
                <w:b/>
                <w:bCs/>
                <w:kern w:val="0"/>
                <w:sz w:val="18"/>
                <w:szCs w:val="18"/>
              </w:rPr>
            </w:pPr>
          </w:p>
        </w:tc>
        <w:tc>
          <w:tcPr>
            <w:tcW w:w="420" w:type="dxa"/>
            <w:vAlign w:val="center"/>
          </w:tcPr>
          <w:p>
            <w:pPr>
              <w:widowControl/>
              <w:jc w:val="center"/>
              <w:outlineLvl w:val="1"/>
              <w:rPr>
                <w:rFonts w:ascii="仿宋_GB2312" w:hAnsi="宋体" w:eastAsia="仿宋_GB2312"/>
                <w:b/>
                <w:bCs/>
                <w:kern w:val="0"/>
                <w:sz w:val="18"/>
                <w:szCs w:val="18"/>
              </w:rPr>
            </w:pPr>
          </w:p>
        </w:tc>
        <w:tc>
          <w:tcPr>
            <w:tcW w:w="420" w:type="dxa"/>
            <w:vAlign w:val="center"/>
          </w:tcPr>
          <w:p>
            <w:pPr>
              <w:widowControl/>
              <w:jc w:val="center"/>
              <w:outlineLvl w:val="1"/>
              <w:rPr>
                <w:rFonts w:ascii="仿宋_GB2312" w:hAnsi="宋体" w:eastAsia="仿宋_GB2312"/>
                <w:b/>
                <w:bCs/>
                <w:kern w:val="0"/>
                <w:sz w:val="18"/>
                <w:szCs w:val="18"/>
              </w:rPr>
            </w:pPr>
          </w:p>
        </w:tc>
        <w:tc>
          <w:tcPr>
            <w:tcW w:w="468" w:type="dxa"/>
            <w:gridSpan w:val="2"/>
            <w:vAlign w:val="center"/>
          </w:tcPr>
          <w:p>
            <w:pPr>
              <w:widowControl/>
              <w:jc w:val="center"/>
              <w:outlineLvl w:val="1"/>
              <w:rPr>
                <w:rFonts w:ascii="仿宋_GB2312" w:hAnsi="宋体" w:eastAsia="仿宋_GB2312"/>
                <w:b/>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6" w:type="dxa"/>
            <w:gridSpan w:val="2"/>
            <w:vAlign w:val="top"/>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Cs w:val="21"/>
                <w:highlight w:val="none"/>
              </w:rPr>
              <w:t>207</w:t>
            </w:r>
          </w:p>
        </w:tc>
        <w:tc>
          <w:tcPr>
            <w:tcW w:w="480" w:type="dxa"/>
            <w:vAlign w:val="top"/>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Cs w:val="21"/>
                <w:highlight w:val="none"/>
              </w:rPr>
              <w:t>01</w:t>
            </w:r>
          </w:p>
        </w:tc>
        <w:tc>
          <w:tcPr>
            <w:tcW w:w="540" w:type="dxa"/>
            <w:vAlign w:val="top"/>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Cs w:val="21"/>
                <w:highlight w:val="none"/>
              </w:rPr>
              <w:t>02</w:t>
            </w:r>
          </w:p>
        </w:tc>
        <w:tc>
          <w:tcPr>
            <w:tcW w:w="930" w:type="dxa"/>
            <w:vAlign w:val="top"/>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Cs w:val="21"/>
                <w:highlight w:val="none"/>
              </w:rPr>
              <w:t>一般行政管理事务</w:t>
            </w:r>
          </w:p>
        </w:tc>
        <w:tc>
          <w:tcPr>
            <w:tcW w:w="982" w:type="dxa"/>
            <w:vAlign w:val="top"/>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Cs w:val="21"/>
                <w:highlight w:val="none"/>
              </w:rPr>
              <w:t>文化事业费</w:t>
            </w:r>
          </w:p>
        </w:tc>
        <w:tc>
          <w:tcPr>
            <w:tcW w:w="750" w:type="dxa"/>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Cs w:val="21"/>
              </w:rPr>
              <w:t>10</w:t>
            </w:r>
          </w:p>
        </w:tc>
        <w:tc>
          <w:tcPr>
            <w:tcW w:w="569" w:type="dxa"/>
            <w:gridSpan w:val="2"/>
            <w:vAlign w:val="top"/>
          </w:tcPr>
          <w:p>
            <w:pPr>
              <w:widowControl/>
              <w:jc w:val="center"/>
              <w:outlineLvl w:val="1"/>
              <w:rPr>
                <w:rFonts w:ascii="仿宋_GB2312" w:hAnsi="宋体" w:eastAsia="仿宋_GB2312"/>
                <w:kern w:val="0"/>
                <w:sz w:val="18"/>
                <w:szCs w:val="18"/>
              </w:rPr>
            </w:pPr>
          </w:p>
        </w:tc>
        <w:tc>
          <w:tcPr>
            <w:tcW w:w="536" w:type="dxa"/>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Cs w:val="21"/>
              </w:rPr>
              <w:t>10</w:t>
            </w:r>
          </w:p>
        </w:tc>
        <w:tc>
          <w:tcPr>
            <w:tcW w:w="463" w:type="dxa"/>
            <w:vAlign w:val="center"/>
          </w:tcPr>
          <w:p>
            <w:pPr>
              <w:widowControl/>
              <w:jc w:val="center"/>
              <w:outlineLvl w:val="1"/>
              <w:rPr>
                <w:rFonts w:ascii="仿宋_GB2312" w:hAnsi="宋体" w:eastAsia="仿宋_GB2312"/>
                <w:kern w:val="0"/>
                <w:sz w:val="18"/>
                <w:szCs w:val="18"/>
              </w:rPr>
            </w:pPr>
          </w:p>
        </w:tc>
        <w:tc>
          <w:tcPr>
            <w:tcW w:w="495" w:type="dxa"/>
            <w:vAlign w:val="center"/>
          </w:tcPr>
          <w:p>
            <w:pPr>
              <w:widowControl/>
              <w:jc w:val="center"/>
              <w:outlineLvl w:val="1"/>
              <w:rPr>
                <w:rFonts w:ascii="仿宋_GB2312" w:hAnsi="宋体" w:eastAsia="仿宋_GB2312"/>
                <w:kern w:val="0"/>
                <w:sz w:val="18"/>
                <w:szCs w:val="18"/>
              </w:rPr>
            </w:pPr>
          </w:p>
        </w:tc>
        <w:tc>
          <w:tcPr>
            <w:tcW w:w="465" w:type="dxa"/>
            <w:vAlign w:val="center"/>
          </w:tcPr>
          <w:p>
            <w:pPr>
              <w:widowControl/>
              <w:jc w:val="center"/>
              <w:outlineLvl w:val="1"/>
              <w:rPr>
                <w:rFonts w:ascii="仿宋_GB2312" w:hAnsi="宋体" w:eastAsia="仿宋_GB2312"/>
                <w:kern w:val="0"/>
                <w:sz w:val="18"/>
                <w:szCs w:val="18"/>
              </w:rPr>
            </w:pPr>
          </w:p>
        </w:tc>
        <w:tc>
          <w:tcPr>
            <w:tcW w:w="878" w:type="dxa"/>
            <w:gridSpan w:val="2"/>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6" w:type="dxa"/>
            <w:gridSpan w:val="2"/>
            <w:vAlign w:val="top"/>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Cs w:val="21"/>
                <w:highlight w:val="none"/>
              </w:rPr>
              <w:t>207</w:t>
            </w:r>
          </w:p>
        </w:tc>
        <w:tc>
          <w:tcPr>
            <w:tcW w:w="480" w:type="dxa"/>
            <w:vAlign w:val="top"/>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Cs w:val="21"/>
                <w:highlight w:val="none"/>
              </w:rPr>
              <w:t>01</w:t>
            </w:r>
          </w:p>
        </w:tc>
        <w:tc>
          <w:tcPr>
            <w:tcW w:w="540" w:type="dxa"/>
            <w:vAlign w:val="top"/>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Cs w:val="21"/>
                <w:highlight w:val="none"/>
              </w:rPr>
              <w:t>02</w:t>
            </w:r>
          </w:p>
        </w:tc>
        <w:tc>
          <w:tcPr>
            <w:tcW w:w="930" w:type="dxa"/>
            <w:vAlign w:val="top"/>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Cs w:val="21"/>
                <w:highlight w:val="none"/>
              </w:rPr>
              <w:t>一般行政管理事务</w:t>
            </w:r>
          </w:p>
        </w:tc>
        <w:tc>
          <w:tcPr>
            <w:tcW w:w="982" w:type="dxa"/>
            <w:vAlign w:val="top"/>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Cs w:val="21"/>
                <w:highlight w:val="none"/>
              </w:rPr>
              <w:t>北庭文化研究经费</w:t>
            </w:r>
          </w:p>
        </w:tc>
        <w:tc>
          <w:tcPr>
            <w:tcW w:w="750" w:type="dxa"/>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Cs w:val="21"/>
              </w:rPr>
              <w:t>10</w:t>
            </w:r>
          </w:p>
        </w:tc>
        <w:tc>
          <w:tcPr>
            <w:tcW w:w="569" w:type="dxa"/>
            <w:gridSpan w:val="2"/>
            <w:vAlign w:val="top"/>
          </w:tcPr>
          <w:p>
            <w:pPr>
              <w:widowControl/>
              <w:jc w:val="center"/>
              <w:outlineLvl w:val="1"/>
              <w:rPr>
                <w:rFonts w:ascii="仿宋_GB2312" w:hAnsi="宋体" w:eastAsia="仿宋_GB2312"/>
                <w:kern w:val="0"/>
                <w:sz w:val="18"/>
                <w:szCs w:val="18"/>
              </w:rPr>
            </w:pPr>
          </w:p>
        </w:tc>
        <w:tc>
          <w:tcPr>
            <w:tcW w:w="536" w:type="dxa"/>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Cs w:val="21"/>
              </w:rPr>
              <w:t>10</w:t>
            </w:r>
          </w:p>
        </w:tc>
        <w:tc>
          <w:tcPr>
            <w:tcW w:w="463" w:type="dxa"/>
            <w:vAlign w:val="center"/>
          </w:tcPr>
          <w:p>
            <w:pPr>
              <w:widowControl/>
              <w:jc w:val="center"/>
              <w:outlineLvl w:val="1"/>
              <w:rPr>
                <w:rFonts w:ascii="仿宋_GB2312" w:hAnsi="宋体" w:eastAsia="仿宋_GB2312"/>
                <w:kern w:val="0"/>
                <w:sz w:val="18"/>
                <w:szCs w:val="18"/>
              </w:rPr>
            </w:pPr>
          </w:p>
        </w:tc>
        <w:tc>
          <w:tcPr>
            <w:tcW w:w="495" w:type="dxa"/>
            <w:vAlign w:val="center"/>
          </w:tcPr>
          <w:p>
            <w:pPr>
              <w:widowControl/>
              <w:jc w:val="center"/>
              <w:outlineLvl w:val="1"/>
              <w:rPr>
                <w:rFonts w:ascii="仿宋_GB2312" w:hAnsi="宋体" w:eastAsia="仿宋_GB2312"/>
                <w:kern w:val="0"/>
                <w:sz w:val="18"/>
                <w:szCs w:val="18"/>
              </w:rPr>
            </w:pPr>
          </w:p>
        </w:tc>
        <w:tc>
          <w:tcPr>
            <w:tcW w:w="465" w:type="dxa"/>
            <w:vAlign w:val="center"/>
          </w:tcPr>
          <w:p>
            <w:pPr>
              <w:widowControl/>
              <w:jc w:val="center"/>
              <w:outlineLvl w:val="1"/>
              <w:rPr>
                <w:rFonts w:ascii="仿宋_GB2312" w:hAnsi="宋体" w:eastAsia="仿宋_GB2312"/>
                <w:kern w:val="0"/>
                <w:sz w:val="18"/>
                <w:szCs w:val="18"/>
              </w:rPr>
            </w:pPr>
          </w:p>
        </w:tc>
        <w:tc>
          <w:tcPr>
            <w:tcW w:w="878" w:type="dxa"/>
            <w:gridSpan w:val="2"/>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6" w:type="dxa"/>
            <w:gridSpan w:val="2"/>
            <w:vAlign w:val="top"/>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Cs w:val="21"/>
                <w:highlight w:val="none"/>
              </w:rPr>
              <w:t>207</w:t>
            </w:r>
          </w:p>
        </w:tc>
        <w:tc>
          <w:tcPr>
            <w:tcW w:w="480" w:type="dxa"/>
            <w:vAlign w:val="top"/>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Cs w:val="21"/>
                <w:highlight w:val="none"/>
              </w:rPr>
              <w:t>01</w:t>
            </w:r>
          </w:p>
        </w:tc>
        <w:tc>
          <w:tcPr>
            <w:tcW w:w="540" w:type="dxa"/>
            <w:vAlign w:val="top"/>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Cs w:val="21"/>
                <w:highlight w:val="none"/>
              </w:rPr>
              <w:t>02</w:t>
            </w:r>
          </w:p>
        </w:tc>
        <w:tc>
          <w:tcPr>
            <w:tcW w:w="930" w:type="dxa"/>
            <w:vAlign w:val="top"/>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Cs w:val="21"/>
                <w:highlight w:val="none"/>
              </w:rPr>
              <w:t>一般行政管理事务</w:t>
            </w:r>
          </w:p>
        </w:tc>
        <w:tc>
          <w:tcPr>
            <w:tcW w:w="982" w:type="dxa"/>
            <w:vAlign w:val="top"/>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Cs w:val="21"/>
                <w:highlight w:val="none"/>
              </w:rPr>
              <w:t>奋飞奖</w:t>
            </w:r>
          </w:p>
        </w:tc>
        <w:tc>
          <w:tcPr>
            <w:tcW w:w="750" w:type="dxa"/>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Cs w:val="21"/>
              </w:rPr>
              <w:t>10</w:t>
            </w:r>
          </w:p>
        </w:tc>
        <w:tc>
          <w:tcPr>
            <w:tcW w:w="569" w:type="dxa"/>
            <w:gridSpan w:val="2"/>
            <w:vAlign w:val="top"/>
          </w:tcPr>
          <w:p>
            <w:pPr>
              <w:widowControl/>
              <w:jc w:val="center"/>
              <w:outlineLvl w:val="1"/>
              <w:rPr>
                <w:rFonts w:ascii="仿宋_GB2312" w:hAnsi="宋体" w:eastAsia="仿宋_GB2312"/>
                <w:kern w:val="0"/>
                <w:sz w:val="18"/>
                <w:szCs w:val="18"/>
              </w:rPr>
            </w:pPr>
          </w:p>
        </w:tc>
        <w:tc>
          <w:tcPr>
            <w:tcW w:w="536" w:type="dxa"/>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Cs w:val="21"/>
              </w:rPr>
              <w:t>10</w:t>
            </w:r>
          </w:p>
        </w:tc>
        <w:tc>
          <w:tcPr>
            <w:tcW w:w="463" w:type="dxa"/>
            <w:vAlign w:val="center"/>
          </w:tcPr>
          <w:p>
            <w:pPr>
              <w:widowControl/>
              <w:jc w:val="center"/>
              <w:outlineLvl w:val="1"/>
              <w:rPr>
                <w:rFonts w:ascii="仿宋_GB2312" w:hAnsi="宋体" w:eastAsia="仿宋_GB2312"/>
                <w:kern w:val="0"/>
                <w:sz w:val="18"/>
                <w:szCs w:val="18"/>
              </w:rPr>
            </w:pPr>
          </w:p>
        </w:tc>
        <w:tc>
          <w:tcPr>
            <w:tcW w:w="495" w:type="dxa"/>
            <w:vAlign w:val="center"/>
          </w:tcPr>
          <w:p>
            <w:pPr>
              <w:widowControl/>
              <w:jc w:val="center"/>
              <w:outlineLvl w:val="1"/>
              <w:rPr>
                <w:rFonts w:ascii="仿宋_GB2312" w:hAnsi="宋体" w:eastAsia="仿宋_GB2312"/>
                <w:kern w:val="0"/>
                <w:sz w:val="18"/>
                <w:szCs w:val="18"/>
              </w:rPr>
            </w:pPr>
          </w:p>
        </w:tc>
        <w:tc>
          <w:tcPr>
            <w:tcW w:w="465" w:type="dxa"/>
            <w:vAlign w:val="center"/>
          </w:tcPr>
          <w:p>
            <w:pPr>
              <w:widowControl/>
              <w:jc w:val="center"/>
              <w:outlineLvl w:val="1"/>
              <w:rPr>
                <w:rFonts w:ascii="仿宋_GB2312" w:hAnsi="宋体" w:eastAsia="仿宋_GB2312"/>
                <w:kern w:val="0"/>
                <w:sz w:val="18"/>
                <w:szCs w:val="18"/>
              </w:rPr>
            </w:pPr>
          </w:p>
        </w:tc>
        <w:tc>
          <w:tcPr>
            <w:tcW w:w="878" w:type="dxa"/>
            <w:gridSpan w:val="2"/>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6" w:type="dxa"/>
            <w:gridSpan w:val="2"/>
            <w:vAlign w:val="top"/>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Cs w:val="21"/>
                <w:highlight w:val="none"/>
              </w:rPr>
              <w:t>207</w:t>
            </w:r>
          </w:p>
        </w:tc>
        <w:tc>
          <w:tcPr>
            <w:tcW w:w="480" w:type="dxa"/>
            <w:vAlign w:val="top"/>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Cs w:val="21"/>
                <w:highlight w:val="none"/>
              </w:rPr>
              <w:t>01</w:t>
            </w:r>
          </w:p>
        </w:tc>
        <w:tc>
          <w:tcPr>
            <w:tcW w:w="540" w:type="dxa"/>
            <w:vAlign w:val="top"/>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Cs w:val="21"/>
                <w:highlight w:val="none"/>
              </w:rPr>
              <w:t>02</w:t>
            </w:r>
          </w:p>
        </w:tc>
        <w:tc>
          <w:tcPr>
            <w:tcW w:w="930" w:type="dxa"/>
            <w:vAlign w:val="top"/>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Cs w:val="21"/>
                <w:highlight w:val="none"/>
              </w:rPr>
              <w:t>一般行政管理事务</w:t>
            </w:r>
          </w:p>
        </w:tc>
        <w:tc>
          <w:tcPr>
            <w:tcW w:w="982" w:type="dxa"/>
            <w:vAlign w:val="top"/>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Cs w:val="21"/>
                <w:highlight w:val="none"/>
              </w:rPr>
              <w:t>文艺协会工作经费</w:t>
            </w:r>
          </w:p>
        </w:tc>
        <w:tc>
          <w:tcPr>
            <w:tcW w:w="750" w:type="dxa"/>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Cs w:val="21"/>
              </w:rPr>
              <w:t>50</w:t>
            </w:r>
          </w:p>
        </w:tc>
        <w:tc>
          <w:tcPr>
            <w:tcW w:w="569" w:type="dxa"/>
            <w:gridSpan w:val="2"/>
            <w:vAlign w:val="top"/>
          </w:tcPr>
          <w:p>
            <w:pPr>
              <w:widowControl/>
              <w:jc w:val="center"/>
              <w:outlineLvl w:val="1"/>
              <w:rPr>
                <w:rFonts w:ascii="仿宋_GB2312" w:hAnsi="宋体" w:eastAsia="仿宋_GB2312"/>
                <w:kern w:val="0"/>
                <w:sz w:val="18"/>
                <w:szCs w:val="18"/>
              </w:rPr>
            </w:pPr>
          </w:p>
        </w:tc>
        <w:tc>
          <w:tcPr>
            <w:tcW w:w="536" w:type="dxa"/>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Cs w:val="21"/>
              </w:rPr>
              <w:t>50</w:t>
            </w:r>
          </w:p>
        </w:tc>
        <w:tc>
          <w:tcPr>
            <w:tcW w:w="463" w:type="dxa"/>
            <w:vAlign w:val="center"/>
          </w:tcPr>
          <w:p>
            <w:pPr>
              <w:widowControl/>
              <w:jc w:val="center"/>
              <w:outlineLvl w:val="1"/>
              <w:rPr>
                <w:rFonts w:ascii="仿宋_GB2312" w:hAnsi="宋体" w:eastAsia="仿宋_GB2312"/>
                <w:kern w:val="0"/>
                <w:sz w:val="18"/>
                <w:szCs w:val="18"/>
              </w:rPr>
            </w:pPr>
          </w:p>
        </w:tc>
        <w:tc>
          <w:tcPr>
            <w:tcW w:w="495" w:type="dxa"/>
            <w:vAlign w:val="center"/>
          </w:tcPr>
          <w:p>
            <w:pPr>
              <w:widowControl/>
              <w:jc w:val="center"/>
              <w:outlineLvl w:val="1"/>
              <w:rPr>
                <w:rFonts w:ascii="仿宋_GB2312" w:hAnsi="宋体" w:eastAsia="仿宋_GB2312"/>
                <w:kern w:val="0"/>
                <w:sz w:val="18"/>
                <w:szCs w:val="18"/>
              </w:rPr>
            </w:pPr>
          </w:p>
        </w:tc>
        <w:tc>
          <w:tcPr>
            <w:tcW w:w="465" w:type="dxa"/>
            <w:vAlign w:val="center"/>
          </w:tcPr>
          <w:p>
            <w:pPr>
              <w:widowControl/>
              <w:jc w:val="center"/>
              <w:outlineLvl w:val="1"/>
              <w:rPr>
                <w:rFonts w:ascii="仿宋_GB2312" w:hAnsi="宋体" w:eastAsia="仿宋_GB2312"/>
                <w:kern w:val="0"/>
                <w:sz w:val="18"/>
                <w:szCs w:val="18"/>
              </w:rPr>
            </w:pPr>
          </w:p>
        </w:tc>
        <w:tc>
          <w:tcPr>
            <w:tcW w:w="878" w:type="dxa"/>
            <w:gridSpan w:val="2"/>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6" w:type="dxa"/>
            <w:gridSpan w:val="2"/>
            <w:vAlign w:val="center"/>
          </w:tcPr>
          <w:p>
            <w:pPr>
              <w:widowControl/>
              <w:jc w:val="center"/>
              <w:outlineLvl w:val="1"/>
              <w:rPr>
                <w:rFonts w:ascii="仿宋_GB2312" w:hAnsi="宋体" w:eastAsia="仿宋_GB2312"/>
                <w:kern w:val="0"/>
                <w:sz w:val="18"/>
                <w:szCs w:val="18"/>
              </w:rPr>
            </w:pPr>
          </w:p>
        </w:tc>
        <w:tc>
          <w:tcPr>
            <w:tcW w:w="480" w:type="dxa"/>
            <w:vAlign w:val="center"/>
          </w:tcPr>
          <w:p>
            <w:pPr>
              <w:widowControl/>
              <w:jc w:val="center"/>
              <w:outlineLvl w:val="1"/>
              <w:rPr>
                <w:rFonts w:ascii="仿宋_GB2312" w:hAnsi="宋体" w:eastAsia="仿宋_GB2312"/>
                <w:kern w:val="0"/>
                <w:sz w:val="18"/>
                <w:szCs w:val="18"/>
              </w:rPr>
            </w:pPr>
          </w:p>
        </w:tc>
        <w:tc>
          <w:tcPr>
            <w:tcW w:w="540" w:type="dxa"/>
            <w:vAlign w:val="center"/>
          </w:tcPr>
          <w:p>
            <w:pPr>
              <w:widowControl/>
              <w:jc w:val="center"/>
              <w:outlineLvl w:val="1"/>
              <w:rPr>
                <w:rFonts w:ascii="仿宋_GB2312" w:hAnsi="宋体" w:eastAsia="仿宋_GB2312"/>
                <w:kern w:val="0"/>
                <w:sz w:val="18"/>
                <w:szCs w:val="18"/>
              </w:rPr>
            </w:pPr>
          </w:p>
        </w:tc>
        <w:tc>
          <w:tcPr>
            <w:tcW w:w="930" w:type="dxa"/>
            <w:vAlign w:val="center"/>
          </w:tcPr>
          <w:p>
            <w:pPr>
              <w:widowControl/>
              <w:jc w:val="center"/>
              <w:outlineLvl w:val="1"/>
              <w:rPr>
                <w:rFonts w:ascii="仿宋_GB2312" w:hAnsi="宋体" w:eastAsia="仿宋_GB2312"/>
                <w:kern w:val="0"/>
                <w:sz w:val="18"/>
                <w:szCs w:val="18"/>
              </w:rPr>
            </w:pPr>
          </w:p>
        </w:tc>
        <w:tc>
          <w:tcPr>
            <w:tcW w:w="982"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463" w:type="dxa"/>
            <w:vAlign w:val="center"/>
          </w:tcPr>
          <w:p>
            <w:pPr>
              <w:widowControl/>
              <w:jc w:val="center"/>
              <w:outlineLvl w:val="1"/>
              <w:rPr>
                <w:rFonts w:ascii="仿宋_GB2312" w:hAnsi="宋体" w:eastAsia="仿宋_GB2312"/>
                <w:kern w:val="0"/>
                <w:sz w:val="18"/>
                <w:szCs w:val="18"/>
              </w:rPr>
            </w:pPr>
          </w:p>
        </w:tc>
        <w:tc>
          <w:tcPr>
            <w:tcW w:w="495" w:type="dxa"/>
            <w:vAlign w:val="center"/>
          </w:tcPr>
          <w:p>
            <w:pPr>
              <w:widowControl/>
              <w:jc w:val="center"/>
              <w:outlineLvl w:val="1"/>
              <w:rPr>
                <w:rFonts w:ascii="仿宋_GB2312" w:hAnsi="宋体" w:eastAsia="仿宋_GB2312"/>
                <w:kern w:val="0"/>
                <w:sz w:val="18"/>
                <w:szCs w:val="18"/>
              </w:rPr>
            </w:pPr>
          </w:p>
        </w:tc>
        <w:tc>
          <w:tcPr>
            <w:tcW w:w="465" w:type="dxa"/>
            <w:vAlign w:val="center"/>
          </w:tcPr>
          <w:p>
            <w:pPr>
              <w:widowControl/>
              <w:jc w:val="center"/>
              <w:outlineLvl w:val="1"/>
              <w:rPr>
                <w:rFonts w:ascii="仿宋_GB2312" w:hAnsi="宋体" w:eastAsia="仿宋_GB2312"/>
                <w:kern w:val="0"/>
                <w:sz w:val="18"/>
                <w:szCs w:val="18"/>
              </w:rPr>
            </w:pPr>
          </w:p>
        </w:tc>
        <w:tc>
          <w:tcPr>
            <w:tcW w:w="878" w:type="dxa"/>
            <w:gridSpan w:val="2"/>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6" w:type="dxa"/>
            <w:gridSpan w:val="2"/>
            <w:vAlign w:val="center"/>
          </w:tcPr>
          <w:p>
            <w:pPr>
              <w:widowControl/>
              <w:jc w:val="center"/>
              <w:outlineLvl w:val="1"/>
              <w:rPr>
                <w:rFonts w:ascii="仿宋_GB2312" w:hAnsi="宋体" w:eastAsia="仿宋_GB2312"/>
                <w:kern w:val="0"/>
                <w:sz w:val="18"/>
                <w:szCs w:val="18"/>
              </w:rPr>
            </w:pPr>
          </w:p>
        </w:tc>
        <w:tc>
          <w:tcPr>
            <w:tcW w:w="480" w:type="dxa"/>
            <w:vAlign w:val="center"/>
          </w:tcPr>
          <w:p>
            <w:pPr>
              <w:widowControl/>
              <w:jc w:val="center"/>
              <w:outlineLvl w:val="1"/>
              <w:rPr>
                <w:rFonts w:ascii="仿宋_GB2312" w:hAnsi="宋体" w:eastAsia="仿宋_GB2312"/>
                <w:kern w:val="0"/>
                <w:sz w:val="18"/>
                <w:szCs w:val="18"/>
              </w:rPr>
            </w:pPr>
          </w:p>
        </w:tc>
        <w:tc>
          <w:tcPr>
            <w:tcW w:w="540" w:type="dxa"/>
            <w:vAlign w:val="center"/>
          </w:tcPr>
          <w:p>
            <w:pPr>
              <w:widowControl/>
              <w:jc w:val="center"/>
              <w:outlineLvl w:val="1"/>
              <w:rPr>
                <w:rFonts w:ascii="仿宋_GB2312" w:hAnsi="宋体" w:eastAsia="仿宋_GB2312"/>
                <w:kern w:val="0"/>
                <w:sz w:val="18"/>
                <w:szCs w:val="18"/>
              </w:rPr>
            </w:pPr>
          </w:p>
        </w:tc>
        <w:tc>
          <w:tcPr>
            <w:tcW w:w="930" w:type="dxa"/>
            <w:vAlign w:val="center"/>
          </w:tcPr>
          <w:p>
            <w:pPr>
              <w:widowControl/>
              <w:jc w:val="center"/>
              <w:outlineLvl w:val="1"/>
              <w:rPr>
                <w:rFonts w:ascii="仿宋_GB2312" w:hAnsi="宋体" w:eastAsia="仿宋_GB2312"/>
                <w:kern w:val="0"/>
                <w:sz w:val="18"/>
                <w:szCs w:val="18"/>
              </w:rPr>
            </w:pPr>
          </w:p>
        </w:tc>
        <w:tc>
          <w:tcPr>
            <w:tcW w:w="982"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463" w:type="dxa"/>
            <w:vAlign w:val="center"/>
          </w:tcPr>
          <w:p>
            <w:pPr>
              <w:widowControl/>
              <w:jc w:val="center"/>
              <w:outlineLvl w:val="1"/>
              <w:rPr>
                <w:rFonts w:ascii="仿宋_GB2312" w:hAnsi="宋体" w:eastAsia="仿宋_GB2312"/>
                <w:kern w:val="0"/>
                <w:sz w:val="18"/>
                <w:szCs w:val="18"/>
              </w:rPr>
            </w:pPr>
          </w:p>
        </w:tc>
        <w:tc>
          <w:tcPr>
            <w:tcW w:w="495" w:type="dxa"/>
            <w:vAlign w:val="center"/>
          </w:tcPr>
          <w:p>
            <w:pPr>
              <w:widowControl/>
              <w:jc w:val="center"/>
              <w:outlineLvl w:val="1"/>
              <w:rPr>
                <w:rFonts w:ascii="仿宋_GB2312" w:hAnsi="宋体" w:eastAsia="仿宋_GB2312"/>
                <w:kern w:val="0"/>
                <w:sz w:val="18"/>
                <w:szCs w:val="18"/>
              </w:rPr>
            </w:pPr>
          </w:p>
        </w:tc>
        <w:tc>
          <w:tcPr>
            <w:tcW w:w="465" w:type="dxa"/>
            <w:vAlign w:val="center"/>
          </w:tcPr>
          <w:p>
            <w:pPr>
              <w:widowControl/>
              <w:jc w:val="center"/>
              <w:outlineLvl w:val="1"/>
              <w:rPr>
                <w:rFonts w:ascii="仿宋_GB2312" w:hAnsi="宋体" w:eastAsia="仿宋_GB2312"/>
                <w:kern w:val="0"/>
                <w:sz w:val="18"/>
                <w:szCs w:val="18"/>
              </w:rPr>
            </w:pPr>
          </w:p>
        </w:tc>
        <w:tc>
          <w:tcPr>
            <w:tcW w:w="878" w:type="dxa"/>
            <w:gridSpan w:val="2"/>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6" w:type="dxa"/>
            <w:gridSpan w:val="2"/>
            <w:vAlign w:val="center"/>
          </w:tcPr>
          <w:p>
            <w:pPr>
              <w:widowControl/>
              <w:jc w:val="center"/>
              <w:outlineLvl w:val="1"/>
              <w:rPr>
                <w:rFonts w:ascii="仿宋_GB2312" w:hAnsi="宋体" w:eastAsia="仿宋_GB2312"/>
                <w:kern w:val="0"/>
                <w:sz w:val="18"/>
                <w:szCs w:val="18"/>
              </w:rPr>
            </w:pPr>
          </w:p>
        </w:tc>
        <w:tc>
          <w:tcPr>
            <w:tcW w:w="480" w:type="dxa"/>
            <w:vAlign w:val="center"/>
          </w:tcPr>
          <w:p>
            <w:pPr>
              <w:widowControl/>
              <w:jc w:val="center"/>
              <w:outlineLvl w:val="1"/>
              <w:rPr>
                <w:rFonts w:ascii="仿宋_GB2312" w:hAnsi="宋体" w:eastAsia="仿宋_GB2312"/>
                <w:kern w:val="0"/>
                <w:sz w:val="18"/>
                <w:szCs w:val="18"/>
              </w:rPr>
            </w:pPr>
          </w:p>
        </w:tc>
        <w:tc>
          <w:tcPr>
            <w:tcW w:w="540" w:type="dxa"/>
            <w:vAlign w:val="center"/>
          </w:tcPr>
          <w:p>
            <w:pPr>
              <w:widowControl/>
              <w:jc w:val="center"/>
              <w:outlineLvl w:val="1"/>
              <w:rPr>
                <w:rFonts w:ascii="仿宋_GB2312" w:hAnsi="宋体" w:eastAsia="仿宋_GB2312"/>
                <w:kern w:val="0"/>
                <w:sz w:val="18"/>
                <w:szCs w:val="18"/>
              </w:rPr>
            </w:pPr>
          </w:p>
        </w:tc>
        <w:tc>
          <w:tcPr>
            <w:tcW w:w="930" w:type="dxa"/>
            <w:vAlign w:val="center"/>
          </w:tcPr>
          <w:p>
            <w:pPr>
              <w:widowControl/>
              <w:jc w:val="center"/>
              <w:outlineLvl w:val="1"/>
              <w:rPr>
                <w:rFonts w:ascii="仿宋_GB2312" w:hAnsi="宋体" w:eastAsia="仿宋_GB2312"/>
                <w:kern w:val="0"/>
                <w:sz w:val="18"/>
                <w:szCs w:val="18"/>
              </w:rPr>
            </w:pPr>
          </w:p>
        </w:tc>
        <w:tc>
          <w:tcPr>
            <w:tcW w:w="982"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463" w:type="dxa"/>
            <w:vAlign w:val="center"/>
          </w:tcPr>
          <w:p>
            <w:pPr>
              <w:widowControl/>
              <w:jc w:val="center"/>
              <w:outlineLvl w:val="1"/>
              <w:rPr>
                <w:rFonts w:ascii="仿宋_GB2312" w:hAnsi="宋体" w:eastAsia="仿宋_GB2312"/>
                <w:kern w:val="0"/>
                <w:sz w:val="18"/>
                <w:szCs w:val="18"/>
              </w:rPr>
            </w:pPr>
          </w:p>
        </w:tc>
        <w:tc>
          <w:tcPr>
            <w:tcW w:w="495" w:type="dxa"/>
            <w:vAlign w:val="center"/>
          </w:tcPr>
          <w:p>
            <w:pPr>
              <w:widowControl/>
              <w:jc w:val="center"/>
              <w:outlineLvl w:val="1"/>
              <w:rPr>
                <w:rFonts w:ascii="仿宋_GB2312" w:hAnsi="宋体" w:eastAsia="仿宋_GB2312"/>
                <w:kern w:val="0"/>
                <w:sz w:val="18"/>
                <w:szCs w:val="18"/>
              </w:rPr>
            </w:pPr>
          </w:p>
        </w:tc>
        <w:tc>
          <w:tcPr>
            <w:tcW w:w="465" w:type="dxa"/>
            <w:vAlign w:val="center"/>
          </w:tcPr>
          <w:p>
            <w:pPr>
              <w:widowControl/>
              <w:jc w:val="center"/>
              <w:outlineLvl w:val="1"/>
              <w:rPr>
                <w:rFonts w:ascii="仿宋_GB2312" w:hAnsi="宋体" w:eastAsia="仿宋_GB2312"/>
                <w:kern w:val="0"/>
                <w:sz w:val="18"/>
                <w:szCs w:val="18"/>
              </w:rPr>
            </w:pPr>
          </w:p>
        </w:tc>
        <w:tc>
          <w:tcPr>
            <w:tcW w:w="878" w:type="dxa"/>
            <w:gridSpan w:val="2"/>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6" w:type="dxa"/>
            <w:gridSpan w:val="2"/>
            <w:vAlign w:val="center"/>
          </w:tcPr>
          <w:p>
            <w:pPr>
              <w:widowControl/>
              <w:jc w:val="center"/>
              <w:outlineLvl w:val="1"/>
              <w:rPr>
                <w:rFonts w:ascii="仿宋_GB2312" w:hAnsi="宋体" w:eastAsia="仿宋_GB2312"/>
                <w:kern w:val="0"/>
                <w:sz w:val="18"/>
                <w:szCs w:val="18"/>
              </w:rPr>
            </w:pPr>
          </w:p>
        </w:tc>
        <w:tc>
          <w:tcPr>
            <w:tcW w:w="480" w:type="dxa"/>
            <w:vAlign w:val="center"/>
          </w:tcPr>
          <w:p>
            <w:pPr>
              <w:widowControl/>
              <w:jc w:val="center"/>
              <w:outlineLvl w:val="1"/>
              <w:rPr>
                <w:rFonts w:ascii="仿宋_GB2312" w:hAnsi="宋体" w:eastAsia="仿宋_GB2312"/>
                <w:kern w:val="0"/>
                <w:sz w:val="18"/>
                <w:szCs w:val="18"/>
              </w:rPr>
            </w:pPr>
          </w:p>
        </w:tc>
        <w:tc>
          <w:tcPr>
            <w:tcW w:w="540" w:type="dxa"/>
            <w:vAlign w:val="center"/>
          </w:tcPr>
          <w:p>
            <w:pPr>
              <w:widowControl/>
              <w:jc w:val="center"/>
              <w:outlineLvl w:val="1"/>
              <w:rPr>
                <w:rFonts w:ascii="仿宋_GB2312" w:hAnsi="宋体" w:eastAsia="仿宋_GB2312"/>
                <w:kern w:val="0"/>
                <w:sz w:val="18"/>
                <w:szCs w:val="18"/>
              </w:rPr>
            </w:pPr>
          </w:p>
        </w:tc>
        <w:tc>
          <w:tcPr>
            <w:tcW w:w="930" w:type="dxa"/>
            <w:vAlign w:val="center"/>
          </w:tcPr>
          <w:p>
            <w:pPr>
              <w:widowControl/>
              <w:jc w:val="center"/>
              <w:outlineLvl w:val="1"/>
              <w:rPr>
                <w:rFonts w:ascii="仿宋_GB2312" w:hAnsi="宋体" w:eastAsia="仿宋_GB2312"/>
                <w:kern w:val="0"/>
                <w:sz w:val="18"/>
                <w:szCs w:val="18"/>
              </w:rPr>
            </w:pPr>
          </w:p>
        </w:tc>
        <w:tc>
          <w:tcPr>
            <w:tcW w:w="982"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463" w:type="dxa"/>
            <w:vAlign w:val="center"/>
          </w:tcPr>
          <w:p>
            <w:pPr>
              <w:widowControl/>
              <w:jc w:val="center"/>
              <w:outlineLvl w:val="1"/>
              <w:rPr>
                <w:rFonts w:ascii="仿宋_GB2312" w:hAnsi="宋体" w:eastAsia="仿宋_GB2312"/>
                <w:kern w:val="0"/>
                <w:sz w:val="18"/>
                <w:szCs w:val="18"/>
              </w:rPr>
            </w:pPr>
          </w:p>
        </w:tc>
        <w:tc>
          <w:tcPr>
            <w:tcW w:w="495" w:type="dxa"/>
            <w:vAlign w:val="center"/>
          </w:tcPr>
          <w:p>
            <w:pPr>
              <w:widowControl/>
              <w:jc w:val="center"/>
              <w:outlineLvl w:val="1"/>
              <w:rPr>
                <w:rFonts w:ascii="仿宋_GB2312" w:hAnsi="宋体" w:eastAsia="仿宋_GB2312"/>
                <w:kern w:val="0"/>
                <w:sz w:val="18"/>
                <w:szCs w:val="18"/>
              </w:rPr>
            </w:pPr>
          </w:p>
        </w:tc>
        <w:tc>
          <w:tcPr>
            <w:tcW w:w="465" w:type="dxa"/>
            <w:vAlign w:val="center"/>
          </w:tcPr>
          <w:p>
            <w:pPr>
              <w:widowControl/>
              <w:jc w:val="center"/>
              <w:outlineLvl w:val="1"/>
              <w:rPr>
                <w:rFonts w:ascii="仿宋_GB2312" w:hAnsi="宋体" w:eastAsia="仿宋_GB2312"/>
                <w:kern w:val="0"/>
                <w:sz w:val="18"/>
                <w:szCs w:val="18"/>
              </w:rPr>
            </w:pPr>
          </w:p>
        </w:tc>
        <w:tc>
          <w:tcPr>
            <w:tcW w:w="878" w:type="dxa"/>
            <w:gridSpan w:val="2"/>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6" w:type="dxa"/>
            <w:gridSpan w:val="2"/>
            <w:vAlign w:val="center"/>
          </w:tcPr>
          <w:p>
            <w:pPr>
              <w:widowControl/>
              <w:jc w:val="center"/>
              <w:outlineLvl w:val="1"/>
              <w:rPr>
                <w:rFonts w:ascii="仿宋_GB2312" w:hAnsi="宋体" w:eastAsia="仿宋_GB2312"/>
                <w:kern w:val="0"/>
                <w:sz w:val="18"/>
                <w:szCs w:val="18"/>
              </w:rPr>
            </w:pPr>
          </w:p>
        </w:tc>
        <w:tc>
          <w:tcPr>
            <w:tcW w:w="480" w:type="dxa"/>
            <w:vAlign w:val="center"/>
          </w:tcPr>
          <w:p>
            <w:pPr>
              <w:widowControl/>
              <w:jc w:val="center"/>
              <w:outlineLvl w:val="1"/>
              <w:rPr>
                <w:rFonts w:ascii="仿宋_GB2312" w:hAnsi="宋体" w:eastAsia="仿宋_GB2312"/>
                <w:kern w:val="0"/>
                <w:sz w:val="18"/>
                <w:szCs w:val="18"/>
              </w:rPr>
            </w:pPr>
          </w:p>
        </w:tc>
        <w:tc>
          <w:tcPr>
            <w:tcW w:w="540" w:type="dxa"/>
            <w:vAlign w:val="center"/>
          </w:tcPr>
          <w:p>
            <w:pPr>
              <w:widowControl/>
              <w:jc w:val="center"/>
              <w:outlineLvl w:val="1"/>
              <w:rPr>
                <w:rFonts w:ascii="仿宋_GB2312" w:hAnsi="宋体" w:eastAsia="仿宋_GB2312"/>
                <w:kern w:val="0"/>
                <w:sz w:val="18"/>
                <w:szCs w:val="18"/>
              </w:rPr>
            </w:pPr>
          </w:p>
        </w:tc>
        <w:tc>
          <w:tcPr>
            <w:tcW w:w="930" w:type="dxa"/>
            <w:vAlign w:val="center"/>
          </w:tcPr>
          <w:p>
            <w:pPr>
              <w:widowControl/>
              <w:jc w:val="center"/>
              <w:outlineLvl w:val="1"/>
              <w:rPr>
                <w:rFonts w:ascii="仿宋_GB2312" w:hAnsi="宋体" w:eastAsia="仿宋_GB2312"/>
                <w:kern w:val="0"/>
                <w:sz w:val="18"/>
                <w:szCs w:val="18"/>
              </w:rPr>
            </w:pPr>
          </w:p>
        </w:tc>
        <w:tc>
          <w:tcPr>
            <w:tcW w:w="98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80</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80</w:t>
            </w:r>
          </w:p>
        </w:tc>
        <w:tc>
          <w:tcPr>
            <w:tcW w:w="463" w:type="dxa"/>
            <w:vAlign w:val="center"/>
          </w:tcPr>
          <w:p>
            <w:pPr>
              <w:widowControl/>
              <w:jc w:val="center"/>
              <w:outlineLvl w:val="1"/>
              <w:rPr>
                <w:rFonts w:ascii="仿宋_GB2312" w:hAnsi="宋体" w:eastAsia="仿宋_GB2312"/>
                <w:kern w:val="0"/>
                <w:sz w:val="18"/>
                <w:szCs w:val="18"/>
              </w:rPr>
            </w:pPr>
          </w:p>
        </w:tc>
        <w:tc>
          <w:tcPr>
            <w:tcW w:w="495" w:type="dxa"/>
            <w:vAlign w:val="center"/>
          </w:tcPr>
          <w:p>
            <w:pPr>
              <w:widowControl/>
              <w:jc w:val="center"/>
              <w:outlineLvl w:val="1"/>
              <w:rPr>
                <w:rFonts w:ascii="仿宋_GB2312" w:hAnsi="宋体" w:eastAsia="仿宋_GB2312"/>
                <w:kern w:val="0"/>
                <w:sz w:val="18"/>
                <w:szCs w:val="18"/>
              </w:rPr>
            </w:pPr>
          </w:p>
        </w:tc>
        <w:tc>
          <w:tcPr>
            <w:tcW w:w="465" w:type="dxa"/>
            <w:vAlign w:val="center"/>
          </w:tcPr>
          <w:p>
            <w:pPr>
              <w:widowControl/>
              <w:jc w:val="center"/>
              <w:outlineLvl w:val="1"/>
              <w:rPr>
                <w:rFonts w:ascii="仿宋_GB2312" w:hAnsi="宋体" w:eastAsia="仿宋_GB2312"/>
                <w:kern w:val="0"/>
                <w:sz w:val="18"/>
                <w:szCs w:val="18"/>
              </w:rPr>
            </w:pPr>
          </w:p>
        </w:tc>
        <w:tc>
          <w:tcPr>
            <w:tcW w:w="878" w:type="dxa"/>
            <w:gridSpan w:val="2"/>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bl>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 昌吉州文联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240" w:type="dxa"/>
        <w:tblInd w:w="-1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5"/>
        <w:gridCol w:w="1417"/>
        <w:gridCol w:w="1559"/>
        <w:gridCol w:w="1418"/>
        <w:gridCol w:w="1559"/>
        <w:gridCol w:w="17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3.95</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3.95</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3.95</w:t>
            </w: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360" w:lineRule="exact"/>
        <w:jc w:val="center"/>
        <w:outlineLvl w:val="1"/>
        <w:rPr>
          <w:rFonts w:hint="eastAsia"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 xml:space="preserve">编制单位：昌吉州文联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sectPr>
          <w:footerReference r:id="rId3" w:type="even"/>
          <w:pgSz w:w="11906" w:h="16838"/>
          <w:pgMar w:top="2098" w:right="1418" w:bottom="1928" w:left="1588" w:header="851" w:footer="992" w:gutter="0"/>
          <w:pgNumType w:start="1"/>
          <w:cols w:space="720" w:num="1"/>
          <w:docGrid w:linePitch="312" w:charSpace="0"/>
        </w:sectPr>
      </w:pPr>
    </w:p>
    <w:p>
      <w:pPr>
        <w:wordWrap/>
        <w:adjustRightInd/>
        <w:snapToGrid/>
        <w:spacing w:before="0" w:after="0" w:line="516" w:lineRule="exact"/>
        <w:ind w:left="0" w:leftChars="0" w:right="0"/>
        <w:jc w:val="center"/>
        <w:textAlignment w:val="auto"/>
        <w:outlineLvl w:val="9"/>
        <w:rPr>
          <w:rFonts w:ascii="黑体" w:hAnsi="黑体" w:eastAsia="黑体"/>
          <w:kern w:val="0"/>
          <w:sz w:val="32"/>
          <w:szCs w:val="32"/>
        </w:rPr>
      </w:pPr>
      <w:r>
        <w:rPr>
          <w:rFonts w:hint="eastAsia" w:ascii="黑体" w:hAnsi="黑体" w:eastAsia="黑体"/>
          <w:kern w:val="0"/>
          <w:sz w:val="32"/>
          <w:szCs w:val="32"/>
        </w:rPr>
        <w:t>第三部分  2021年昌吉州文联预算情况说明</w:t>
      </w:r>
    </w:p>
    <w:p>
      <w:pPr>
        <w:wordWrap/>
        <w:adjustRightInd/>
        <w:snapToGrid/>
        <w:spacing w:before="0" w:after="0" w:line="516" w:lineRule="exact"/>
        <w:ind w:left="0" w:leftChars="0" w:right="0"/>
        <w:jc w:val="center"/>
        <w:textAlignment w:val="auto"/>
        <w:outlineLvl w:val="9"/>
        <w:rPr>
          <w:rFonts w:ascii="黑体" w:hAnsi="黑体" w:eastAsia="黑体"/>
          <w:kern w:val="0"/>
          <w:sz w:val="32"/>
          <w:szCs w:val="32"/>
        </w:rPr>
      </w:pPr>
    </w:p>
    <w:p>
      <w:pPr>
        <w:wordWrap/>
        <w:adjustRightInd/>
        <w:snapToGrid/>
        <w:spacing w:before="0" w:after="0" w:line="516" w:lineRule="exact"/>
        <w:ind w:left="0" w:leftChars="0" w:right="0" w:firstLine="640" w:firstLineChars="200"/>
        <w:textAlignment w:val="auto"/>
        <w:outlineLvl w:val="9"/>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昌吉州文联2021</w:t>
      </w:r>
      <w:r>
        <w:rPr>
          <w:rFonts w:hint="eastAsia" w:ascii="黑体" w:hAnsi="宋体" w:eastAsia="黑体" w:cs="宋体"/>
          <w:kern w:val="0"/>
          <w:sz w:val="32"/>
          <w:szCs w:val="32"/>
        </w:rPr>
        <w:t>年收支预算情况的总体说明</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按照全口径预算的原则，昌吉州文联2021年所有收入和支出均纳入单位预算管理。收支总预算301.87万元。</w:t>
      </w:r>
    </w:p>
    <w:p>
      <w:pPr>
        <w:widowControl/>
        <w:wordWrap/>
        <w:adjustRightInd/>
        <w:snapToGrid/>
        <w:spacing w:before="0" w:after="0" w:line="516" w:lineRule="exact"/>
        <w:ind w:left="0" w:leftChars="0" w:right="0" w:firstLine="640"/>
        <w:jc w:val="left"/>
        <w:textAlignment w:val="auto"/>
        <w:outlineLvl w:val="9"/>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收入预算包括：一般公共预算301.87万元。</w:t>
      </w:r>
    </w:p>
    <w:p>
      <w:pPr>
        <w:widowControl/>
        <w:wordWrap/>
        <w:adjustRightInd/>
        <w:snapToGrid/>
        <w:spacing w:before="0" w:after="0" w:line="516" w:lineRule="exact"/>
        <w:ind w:left="0" w:leftChars="0" w:right="0" w:firstLine="640"/>
        <w:jc w:val="left"/>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支出预算包括：文化旅游体育与传媒支出258.17万元，社会保障和就业支出19.63万元、卫生健康支出24.07万元。 </w:t>
      </w:r>
    </w:p>
    <w:p>
      <w:pPr>
        <w:wordWrap/>
        <w:adjustRightInd/>
        <w:snapToGrid/>
        <w:spacing w:before="0" w:after="0" w:line="516" w:lineRule="exact"/>
        <w:ind w:left="0" w:leftChars="0" w:right="0" w:firstLine="640" w:firstLineChars="200"/>
        <w:textAlignment w:val="auto"/>
        <w:outlineLvl w:val="9"/>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昌吉州文联2021</w:t>
      </w:r>
      <w:r>
        <w:rPr>
          <w:rFonts w:hint="eastAsia" w:ascii="黑体" w:hAnsi="宋体" w:eastAsia="黑体" w:cs="宋体"/>
          <w:kern w:val="0"/>
          <w:sz w:val="32"/>
          <w:szCs w:val="32"/>
        </w:rPr>
        <w:t>年收入预算情况说明</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昌吉州文联收入预算301.87万元，其中：</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rPr>
        <w:t>一般公共预算301.87万元，占100%，</w:t>
      </w:r>
      <w:r>
        <w:rPr>
          <w:rFonts w:hint="eastAsia" w:ascii="仿宋_GB2312" w:hAnsi="宋体" w:eastAsia="仿宋_GB2312" w:cs="宋体"/>
          <w:kern w:val="0"/>
          <w:sz w:val="32"/>
          <w:szCs w:val="32"/>
          <w:highlight w:val="none"/>
        </w:rPr>
        <w:t>比上年</w:t>
      </w:r>
      <w:r>
        <w:rPr>
          <w:rFonts w:hint="eastAsia" w:ascii="仿宋_GB2312" w:hAnsi="宋体" w:eastAsia="仿宋_GB2312" w:cs="宋体"/>
          <w:kern w:val="0"/>
          <w:sz w:val="32"/>
          <w:szCs w:val="32"/>
          <w:highlight w:val="none"/>
          <w:lang w:val="en-US" w:eastAsia="zh-CN"/>
        </w:rPr>
        <w:t>预算数</w:t>
      </w:r>
      <w:r>
        <w:rPr>
          <w:rFonts w:hint="eastAsia" w:ascii="仿宋_GB2312" w:hAnsi="宋体" w:eastAsia="仿宋_GB2312" w:cs="宋体"/>
          <w:kern w:val="0"/>
          <w:sz w:val="32"/>
          <w:szCs w:val="32"/>
          <w:highlight w:val="none"/>
        </w:rPr>
        <w:t>增加24.32 万元，主要原因是调进1人及人员增资部分。</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政府性基金预算未安排。</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国有资本经营预算未安排。</w:t>
      </w:r>
    </w:p>
    <w:p>
      <w:pPr>
        <w:wordWrap/>
        <w:adjustRightInd/>
        <w:snapToGrid/>
        <w:spacing w:before="0" w:after="0" w:line="516" w:lineRule="exact"/>
        <w:ind w:left="0" w:leftChars="0" w:right="0" w:firstLine="640" w:firstLineChars="200"/>
        <w:textAlignment w:val="auto"/>
        <w:outlineLvl w:val="9"/>
        <w:rPr>
          <w:rFonts w:ascii="黑体" w:hAnsi="宋体" w:eastAsia="黑体" w:cs="宋体"/>
          <w:kern w:val="0"/>
          <w:sz w:val="32"/>
          <w:szCs w:val="32"/>
          <w:highlight w:val="none"/>
        </w:rPr>
      </w:pPr>
      <w:r>
        <w:rPr>
          <w:rFonts w:hint="eastAsia" w:ascii="黑体" w:hAnsi="宋体" w:eastAsia="黑体" w:cs="宋体"/>
          <w:kern w:val="0"/>
          <w:sz w:val="32"/>
          <w:szCs w:val="32"/>
          <w:highlight w:val="none"/>
        </w:rPr>
        <w:t>三、关于</w:t>
      </w:r>
      <w:r>
        <w:rPr>
          <w:rFonts w:hint="eastAsia" w:ascii="黑体" w:hAnsi="黑体" w:eastAsia="黑体"/>
          <w:kern w:val="0"/>
          <w:sz w:val="32"/>
          <w:szCs w:val="32"/>
          <w:highlight w:val="none"/>
        </w:rPr>
        <w:t>昌吉州文联2021</w:t>
      </w:r>
      <w:r>
        <w:rPr>
          <w:rFonts w:hint="eastAsia" w:ascii="黑体" w:hAnsi="宋体" w:eastAsia="黑体" w:cs="宋体"/>
          <w:kern w:val="0"/>
          <w:sz w:val="32"/>
          <w:szCs w:val="32"/>
          <w:highlight w:val="none"/>
        </w:rPr>
        <w:t>年支出预算情况说明</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昌吉州文联2021年支出预算301.87万元，其中：</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highlight w:val="none"/>
        </w:rPr>
        <w:t>基本支出221.87万元，占73.5%，比上年</w:t>
      </w:r>
      <w:r>
        <w:rPr>
          <w:rFonts w:hint="eastAsia" w:ascii="仿宋_GB2312" w:hAnsi="宋体" w:eastAsia="仿宋_GB2312" w:cs="宋体"/>
          <w:kern w:val="0"/>
          <w:sz w:val="32"/>
          <w:szCs w:val="32"/>
          <w:highlight w:val="none"/>
          <w:lang w:eastAsia="zh-CN"/>
        </w:rPr>
        <w:t>预算数</w:t>
      </w:r>
      <w:r>
        <w:rPr>
          <w:rFonts w:hint="eastAsia" w:ascii="仿宋_GB2312" w:hAnsi="宋体" w:eastAsia="仿宋_GB2312" w:cs="宋体"/>
          <w:kern w:val="0"/>
          <w:sz w:val="32"/>
          <w:szCs w:val="32"/>
          <w:highlight w:val="none"/>
        </w:rPr>
        <w:t>增加24.32万元，主要原因是调进1人及人员增资部分。</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项目支出80万元，占26.5%，比上年</w:t>
      </w:r>
      <w:r>
        <w:rPr>
          <w:rFonts w:hint="eastAsia" w:ascii="仿宋_GB2312" w:hAnsi="宋体" w:eastAsia="仿宋_GB2312" w:cs="宋体"/>
          <w:kern w:val="0"/>
          <w:sz w:val="32"/>
          <w:szCs w:val="32"/>
          <w:highlight w:val="none"/>
          <w:lang w:eastAsia="zh-CN"/>
        </w:rPr>
        <w:t>预算数</w:t>
      </w:r>
      <w:r>
        <w:rPr>
          <w:rFonts w:hint="eastAsia" w:ascii="仿宋_GB2312" w:hAnsi="宋体" w:eastAsia="仿宋_GB2312" w:cs="宋体"/>
          <w:kern w:val="0"/>
          <w:sz w:val="32"/>
          <w:szCs w:val="32"/>
          <w:highlight w:val="none"/>
        </w:rPr>
        <w:t>增加0万元，</w:t>
      </w:r>
      <w:r>
        <w:rPr>
          <w:rFonts w:hint="eastAsia" w:ascii="仿宋_GB2312" w:hAnsi="宋体" w:eastAsia="仿宋_GB2312" w:cs="宋体"/>
          <w:kern w:val="0"/>
          <w:sz w:val="32"/>
          <w:szCs w:val="32"/>
          <w:lang w:eastAsia="zh-CN"/>
        </w:rPr>
        <w:t>主要原因是项目</w:t>
      </w:r>
      <w:r>
        <w:rPr>
          <w:rFonts w:hint="eastAsia" w:ascii="仿宋_GB2312" w:hAnsi="宋体" w:eastAsia="仿宋_GB2312" w:cs="宋体"/>
          <w:kern w:val="0"/>
          <w:sz w:val="32"/>
          <w:szCs w:val="32"/>
        </w:rPr>
        <w:t>与上年</w:t>
      </w:r>
      <w:r>
        <w:rPr>
          <w:rFonts w:hint="eastAsia" w:ascii="仿宋_GB2312" w:hAnsi="宋体" w:eastAsia="仿宋_GB2312" w:cs="宋体"/>
          <w:kern w:val="0"/>
          <w:sz w:val="32"/>
          <w:szCs w:val="32"/>
          <w:lang w:val="en-US" w:eastAsia="zh-CN"/>
        </w:rPr>
        <w:t>保持</w:t>
      </w:r>
      <w:r>
        <w:rPr>
          <w:rFonts w:hint="eastAsia" w:ascii="仿宋_GB2312" w:hAnsi="宋体" w:eastAsia="仿宋_GB2312" w:cs="宋体"/>
          <w:kern w:val="0"/>
          <w:sz w:val="32"/>
          <w:szCs w:val="32"/>
        </w:rPr>
        <w:t>一致</w:t>
      </w:r>
      <w:r>
        <w:rPr>
          <w:rFonts w:hint="eastAsia" w:ascii="仿宋_GB2312" w:hAnsi="宋体" w:eastAsia="仿宋_GB2312" w:cs="宋体"/>
          <w:kern w:val="0"/>
          <w:sz w:val="32"/>
          <w:szCs w:val="32"/>
          <w:lang w:eastAsia="zh-CN"/>
        </w:rPr>
        <w:t>。</w:t>
      </w:r>
    </w:p>
    <w:p>
      <w:pPr>
        <w:wordWrap/>
        <w:adjustRightInd/>
        <w:snapToGrid/>
        <w:spacing w:before="0" w:after="0" w:line="516" w:lineRule="exact"/>
        <w:ind w:left="0" w:leftChars="0" w:right="0" w:firstLine="640" w:firstLineChars="200"/>
        <w:textAlignment w:val="auto"/>
        <w:outlineLvl w:val="9"/>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昌吉州文联2021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highlight w:val="none"/>
        </w:rPr>
        <w:t>昌吉州文联</w:t>
      </w:r>
      <w:r>
        <w:rPr>
          <w:rFonts w:hint="eastAsia" w:ascii="仿宋_GB2312" w:hAnsi="宋体" w:eastAsia="仿宋_GB2312" w:cs="宋体"/>
          <w:kern w:val="0"/>
          <w:sz w:val="32"/>
          <w:szCs w:val="32"/>
        </w:rPr>
        <w:t>2021年财政拨款收支总预算301.87万元。</w:t>
      </w:r>
    </w:p>
    <w:p>
      <w:pPr>
        <w:wordWrap/>
        <w:adjustRightInd/>
        <w:snapToGrid/>
        <w:spacing w:before="0" w:after="0" w:line="516" w:lineRule="exact"/>
        <w:ind w:left="0" w:leftChars="0" w:right="0" w:firstLine="616" w:firstLineChars="200"/>
        <w:textAlignment w:val="auto"/>
        <w:outlineLvl w:val="9"/>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wordWrap/>
        <w:adjustRightInd/>
        <w:snapToGrid/>
        <w:spacing w:before="0" w:after="0" w:line="516" w:lineRule="exact"/>
        <w:ind w:left="0" w:leftChars="0" w:right="0" w:firstLine="616" w:firstLineChars="200"/>
        <w:textAlignment w:val="auto"/>
        <w:outlineLvl w:val="9"/>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收入预算包括：一般公共预算拨款301.87万元。</w:t>
      </w:r>
    </w:p>
    <w:p>
      <w:pPr>
        <w:wordWrap/>
        <w:adjustRightInd/>
        <w:snapToGrid/>
        <w:spacing w:before="0" w:after="0" w:line="516" w:lineRule="exact"/>
        <w:ind w:left="0" w:leftChars="0" w:right="0" w:firstLine="616"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spacing w:val="-6"/>
          <w:kern w:val="0"/>
          <w:sz w:val="32"/>
          <w:szCs w:val="32"/>
        </w:rPr>
        <w:t>一般公共预算支出包括：</w:t>
      </w:r>
      <w:r>
        <w:rPr>
          <w:rFonts w:hint="eastAsia" w:ascii="仿宋_GB2312" w:hAnsi="宋体" w:eastAsia="仿宋_GB2312" w:cs="宋体"/>
          <w:kern w:val="0"/>
          <w:sz w:val="32"/>
          <w:szCs w:val="32"/>
        </w:rPr>
        <w:t>文化旅游体育与传媒支出258.17万元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主要用于人员经费支出和专项业务经费支出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社会保障和就业支出19.63万元，</w:t>
      </w:r>
      <w:r>
        <w:rPr>
          <w:rFonts w:hint="eastAsia" w:ascii="仿宋_GB2312" w:hAnsi="宋体" w:eastAsia="仿宋_GB2312" w:cs="宋体"/>
          <w:spacing w:val="-6"/>
          <w:kern w:val="0"/>
          <w:sz w:val="32"/>
          <w:szCs w:val="32"/>
        </w:rPr>
        <w:t>主要用于</w:t>
      </w:r>
      <w:r>
        <w:rPr>
          <w:rFonts w:hint="eastAsia" w:ascii="仿宋_GB2312" w:hAnsi="宋体" w:eastAsia="仿宋_GB2312" w:cs="宋体"/>
          <w:kern w:val="0"/>
          <w:sz w:val="32"/>
          <w:szCs w:val="32"/>
        </w:rPr>
        <w:t>事业单位基本养老保险缴费支出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 xml:space="preserve">医疗卫生健康支出24.07万元，主要用于工资福利医疗、医疗补助及其他社保支出。 </w:t>
      </w:r>
    </w:p>
    <w:p>
      <w:pPr>
        <w:wordWrap/>
        <w:adjustRightInd/>
        <w:snapToGrid/>
        <w:spacing w:before="0" w:after="0" w:line="516" w:lineRule="exact"/>
        <w:ind w:left="0" w:leftChars="0" w:right="0" w:firstLine="640" w:firstLineChars="200"/>
        <w:textAlignment w:val="auto"/>
        <w:outlineLvl w:val="9"/>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昌吉州文联2021</w:t>
      </w:r>
      <w:r>
        <w:rPr>
          <w:rFonts w:hint="eastAsia" w:ascii="黑体" w:hAnsi="宋体" w:eastAsia="黑体" w:cs="宋体"/>
          <w:kern w:val="0"/>
          <w:sz w:val="32"/>
          <w:szCs w:val="32"/>
        </w:rPr>
        <w:t>年一般公共预算当年拨款情况说明</w:t>
      </w:r>
    </w:p>
    <w:p>
      <w:pPr>
        <w:wordWrap/>
        <w:adjustRightInd/>
        <w:snapToGrid/>
        <w:spacing w:before="0" w:after="0" w:line="516" w:lineRule="exact"/>
        <w:ind w:left="0" w:leftChars="0" w:right="0" w:firstLine="643" w:firstLineChars="200"/>
        <w:textAlignment w:val="auto"/>
        <w:outlineLvl w:val="9"/>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昌吉州文联2021年一般公共预算拨款合计301.87万元，其中：基本支出221.87万元，比上年预算增加24.32万元，增长8.7%。主要原因是：年初调进1人及人员增资部分。项目支出80万元，比上年预算</w:t>
      </w:r>
      <w:r>
        <w:rPr>
          <w:rFonts w:hint="eastAsia" w:ascii="仿宋_GB2312" w:hAnsi="宋体" w:eastAsia="仿宋_GB2312" w:cs="宋体"/>
          <w:kern w:val="0"/>
          <w:sz w:val="32"/>
          <w:szCs w:val="32"/>
          <w:lang w:eastAsia="zh-CN"/>
        </w:rPr>
        <w:t>数</w:t>
      </w:r>
      <w:r>
        <w:rPr>
          <w:rFonts w:hint="eastAsia" w:ascii="仿宋_GB2312" w:hAnsi="宋体" w:eastAsia="仿宋_GB2312" w:cs="宋体"/>
          <w:kern w:val="0"/>
          <w:sz w:val="32"/>
          <w:szCs w:val="32"/>
          <w:highlight w:val="none"/>
        </w:rPr>
        <w:t>增加0万元，增长</w:t>
      </w:r>
      <w:r>
        <w:rPr>
          <w:rFonts w:hint="eastAsia" w:ascii="仿宋_GB2312" w:hAnsi="宋体" w:eastAsia="仿宋_GB2312" w:cs="宋体"/>
          <w:kern w:val="0"/>
          <w:sz w:val="32"/>
          <w:szCs w:val="32"/>
        </w:rPr>
        <w:t>0%。</w:t>
      </w:r>
      <w:r>
        <w:rPr>
          <w:rFonts w:hint="eastAsia" w:ascii="仿宋_GB2312" w:hAnsi="宋体" w:eastAsia="仿宋_GB2312" w:cs="宋体"/>
          <w:kern w:val="0"/>
          <w:sz w:val="32"/>
          <w:szCs w:val="32"/>
          <w:lang w:eastAsia="zh-CN"/>
        </w:rPr>
        <w:t>主要原因是项目</w:t>
      </w:r>
      <w:r>
        <w:rPr>
          <w:rFonts w:hint="eastAsia" w:ascii="仿宋_GB2312" w:hAnsi="宋体" w:eastAsia="仿宋_GB2312" w:cs="宋体"/>
          <w:kern w:val="0"/>
          <w:sz w:val="32"/>
          <w:szCs w:val="32"/>
        </w:rPr>
        <w:t>与上年</w:t>
      </w:r>
      <w:r>
        <w:rPr>
          <w:rFonts w:hint="eastAsia" w:ascii="仿宋_GB2312" w:hAnsi="宋体" w:eastAsia="仿宋_GB2312" w:cs="宋体"/>
          <w:kern w:val="0"/>
          <w:sz w:val="32"/>
          <w:szCs w:val="32"/>
          <w:lang w:val="en-US" w:eastAsia="zh-CN"/>
        </w:rPr>
        <w:t>保持</w:t>
      </w:r>
      <w:r>
        <w:rPr>
          <w:rFonts w:hint="eastAsia" w:ascii="仿宋_GB2312" w:hAnsi="宋体" w:eastAsia="仿宋_GB2312" w:cs="宋体"/>
          <w:kern w:val="0"/>
          <w:sz w:val="32"/>
          <w:szCs w:val="32"/>
        </w:rPr>
        <w:t>一致</w:t>
      </w:r>
      <w:r>
        <w:rPr>
          <w:rFonts w:hint="eastAsia" w:ascii="仿宋_GB2312" w:hAnsi="宋体" w:eastAsia="仿宋_GB2312" w:cs="宋体"/>
          <w:kern w:val="0"/>
          <w:sz w:val="32"/>
          <w:szCs w:val="32"/>
          <w:lang w:eastAsia="zh-CN"/>
        </w:rPr>
        <w:t>。</w:t>
      </w:r>
    </w:p>
    <w:p>
      <w:pPr>
        <w:wordWrap/>
        <w:adjustRightInd/>
        <w:snapToGrid/>
        <w:spacing w:before="0" w:after="0" w:line="516" w:lineRule="exact"/>
        <w:ind w:left="0" w:leftChars="0" w:right="0" w:firstLine="643" w:firstLineChars="200"/>
        <w:textAlignment w:val="auto"/>
        <w:outlineLvl w:val="9"/>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eastAsia="仿宋_GB2312"/>
          <w:sz w:val="32"/>
          <w:szCs w:val="32"/>
        </w:rPr>
        <w:t>1.文化旅游体育和传媒支出258.17万元，占85.5%。</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2.社会保障和就业支出</w:t>
      </w:r>
      <w:r>
        <w:rPr>
          <w:rFonts w:hint="eastAsia" w:ascii="仿宋_GB2312" w:eastAsia="仿宋_GB2312"/>
          <w:sz w:val="32"/>
          <w:szCs w:val="32"/>
        </w:rPr>
        <w:t>19.63万元，占</w:t>
      </w:r>
      <w:r>
        <w:rPr>
          <w:rFonts w:hint="eastAsia" w:ascii="仿宋_GB2312" w:hAnsi="宋体" w:eastAsia="仿宋_GB2312" w:cs="宋体"/>
          <w:kern w:val="0"/>
          <w:sz w:val="32"/>
          <w:szCs w:val="32"/>
        </w:rPr>
        <w:t>6.5%。</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3.卫生健康支出24.07万元，</w:t>
      </w:r>
      <w:r>
        <w:rPr>
          <w:rFonts w:hint="eastAsia" w:ascii="仿宋_GB2312" w:eastAsia="仿宋_GB2312"/>
          <w:sz w:val="32"/>
          <w:szCs w:val="32"/>
        </w:rPr>
        <w:t>占</w:t>
      </w:r>
      <w:r>
        <w:rPr>
          <w:rFonts w:hint="eastAsia" w:ascii="仿宋_GB2312" w:hAnsi="宋体" w:eastAsia="仿宋_GB2312" w:cs="宋体"/>
          <w:kern w:val="0"/>
          <w:sz w:val="32"/>
          <w:szCs w:val="32"/>
        </w:rPr>
        <w:t>8%。</w:t>
      </w:r>
    </w:p>
    <w:p>
      <w:pPr>
        <w:wordWrap/>
        <w:adjustRightInd/>
        <w:snapToGrid/>
        <w:spacing w:before="0" w:after="0" w:line="516" w:lineRule="exact"/>
        <w:ind w:left="0" w:leftChars="0" w:right="0" w:firstLine="643" w:firstLineChars="200"/>
        <w:textAlignment w:val="auto"/>
        <w:outlineLvl w:val="9"/>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rPr>
        <w:t>1</w:t>
      </w:r>
      <w:r>
        <w:rPr>
          <w:rFonts w:hint="eastAsia" w:ascii="仿宋_GB2312" w:hAnsi="宋体" w:eastAsia="仿宋_GB2312" w:cs="宋体"/>
          <w:kern w:val="0"/>
          <w:sz w:val="32"/>
          <w:szCs w:val="32"/>
          <w:highlight w:val="none"/>
        </w:rPr>
        <w:t>.</w:t>
      </w:r>
      <w:r>
        <w:rPr>
          <w:rFonts w:hint="eastAsia" w:ascii="仿宋_GB2312" w:eastAsia="仿宋_GB2312"/>
          <w:sz w:val="32"/>
          <w:szCs w:val="32"/>
          <w:highlight w:val="none"/>
        </w:rPr>
        <w:t>文化旅游体育和传媒支出</w:t>
      </w:r>
      <w:r>
        <w:rPr>
          <w:rFonts w:ascii="仿宋_GB2312" w:hAnsi="宋体" w:eastAsia="仿宋_GB2312" w:cs="宋体"/>
          <w:kern w:val="0"/>
          <w:sz w:val="32"/>
          <w:szCs w:val="32"/>
          <w:highlight w:val="none"/>
        </w:rPr>
        <w:t>（类）</w:t>
      </w:r>
      <w:r>
        <w:rPr>
          <w:rFonts w:hint="eastAsia" w:ascii="仿宋_GB2312" w:hAnsi="宋体" w:eastAsia="仿宋_GB2312" w:cs="宋体"/>
          <w:kern w:val="0"/>
          <w:sz w:val="32"/>
          <w:szCs w:val="32"/>
          <w:highlight w:val="none"/>
          <w:lang w:val="en-US" w:eastAsia="zh-CN"/>
        </w:rPr>
        <w:t>文化和旅游</w:t>
      </w:r>
      <w:r>
        <w:rPr>
          <w:rFonts w:ascii="仿宋_GB2312" w:hAnsi="宋体" w:eastAsia="仿宋_GB2312" w:cs="宋体"/>
          <w:kern w:val="0"/>
          <w:sz w:val="32"/>
          <w:szCs w:val="32"/>
          <w:highlight w:val="none"/>
        </w:rPr>
        <w:t>（款）行政运行（项）:</w:t>
      </w:r>
      <w:r>
        <w:rPr>
          <w:rFonts w:hint="eastAsia" w:ascii="仿宋_GB2312" w:hAnsi="宋体" w:eastAsia="仿宋_GB2312" w:cs="宋体"/>
          <w:kern w:val="0"/>
          <w:sz w:val="32"/>
          <w:szCs w:val="32"/>
          <w:highlight w:val="none"/>
        </w:rPr>
        <w:t>2021</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rPr>
        <w:t>178.17</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比上年预算数增加17.22万元，增长10.7%，主要原因是：年初调进1人及人员增资部分。</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eastAsia="仿宋_GB2312"/>
          <w:sz w:val="32"/>
          <w:szCs w:val="32"/>
          <w:highlight w:val="none"/>
          <w:lang w:val="en-US" w:eastAsia="zh-CN"/>
        </w:rPr>
        <w:t>2.</w:t>
      </w:r>
      <w:r>
        <w:rPr>
          <w:rFonts w:hint="eastAsia" w:ascii="仿宋_GB2312" w:eastAsia="仿宋_GB2312"/>
          <w:sz w:val="32"/>
          <w:szCs w:val="32"/>
          <w:highlight w:val="none"/>
        </w:rPr>
        <w:t>文化旅游体育和传媒支出</w:t>
      </w:r>
      <w:r>
        <w:rPr>
          <w:rFonts w:ascii="仿宋_GB2312" w:hAnsi="宋体" w:eastAsia="仿宋_GB2312" w:cs="宋体"/>
          <w:kern w:val="0"/>
          <w:sz w:val="32"/>
          <w:szCs w:val="32"/>
          <w:highlight w:val="none"/>
        </w:rPr>
        <w:t>（类）</w:t>
      </w:r>
      <w:r>
        <w:rPr>
          <w:rFonts w:hint="eastAsia" w:ascii="仿宋_GB2312" w:hAnsi="宋体" w:eastAsia="仿宋_GB2312" w:cs="宋体"/>
          <w:kern w:val="0"/>
          <w:sz w:val="32"/>
          <w:szCs w:val="32"/>
          <w:highlight w:val="none"/>
          <w:lang w:val="en-US" w:eastAsia="zh-CN"/>
        </w:rPr>
        <w:t>文化和旅游</w:t>
      </w:r>
      <w:r>
        <w:rPr>
          <w:rFonts w:ascii="仿宋_GB2312" w:hAnsi="宋体" w:eastAsia="仿宋_GB2312" w:cs="宋体"/>
          <w:kern w:val="0"/>
          <w:sz w:val="32"/>
          <w:szCs w:val="32"/>
          <w:highlight w:val="none"/>
        </w:rPr>
        <w:t>（款）</w:t>
      </w:r>
      <w:r>
        <w:rPr>
          <w:rFonts w:hint="eastAsia" w:ascii="仿宋_GB2312" w:eastAsia="仿宋_GB2312"/>
          <w:sz w:val="32"/>
          <w:szCs w:val="32"/>
          <w:highlight w:val="none"/>
        </w:rPr>
        <w:t>一般行政管理事务(项)</w:t>
      </w:r>
      <w:r>
        <w:rPr>
          <w:rFonts w:hint="eastAsia" w:ascii="仿宋_GB2312" w:eastAsia="仿宋_GB2312"/>
          <w:sz w:val="32"/>
          <w:szCs w:val="32"/>
          <w:highlight w:val="none"/>
          <w:lang w:val="en-US" w:eastAsia="zh-CN"/>
        </w:rPr>
        <w:t>:</w:t>
      </w:r>
      <w:r>
        <w:rPr>
          <w:rFonts w:hint="eastAsia" w:ascii="仿宋_GB2312" w:hAnsi="宋体" w:eastAsia="仿宋_GB2312" w:cs="宋体"/>
          <w:kern w:val="0"/>
          <w:sz w:val="32"/>
          <w:szCs w:val="32"/>
          <w:highlight w:val="none"/>
        </w:rPr>
        <w:t>2021</w:t>
      </w:r>
      <w:r>
        <w:rPr>
          <w:rFonts w:ascii="仿宋_GB2312" w:hAnsi="宋体" w:eastAsia="仿宋_GB2312" w:cs="宋体"/>
          <w:kern w:val="0"/>
          <w:sz w:val="32"/>
          <w:szCs w:val="32"/>
          <w:highlight w:val="none"/>
        </w:rPr>
        <w:t>年预算数为</w:t>
      </w:r>
      <w:r>
        <w:rPr>
          <w:rFonts w:hint="eastAsia" w:ascii="仿宋_GB2312" w:eastAsia="仿宋_GB2312"/>
          <w:sz w:val="32"/>
          <w:szCs w:val="32"/>
          <w:highlight w:val="none"/>
        </w:rPr>
        <w:t>80万元，</w:t>
      </w:r>
      <w:r>
        <w:rPr>
          <w:rFonts w:hint="eastAsia" w:ascii="仿宋_GB2312" w:hAnsi="宋体" w:eastAsia="仿宋_GB2312" w:cs="宋体"/>
          <w:kern w:val="0"/>
          <w:sz w:val="32"/>
          <w:szCs w:val="32"/>
          <w:highlight w:val="none"/>
        </w:rPr>
        <w:t>比上年预算增加0万元，增长0%。主要原因是：</w:t>
      </w:r>
      <w:r>
        <w:rPr>
          <w:rFonts w:hint="eastAsia" w:ascii="仿宋_GB2312" w:hAnsi="宋体" w:eastAsia="仿宋_GB2312" w:cs="宋体"/>
          <w:kern w:val="0"/>
          <w:sz w:val="32"/>
          <w:szCs w:val="32"/>
          <w:lang w:eastAsia="zh-CN"/>
        </w:rPr>
        <w:t>项目</w:t>
      </w:r>
      <w:r>
        <w:rPr>
          <w:rFonts w:hint="eastAsia" w:ascii="仿宋_GB2312" w:hAnsi="宋体" w:eastAsia="仿宋_GB2312" w:cs="宋体"/>
          <w:kern w:val="0"/>
          <w:sz w:val="32"/>
          <w:szCs w:val="32"/>
        </w:rPr>
        <w:t>与上年</w:t>
      </w:r>
      <w:r>
        <w:rPr>
          <w:rFonts w:hint="eastAsia" w:ascii="仿宋_GB2312" w:hAnsi="宋体" w:eastAsia="仿宋_GB2312" w:cs="宋体"/>
          <w:kern w:val="0"/>
          <w:sz w:val="32"/>
          <w:szCs w:val="32"/>
          <w:lang w:val="en-US" w:eastAsia="zh-CN"/>
        </w:rPr>
        <w:t>保持</w:t>
      </w:r>
      <w:r>
        <w:rPr>
          <w:rFonts w:hint="eastAsia" w:ascii="仿宋_GB2312" w:hAnsi="宋体" w:eastAsia="仿宋_GB2312" w:cs="宋体"/>
          <w:kern w:val="0"/>
          <w:sz w:val="32"/>
          <w:szCs w:val="32"/>
        </w:rPr>
        <w:t>一致</w:t>
      </w:r>
      <w:r>
        <w:rPr>
          <w:rFonts w:hint="eastAsia" w:ascii="仿宋_GB2312" w:hAnsi="宋体" w:eastAsia="仿宋_GB2312" w:cs="宋体"/>
          <w:kern w:val="0"/>
          <w:sz w:val="32"/>
          <w:szCs w:val="32"/>
          <w:lang w:eastAsia="zh-CN"/>
        </w:rPr>
        <w:t>。</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3.社会保障和就业支出（类）</w:t>
      </w:r>
      <w:r>
        <w:rPr>
          <w:rFonts w:hint="eastAsia" w:ascii="仿宋_GB2312" w:hAnsi="宋体" w:eastAsia="仿宋_GB2312" w:cs="宋体"/>
          <w:kern w:val="0"/>
          <w:sz w:val="32"/>
          <w:szCs w:val="32"/>
          <w:highlight w:val="none"/>
          <w:lang w:val="en-US" w:eastAsia="zh-CN"/>
        </w:rPr>
        <w:t>行政事业单位养老支出</w:t>
      </w:r>
      <w:r>
        <w:rPr>
          <w:rFonts w:hint="eastAsia" w:ascii="仿宋_GB2312" w:hAnsi="宋体" w:eastAsia="仿宋_GB2312" w:cs="宋体"/>
          <w:kern w:val="0"/>
          <w:sz w:val="32"/>
          <w:szCs w:val="32"/>
          <w:highlight w:val="none"/>
        </w:rPr>
        <w:t>（款）机关事业单位基本养老保险费（项）</w:t>
      </w:r>
      <w:r>
        <w:rPr>
          <w:rFonts w:hint="eastAsia" w:ascii="仿宋_GB2312" w:hAnsi="宋体" w:eastAsia="仿宋_GB2312" w:cs="宋体"/>
          <w:kern w:val="0"/>
          <w:sz w:val="32"/>
          <w:szCs w:val="32"/>
          <w:highlight w:val="none"/>
          <w:lang w:val="en-US" w:eastAsia="zh-CN"/>
        </w:rPr>
        <w:t>:</w:t>
      </w:r>
      <w:r>
        <w:rPr>
          <w:rFonts w:hint="eastAsia" w:ascii="仿宋_GB2312" w:hAnsi="宋体" w:eastAsia="仿宋_GB2312" w:cs="宋体"/>
          <w:kern w:val="0"/>
          <w:sz w:val="32"/>
          <w:szCs w:val="32"/>
          <w:highlight w:val="none"/>
        </w:rPr>
        <w:t>2021</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rPr>
        <w:t>支出19.63万元，比上年预算数增加1.79万元，增长10.1%，主要原因是：年初调进1人及人员增资部分。</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4.卫生健康支出（类）</w:t>
      </w:r>
      <w:r>
        <w:rPr>
          <w:rFonts w:hint="eastAsia" w:ascii="仿宋_GB2312" w:hAnsi="宋体" w:eastAsia="仿宋_GB2312" w:cs="宋体"/>
          <w:color w:val="000000"/>
          <w:sz w:val="32"/>
          <w:szCs w:val="32"/>
          <w:highlight w:val="none"/>
          <w:lang w:val="en-US" w:eastAsia="zh-CN"/>
        </w:rPr>
        <w:t>行政事业单位医疗</w:t>
      </w:r>
      <w:r>
        <w:rPr>
          <w:rFonts w:hint="eastAsia" w:ascii="仿宋_GB2312" w:hAnsi="宋体" w:eastAsia="仿宋_GB2312" w:cs="宋体"/>
          <w:kern w:val="0"/>
          <w:sz w:val="32"/>
          <w:szCs w:val="32"/>
          <w:highlight w:val="none"/>
        </w:rPr>
        <w:t>（款）行政单位医疗（项）</w:t>
      </w:r>
      <w:r>
        <w:rPr>
          <w:rFonts w:hint="eastAsia" w:ascii="仿宋_GB2312" w:hAnsi="宋体" w:eastAsia="仿宋_GB2312" w:cs="宋体"/>
          <w:kern w:val="0"/>
          <w:sz w:val="32"/>
          <w:szCs w:val="32"/>
          <w:highlight w:val="none"/>
          <w:lang w:val="en-US" w:eastAsia="zh-CN"/>
        </w:rPr>
        <w:t>:</w:t>
      </w:r>
      <w:r>
        <w:rPr>
          <w:rFonts w:hint="eastAsia" w:ascii="仿宋_GB2312" w:hAnsi="宋体" w:eastAsia="仿宋_GB2312" w:cs="宋体"/>
          <w:kern w:val="0"/>
          <w:sz w:val="32"/>
          <w:szCs w:val="32"/>
          <w:highlight w:val="none"/>
        </w:rPr>
        <w:t>2021</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rPr>
        <w:t>18.07万元，比上年预算数增加5.26万元，增长41%，主要原因是：年初调进1人及人员增资部分。</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5.卫生健康支出（类）</w:t>
      </w:r>
      <w:r>
        <w:rPr>
          <w:rFonts w:hint="eastAsia" w:ascii="仿宋_GB2312" w:hAnsi="宋体" w:eastAsia="仿宋_GB2312" w:cs="宋体"/>
          <w:color w:val="000000"/>
          <w:sz w:val="32"/>
          <w:szCs w:val="32"/>
          <w:highlight w:val="none"/>
          <w:lang w:val="en-US" w:eastAsia="zh-CN"/>
        </w:rPr>
        <w:t>行政事业单位医疗</w:t>
      </w:r>
      <w:r>
        <w:rPr>
          <w:rFonts w:hint="eastAsia" w:ascii="仿宋_GB2312" w:hAnsi="宋体" w:eastAsia="仿宋_GB2312" w:cs="宋体"/>
          <w:kern w:val="0"/>
          <w:sz w:val="32"/>
          <w:szCs w:val="32"/>
          <w:highlight w:val="none"/>
        </w:rPr>
        <w:t>（款）公务员医疗补助（项）</w:t>
      </w:r>
      <w:r>
        <w:rPr>
          <w:rFonts w:hint="eastAsia" w:ascii="仿宋_GB2312" w:hAnsi="宋体" w:eastAsia="仿宋_GB2312" w:cs="宋体"/>
          <w:kern w:val="0"/>
          <w:sz w:val="32"/>
          <w:szCs w:val="32"/>
          <w:highlight w:val="none"/>
          <w:lang w:val="en-US" w:eastAsia="zh-CN"/>
        </w:rPr>
        <w:t>:</w:t>
      </w:r>
      <w:r>
        <w:rPr>
          <w:rFonts w:hint="eastAsia" w:ascii="仿宋_GB2312" w:hAnsi="宋体" w:eastAsia="仿宋_GB2312" w:cs="宋体"/>
          <w:kern w:val="0"/>
          <w:sz w:val="32"/>
          <w:szCs w:val="32"/>
          <w:highlight w:val="none"/>
        </w:rPr>
        <w:t>2021</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rPr>
        <w:t>5.82万元，比上年预算数增加0.43万元，增长8%，主要原因是：年初调进1人及人员增资部分调整。</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6.卫生健康支出（类）</w:t>
      </w:r>
      <w:r>
        <w:rPr>
          <w:rFonts w:hint="eastAsia" w:ascii="仿宋_GB2312" w:hAnsi="宋体" w:eastAsia="仿宋_GB2312" w:cs="宋体"/>
          <w:color w:val="000000"/>
          <w:sz w:val="32"/>
          <w:szCs w:val="32"/>
          <w:highlight w:val="none"/>
          <w:lang w:val="en-US" w:eastAsia="zh-CN"/>
        </w:rPr>
        <w:t>行政事业单位医疗</w:t>
      </w:r>
      <w:r>
        <w:rPr>
          <w:rFonts w:hint="eastAsia" w:ascii="仿宋_GB2312" w:hAnsi="宋体" w:eastAsia="仿宋_GB2312" w:cs="宋体"/>
          <w:kern w:val="0"/>
          <w:sz w:val="32"/>
          <w:szCs w:val="32"/>
          <w:highlight w:val="none"/>
        </w:rPr>
        <w:t>（款）其他行政事业单位医疗（项）</w:t>
      </w:r>
      <w:r>
        <w:rPr>
          <w:rFonts w:hint="eastAsia" w:ascii="仿宋_GB2312" w:hAnsi="宋体" w:eastAsia="仿宋_GB2312" w:cs="宋体"/>
          <w:kern w:val="0"/>
          <w:sz w:val="32"/>
          <w:szCs w:val="32"/>
          <w:highlight w:val="none"/>
          <w:lang w:val="en-US" w:eastAsia="zh-CN"/>
        </w:rPr>
        <w:t>:</w:t>
      </w:r>
      <w:r>
        <w:rPr>
          <w:rFonts w:hint="eastAsia" w:ascii="仿宋_GB2312" w:hAnsi="宋体" w:eastAsia="仿宋_GB2312" w:cs="宋体"/>
          <w:kern w:val="0"/>
          <w:sz w:val="32"/>
          <w:szCs w:val="32"/>
          <w:highlight w:val="none"/>
        </w:rPr>
        <w:t>2021</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rPr>
        <w:t>0.18万元，比上年预算数减少0.38万元，降低67.9%，主要原因是：其他社会保障费用调整。</w:t>
      </w:r>
    </w:p>
    <w:p>
      <w:pPr>
        <w:wordWrap/>
        <w:adjustRightInd/>
        <w:snapToGrid/>
        <w:spacing w:before="0" w:after="0" w:line="516" w:lineRule="exact"/>
        <w:ind w:left="0" w:leftChars="0" w:right="0" w:firstLine="640" w:firstLineChars="200"/>
        <w:textAlignment w:val="auto"/>
        <w:outlineLvl w:val="9"/>
        <w:rPr>
          <w:rFonts w:ascii="黑体" w:hAnsi="宋体" w:eastAsia="黑体" w:cs="宋体"/>
          <w:kern w:val="0"/>
          <w:sz w:val="32"/>
          <w:szCs w:val="32"/>
          <w:highlight w:val="none"/>
        </w:rPr>
      </w:pPr>
      <w:r>
        <w:rPr>
          <w:rFonts w:hint="eastAsia" w:ascii="黑体" w:hAnsi="宋体" w:eastAsia="黑体" w:cs="宋体"/>
          <w:kern w:val="0"/>
          <w:sz w:val="32"/>
          <w:szCs w:val="32"/>
          <w:highlight w:val="none"/>
        </w:rPr>
        <w:t>六、关于</w:t>
      </w:r>
      <w:r>
        <w:rPr>
          <w:rFonts w:hint="eastAsia" w:ascii="黑体" w:hAnsi="黑体" w:eastAsia="黑体"/>
          <w:kern w:val="0"/>
          <w:sz w:val="32"/>
          <w:szCs w:val="32"/>
          <w:highlight w:val="none"/>
        </w:rPr>
        <w:t>昌吉州文联2021</w:t>
      </w:r>
      <w:r>
        <w:rPr>
          <w:rFonts w:hint="eastAsia" w:ascii="黑体" w:hAnsi="宋体" w:eastAsia="黑体" w:cs="宋体"/>
          <w:kern w:val="0"/>
          <w:sz w:val="32"/>
          <w:szCs w:val="32"/>
          <w:highlight w:val="none"/>
        </w:rPr>
        <w:t>年一般公共预算基本支出情况说明</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昌吉州文联2021年一般公共预算基本支出221.87万元， 其中：</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人员经费200.2万元，主要包括：基本工资78.18万元、津贴补贴28.46万元、奖金5.48万元、伙食补助费16.38万元、绩效工资11.88万元、机关事业单位基本养老保险缴费19.63万元、职工基本医疗保险缴费18.07万元、公务员医疗补助缴费5.82万元、其他社会保障缴费0.18万元、住房公积金14.72万元、奖励金0.5万元、其他对个人和家庭的补助0.9万元等。</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公用经费21.67万元，主要包括：办公费5.5万元、邮电费1万元、差旅费1万元、劳务费2万元、工会经费1.56万元、福利费3.6万元、公务用车运行维护费3.95万元、其他商品和服务支出3.06万元。</w:t>
      </w:r>
    </w:p>
    <w:p>
      <w:pPr>
        <w:wordWrap/>
        <w:adjustRightInd/>
        <w:snapToGrid/>
        <w:spacing w:before="0" w:after="0" w:line="516" w:lineRule="exact"/>
        <w:ind w:left="0" w:leftChars="0" w:right="0" w:firstLine="640" w:firstLineChars="200"/>
        <w:textAlignment w:val="auto"/>
        <w:outlineLvl w:val="9"/>
        <w:rPr>
          <w:rFonts w:ascii="黑体" w:hAnsi="宋体" w:eastAsia="黑体" w:cs="宋体"/>
          <w:kern w:val="0"/>
          <w:sz w:val="32"/>
          <w:szCs w:val="32"/>
        </w:rPr>
      </w:pPr>
      <w:r>
        <w:rPr>
          <w:rFonts w:hint="eastAsia" w:ascii="黑体" w:hAnsi="宋体" w:eastAsia="黑体" w:cs="宋体"/>
          <w:kern w:val="0"/>
          <w:sz w:val="32"/>
          <w:szCs w:val="32"/>
        </w:rPr>
        <w:t>七、关于昌吉州文联2021年一般公共预算项目支出情况说明</w:t>
      </w:r>
    </w:p>
    <w:p>
      <w:pPr>
        <w:widowControl/>
        <w:wordWrap/>
        <w:adjustRightInd/>
        <w:snapToGrid/>
        <w:spacing w:before="0" w:after="0" w:line="516" w:lineRule="exact"/>
        <w:ind w:right="0" w:firstLine="640" w:firstLineChars="200"/>
        <w:jc w:val="left"/>
        <w:textAlignment w:val="auto"/>
        <w:outlineLvl w:val="9"/>
        <w:rPr>
          <w:rFonts w:ascii="仿宋_GB2312" w:hAnsi="黑体" w:eastAsia="仿宋_GB2312"/>
          <w:sz w:val="32"/>
          <w:szCs w:val="32"/>
        </w:rPr>
      </w:pPr>
      <w:r>
        <w:rPr>
          <w:rFonts w:hint="eastAsia" w:ascii="仿宋_GB2312" w:hAnsi="黑体" w:eastAsia="仿宋_GB2312"/>
          <w:sz w:val="32"/>
          <w:szCs w:val="32"/>
        </w:rPr>
        <w:t>1、项目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北庭文化研究经费</w:t>
      </w:r>
    </w:p>
    <w:p>
      <w:pPr>
        <w:widowControl/>
        <w:wordWrap/>
        <w:adjustRightInd/>
        <w:snapToGrid/>
        <w:spacing w:before="0" w:after="0" w:line="516" w:lineRule="exact"/>
        <w:ind w:left="0" w:leftChars="0" w:right="0" w:firstLine="640" w:firstLineChars="200"/>
        <w:jc w:val="left"/>
        <w:textAlignment w:val="auto"/>
        <w:outlineLvl w:val="9"/>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促进北庭文化历史研究</w:t>
      </w:r>
    </w:p>
    <w:p>
      <w:pPr>
        <w:wordWrap/>
        <w:adjustRightInd/>
        <w:snapToGrid/>
        <w:spacing w:before="0" w:after="0" w:line="516" w:lineRule="exact"/>
        <w:ind w:left="0" w:leftChars="0" w:right="0" w:firstLine="640" w:firstLineChars="200"/>
        <w:textAlignment w:val="auto"/>
        <w:outlineLvl w:val="9"/>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10万元</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kern w:val="0"/>
          <w:sz w:val="32"/>
          <w:szCs w:val="32"/>
        </w:rPr>
        <w:t>昌吉州文联</w:t>
      </w:r>
      <w:r>
        <w:rPr>
          <w:rFonts w:hint="eastAsia" w:ascii="仿宋_GB2312" w:hAnsi="宋体" w:eastAsia="仿宋_GB2312"/>
          <w:sz w:val="32"/>
          <w:szCs w:val="32"/>
        </w:rPr>
        <w:t>北庭文化研究会办公室</w:t>
      </w:r>
    </w:p>
    <w:p>
      <w:pPr>
        <w:wordWrap/>
        <w:adjustRightInd/>
        <w:snapToGrid/>
        <w:spacing w:before="0" w:after="0" w:line="516" w:lineRule="exact"/>
        <w:ind w:left="0" w:leftChars="0" w:right="0" w:firstLine="640" w:firstLineChars="200"/>
        <w:textAlignment w:val="auto"/>
        <w:outlineLvl w:val="9"/>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：用于北庭文化研究经费支出</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2021年1月-12月</w:t>
      </w:r>
    </w:p>
    <w:p>
      <w:pPr>
        <w:widowControl/>
        <w:wordWrap/>
        <w:adjustRightInd/>
        <w:snapToGrid/>
        <w:spacing w:before="0" w:after="0" w:line="516" w:lineRule="exact"/>
        <w:ind w:left="0" w:leftChars="0" w:right="0" w:firstLine="640"/>
        <w:jc w:val="left"/>
        <w:textAlignment w:val="auto"/>
        <w:outlineLvl w:val="9"/>
        <w:rPr>
          <w:rFonts w:ascii="仿宋_GB2312" w:hAnsi="黑体" w:eastAsia="仿宋_GB2312"/>
          <w:sz w:val="32"/>
          <w:szCs w:val="32"/>
        </w:rPr>
      </w:pPr>
      <w:r>
        <w:rPr>
          <w:rFonts w:hint="eastAsia" w:ascii="仿宋_GB2312" w:hAnsi="黑体" w:eastAsia="仿宋_GB2312"/>
          <w:sz w:val="32"/>
          <w:szCs w:val="32"/>
        </w:rPr>
        <w:t>2、项目</w:t>
      </w:r>
      <w:r>
        <w:rPr>
          <w:rFonts w:ascii="仿宋_GB2312" w:hAnsi="黑体" w:eastAsia="仿宋_GB2312"/>
          <w:sz w:val="32"/>
          <w:szCs w:val="32"/>
        </w:rPr>
        <w:t>名称</w:t>
      </w:r>
      <w:r>
        <w:rPr>
          <w:rFonts w:hint="eastAsia" w:ascii="仿宋_GB2312" w:hAnsi="黑体" w:eastAsia="仿宋_GB2312"/>
          <w:sz w:val="32"/>
          <w:szCs w:val="32"/>
        </w:rPr>
        <w:t>：文艺家协会工作经费</w:t>
      </w:r>
    </w:p>
    <w:p>
      <w:pPr>
        <w:wordWrap/>
        <w:adjustRightInd/>
        <w:snapToGrid/>
        <w:spacing w:before="0" w:after="0" w:line="516" w:lineRule="exact"/>
        <w:ind w:left="0" w:leftChars="0" w:right="0"/>
        <w:textAlignment w:val="auto"/>
        <w:outlineLvl w:val="9"/>
        <w:rPr>
          <w:rFonts w:ascii="仿宋_GB2312" w:hAnsi="黑体" w:eastAsia="仿宋_GB2312"/>
          <w:sz w:val="32"/>
          <w:szCs w:val="32"/>
        </w:rPr>
      </w:pPr>
      <w:r>
        <w:rPr>
          <w:rFonts w:hint="eastAsia" w:ascii="仿宋_GB2312" w:hAnsi="黑体" w:eastAsia="仿宋_GB2312"/>
          <w:sz w:val="32"/>
          <w:szCs w:val="32"/>
        </w:rPr>
        <w:t xml:space="preserve">    </w:t>
      </w: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加强文艺合作交流提升本土文艺创作能力</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50万元</w:t>
      </w:r>
    </w:p>
    <w:p>
      <w:pPr>
        <w:wordWrap/>
        <w:adjustRightInd/>
        <w:snapToGrid/>
        <w:spacing w:before="0" w:after="0" w:line="516" w:lineRule="exact"/>
        <w:ind w:left="0" w:leftChars="0" w:right="0" w:firstLine="640" w:firstLineChars="200"/>
        <w:textAlignment w:val="auto"/>
        <w:outlineLvl w:val="9"/>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昌吉州文联</w:t>
      </w:r>
    </w:p>
    <w:p>
      <w:pPr>
        <w:widowControl/>
        <w:wordWrap/>
        <w:adjustRightInd/>
        <w:snapToGrid/>
        <w:spacing w:before="0" w:after="0" w:line="516" w:lineRule="exact"/>
        <w:ind w:left="0" w:leftChars="0" w:right="0" w:firstLine="640" w:firstLineChars="200"/>
        <w:jc w:val="left"/>
        <w:textAlignment w:val="auto"/>
        <w:outlineLvl w:val="9"/>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：用于</w:t>
      </w:r>
      <w:r>
        <w:rPr>
          <w:rFonts w:hint="eastAsia" w:ascii="仿宋_GB2312" w:hAnsi="宋体" w:eastAsia="仿宋_GB2312" w:cs="宋体"/>
          <w:kern w:val="0"/>
          <w:sz w:val="32"/>
          <w:szCs w:val="32"/>
        </w:rPr>
        <w:t>文艺创作展览</w:t>
      </w:r>
      <w:r>
        <w:rPr>
          <w:rFonts w:hint="eastAsia" w:ascii="仿宋_GB2312" w:hAnsi="黑体" w:eastAsia="仿宋_GB2312"/>
          <w:sz w:val="32"/>
          <w:szCs w:val="32"/>
        </w:rPr>
        <w:t>支出</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2021年1月-12月</w:t>
      </w:r>
    </w:p>
    <w:p>
      <w:pPr>
        <w:widowControl/>
        <w:wordWrap/>
        <w:adjustRightInd/>
        <w:snapToGrid/>
        <w:spacing w:before="0" w:after="0" w:line="516" w:lineRule="exact"/>
        <w:ind w:left="0" w:leftChars="0" w:right="0" w:firstLine="640"/>
        <w:jc w:val="left"/>
        <w:textAlignment w:val="auto"/>
        <w:outlineLvl w:val="9"/>
        <w:rPr>
          <w:rFonts w:ascii="仿宋_GB2312" w:hAnsi="黑体" w:eastAsia="仿宋_GB2312"/>
          <w:sz w:val="32"/>
          <w:szCs w:val="32"/>
        </w:rPr>
      </w:pPr>
      <w:r>
        <w:rPr>
          <w:rFonts w:hint="eastAsia" w:ascii="仿宋_GB2312" w:hAnsi="黑体" w:eastAsia="仿宋_GB2312"/>
          <w:sz w:val="32"/>
          <w:szCs w:val="32"/>
        </w:rPr>
        <w:t>3、项目</w:t>
      </w:r>
      <w:r>
        <w:rPr>
          <w:rFonts w:ascii="仿宋_GB2312" w:hAnsi="黑体" w:eastAsia="仿宋_GB2312"/>
          <w:sz w:val="32"/>
          <w:szCs w:val="32"/>
        </w:rPr>
        <w:t>名称</w:t>
      </w:r>
      <w:r>
        <w:rPr>
          <w:rFonts w:hint="eastAsia" w:ascii="仿宋_GB2312" w:hAnsi="黑体" w:eastAsia="仿宋_GB2312"/>
          <w:sz w:val="32"/>
          <w:szCs w:val="32"/>
        </w:rPr>
        <w:t>：文化事业费</w:t>
      </w:r>
    </w:p>
    <w:p>
      <w:pPr>
        <w:wordWrap/>
        <w:adjustRightInd/>
        <w:snapToGrid/>
        <w:spacing w:before="0" w:after="0" w:line="516" w:lineRule="exact"/>
        <w:ind w:left="0" w:leftChars="0" w:right="0"/>
        <w:textAlignment w:val="auto"/>
        <w:outlineLvl w:val="9"/>
        <w:rPr>
          <w:rFonts w:ascii="仿宋_GB2312" w:hAnsi="黑体" w:eastAsia="仿宋_GB2312"/>
          <w:sz w:val="32"/>
          <w:szCs w:val="32"/>
        </w:rPr>
      </w:pPr>
      <w:r>
        <w:rPr>
          <w:rFonts w:hint="eastAsia" w:ascii="仿宋_GB2312" w:hAnsi="黑体" w:eastAsia="仿宋_GB2312"/>
          <w:sz w:val="32"/>
          <w:szCs w:val="32"/>
        </w:rPr>
        <w:t xml:space="preserve">    </w:t>
      </w: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开展主题文艺创作</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10万元</w:t>
      </w:r>
    </w:p>
    <w:p>
      <w:pPr>
        <w:wordWrap/>
        <w:adjustRightInd/>
        <w:snapToGrid/>
        <w:spacing w:before="0" w:after="0" w:line="516" w:lineRule="exact"/>
        <w:ind w:left="0" w:leftChars="0" w:right="0" w:firstLine="640" w:firstLineChars="200"/>
        <w:textAlignment w:val="auto"/>
        <w:outlineLvl w:val="9"/>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昌吉州文联</w:t>
      </w:r>
    </w:p>
    <w:p>
      <w:pPr>
        <w:widowControl/>
        <w:wordWrap/>
        <w:adjustRightInd/>
        <w:snapToGrid/>
        <w:spacing w:before="0" w:after="0" w:line="516" w:lineRule="exact"/>
        <w:ind w:left="0" w:leftChars="0" w:right="0" w:firstLine="640" w:firstLineChars="200"/>
        <w:jc w:val="left"/>
        <w:textAlignment w:val="auto"/>
        <w:outlineLvl w:val="9"/>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：商品服务支出用于</w:t>
      </w:r>
      <w:r>
        <w:rPr>
          <w:rFonts w:hint="eastAsia" w:ascii="仿宋_GB2312" w:hAnsi="宋体" w:eastAsia="仿宋_GB2312" w:cs="宋体"/>
          <w:kern w:val="0"/>
          <w:sz w:val="32"/>
          <w:szCs w:val="32"/>
        </w:rPr>
        <w:t>文化事业费</w:t>
      </w:r>
      <w:r>
        <w:rPr>
          <w:rFonts w:hint="eastAsia" w:ascii="仿宋_GB2312" w:hAnsi="黑体" w:eastAsia="仿宋_GB2312"/>
          <w:sz w:val="32"/>
          <w:szCs w:val="32"/>
        </w:rPr>
        <w:t>支出</w:t>
      </w:r>
    </w:p>
    <w:p>
      <w:pPr>
        <w:wordWrap/>
        <w:adjustRightInd/>
        <w:snapToGrid/>
        <w:spacing w:before="0" w:after="0" w:line="516" w:lineRule="exact"/>
        <w:ind w:left="0" w:leftChars="0" w:right="0"/>
        <w:textAlignment w:val="auto"/>
        <w:outlineLvl w:val="9"/>
        <w:rPr>
          <w:rFonts w:ascii="仿宋_GB2312" w:hAnsi="宋体" w:eastAsia="仿宋_GB2312" w:cs="宋体"/>
          <w:kern w:val="0"/>
          <w:sz w:val="32"/>
          <w:szCs w:val="32"/>
        </w:rPr>
      </w:pPr>
      <w:r>
        <w:rPr>
          <w:rFonts w:hint="eastAsia" w:ascii="仿宋_GB2312" w:hAnsi="黑体" w:eastAsia="仿宋_GB2312"/>
          <w:sz w:val="32"/>
          <w:szCs w:val="32"/>
        </w:rPr>
        <w:t xml:space="preserve">    </w:t>
      </w: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2021年1月-12月</w:t>
      </w:r>
    </w:p>
    <w:p>
      <w:pPr>
        <w:widowControl/>
        <w:wordWrap/>
        <w:adjustRightInd/>
        <w:snapToGrid/>
        <w:spacing w:before="0" w:after="0" w:line="516" w:lineRule="exact"/>
        <w:ind w:left="0" w:leftChars="0" w:right="0" w:firstLine="640"/>
        <w:jc w:val="left"/>
        <w:textAlignment w:val="auto"/>
        <w:outlineLvl w:val="9"/>
        <w:rPr>
          <w:rFonts w:ascii="仿宋_GB2312" w:hAnsi="黑体" w:eastAsia="仿宋_GB2312"/>
          <w:sz w:val="32"/>
          <w:szCs w:val="32"/>
        </w:rPr>
      </w:pPr>
      <w:r>
        <w:rPr>
          <w:rFonts w:hint="eastAsia" w:ascii="仿宋_GB2312" w:hAnsi="黑体" w:eastAsia="仿宋_GB2312"/>
          <w:sz w:val="32"/>
          <w:szCs w:val="32"/>
        </w:rPr>
        <w:t>4、项目</w:t>
      </w:r>
      <w:r>
        <w:rPr>
          <w:rFonts w:ascii="仿宋_GB2312" w:hAnsi="黑体" w:eastAsia="仿宋_GB2312"/>
          <w:sz w:val="32"/>
          <w:szCs w:val="32"/>
        </w:rPr>
        <w:t>名称</w:t>
      </w:r>
      <w:r>
        <w:rPr>
          <w:rFonts w:hint="eastAsia" w:ascii="仿宋_GB2312" w:hAnsi="黑体" w:eastAsia="仿宋_GB2312"/>
          <w:sz w:val="32"/>
          <w:szCs w:val="32"/>
        </w:rPr>
        <w:t>：奋飞奖</w:t>
      </w:r>
    </w:p>
    <w:p>
      <w:pPr>
        <w:wordWrap/>
        <w:adjustRightInd/>
        <w:snapToGrid/>
        <w:spacing w:before="0" w:after="0" w:line="516" w:lineRule="exact"/>
        <w:ind w:left="0" w:leftChars="0" w:right="0"/>
        <w:textAlignment w:val="auto"/>
        <w:outlineLvl w:val="9"/>
        <w:rPr>
          <w:rFonts w:ascii="仿宋_GB2312" w:hAnsi="黑体" w:eastAsia="仿宋_GB2312"/>
          <w:sz w:val="32"/>
          <w:szCs w:val="32"/>
        </w:rPr>
      </w:pPr>
      <w:r>
        <w:rPr>
          <w:rFonts w:hint="eastAsia" w:ascii="仿宋_GB2312" w:hAnsi="黑体" w:eastAsia="仿宋_GB2312"/>
          <w:sz w:val="32"/>
          <w:szCs w:val="32"/>
        </w:rPr>
        <w:t xml:space="preserve">    </w:t>
      </w: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促进昌吉州文艺事业发展</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10万元</w:t>
      </w:r>
    </w:p>
    <w:p>
      <w:pPr>
        <w:wordWrap/>
        <w:adjustRightInd/>
        <w:snapToGrid/>
        <w:spacing w:before="0" w:after="0" w:line="516" w:lineRule="exact"/>
        <w:ind w:left="0" w:leftChars="0" w:right="0" w:firstLine="640" w:firstLineChars="200"/>
        <w:textAlignment w:val="auto"/>
        <w:outlineLvl w:val="9"/>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昌吉州文联</w:t>
      </w:r>
    </w:p>
    <w:p>
      <w:pPr>
        <w:widowControl/>
        <w:wordWrap/>
        <w:adjustRightInd/>
        <w:snapToGrid/>
        <w:spacing w:before="0" w:after="0" w:line="516" w:lineRule="exact"/>
        <w:ind w:left="0" w:leftChars="0" w:right="0" w:firstLine="640" w:firstLineChars="200"/>
        <w:jc w:val="left"/>
        <w:textAlignment w:val="auto"/>
        <w:outlineLvl w:val="9"/>
        <w:rPr>
          <w:rFonts w:hint="eastAsia" w:ascii="仿宋_GB2312" w:hAnsi="宋体" w:eastAsia="仿宋_GB2312" w:cs="宋体"/>
          <w:kern w:val="0"/>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：用于</w:t>
      </w:r>
      <w:r>
        <w:rPr>
          <w:rFonts w:hint="eastAsia" w:ascii="仿宋_GB2312" w:hAnsi="宋体" w:eastAsia="仿宋_GB2312" w:cs="宋体"/>
          <w:kern w:val="0"/>
          <w:sz w:val="32"/>
          <w:szCs w:val="32"/>
        </w:rPr>
        <w:t>奋飞奖征文、评选</w:t>
      </w:r>
      <w:r>
        <w:rPr>
          <w:rFonts w:hint="eastAsia" w:ascii="仿宋_GB2312" w:hAnsi="黑体" w:eastAsia="仿宋_GB2312"/>
          <w:sz w:val="32"/>
          <w:szCs w:val="32"/>
        </w:rPr>
        <w:t>支出</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2021年1月-12月</w:t>
      </w:r>
    </w:p>
    <w:p>
      <w:pPr>
        <w:wordWrap/>
        <w:adjustRightInd/>
        <w:snapToGrid/>
        <w:spacing w:before="0" w:after="0" w:line="516" w:lineRule="exact"/>
        <w:ind w:left="0" w:leftChars="0" w:right="0" w:firstLine="640" w:firstLineChars="200"/>
        <w:textAlignment w:val="auto"/>
        <w:outlineLvl w:val="9"/>
        <w:rPr>
          <w:rFonts w:ascii="黑体" w:hAnsi="宋体" w:eastAsia="黑体" w:cs="宋体"/>
          <w:kern w:val="0"/>
          <w:sz w:val="32"/>
          <w:szCs w:val="32"/>
        </w:rPr>
      </w:pPr>
      <w:r>
        <w:rPr>
          <w:rFonts w:hint="eastAsia" w:ascii="黑体" w:hAnsi="宋体" w:eastAsia="黑体" w:cs="宋体"/>
          <w:kern w:val="0"/>
          <w:sz w:val="32"/>
          <w:szCs w:val="32"/>
        </w:rPr>
        <w:t>八、关于昌吉州文联2021年一般公共预算“三公”经费预算情况说明</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昌吉州文联2021年一般公共预算“三公”经费数为3.95万元，其中：因公出国（境）费0万元，公务用车购置0万元，公务用车运行费3.95万元，公务接待费0万元。</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2021年一般公共预算“三公”经费比上年减少0.31万元，其中：因公出国（境）费</w:t>
      </w:r>
      <w:r>
        <w:rPr>
          <w:rFonts w:hint="eastAsia" w:ascii="仿宋_GB2312" w:hAnsi="宋体" w:eastAsia="仿宋_GB2312" w:cs="宋体"/>
          <w:kern w:val="0"/>
          <w:sz w:val="32"/>
          <w:szCs w:val="32"/>
          <w:highlight w:val="none"/>
        </w:rPr>
        <w:t>增加</w:t>
      </w:r>
      <w:r>
        <w:rPr>
          <w:rFonts w:hint="eastAsia" w:ascii="仿宋_GB2312" w:hAnsi="宋体" w:eastAsia="仿宋_GB2312" w:cs="宋体"/>
          <w:kern w:val="0"/>
          <w:sz w:val="32"/>
          <w:szCs w:val="32"/>
        </w:rPr>
        <w:t>0万元，主要原因是未安排预算；公务用车购置费为0万元，未安排预算。公务用车运行费减少0.02万元，主要原因是车辆逐渐老化中</w:t>
      </w:r>
      <w:r>
        <w:rPr>
          <w:rFonts w:hint="eastAsia" w:ascii="仿宋_GB2312" w:hAnsi="Tahoma" w:eastAsia="仿宋_GB2312" w:cs="Tahoma"/>
          <w:sz w:val="32"/>
          <w:szCs w:val="32"/>
        </w:rPr>
        <w:t>提高公务用车效率</w:t>
      </w:r>
      <w:r>
        <w:rPr>
          <w:rFonts w:hint="eastAsia" w:ascii="仿宋_GB2312" w:hAnsi="宋体" w:eastAsia="仿宋_GB2312" w:cs="宋体"/>
          <w:kern w:val="0"/>
          <w:sz w:val="32"/>
          <w:szCs w:val="32"/>
        </w:rPr>
        <w:t>；公务接待费减少0.29万元，主要原因是严控公务接待。</w:t>
      </w:r>
    </w:p>
    <w:p>
      <w:pPr>
        <w:wordWrap/>
        <w:adjustRightInd/>
        <w:snapToGrid/>
        <w:spacing w:before="0" w:after="0" w:line="516" w:lineRule="exact"/>
        <w:ind w:left="0" w:leftChars="0" w:right="0" w:firstLine="640" w:firstLineChars="200"/>
        <w:textAlignment w:val="auto"/>
        <w:outlineLvl w:val="9"/>
        <w:rPr>
          <w:rFonts w:ascii="黑体" w:hAnsi="宋体" w:eastAsia="黑体" w:cs="宋体"/>
          <w:kern w:val="0"/>
          <w:sz w:val="32"/>
          <w:szCs w:val="32"/>
        </w:rPr>
      </w:pPr>
      <w:r>
        <w:rPr>
          <w:rFonts w:hint="eastAsia" w:ascii="黑体" w:hAnsi="宋体" w:eastAsia="黑体" w:cs="宋体"/>
          <w:kern w:val="0"/>
          <w:sz w:val="32"/>
          <w:szCs w:val="32"/>
        </w:rPr>
        <w:t>九、关于昌吉州文联2021年政府性基金预算拨款情况说明</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昌吉州文联2021年没有使用政府性基金预算拨款安排的支出，政府性基金预算支出情况表为空表。</w:t>
      </w:r>
    </w:p>
    <w:p>
      <w:pPr>
        <w:wordWrap/>
        <w:adjustRightInd/>
        <w:snapToGrid/>
        <w:spacing w:before="0" w:after="0" w:line="516" w:lineRule="exact"/>
        <w:ind w:left="0" w:leftChars="0" w:right="0" w:firstLine="640" w:firstLineChars="200"/>
        <w:textAlignment w:val="auto"/>
        <w:outlineLvl w:val="9"/>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ordWrap/>
        <w:adjustRightInd/>
        <w:snapToGrid/>
        <w:spacing w:before="0" w:after="0" w:line="516" w:lineRule="exact"/>
        <w:ind w:left="0" w:leftChars="0" w:right="0" w:firstLine="643" w:firstLineChars="200"/>
        <w:textAlignment w:val="auto"/>
        <w:outlineLvl w:val="9"/>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2021年，昌吉州文联的机关运行经费财政拨款预算21.67万元，比上年预算增加3.33万元，增长18.2%。主要原因是增加1人，机关运行经费有所增加。</w:t>
      </w:r>
    </w:p>
    <w:p>
      <w:pPr>
        <w:wordWrap/>
        <w:adjustRightInd/>
        <w:snapToGrid/>
        <w:spacing w:before="0" w:after="0" w:line="516" w:lineRule="exact"/>
        <w:ind w:left="0" w:leftChars="0" w:right="0" w:firstLine="643" w:firstLineChars="200"/>
        <w:textAlignment w:val="auto"/>
        <w:outlineLvl w:val="9"/>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2021年，昌吉州文联政府采购预算50.44万元，其中：政府采购货物预算6.44万元，政府采购工程预算0万元，政府采购服务预算44万元。</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2021年度本部门（单位）面向中小企业预留政府采购项目预算金额0万元，其中：面向小微企业预留政府采购项目预算金额0万元。</w:t>
      </w:r>
    </w:p>
    <w:p>
      <w:pPr>
        <w:wordWrap/>
        <w:adjustRightInd/>
        <w:snapToGrid/>
        <w:spacing w:before="0" w:after="0" w:line="516" w:lineRule="exact"/>
        <w:ind w:left="0" w:leftChars="0" w:right="0" w:firstLine="643" w:firstLineChars="200"/>
        <w:textAlignment w:val="auto"/>
        <w:outlineLvl w:val="9"/>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截至2020年底，昌吉州文联占用使用国有资产总体情况为</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2.车辆2辆，价值40.89万元；其中：一般公务用车2辆，价值40.89万元；执法执勤用车0辆，价值0万元；其他车辆0辆，价值0万元。</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3.办公家具价值29.75万元。</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4.其他资产价值89.49万元。</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wordWrap/>
        <w:adjustRightInd/>
        <w:snapToGrid/>
        <w:spacing w:before="0" w:after="0" w:line="516"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2021年昌吉州文联部门预算未安排购置车辆经费，安排购置50万元以上大型设备0台（套），单位价值100万元以上大型设备0台（套）。</w:t>
      </w:r>
    </w:p>
    <w:p>
      <w:pPr>
        <w:wordWrap/>
        <w:adjustRightInd/>
        <w:snapToGrid/>
        <w:spacing w:before="0" w:after="0" w:line="516" w:lineRule="exact"/>
        <w:ind w:left="0" w:leftChars="0" w:right="0" w:firstLine="643" w:firstLineChars="200"/>
        <w:textAlignment w:val="auto"/>
        <w:outlineLvl w:val="9"/>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ordWrap/>
        <w:adjustRightInd/>
        <w:snapToGrid/>
        <w:spacing w:before="0" w:after="0" w:line="516" w:lineRule="exact"/>
        <w:ind w:left="0" w:leftChars="0" w:right="0" w:firstLine="640" w:firstLineChars="200"/>
        <w:textAlignment w:val="auto"/>
        <w:outlineLvl w:val="9"/>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4个，涉及预算金额80万元。具体情况见下表（按项目分别填报）：</w:t>
      </w:r>
    </w:p>
    <w:p>
      <w:pPr>
        <w:wordWrap/>
        <w:adjustRightInd/>
        <w:snapToGrid/>
        <w:spacing w:before="0" w:after="0" w:line="516" w:lineRule="exact"/>
        <w:ind w:left="0" w:leftChars="0" w:right="0" w:firstLine="640" w:firstLineChars="200"/>
        <w:textAlignment w:val="auto"/>
        <w:outlineLvl w:val="9"/>
        <w:rPr>
          <w:rFonts w:hint="eastAsia" w:ascii="仿宋_GB2312" w:hAnsi="宋体" w:eastAsia="仿宋_GB2312" w:cs="宋体"/>
          <w:kern w:val="0"/>
          <w:sz w:val="32"/>
          <w:szCs w:val="32"/>
        </w:rPr>
      </w:pPr>
    </w:p>
    <w:p>
      <w:pPr>
        <w:wordWrap/>
        <w:adjustRightInd/>
        <w:snapToGrid/>
        <w:spacing w:before="0" w:after="0" w:line="516" w:lineRule="exact"/>
        <w:ind w:left="0" w:leftChars="0" w:right="0" w:firstLine="640" w:firstLineChars="200"/>
        <w:textAlignment w:val="auto"/>
        <w:outlineLvl w:val="9"/>
        <w:rPr>
          <w:rFonts w:hint="eastAsia" w:ascii="仿宋_GB2312" w:hAnsi="宋体" w:eastAsia="仿宋_GB2312" w:cs="宋体"/>
          <w:kern w:val="0"/>
          <w:sz w:val="32"/>
          <w:szCs w:val="32"/>
        </w:rPr>
      </w:pPr>
    </w:p>
    <w:p>
      <w:pPr>
        <w:wordWrap/>
        <w:adjustRightInd/>
        <w:snapToGrid/>
        <w:spacing w:before="0" w:after="0" w:line="516" w:lineRule="exact"/>
        <w:ind w:left="0" w:leftChars="0" w:right="0" w:firstLine="640" w:firstLineChars="200"/>
        <w:textAlignment w:val="auto"/>
        <w:outlineLvl w:val="9"/>
        <w:rPr>
          <w:rFonts w:hint="eastAsia" w:ascii="仿宋_GB2312" w:hAnsi="宋体" w:eastAsia="仿宋_GB2312" w:cs="宋体"/>
          <w:kern w:val="0"/>
          <w:sz w:val="32"/>
          <w:szCs w:val="32"/>
        </w:rPr>
      </w:pPr>
    </w:p>
    <w:p>
      <w:pPr>
        <w:wordWrap/>
        <w:adjustRightInd/>
        <w:snapToGrid/>
        <w:spacing w:before="0" w:after="0" w:line="516" w:lineRule="exact"/>
        <w:ind w:left="0" w:leftChars="0" w:right="0" w:firstLine="640" w:firstLineChars="200"/>
        <w:textAlignment w:val="auto"/>
        <w:outlineLvl w:val="9"/>
        <w:rPr>
          <w:rFonts w:hint="eastAsia" w:ascii="仿宋_GB2312" w:hAnsi="宋体" w:eastAsia="仿宋_GB2312" w:cs="宋体"/>
          <w:kern w:val="0"/>
          <w:sz w:val="32"/>
          <w:szCs w:val="32"/>
        </w:rPr>
      </w:pPr>
    </w:p>
    <w:p>
      <w:pPr>
        <w:wordWrap/>
        <w:adjustRightInd/>
        <w:snapToGrid/>
        <w:spacing w:before="0" w:after="0" w:line="516" w:lineRule="exact"/>
        <w:ind w:left="0" w:leftChars="0" w:right="0" w:firstLine="640" w:firstLineChars="200"/>
        <w:textAlignment w:val="auto"/>
        <w:outlineLvl w:val="9"/>
        <w:rPr>
          <w:rFonts w:hint="eastAsia" w:ascii="仿宋_GB2312" w:hAnsi="宋体" w:eastAsia="仿宋_GB2312" w:cs="宋体"/>
          <w:kern w:val="0"/>
          <w:sz w:val="32"/>
          <w:szCs w:val="32"/>
        </w:rPr>
      </w:pPr>
    </w:p>
    <w:tbl>
      <w:tblPr>
        <w:tblStyle w:val="4"/>
        <w:tblW w:w="88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60"/>
        <w:gridCol w:w="1452"/>
        <w:gridCol w:w="1224"/>
        <w:gridCol w:w="1476"/>
        <w:gridCol w:w="1039"/>
        <w:gridCol w:w="1481"/>
        <w:gridCol w:w="11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both"/>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昌吉州文联</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北庭文化研究经费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ind w:firstLine="360" w:firstLineChars="200"/>
              <w:jc w:val="left"/>
              <w:rPr>
                <w:rFonts w:ascii="宋体" w:hAnsi="宋体" w:cs="宋体"/>
                <w:color w:val="000000"/>
                <w:sz w:val="18"/>
                <w:szCs w:val="18"/>
              </w:rPr>
            </w:pPr>
            <w:r>
              <w:rPr>
                <w:rFonts w:hint="eastAsia" w:ascii="宋体" w:hAnsi="宋体" w:cs="宋体"/>
                <w:color w:val="000000"/>
                <w:sz w:val="18"/>
                <w:szCs w:val="18"/>
              </w:rPr>
              <w:t>单位职能：昌吉州文联负责各团体会员开展联络、协调、服务工作.通过组织学习、深入生活,对外交流等各项工作。项目目标： 以习近平新时代中国特色社会主义思想为指导，以繁荣地域文化为目标是“文化润疆”的重要举措。提高“北庭学”的知名度，扩大影响力。进一步宣传好新疆，让更多人走进新疆，热爱昌吉。服务于现代"一带一路"倡导和愿景与当地社会发展。由昌吉州人民政府主办，昌吉州文联承办，第六届北庭学研讨会2021年在厦门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召开北庭历史文化研讨会（次）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美术展览、展演活动（次）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 xml:space="preserve">北庭历史文化研讨会议完成率(%)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 xml:space="preserve">美术展览、展演活动完成率(%)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完成北庭历史文化研讨会时间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厦门召开第六届北庭学研讨会工作人员往返行程费用及艺术作品参展费用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 xml:space="preserve">众多专家、学者、文艺爱好者积极参与,促进北庭历史文化研究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促进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 xml:space="preserve">繁荣地域文化为目标，引导文艺工作者发挥重要作用,持续发挥北庭历史研究会重要作用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持续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r>
              <w:rPr>
                <w:rFonts w:hint="eastAsia" w:ascii="宋体" w:hAnsi="宋体" w:cs="宋体"/>
                <w:color w:val="000000"/>
                <w:sz w:val="18"/>
                <w:szCs w:val="18"/>
              </w:rPr>
              <w:t xml:space="preserve">文艺工作者满意度（%）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bl>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tbl>
      <w:tblPr>
        <w:tblStyle w:val="4"/>
        <w:tblW w:w="88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60"/>
        <w:gridCol w:w="1452"/>
        <w:gridCol w:w="1224"/>
        <w:gridCol w:w="1476"/>
        <w:gridCol w:w="1039"/>
        <w:gridCol w:w="1481"/>
        <w:gridCol w:w="11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昌吉州文联</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文化事业费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ind w:firstLine="360" w:firstLineChars="200"/>
              <w:jc w:val="left"/>
              <w:rPr>
                <w:rFonts w:ascii="宋体" w:hAnsi="宋体" w:cs="宋体"/>
                <w:color w:val="000000"/>
                <w:sz w:val="18"/>
                <w:szCs w:val="18"/>
              </w:rPr>
            </w:pPr>
            <w:r>
              <w:rPr>
                <w:rFonts w:hint="eastAsia" w:ascii="宋体" w:hAnsi="宋体" w:cs="宋体"/>
                <w:color w:val="000000"/>
                <w:sz w:val="18"/>
                <w:szCs w:val="18"/>
              </w:rPr>
              <w:t xml:space="preserve"> 单位职能：昌吉州文联负责各团体会员开展联络、协调、服务工作.通过组织学习、深入生活,对外交流等各项工作。项目目标： 以繁荣地域文化为目标，为更好地服务广大文艺家，推动了全州文艺事业的蓬勃发展,开展百花迎春新春联谊会及文艺志愿服务活动。</w:t>
            </w:r>
            <w:r>
              <w:rPr>
                <w:rFonts w:hint="eastAsia" w:ascii="宋体" w:hAnsi="宋体" w:cs="宋体"/>
                <w:color w:val="000000"/>
                <w:sz w:val="18"/>
                <w:szCs w:val="18"/>
              </w:rPr>
              <w:tab/>
            </w:r>
            <w:r>
              <w:rPr>
                <w:rFonts w:hint="eastAsia" w:ascii="宋体" w:hAnsi="宋体" w:cs="宋体"/>
                <w:color w:val="000000"/>
                <w:sz w:val="18"/>
                <w:szCs w:val="18"/>
              </w:rPr>
              <w:tab/>
            </w:r>
            <w:r>
              <w:rPr>
                <w:rFonts w:hint="eastAsia" w:ascii="宋体" w:hAnsi="宋体" w:cs="宋体"/>
                <w:color w:val="000000"/>
                <w:sz w:val="18"/>
                <w:szCs w:val="18"/>
              </w:rPr>
              <w:tab/>
            </w:r>
            <w:r>
              <w:rPr>
                <w:rFonts w:hint="eastAsia" w:ascii="宋体" w:hAnsi="宋体" w:cs="宋体"/>
                <w:color w:val="000000"/>
                <w:sz w:val="18"/>
                <w:szCs w:val="18"/>
              </w:rPr>
              <w:tab/>
            </w:r>
            <w:r>
              <w:rPr>
                <w:rFonts w:hint="eastAsia" w:ascii="宋体" w:hAnsi="宋体" w:cs="宋体"/>
                <w:color w:val="000000"/>
                <w:sz w:val="18"/>
                <w:szCs w:val="18"/>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 xml:space="preserve">完成送春晚流动文化服务进基层(次)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 xml:space="preserve">举办文联各文艺家协会百花迎春晚会(次)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 xml:space="preserve">举办晚会活动达标率（%）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 xml:space="preserve">送春晚流动文化服务达标率（%）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完成文化交流活动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参与人员的差费,劳务费等活动费用（万元）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 xml:space="preserve">促进众多文艺爱好者积极参与,增添了艺术享受.为文艺工作者基层调研采风创作提供平台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促进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 xml:space="preserve"> 为文艺工作者基层调研采风创作长期提供平台,形成昌吉州文艺事业“百花齐放”局面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 xml:space="preserve">文艺工作者满意度（%）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bl>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tbl>
      <w:tblPr>
        <w:tblStyle w:val="4"/>
        <w:tblW w:w="88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60"/>
        <w:gridCol w:w="1452"/>
        <w:gridCol w:w="1224"/>
        <w:gridCol w:w="1476"/>
        <w:gridCol w:w="1039"/>
        <w:gridCol w:w="1481"/>
        <w:gridCol w:w="11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昌吉州文联</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奋飞奖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ind w:firstLine="360" w:firstLineChars="200"/>
              <w:jc w:val="left"/>
              <w:rPr>
                <w:rFonts w:ascii="宋体" w:hAnsi="宋体" w:cs="宋体"/>
                <w:color w:val="000000"/>
                <w:sz w:val="18"/>
                <w:szCs w:val="18"/>
              </w:rPr>
            </w:pPr>
            <w:r>
              <w:rPr>
                <w:rFonts w:hint="eastAsia" w:ascii="宋体" w:hAnsi="宋体" w:cs="宋体"/>
                <w:color w:val="000000"/>
                <w:sz w:val="18"/>
                <w:szCs w:val="18"/>
              </w:rPr>
              <w:t>单位职能：昌吉州文联负责各团体会员开展联络、协调、服务工作.通过组织学习、深入生活,对外交流等各项工作。项目目标：以繁荣地域文化为目标，为更好地服务广大文艺家，推动了全州文艺事业的蓬勃发展。州党委政府设立文艺奖项，每两年评选一次，该奖的设立旨在鼓励出作品、出精品、出人才。</w:t>
            </w:r>
          </w:p>
          <w:p>
            <w:pPr>
              <w:spacing w:line="480" w:lineRule="exact"/>
              <w:ind w:firstLine="360" w:firstLineChars="200"/>
              <w:jc w:val="left"/>
              <w:rPr>
                <w:rFonts w:ascii="宋体" w:hAnsi="宋体" w:cs="宋体"/>
                <w:color w:val="000000"/>
                <w:sz w:val="18"/>
                <w:szCs w:val="18"/>
              </w:rPr>
            </w:pPr>
            <w:r>
              <w:rPr>
                <w:rFonts w:hint="eastAsia" w:ascii="宋体" w:hAnsi="宋体" w:cs="宋体"/>
                <w:color w:val="000000"/>
                <w:sz w:val="18"/>
                <w:szCs w:val="18"/>
              </w:rPr>
              <w:tab/>
            </w:r>
            <w:r>
              <w:rPr>
                <w:rFonts w:hint="eastAsia" w:ascii="宋体" w:hAnsi="宋体" w:cs="宋体"/>
                <w:color w:val="000000"/>
                <w:sz w:val="18"/>
                <w:szCs w:val="18"/>
              </w:rPr>
              <w:tab/>
            </w:r>
            <w:r>
              <w:rPr>
                <w:rFonts w:hint="eastAsia" w:ascii="宋体" w:hAnsi="宋体" w:cs="宋体"/>
                <w:color w:val="000000"/>
                <w:sz w:val="18"/>
                <w:szCs w:val="18"/>
              </w:rPr>
              <w:tab/>
            </w:r>
            <w:r>
              <w:rPr>
                <w:rFonts w:hint="eastAsia" w:ascii="宋体" w:hAnsi="宋体" w:cs="宋体"/>
                <w:color w:val="000000"/>
                <w:sz w:val="18"/>
                <w:szCs w:val="18"/>
              </w:rPr>
              <w:tab/>
            </w:r>
            <w:r>
              <w:rPr>
                <w:rFonts w:hint="eastAsia" w:ascii="宋体" w:hAnsi="宋体" w:cs="宋体"/>
                <w:color w:val="000000"/>
                <w:sz w:val="18"/>
                <w:szCs w:val="18"/>
              </w:rPr>
              <w:tab/>
            </w:r>
            <w:r>
              <w:rPr>
                <w:rFonts w:hint="eastAsia" w:ascii="宋体" w:hAnsi="宋体" w:cs="宋体"/>
                <w:color w:val="000000"/>
                <w:sz w:val="18"/>
                <w:szCs w:val="18"/>
              </w:rPr>
              <w:tab/>
            </w:r>
            <w:r>
              <w:rPr>
                <w:rFonts w:hint="eastAsia" w:ascii="宋体" w:hAnsi="宋体" w:cs="宋体"/>
                <w:color w:val="000000"/>
                <w:sz w:val="18"/>
                <w:szCs w:val="18"/>
              </w:rPr>
              <w:tab/>
            </w:r>
            <w:r>
              <w:rPr>
                <w:rFonts w:hint="eastAsia" w:ascii="宋体" w:hAnsi="宋体" w:cs="宋体"/>
                <w:color w:val="000000"/>
                <w:sz w:val="18"/>
                <w:szCs w:val="18"/>
              </w:rPr>
              <w:tab/>
            </w:r>
            <w:r>
              <w:rPr>
                <w:rFonts w:hint="eastAsia" w:ascii="宋体" w:hAnsi="宋体" w:cs="宋体"/>
                <w:color w:val="000000"/>
                <w:sz w:val="18"/>
                <w:szCs w:val="18"/>
              </w:rPr>
              <w:tab/>
            </w:r>
            <w:r>
              <w:rPr>
                <w:rFonts w:hint="eastAsia" w:ascii="宋体" w:hAnsi="宋体" w:cs="宋体"/>
                <w:color w:val="000000"/>
                <w:sz w:val="18"/>
                <w:szCs w:val="18"/>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文艺奋飞奖推介征文活动(次)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 xml:space="preserve">文艺奋飞奖推介活动达标率（%）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r>
              <w:rPr>
                <w:rFonts w:hint="eastAsia" w:ascii="宋体" w:hAnsi="宋体" w:cs="宋体"/>
                <w:color w:val="000000"/>
                <w:sz w:val="18"/>
                <w:szCs w:val="18"/>
              </w:rPr>
              <w:t>完成文艺奋飞奖推介活动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r>
              <w:rPr>
                <w:rFonts w:hint="eastAsia" w:ascii="宋体" w:hAnsi="宋体" w:cs="宋体"/>
                <w:color w:val="000000"/>
                <w:sz w:val="18"/>
                <w:szCs w:val="18"/>
              </w:rPr>
              <w:t>组织奋飞奖活动费用（万元））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 xml:space="preserve">   推介评选优秀文艺作品,提升文艺爱好者的精神文化需求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 xml:space="preserve">   提高优秀作品知名度,通过评奖调动文艺工作者积极性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 xml:space="preserve">文艺工作者满意度（%）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bl>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tbl>
      <w:tblPr>
        <w:tblStyle w:val="4"/>
        <w:tblW w:w="88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60"/>
        <w:gridCol w:w="1452"/>
        <w:gridCol w:w="1224"/>
        <w:gridCol w:w="1476"/>
        <w:gridCol w:w="1039"/>
        <w:gridCol w:w="1481"/>
        <w:gridCol w:w="11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昌吉州文联</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文艺家协会工作经费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ind w:firstLine="360" w:firstLineChars="200"/>
              <w:jc w:val="left"/>
              <w:rPr>
                <w:rFonts w:ascii="宋体" w:hAnsi="宋体" w:cs="宋体"/>
                <w:color w:val="000000"/>
                <w:sz w:val="18"/>
                <w:szCs w:val="18"/>
              </w:rPr>
            </w:pPr>
            <w:r>
              <w:rPr>
                <w:rFonts w:hint="eastAsia" w:ascii="宋体" w:hAnsi="宋体" w:cs="宋体"/>
                <w:color w:val="000000"/>
                <w:sz w:val="18"/>
                <w:szCs w:val="18"/>
              </w:rPr>
              <w:t xml:space="preserve"> 单位职能：昌吉州文联负责各团体会员开展联络、协调、服务工作.通过组织学习、深入生活,对外交流等各项工作。项目目标：以习近平新时代中国特色社会主义思想为指导，以繁荣地域文化为目标，创作生产了一大批集思想性、艺术性、时代性、观赏性为一体的文艺精品，掀起了文艺创作生产高潮，推动了全州文艺事业的蓬勃发展，为全面实现小康社会提供了强大的思想保证、精神动力和文化支撑，围绕重大历史现实题材创作，“天山画卷”文艺系列创作工程，“红色基因”，做好“建党一百周年献礼”主题性创作。“送春晚到基层•文艺进万家”“文艺下乡惠民演出”等活动</w:t>
            </w:r>
            <w:r>
              <w:rPr>
                <w:rFonts w:hint="eastAsia" w:ascii="宋体" w:hAnsi="宋体" w:cs="宋体"/>
                <w:color w:val="000000"/>
                <w:sz w:val="18"/>
                <w:szCs w:val="18"/>
              </w:rPr>
              <w:tab/>
            </w:r>
            <w:r>
              <w:rPr>
                <w:rFonts w:hint="eastAsia" w:ascii="宋体" w:hAnsi="宋体" w:cs="宋体"/>
                <w:color w:val="000000"/>
                <w:sz w:val="18"/>
                <w:szCs w:val="18"/>
              </w:rPr>
              <w:tab/>
            </w:r>
            <w:r>
              <w:rPr>
                <w:rFonts w:hint="eastAsia" w:ascii="宋体" w:hAnsi="宋体" w:cs="宋体"/>
                <w:color w:val="000000"/>
                <w:sz w:val="18"/>
                <w:szCs w:val="18"/>
              </w:rPr>
              <w:tab/>
            </w:r>
            <w:r>
              <w:rPr>
                <w:rFonts w:hint="eastAsia" w:ascii="宋体" w:hAnsi="宋体" w:cs="宋体"/>
                <w:color w:val="000000"/>
                <w:sz w:val="18"/>
                <w:szCs w:val="18"/>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 xml:space="preserve">送公益流动文化服务进基层场次(次)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≧6场次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公共文化服务活动次数（次）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 xml:space="preserve">到基层文化活动完成率（%）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 xml:space="preserve">组织活动达标率(%)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完成文化服务活动（月）</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ind w:firstLine="360" w:firstLineChars="200"/>
              <w:jc w:val="left"/>
              <w:rPr>
                <w:rFonts w:ascii="宋体" w:hAnsi="宋体" w:cs="宋体"/>
                <w:color w:val="000000"/>
                <w:sz w:val="18"/>
                <w:szCs w:val="18"/>
              </w:rPr>
            </w:pPr>
            <w:r>
              <w:rPr>
                <w:rFonts w:hint="eastAsia" w:ascii="宋体" w:hAnsi="宋体" w:cs="宋体"/>
                <w:color w:val="000000"/>
                <w:sz w:val="18"/>
                <w:szCs w:val="18"/>
              </w:rPr>
              <w:t xml:space="preserve">开展文化活动和进基层服务活动参与人员差费及活动组织费用(万元)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ind w:firstLine="360" w:firstLineChars="200"/>
              <w:jc w:val="left"/>
              <w:rPr>
                <w:rFonts w:ascii="宋体" w:hAnsi="宋体" w:cs="宋体"/>
                <w:color w:val="000000"/>
                <w:sz w:val="18"/>
                <w:szCs w:val="18"/>
              </w:rPr>
            </w:pPr>
            <w:r>
              <w:rPr>
                <w:rFonts w:hint="eastAsia" w:ascii="宋体" w:hAnsi="宋体" w:cs="宋体"/>
                <w:color w:val="000000"/>
                <w:sz w:val="18"/>
                <w:szCs w:val="18"/>
              </w:rPr>
              <w:t xml:space="preserve">举办丰富多彩的文化交流活动,增添了艺术享受.提升和丰富了文化活动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ind w:firstLine="360" w:firstLineChars="200"/>
              <w:jc w:val="left"/>
              <w:rPr>
                <w:rFonts w:ascii="宋体" w:hAnsi="宋体" w:cs="宋体"/>
                <w:color w:val="000000"/>
                <w:sz w:val="18"/>
                <w:szCs w:val="18"/>
              </w:rPr>
            </w:pPr>
            <w:r>
              <w:rPr>
                <w:rFonts w:hint="eastAsia" w:ascii="宋体" w:hAnsi="宋体" w:cs="宋体"/>
                <w:color w:val="000000"/>
                <w:sz w:val="18"/>
                <w:szCs w:val="18"/>
              </w:rPr>
              <w:t xml:space="preserve">提高我州文艺创作队伍专业素养的整体提升，引领州内文艺工作者的艺术创作，进一步促进我州文艺事业的繁荣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促进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r>
              <w:rPr>
                <w:rFonts w:hint="eastAsia" w:ascii="宋体" w:hAnsi="宋体" w:cs="宋体"/>
                <w:color w:val="000000"/>
                <w:sz w:val="18"/>
                <w:szCs w:val="18"/>
              </w:rPr>
              <w:t xml:space="preserve">文艺家各协会满意度(%)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bl>
    <w:p>
      <w:pPr>
        <w:widowControl/>
        <w:spacing w:line="480" w:lineRule="exact"/>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昌吉州文联</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Dialog">
    <w:altName w:val="Times New Roman"/>
    <w:panose1 w:val="00000000000000000000"/>
    <w:charset w:val="00"/>
    <w:family w:val="auto"/>
    <w:pitch w:val="default"/>
    <w:sig w:usb0="00000000" w:usb1="00000000" w:usb2="00000000" w:usb3="00000000" w:csb0="00040001"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A00B1"/>
    <w:rsid w:val="0BF50820"/>
    <w:rsid w:val="1B8B1C65"/>
    <w:rsid w:val="1E9778B5"/>
    <w:rsid w:val="22773AB9"/>
    <w:rsid w:val="227A12E6"/>
    <w:rsid w:val="23B94C14"/>
    <w:rsid w:val="25E30584"/>
    <w:rsid w:val="25F3623B"/>
    <w:rsid w:val="2666570F"/>
    <w:rsid w:val="2BBD4AC8"/>
    <w:rsid w:val="371A43D3"/>
    <w:rsid w:val="3B311982"/>
    <w:rsid w:val="44BD1359"/>
    <w:rsid w:val="4C6F20CF"/>
    <w:rsid w:val="5AE42C0E"/>
    <w:rsid w:val="5CA22B4A"/>
    <w:rsid w:val="5D0D4572"/>
    <w:rsid w:val="67F40FA1"/>
    <w:rsid w:val="6AE0505D"/>
    <w:rsid w:val="6EA955AE"/>
    <w:rsid w:val="7053283A"/>
    <w:rsid w:val="757A7BD3"/>
    <w:rsid w:val="76BA020B"/>
    <w:rsid w:val="78125E86"/>
    <w:rsid w:val="7B182EF8"/>
    <w:rsid w:val="7B6276B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rFonts w:eastAsia="黑体"/>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批注框文本1"/>
    <w:basedOn w:val="1"/>
    <w:link w:val="7"/>
    <w:qFormat/>
    <w:uiPriority w:val="0"/>
    <w:rPr>
      <w:sz w:val="18"/>
      <w:szCs w:val="18"/>
    </w:rPr>
  </w:style>
  <w:style w:type="character" w:customStyle="1" w:styleId="7">
    <w:name w:val="批注框文本 Char"/>
    <w:link w:val="6"/>
    <w:semiHidden/>
    <w:qFormat/>
    <w:uiPriority w:val="0"/>
    <w:rPr>
      <w:sz w:val="18"/>
      <w:szCs w:val="18"/>
    </w:rPr>
  </w:style>
  <w:style w:type="character" w:customStyle="1" w:styleId="8">
    <w:name w:val="页脚 Char"/>
    <w:link w:val="2"/>
    <w:semiHidden/>
    <w:qFormat/>
    <w:uiPriority w:val="0"/>
    <w:rPr>
      <w:rFonts w:eastAsia="黑体"/>
      <w:sz w:val="18"/>
      <w:szCs w:val="18"/>
    </w:rPr>
  </w:style>
  <w:style w:type="character" w:customStyle="1" w:styleId="9">
    <w:name w:val="页眉 Char"/>
    <w:link w:val="3"/>
    <w:semiHidden/>
    <w:qFormat/>
    <w:uiPriority w:val="0"/>
    <w:rPr>
      <w:sz w:val="18"/>
      <w:szCs w:val="18"/>
    </w:rPr>
  </w:style>
  <w:style w:type="character" w:customStyle="1" w:styleId="10">
    <w:name w:val="正文文本缩进 3 Char"/>
    <w:link w:val="11"/>
    <w:semiHidden/>
    <w:qFormat/>
    <w:uiPriority w:val="0"/>
    <w:rPr>
      <w:rFonts w:eastAsia="仿宋_GB2312"/>
      <w:sz w:val="32"/>
      <w:szCs w:val="24"/>
    </w:rPr>
  </w:style>
  <w:style w:type="paragraph" w:customStyle="1" w:styleId="11">
    <w:name w:val="Body Text Indent 3"/>
    <w:basedOn w:val="1"/>
    <w:link w:val="10"/>
    <w:qFormat/>
    <w:uiPriority w:val="0"/>
    <w:pPr>
      <w:pBdr>
        <w:top w:val="single" w:color="auto" w:sz="12" w:space="1"/>
        <w:bottom w:val="single" w:color="auto" w:sz="12" w:space="1"/>
      </w:pBdr>
      <w:spacing w:line="600" w:lineRule="exact"/>
      <w:ind w:left="1280" w:hanging="1280" w:hangingChars="400"/>
    </w:pPr>
    <w:rPr>
      <w:rFonts w:eastAsia="仿宋_GB2312"/>
      <w:sz w:val="32"/>
      <w:szCs w:val="24"/>
    </w:rPr>
  </w:style>
  <w:style w:type="character" w:customStyle="1" w:styleId="12">
    <w:name w:val="页眉 Char1"/>
    <w:basedOn w:val="5"/>
    <w:qFormat/>
    <w:uiPriority w:val="0"/>
    <w:rPr>
      <w:rFonts w:ascii="Times New Roman" w:hAnsi="Times New Roman" w:eastAsia="宋体" w:cs="Times New Roman"/>
      <w:sz w:val="18"/>
      <w:szCs w:val="18"/>
    </w:rPr>
  </w:style>
  <w:style w:type="character" w:customStyle="1" w:styleId="13">
    <w:name w:val="正文文本缩进 3 Char1"/>
    <w:basedOn w:val="5"/>
    <w:qFormat/>
    <w:uiPriority w:val="0"/>
    <w:rPr>
      <w:rFonts w:ascii="Times New Roman" w:hAnsi="Times New Roman" w:eastAsia="宋体" w:cs="Times New Roman"/>
      <w:sz w:val="16"/>
      <w:szCs w:val="16"/>
    </w:rPr>
  </w:style>
  <w:style w:type="character" w:customStyle="1" w:styleId="14">
    <w:name w:val="页脚 Char1"/>
    <w:basedOn w:val="5"/>
    <w:qFormat/>
    <w:uiPriority w:val="0"/>
    <w:rPr>
      <w:rFonts w:ascii="Times New Roman" w:hAnsi="Times New Roman" w:eastAsia="宋体" w:cs="Times New Roman"/>
      <w:sz w:val="18"/>
      <w:szCs w:val="18"/>
    </w:rPr>
  </w:style>
  <w:style w:type="character" w:customStyle="1" w:styleId="15">
    <w:name w:val="批注框文本 Char1"/>
    <w:basedOn w:val="5"/>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25</Pages>
  <Words>8070</Words>
  <Characters>9438</Characters>
  <Lines>86</Lines>
  <Paragraphs>24</Paragraphs>
  <TotalTime>1</TotalTime>
  <ScaleCrop>false</ScaleCrop>
  <LinksUpToDate>false</LinksUpToDate>
  <CharactersWithSpaces>10328</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2021-02-07T10:26:00Z</dcterms:created>
  <dc:creator>闫超</dc:creator>
  <cp:lastModifiedBy>Administrator</cp:lastModifiedBy>
  <cp:lastPrinted>2021-02-07T21:18:00Z</cp:lastPrinted>
  <dcterms:modified xsi:type="dcterms:W3CDTF">2022-04-04T17:11:09Z</dcterms:modified>
  <dc:title>附件2：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DB1BF57CB7754373B09B0E2E76CD3ED3</vt:lpwstr>
  </property>
</Properties>
</file>