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宋体" w:hAnsi="宋体" w:cs="宋体"/>
          <w:b/>
          <w:bCs/>
          <w:kern w:val="0"/>
          <w:sz w:val="44"/>
          <w:szCs w:val="44"/>
        </w:rPr>
      </w:pPr>
    </w:p>
    <w:p>
      <w:pPr>
        <w:rPr>
          <w:rFonts w:ascii="宋体" w:hAnsi="宋体" w:cs="宋体"/>
          <w:b/>
          <w:bCs/>
          <w:kern w:val="0"/>
          <w:sz w:val="44"/>
          <w:szCs w:val="44"/>
        </w:rPr>
      </w:pPr>
    </w:p>
    <w:p>
      <w:pPr>
        <w:rPr>
          <w:rFonts w:ascii="宋体" w:hAnsi="宋体" w:cs="宋体"/>
          <w:b/>
          <w:bCs/>
          <w:kern w:val="0"/>
          <w:sz w:val="44"/>
          <w:szCs w:val="44"/>
        </w:rPr>
      </w:pPr>
    </w:p>
    <w:p>
      <w:pPr>
        <w:rPr>
          <w:rFonts w:ascii="黑体" w:hAnsi="黑体" w:eastAsia="黑体"/>
          <w:sz w:val="32"/>
          <w:szCs w:val="32"/>
        </w:rPr>
      </w:pPr>
    </w:p>
    <w:p>
      <w:pPr>
        <w:rPr>
          <w:rFonts w:ascii="宋体" w:hAnsi="宋体" w:cs="宋体"/>
          <w:b/>
          <w:bCs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  <w:r>
        <w:rPr>
          <w:rFonts w:hint="eastAsia" w:ascii="方正小标宋_GBK" w:hAnsi="宋体" w:eastAsia="方正小标宋_GBK"/>
          <w:kern w:val="0"/>
          <w:sz w:val="44"/>
          <w:szCs w:val="44"/>
        </w:rPr>
        <w:t>昌吉州艺术剧院2021年</w:t>
      </w:r>
      <w:r>
        <w:rPr>
          <w:rFonts w:hint="eastAsia" w:ascii="方正小标宋_GBK" w:hAnsi="宋体" w:eastAsia="方正小标宋_GBK"/>
          <w:kern w:val="0"/>
          <w:sz w:val="44"/>
          <w:szCs w:val="44"/>
          <w:lang w:eastAsia="zh-CN"/>
        </w:rPr>
        <w:t>单位</w:t>
      </w:r>
      <w:r>
        <w:rPr>
          <w:rFonts w:hint="eastAsia" w:ascii="方正小标宋_GBK" w:hAnsi="宋体" w:eastAsia="方正小标宋_GBK"/>
          <w:kern w:val="0"/>
          <w:sz w:val="44"/>
          <w:szCs w:val="44"/>
        </w:rPr>
        <w:t>预算公开</w:t>
      </w: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  <w:r>
        <w:rPr>
          <w:rFonts w:hint="eastAsia" w:ascii="黑体" w:hAnsi="黑体" w:eastAsia="黑体"/>
          <w:kern w:val="0"/>
          <w:sz w:val="36"/>
          <w:szCs w:val="32"/>
        </w:rPr>
        <w:t>目 录</w:t>
      </w:r>
    </w:p>
    <w:p>
      <w:pPr>
        <w:widowControl/>
        <w:spacing w:line="480" w:lineRule="exact"/>
        <w:ind w:firstLine="883" w:firstLineChars="200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line="48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第一部分  昌吉州艺术剧院</w:t>
      </w:r>
      <w:r>
        <w:rPr>
          <w:rFonts w:hint="eastAsia" w:ascii="仿宋_GB2312" w:hAnsi="宋体" w:eastAsia="仿宋_GB2312"/>
          <w:b/>
          <w:kern w:val="0"/>
          <w:sz w:val="32"/>
          <w:szCs w:val="32"/>
          <w:lang w:eastAsia="zh-CN"/>
        </w:rPr>
        <w:t>单位</w:t>
      </w:r>
      <w:bookmarkStart w:id="0" w:name="_GoBack"/>
      <w:bookmarkEnd w:id="0"/>
      <w:r>
        <w:rPr>
          <w:rFonts w:hint="eastAsia" w:ascii="仿宋_GB2312" w:hAnsi="宋体" w:eastAsia="仿宋_GB2312"/>
          <w:b/>
          <w:kern w:val="0"/>
          <w:sz w:val="32"/>
          <w:szCs w:val="32"/>
        </w:rPr>
        <w:t>概况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一、主要职能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二、机构设置及人员情况</w:t>
      </w:r>
    </w:p>
    <w:p>
      <w:pPr>
        <w:widowControl/>
        <w:spacing w:line="48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第二部分  2021年单位预算公开表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一、昌吉州艺术剧院收支总体情况表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二、昌吉州艺术剧院收入总体情况表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三、昌吉州艺术剧院支出总体情况表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四、财政拨款收支总体情况表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五、一般公共预算支出情况表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六、一般公共预算基本支出情况表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七、一般公共预算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项目支出情况表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八、一般公共预算“三公”经费支出情况表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九、政府性基金预算支出情况表</w:t>
      </w:r>
    </w:p>
    <w:p>
      <w:pPr>
        <w:widowControl/>
        <w:spacing w:line="48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第三部分  2021年单位预算情况说明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一、关于昌吉州2021年收支预算情况的总体说明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二、关于昌吉州艺术剧院2021年收入预算情况说明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三、关于昌吉州艺术剧院2021年支出预算情况说明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bCs/>
          <w:kern w:val="0"/>
          <w:sz w:val="32"/>
          <w:szCs w:val="32"/>
        </w:rPr>
      </w:pPr>
      <w:r>
        <w:rPr>
          <w:rFonts w:hint="eastAsia" w:ascii="仿宋_GB2312" w:hAnsi="宋体" w:eastAsia="仿宋_GB2312"/>
          <w:bCs/>
          <w:kern w:val="0"/>
          <w:sz w:val="32"/>
          <w:szCs w:val="32"/>
        </w:rPr>
        <w:t>四、关于</w:t>
      </w:r>
      <w:r>
        <w:rPr>
          <w:rFonts w:hint="eastAsia" w:ascii="仿宋_GB2312" w:hAnsi="宋体" w:eastAsia="仿宋_GB2312"/>
          <w:kern w:val="0"/>
          <w:sz w:val="32"/>
          <w:szCs w:val="32"/>
        </w:rPr>
        <w:t>昌吉州艺术剧院2021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年财政拨款收支预算情况的总体说明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五、关于昌吉州艺术剧院2021年一般公共预算当年拨款情况说明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六、关于昌吉州艺术剧院2021年一般公共预算基本支出情况说明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七、关于昌吉州艺术剧院2021年一般公共预算项目支出情况说明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八、关于昌吉州艺术剧院2021年一般公共预算“三公”经费预算情况说明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九、关于昌吉州艺术剧院2021年政府性基金预算拨款情况说明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十、其他重要事项的情况说明</w:t>
      </w:r>
    </w:p>
    <w:p>
      <w:pPr>
        <w:widowControl/>
        <w:spacing w:line="48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第四部分  名词解释</w:t>
      </w: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56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第一部分   昌吉州艺术剧院</w:t>
      </w:r>
      <w:r>
        <w:rPr>
          <w:rFonts w:hint="eastAsia" w:ascii="黑体" w:hAnsi="黑体" w:eastAsia="黑体"/>
          <w:kern w:val="0"/>
          <w:sz w:val="32"/>
          <w:szCs w:val="32"/>
          <w:lang w:eastAsia="zh-CN"/>
        </w:rPr>
        <w:t>单位</w:t>
      </w:r>
      <w:r>
        <w:rPr>
          <w:rFonts w:hint="eastAsia" w:ascii="黑体" w:hAnsi="黑体" w:eastAsia="黑体"/>
          <w:kern w:val="0"/>
          <w:sz w:val="32"/>
          <w:szCs w:val="32"/>
        </w:rPr>
        <w:t>概况</w:t>
      </w:r>
    </w:p>
    <w:p>
      <w:pPr>
        <w:widowControl/>
        <w:spacing w:line="560" w:lineRule="exact"/>
        <w:jc w:val="center"/>
        <w:outlineLvl w:val="1"/>
        <w:rPr>
          <w:rFonts w:ascii="宋体" w:hAnsi="宋体"/>
          <w:b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　  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一、主要职能</w:t>
      </w:r>
    </w:p>
    <w:p>
      <w:pPr>
        <w:spacing w:line="560" w:lineRule="exact"/>
        <w:rPr>
          <w:rFonts w:ascii="仿宋_GB2312" w:hAnsi="宋体" w:eastAsia="仿宋_GB2312" w:cs="宋体"/>
          <w:bCs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 xml:space="preserve">   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 xml:space="preserve"> </w:t>
      </w:r>
      <w:r>
        <w:rPr>
          <w:rFonts w:hint="eastAsia" w:ascii="仿宋" w:hAnsi="仿宋" w:eastAsia="仿宋"/>
          <w:sz w:val="32"/>
          <w:szCs w:val="32"/>
        </w:rPr>
        <w:t>业务范围：1、民族歌舞音乐节目和新疆曲子剧的创作、演出；2、新疆曲子、传统艺术整理、加工、保护与传承；3、艺术研究与普及推广；4、艺术创作表演人才培养。</w:t>
      </w:r>
    </w:p>
    <w:p>
      <w:pPr>
        <w:widowControl/>
        <w:spacing w:line="560" w:lineRule="exact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　  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二、机构设置及人员情况</w:t>
      </w:r>
    </w:p>
    <w:p>
      <w:pPr>
        <w:spacing w:line="560" w:lineRule="exact"/>
        <w:rPr>
          <w:rFonts w:ascii="仿宋" w:hAnsi="仿宋" w:eastAsia="仿宋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</w:t>
      </w:r>
      <w:r>
        <w:rPr>
          <w:rFonts w:hint="eastAsia" w:ascii="黑体" w:hAnsi="黑体" w:eastAsia="黑体" w:cs="宋体"/>
          <w:b/>
          <w:bCs/>
          <w:kern w:val="0"/>
          <w:sz w:val="32"/>
          <w:szCs w:val="32"/>
        </w:rPr>
        <w:t xml:space="preserve"> </w:t>
      </w:r>
      <w:r>
        <w:rPr>
          <w:rFonts w:hint="eastAsia" w:ascii="仿宋" w:hAnsi="仿宋" w:eastAsia="仿宋"/>
          <w:sz w:val="32"/>
          <w:szCs w:val="32"/>
        </w:rPr>
        <w:t>昌吉州艺术剧院</w:t>
      </w:r>
      <w:r>
        <w:rPr>
          <w:rFonts w:hint="eastAsia" w:ascii="仿宋" w:hAnsi="仿宋" w:eastAsia="仿宋" w:cs="宋体"/>
          <w:bCs/>
          <w:kern w:val="0"/>
          <w:sz w:val="32"/>
          <w:szCs w:val="32"/>
        </w:rPr>
        <w:t>无下属预算单位，下设10个科室，</w:t>
      </w:r>
      <w:r>
        <w:rPr>
          <w:rFonts w:hint="eastAsia" w:ascii="仿宋" w:hAnsi="仿宋" w:eastAsia="仿宋"/>
          <w:sz w:val="32"/>
          <w:szCs w:val="32"/>
        </w:rPr>
        <w:t>分别是：办公室、创研室、舞蹈队、戏曲表演队、舞美队、声乐队、乐队、营销部、艺术服装部、培训部。</w:t>
      </w:r>
    </w:p>
    <w:p>
      <w:pPr>
        <w:widowControl/>
        <w:spacing w:line="560" w:lineRule="exact"/>
        <w:ind w:firstLine="640" w:firstLineChars="200"/>
        <w:jc w:val="left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昌吉州艺术剧院编制数112</w:t>
      </w:r>
      <w:r>
        <w:rPr>
          <w:rFonts w:hint="eastAsia" w:ascii="仿宋" w:hAnsi="仿宋" w:eastAsia="仿宋" w:cs="宋体"/>
          <w:kern w:val="0"/>
          <w:sz w:val="32"/>
          <w:szCs w:val="32"/>
          <w:highlight w:val="none"/>
        </w:rPr>
        <w:t>，实有人数</w:t>
      </w:r>
      <w:r>
        <w:rPr>
          <w:rFonts w:hint="eastAsia" w:ascii="仿宋" w:hAnsi="仿宋" w:eastAsia="仿宋" w:cs="宋体"/>
          <w:kern w:val="0"/>
          <w:sz w:val="32"/>
          <w:szCs w:val="32"/>
          <w:highlight w:val="none"/>
          <w:lang w:val="en-US" w:eastAsia="zh-CN"/>
        </w:rPr>
        <w:t>156</w:t>
      </w:r>
      <w:r>
        <w:rPr>
          <w:rFonts w:hint="eastAsia" w:ascii="仿宋" w:hAnsi="仿宋" w:eastAsia="仿宋" w:cs="宋体"/>
          <w:kern w:val="0"/>
          <w:sz w:val="32"/>
          <w:szCs w:val="32"/>
          <w:highlight w:val="none"/>
        </w:rPr>
        <w:t>人，其中</w:t>
      </w:r>
      <w:r>
        <w:rPr>
          <w:rFonts w:hint="eastAsia" w:ascii="仿宋" w:hAnsi="仿宋" w:eastAsia="仿宋" w:cs="宋体"/>
          <w:kern w:val="0"/>
          <w:sz w:val="32"/>
          <w:szCs w:val="32"/>
          <w:highlight w:val="none"/>
          <w:lang w:eastAsia="zh-CN"/>
        </w:rPr>
        <w:t>：</w:t>
      </w:r>
      <w:r>
        <w:rPr>
          <w:rFonts w:hint="eastAsia" w:ascii="仿宋" w:hAnsi="仿宋" w:eastAsia="仿宋" w:cs="宋体"/>
          <w:kern w:val="0"/>
          <w:sz w:val="32"/>
          <w:szCs w:val="32"/>
        </w:rPr>
        <w:t>在职 104人，增加8人</w:t>
      </w:r>
      <w:r>
        <w:rPr>
          <w:rFonts w:hint="eastAsia" w:ascii="仿宋" w:hAnsi="仿宋" w:eastAsia="仿宋" w:cs="宋体"/>
          <w:kern w:val="0"/>
          <w:sz w:val="32"/>
          <w:szCs w:val="32"/>
          <w:lang w:eastAsia="zh-CN"/>
        </w:rPr>
        <w:t>；</w:t>
      </w:r>
      <w:r>
        <w:rPr>
          <w:rFonts w:hint="eastAsia" w:ascii="仿宋" w:hAnsi="仿宋" w:eastAsia="仿宋" w:cs="宋体"/>
          <w:kern w:val="0"/>
          <w:sz w:val="32"/>
          <w:szCs w:val="32"/>
        </w:rPr>
        <w:t>退休 50人</w:t>
      </w:r>
      <w:r>
        <w:rPr>
          <w:rFonts w:hint="eastAsia" w:ascii="仿宋" w:hAnsi="仿宋" w:eastAsia="仿宋" w:cs="宋体"/>
          <w:kern w:val="0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宋体"/>
          <w:kern w:val="0"/>
          <w:sz w:val="32"/>
          <w:szCs w:val="32"/>
        </w:rPr>
        <w:t>增加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宋体"/>
          <w:kern w:val="0"/>
          <w:sz w:val="32"/>
          <w:szCs w:val="32"/>
        </w:rPr>
        <w:t>人</w:t>
      </w:r>
      <w:r>
        <w:rPr>
          <w:rFonts w:hint="eastAsia" w:ascii="仿宋" w:hAnsi="仿宋" w:eastAsia="仿宋" w:cs="宋体"/>
          <w:kern w:val="0"/>
          <w:sz w:val="32"/>
          <w:szCs w:val="32"/>
          <w:lang w:eastAsia="zh-CN"/>
        </w:rPr>
        <w:t>；</w:t>
      </w:r>
      <w:r>
        <w:rPr>
          <w:rFonts w:hint="eastAsia" w:ascii="仿宋" w:hAnsi="仿宋" w:eastAsia="仿宋" w:cs="宋体"/>
          <w:kern w:val="0"/>
          <w:sz w:val="32"/>
          <w:szCs w:val="32"/>
        </w:rPr>
        <w:t>离休2人</w:t>
      </w:r>
      <w:r>
        <w:rPr>
          <w:rFonts w:hint="eastAsia" w:ascii="仿宋" w:hAnsi="仿宋" w:eastAsia="仿宋" w:cs="宋体"/>
          <w:kern w:val="0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宋体"/>
          <w:kern w:val="0"/>
          <w:sz w:val="32"/>
          <w:szCs w:val="32"/>
        </w:rPr>
        <w:t>增加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宋体"/>
          <w:kern w:val="0"/>
          <w:sz w:val="32"/>
          <w:szCs w:val="32"/>
        </w:rPr>
        <w:t>人。</w:t>
      </w: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60" w:lineRule="exact"/>
        <w:ind w:firstLine="630" w:firstLineChars="196"/>
        <w:jc w:val="left"/>
        <w:rPr>
          <w:rFonts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b/>
          <w:kern w:val="0"/>
          <w:sz w:val="32"/>
          <w:szCs w:val="32"/>
        </w:rPr>
        <w:t xml:space="preserve"> </w:t>
      </w:r>
    </w:p>
    <w:p>
      <w:pPr>
        <w:widowControl/>
        <w:spacing w:line="48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48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48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48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48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48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48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48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48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440" w:lineRule="exact"/>
        <w:ind w:firstLine="1280" w:firstLineChars="400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第二部分  2021年单位预算公开表</w:t>
      </w:r>
    </w:p>
    <w:p>
      <w:pPr>
        <w:widowControl/>
        <w:spacing w:line="44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表一：</w:t>
      </w:r>
    </w:p>
    <w:p>
      <w:pPr>
        <w:widowControl/>
        <w:spacing w:line="44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单位收支总体情况表</w:t>
      </w:r>
    </w:p>
    <w:p>
      <w:pPr>
        <w:widowControl/>
        <w:spacing w:line="440" w:lineRule="exac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 xml:space="preserve">编制单位： 昌吉州艺术剧院                        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 xml:space="preserve">          </w:t>
      </w:r>
      <w:r>
        <w:rPr>
          <w:rFonts w:hint="eastAsia" w:ascii="仿宋_GB2312" w:hAnsi="宋体" w:eastAsia="仿宋_GB2312"/>
          <w:kern w:val="0"/>
          <w:sz w:val="24"/>
        </w:rPr>
        <w:t>单位：万元</w:t>
      </w:r>
    </w:p>
    <w:tbl>
      <w:tblPr>
        <w:tblStyle w:val="4"/>
        <w:tblW w:w="8662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25"/>
        <w:gridCol w:w="1418"/>
        <w:gridCol w:w="3260"/>
        <w:gridCol w:w="155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38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收     入</w:t>
            </w:r>
          </w:p>
        </w:tc>
        <w:tc>
          <w:tcPr>
            <w:tcW w:w="481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支     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18"/>
                <w:szCs w:val="18"/>
              </w:rPr>
              <w:t>项     目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18"/>
                <w:szCs w:val="18"/>
              </w:rPr>
              <w:t>预算数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18"/>
                <w:szCs w:val="18"/>
              </w:rPr>
              <w:t>功能分类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18"/>
                <w:szCs w:val="18"/>
              </w:rPr>
              <w:t>预算数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1938.83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一般公共预算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1938.83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政府性基金预算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国有资本经营预算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教育收费（财政专户）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事业收入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事业单位经营收入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1571.84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单位其他资金收入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208.89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158.1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资源勘探工业信息等支出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234 抗疫特别国债还本支出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textAlignment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收  入  总  计</w:t>
            </w:r>
          </w:p>
        </w:tc>
        <w:tc>
          <w:tcPr>
            <w:tcW w:w="14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1938.83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支  出  总  计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1938.83</w:t>
            </w:r>
          </w:p>
        </w:tc>
      </w:tr>
    </w:tbl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表二：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单位收入总体情况表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 xml:space="preserve">编制单位：昌吉州艺术剧院                           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 xml:space="preserve">        </w:t>
      </w:r>
      <w:r>
        <w:rPr>
          <w:rFonts w:hint="eastAsia" w:ascii="仿宋_GB2312" w:hAnsi="宋体" w:eastAsia="仿宋_GB2312"/>
          <w:kern w:val="0"/>
          <w:sz w:val="24"/>
        </w:rPr>
        <w:t xml:space="preserve">    单位：万元</w:t>
      </w:r>
    </w:p>
    <w:tbl>
      <w:tblPr>
        <w:tblStyle w:val="4"/>
        <w:tblW w:w="9741" w:type="dxa"/>
        <w:tblInd w:w="-45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1"/>
        <w:gridCol w:w="735"/>
        <w:gridCol w:w="930"/>
        <w:gridCol w:w="1180"/>
        <w:gridCol w:w="1018"/>
        <w:gridCol w:w="850"/>
        <w:gridCol w:w="709"/>
        <w:gridCol w:w="795"/>
        <w:gridCol w:w="921"/>
        <w:gridCol w:w="660"/>
        <w:gridCol w:w="708"/>
        <w:gridCol w:w="68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2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功能分类科目编码</w:t>
            </w:r>
          </w:p>
        </w:tc>
        <w:tc>
          <w:tcPr>
            <w:tcW w:w="11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功能分类科目名称</w:t>
            </w:r>
          </w:p>
        </w:tc>
        <w:tc>
          <w:tcPr>
            <w:tcW w:w="101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总  计</w:t>
            </w:r>
          </w:p>
        </w:tc>
        <w:tc>
          <w:tcPr>
            <w:tcW w:w="8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一般公共预算拨款</w:t>
            </w:r>
          </w:p>
        </w:tc>
        <w:tc>
          <w:tcPr>
            <w:tcW w:w="70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政府性基金预算拨款</w:t>
            </w:r>
          </w:p>
        </w:tc>
        <w:tc>
          <w:tcPr>
            <w:tcW w:w="79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国有资本经营预算</w:t>
            </w:r>
          </w:p>
        </w:tc>
        <w:tc>
          <w:tcPr>
            <w:tcW w:w="92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财政专户（教育收费）</w:t>
            </w:r>
          </w:p>
        </w:tc>
        <w:tc>
          <w:tcPr>
            <w:tcW w:w="66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事业收入</w:t>
            </w:r>
          </w:p>
        </w:tc>
        <w:tc>
          <w:tcPr>
            <w:tcW w:w="70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事业单位经营收入</w:t>
            </w:r>
          </w:p>
        </w:tc>
        <w:tc>
          <w:tcPr>
            <w:tcW w:w="68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单位其他资金收入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0" w:hRule="atLeast"/>
        </w:trPr>
        <w:tc>
          <w:tcPr>
            <w:tcW w:w="5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类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款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项</w:t>
            </w:r>
          </w:p>
        </w:tc>
        <w:tc>
          <w:tcPr>
            <w:tcW w:w="11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207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18"/>
                <w:szCs w:val="18"/>
                <w:highlight w:val="none"/>
                <w:lang w:eastAsia="zh-CN"/>
              </w:rPr>
              <w:t>文化旅游体育与传媒支出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right"/>
              <w:rPr>
                <w:rFonts w:ascii="华文仿宋" w:hAnsi="华文仿宋" w:eastAsia="华文仿宋" w:cs="华文仿宋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sz w:val="18"/>
                <w:szCs w:val="18"/>
                <w:highlight w:val="none"/>
              </w:rPr>
              <w:t>1571.84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sz w:val="18"/>
                <w:szCs w:val="18"/>
              </w:rPr>
              <w:t>1571.84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  <w:t>207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  <w:t>01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eastAsia="zh-CN"/>
              </w:rPr>
              <w:t>文化和旅游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  <w:t>1571.84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  <w:t>1571.84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  <w:t>207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  <w:t>01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07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18"/>
                <w:szCs w:val="18"/>
                <w:highlight w:val="none"/>
              </w:rPr>
              <w:t>艺术表演团体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华文仿宋" w:hAnsi="华文仿宋" w:eastAsia="华文仿宋" w:cs="华文仿宋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sz w:val="18"/>
                <w:szCs w:val="18"/>
                <w:highlight w:val="none"/>
              </w:rPr>
              <w:t>1571.84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sz w:val="18"/>
                <w:szCs w:val="18"/>
              </w:rPr>
              <w:t>1571.84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208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  <w:lang w:eastAsia="zh-CN"/>
              </w:rPr>
              <w:t>社会保障和就业支出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208.89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208.89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  <w:t>208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05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eastAsia="zh-CN"/>
              </w:rPr>
              <w:t>行政事业单位养老支出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  <w:t>208.89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  <w:t>208.89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  <w:t>208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  <w:t>05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05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机关事业单位基本养老保险缴费支出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139.26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139.26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208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  <w:t>05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  <w:t>06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机关事业单位职业年金缴费支出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69.63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69.63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210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  <w:lang w:eastAsia="zh-CN"/>
              </w:rPr>
              <w:t>卫生健康支出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158.1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158.1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  <w:t>210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  <w:t>11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  <w:t>行政事业单位医疗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  <w:t>158.1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  <w:t>158.1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  <w:t>210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  <w:t>11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  <w:t>02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事业单位医疗支出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116.65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116.65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210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  <w:t>11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  <w:t>03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公务员补助支出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37.43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37.43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  <w:t>210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  <w:t>11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  <w:t>99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其他机关事业单位医疗支出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4.02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4.02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highlight w:val="yellow"/>
                <w:lang w:val="en-US" w:eastAsia="zh-CN" w:bidi="ar-SA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highlight w:val="yellow"/>
                <w:lang w:val="en-US" w:eastAsia="zh-CN" w:bidi="ar-SA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highlight w:val="yellow"/>
                <w:lang w:val="en-US" w:eastAsia="zh-CN"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highlight w:val="yellow"/>
                <w:lang w:val="en-US" w:eastAsia="zh-CN" w:bidi="ar-SA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highlight w:val="yellow"/>
                <w:lang w:val="en-US" w:eastAsia="zh-CN" w:bidi="ar-SA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highlight w:val="yellow"/>
                <w:lang w:val="en-US" w:eastAsia="zh-CN" w:bidi="ar-SA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highlight w:val="yellow"/>
                <w:lang w:val="en-US" w:eastAsia="zh-CN"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highlight w:val="yellow"/>
                <w:lang w:val="en-US" w:eastAsia="zh-CN" w:bidi="ar-SA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bCs/>
                <w:color w:val="000000"/>
                <w:sz w:val="18"/>
                <w:szCs w:val="18"/>
              </w:rPr>
              <w:t>合  计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1938.83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1938.83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</w:tbl>
    <w:p>
      <w:pPr>
        <w:widowControl/>
        <w:spacing w:line="360" w:lineRule="exact"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360" w:lineRule="exact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表三：</w:t>
      </w:r>
    </w:p>
    <w:p>
      <w:pPr>
        <w:widowControl/>
        <w:spacing w:line="360" w:lineRule="exact"/>
        <w:jc w:val="center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36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单位支出总体情况表</w:t>
      </w:r>
    </w:p>
    <w:p>
      <w:pPr>
        <w:widowControl/>
        <w:spacing w:line="280" w:lineRule="exact"/>
        <w:jc w:val="center"/>
        <w:outlineLvl w:val="1"/>
        <w:rPr>
          <w:rFonts w:hint="default" w:ascii="仿宋_GB2312" w:hAnsi="宋体" w:eastAsia="仿宋_GB2312"/>
          <w:b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  <w:lang w:val="en-US" w:eastAsia="zh-CN"/>
        </w:rPr>
        <w:t xml:space="preserve">    </w:t>
      </w:r>
    </w:p>
    <w:p>
      <w:pPr>
        <w:widowControl/>
        <w:spacing w:line="280" w:lineRule="exact"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编制单位：昌吉州艺术剧院                               单位：万元</w:t>
      </w:r>
    </w:p>
    <w:tbl>
      <w:tblPr>
        <w:tblStyle w:val="4"/>
        <w:tblW w:w="9420" w:type="dxa"/>
        <w:tblInd w:w="-24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6"/>
        <w:gridCol w:w="755"/>
        <w:gridCol w:w="885"/>
        <w:gridCol w:w="1731"/>
        <w:gridCol w:w="1840"/>
        <w:gridCol w:w="1841"/>
        <w:gridCol w:w="188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385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项    目</w:t>
            </w:r>
          </w:p>
        </w:tc>
        <w:tc>
          <w:tcPr>
            <w:tcW w:w="556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支出预算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1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173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功能分类科目名称</w:t>
            </w:r>
          </w:p>
        </w:tc>
        <w:tc>
          <w:tcPr>
            <w:tcW w:w="184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合  计</w:t>
            </w:r>
          </w:p>
        </w:tc>
        <w:tc>
          <w:tcPr>
            <w:tcW w:w="184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基本支出</w:t>
            </w:r>
          </w:p>
        </w:tc>
        <w:tc>
          <w:tcPr>
            <w:tcW w:w="1882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项目支出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类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款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项</w:t>
            </w:r>
          </w:p>
        </w:tc>
        <w:tc>
          <w:tcPr>
            <w:tcW w:w="173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207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18"/>
                <w:szCs w:val="18"/>
                <w:highlight w:val="none"/>
                <w:lang w:eastAsia="zh-CN"/>
              </w:rPr>
              <w:t>文化旅游体育与传媒支出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华文仿宋" w:hAnsi="华文仿宋" w:eastAsia="华文仿宋" w:cs="华文仿宋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sz w:val="18"/>
                <w:szCs w:val="18"/>
              </w:rPr>
              <w:t>1571.84</w:t>
            </w:r>
          </w:p>
        </w:tc>
        <w:tc>
          <w:tcPr>
            <w:tcW w:w="18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15</w:t>
            </w: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50</w:t>
            </w: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.84</w:t>
            </w:r>
          </w:p>
        </w:tc>
        <w:tc>
          <w:tcPr>
            <w:tcW w:w="1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  <w:t>207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  <w:t>01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eastAsia="zh-CN"/>
              </w:rPr>
              <w:t>文化和旅游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  <w:t>1571.84</w:t>
            </w:r>
          </w:p>
        </w:tc>
        <w:tc>
          <w:tcPr>
            <w:tcW w:w="18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  <w:t>1550.84</w:t>
            </w:r>
          </w:p>
        </w:tc>
        <w:tc>
          <w:tcPr>
            <w:tcW w:w="1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  <w:t>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  <w:t>207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  <w:t>01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07</w:t>
            </w:r>
          </w:p>
        </w:tc>
        <w:tc>
          <w:tcPr>
            <w:tcW w:w="17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18"/>
                <w:szCs w:val="18"/>
                <w:highlight w:val="none"/>
              </w:rPr>
              <w:t>艺术表演团体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华文仿宋" w:hAnsi="华文仿宋" w:eastAsia="华文仿宋" w:cs="华文仿宋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sz w:val="18"/>
                <w:szCs w:val="18"/>
              </w:rPr>
              <w:t>1571.84</w:t>
            </w:r>
          </w:p>
        </w:tc>
        <w:tc>
          <w:tcPr>
            <w:tcW w:w="18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1550.84</w:t>
            </w:r>
          </w:p>
        </w:tc>
        <w:tc>
          <w:tcPr>
            <w:tcW w:w="1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  <w:t>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208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  <w:lang w:eastAsia="zh-CN"/>
              </w:rPr>
              <w:t>社会保障和就业支出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208.89</w:t>
            </w:r>
          </w:p>
        </w:tc>
        <w:tc>
          <w:tcPr>
            <w:tcW w:w="18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208.89</w:t>
            </w:r>
          </w:p>
        </w:tc>
        <w:tc>
          <w:tcPr>
            <w:tcW w:w="1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  <w:t>208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05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eastAsia="zh-CN"/>
              </w:rPr>
              <w:t>行政事业单位养老支出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  <w:t>208.89</w:t>
            </w:r>
          </w:p>
        </w:tc>
        <w:tc>
          <w:tcPr>
            <w:tcW w:w="18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  <w:t>208.89</w:t>
            </w:r>
          </w:p>
        </w:tc>
        <w:tc>
          <w:tcPr>
            <w:tcW w:w="1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  <w:t>208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  <w:t>05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05</w:t>
            </w:r>
          </w:p>
        </w:tc>
        <w:tc>
          <w:tcPr>
            <w:tcW w:w="17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机关事业单位基本养老保险缴费支出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139.26</w:t>
            </w:r>
          </w:p>
        </w:tc>
        <w:tc>
          <w:tcPr>
            <w:tcW w:w="18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139.26</w:t>
            </w:r>
          </w:p>
        </w:tc>
        <w:tc>
          <w:tcPr>
            <w:tcW w:w="1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208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  <w:t>05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  <w:t>06</w:t>
            </w:r>
          </w:p>
        </w:tc>
        <w:tc>
          <w:tcPr>
            <w:tcW w:w="17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机关事业单位职业年金缴费支出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69.63</w:t>
            </w:r>
          </w:p>
        </w:tc>
        <w:tc>
          <w:tcPr>
            <w:tcW w:w="18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69.63</w:t>
            </w:r>
          </w:p>
        </w:tc>
        <w:tc>
          <w:tcPr>
            <w:tcW w:w="1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210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  <w:lang w:eastAsia="zh-CN"/>
              </w:rPr>
              <w:t>卫生健康支出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158.1</w:t>
            </w:r>
          </w:p>
        </w:tc>
        <w:tc>
          <w:tcPr>
            <w:tcW w:w="18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158.1</w:t>
            </w:r>
          </w:p>
        </w:tc>
        <w:tc>
          <w:tcPr>
            <w:tcW w:w="1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  <w:t>210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  <w:t>11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  <w:t>行政事业单位医疗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  <w:t>158.1</w:t>
            </w:r>
          </w:p>
        </w:tc>
        <w:tc>
          <w:tcPr>
            <w:tcW w:w="18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  <w:t>158.1</w:t>
            </w:r>
          </w:p>
        </w:tc>
        <w:tc>
          <w:tcPr>
            <w:tcW w:w="1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  <w:t>210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  <w:t>11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  <w:t>02</w:t>
            </w:r>
          </w:p>
        </w:tc>
        <w:tc>
          <w:tcPr>
            <w:tcW w:w="17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事业单位医疗支出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116.65</w:t>
            </w:r>
          </w:p>
        </w:tc>
        <w:tc>
          <w:tcPr>
            <w:tcW w:w="18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116.65</w:t>
            </w:r>
          </w:p>
        </w:tc>
        <w:tc>
          <w:tcPr>
            <w:tcW w:w="1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210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  <w:t>11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  <w:t>03</w:t>
            </w:r>
          </w:p>
        </w:tc>
        <w:tc>
          <w:tcPr>
            <w:tcW w:w="17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公务员补助支出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37.43</w:t>
            </w:r>
          </w:p>
        </w:tc>
        <w:tc>
          <w:tcPr>
            <w:tcW w:w="18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37.43</w:t>
            </w:r>
          </w:p>
        </w:tc>
        <w:tc>
          <w:tcPr>
            <w:tcW w:w="1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  <w:t>210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  <w:t>11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  <w:t>99</w:t>
            </w:r>
          </w:p>
        </w:tc>
        <w:tc>
          <w:tcPr>
            <w:tcW w:w="17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其他机关事业单位医疗支出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4.02</w:t>
            </w:r>
          </w:p>
        </w:tc>
        <w:tc>
          <w:tcPr>
            <w:tcW w:w="18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4.02</w:t>
            </w:r>
          </w:p>
        </w:tc>
        <w:tc>
          <w:tcPr>
            <w:tcW w:w="1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highlight w:val="yellow"/>
                <w:lang w:val="en-US" w:eastAsia="zh-CN" w:bidi="ar-SA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highlight w:val="yellow"/>
                <w:lang w:val="en-US" w:eastAsia="zh-CN" w:bidi="ar-SA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highlight w:val="yellow"/>
                <w:lang w:val="en-US" w:eastAsia="zh-CN" w:bidi="ar-SA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highlight w:val="yellow"/>
                <w:lang w:val="en-US" w:eastAsia="zh-CN" w:bidi="ar-SA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highlight w:val="yellow"/>
                <w:lang w:val="en-US" w:eastAsia="zh-CN" w:bidi="ar-SA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highlight w:val="yellow"/>
                <w:lang w:val="en-US" w:eastAsia="zh-CN" w:bidi="ar-SA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highlight w:val="yellow"/>
                <w:lang w:val="en-US" w:eastAsia="zh-CN" w:bidi="ar-SA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highlight w:val="yellow"/>
                <w:lang w:val="en-US" w:eastAsia="zh-CN" w:bidi="ar-SA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highlight w:val="yellow"/>
                <w:lang w:val="en-US" w:eastAsia="zh-CN" w:bidi="ar-SA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highlight w:val="yellow"/>
                <w:lang w:val="en-US" w:eastAsia="zh-CN" w:bidi="ar-SA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highlight w:val="yellow"/>
                <w:lang w:val="en-US" w:eastAsia="zh-CN" w:bidi="ar-SA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highlight w:val="yellow"/>
                <w:lang w:val="en-US" w:eastAsia="zh-CN" w:bidi="ar-SA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highlight w:val="yellow"/>
                <w:lang w:val="en-US" w:eastAsia="zh-CN" w:bidi="ar-SA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highlight w:val="yellow"/>
                <w:lang w:val="en-US" w:eastAsia="zh-CN" w:bidi="ar-SA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highlight w:val="yellow"/>
                <w:lang w:val="en-US" w:eastAsia="zh-CN" w:bidi="ar-SA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highlight w:val="yellow"/>
                <w:lang w:val="en-US" w:eastAsia="zh-CN" w:bidi="ar-SA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highlight w:val="yellow"/>
                <w:lang w:val="en-US" w:eastAsia="zh-CN" w:bidi="ar-SA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highlight w:val="yellow"/>
                <w:lang w:val="en-US" w:eastAsia="zh-CN" w:bidi="ar-SA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highlight w:val="yellow"/>
                <w:lang w:val="en-US" w:eastAsia="zh-CN" w:bidi="ar-SA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highlight w:val="yellow"/>
                <w:lang w:val="en-US" w:eastAsia="zh-CN" w:bidi="ar-SA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highlight w:val="yellow"/>
                <w:lang w:val="en-US" w:eastAsia="zh-CN" w:bidi="ar-SA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highlight w:val="yellow"/>
                <w:lang w:val="en-US" w:eastAsia="zh-CN" w:bidi="ar-SA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highlight w:val="yellow"/>
                <w:lang w:val="en-US" w:eastAsia="zh-CN" w:bidi="ar-SA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highlight w:val="yellow"/>
                <w:lang w:val="en-US" w:eastAsia="zh-CN" w:bidi="ar-SA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highlight w:val="yellow"/>
                <w:lang w:val="en-US" w:eastAsia="zh-CN" w:bidi="ar-SA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highlight w:val="yellow"/>
                <w:lang w:val="en-US" w:eastAsia="zh-CN" w:bidi="ar-SA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highlight w:val="yellow"/>
                <w:lang w:val="en-US" w:eastAsia="zh-CN" w:bidi="ar-SA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highlight w:val="yellow"/>
                <w:lang w:val="en-US" w:eastAsia="zh-CN" w:bidi="ar-SA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合  计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1938.83</w:t>
            </w:r>
          </w:p>
        </w:tc>
        <w:tc>
          <w:tcPr>
            <w:tcW w:w="18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1917.83</w:t>
            </w:r>
          </w:p>
        </w:tc>
        <w:tc>
          <w:tcPr>
            <w:tcW w:w="1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21</w:t>
            </w:r>
          </w:p>
        </w:tc>
      </w:tr>
    </w:tbl>
    <w:p>
      <w:pPr>
        <w:widowControl/>
        <w:spacing w:beforeLines="50" w:line="28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beforeLines="50" w:line="280" w:lineRule="exac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beforeLines="50" w:line="28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表四：</w:t>
      </w:r>
    </w:p>
    <w:p>
      <w:pPr>
        <w:widowControl/>
        <w:spacing w:beforeLines="50" w:line="28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财政拨款收支预算总体情况表</w:t>
      </w:r>
    </w:p>
    <w:p>
      <w:pPr>
        <w:widowControl/>
        <w:spacing w:beforeLines="50" w:line="280" w:lineRule="exact"/>
        <w:outlineLvl w:val="1"/>
        <w:rPr>
          <w:rFonts w:ascii="仿宋_GB2312" w:hAnsi="宋体" w:eastAsia="仿宋_GB2312"/>
          <w:kern w:val="0"/>
          <w:szCs w:val="21"/>
        </w:rPr>
      </w:pPr>
      <w:r>
        <w:rPr>
          <w:rFonts w:hint="eastAsia" w:ascii="仿宋_GB2312" w:hAnsi="宋体" w:eastAsia="仿宋_GB2312"/>
          <w:kern w:val="0"/>
          <w:szCs w:val="21"/>
        </w:rPr>
        <w:t xml:space="preserve">编制单位：昌吉州艺术剧院                                  </w:t>
      </w:r>
      <w:r>
        <w:rPr>
          <w:rFonts w:hint="eastAsia" w:ascii="仿宋_GB2312" w:hAnsi="宋体" w:eastAsia="仿宋_GB2312"/>
          <w:kern w:val="0"/>
          <w:szCs w:val="21"/>
          <w:lang w:val="en-US" w:eastAsia="zh-CN"/>
        </w:rPr>
        <w:t xml:space="preserve">              </w:t>
      </w:r>
      <w:r>
        <w:rPr>
          <w:rFonts w:hint="eastAsia" w:ascii="仿宋_GB2312" w:hAnsi="宋体" w:eastAsia="仿宋_GB2312"/>
          <w:kern w:val="0"/>
          <w:szCs w:val="21"/>
        </w:rPr>
        <w:t xml:space="preserve"> 单位：万元</w:t>
      </w:r>
    </w:p>
    <w:tbl>
      <w:tblPr>
        <w:tblStyle w:val="4"/>
        <w:tblW w:w="10583" w:type="dxa"/>
        <w:tblInd w:w="-24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8"/>
        <w:gridCol w:w="1134"/>
        <w:gridCol w:w="2388"/>
        <w:gridCol w:w="900"/>
        <w:gridCol w:w="964"/>
        <w:gridCol w:w="1021"/>
        <w:gridCol w:w="1134"/>
        <w:gridCol w:w="113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285" w:hRule="atLeast"/>
        </w:trPr>
        <w:tc>
          <w:tcPr>
            <w:tcW w:w="30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财政拨款收入</w:t>
            </w:r>
          </w:p>
        </w:tc>
        <w:tc>
          <w:tcPr>
            <w:tcW w:w="640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财政拨款支出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646" w:hRule="atLeas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目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  计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  能  分  类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 计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一般公共预算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政府性基金预算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国有资本经营预算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1938.83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 一般公共预算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1938.83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ind w:firstLine="90" w:firstLineChars="50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政府性基金预算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ind w:firstLine="90" w:firstLineChars="50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国有资本经营预算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1571.84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1571.84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208.89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208.89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158.1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158.1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资源勘探工业信息等支出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234 抗疫特别国债还本支出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收  入  总  计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1938.83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支  出  总  计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1938.83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1938.83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</w:tbl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表五：</w:t>
      </w:r>
    </w:p>
    <w:tbl>
      <w:tblPr>
        <w:tblStyle w:val="4"/>
        <w:tblW w:w="9903" w:type="dxa"/>
        <w:tblInd w:w="-3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0"/>
        <w:gridCol w:w="675"/>
        <w:gridCol w:w="1395"/>
        <w:gridCol w:w="1890"/>
        <w:gridCol w:w="236"/>
        <w:gridCol w:w="994"/>
        <w:gridCol w:w="246"/>
        <w:gridCol w:w="948"/>
        <w:gridCol w:w="1701"/>
        <w:gridCol w:w="67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78" w:type="dxa"/>
          <w:trHeight w:val="450" w:hRule="atLeast"/>
        </w:trPr>
        <w:tc>
          <w:tcPr>
            <w:tcW w:w="9225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一般公共预算支出情况表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10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编制单位：昌吉州艺术剧院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</w:t>
            </w:r>
          </w:p>
        </w:tc>
        <w:tc>
          <w:tcPr>
            <w:tcW w:w="3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78" w:type="dxa"/>
          <w:trHeight w:val="405" w:hRule="atLeast"/>
        </w:trPr>
        <w:tc>
          <w:tcPr>
            <w:tcW w:w="51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项   目</w:t>
            </w:r>
          </w:p>
        </w:tc>
        <w:tc>
          <w:tcPr>
            <w:tcW w:w="412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一般公共预算支出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78" w:type="dxa"/>
          <w:trHeight w:val="465" w:hRule="atLeast"/>
        </w:trPr>
        <w:tc>
          <w:tcPr>
            <w:tcW w:w="32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189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230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194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78" w:type="dxa"/>
          <w:trHeight w:val="300" w:hRule="atLeast"/>
        </w:trPr>
        <w:tc>
          <w:tcPr>
            <w:tcW w:w="11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1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189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30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4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78" w:type="dxa"/>
          <w:trHeight w:val="450" w:hRule="atLeast"/>
        </w:trPr>
        <w:tc>
          <w:tcPr>
            <w:tcW w:w="11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207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18"/>
                <w:szCs w:val="18"/>
                <w:highlight w:val="none"/>
                <w:lang w:eastAsia="zh-CN"/>
              </w:rPr>
              <w:t>文化旅游体育与传媒支出</w:t>
            </w:r>
          </w:p>
        </w:tc>
        <w:tc>
          <w:tcPr>
            <w:tcW w:w="12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华文仿宋" w:hAnsi="华文仿宋" w:eastAsia="华文仿宋" w:cs="华文仿宋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sz w:val="18"/>
                <w:szCs w:val="18"/>
              </w:rPr>
              <w:t>1571.84</w:t>
            </w:r>
          </w:p>
        </w:tc>
        <w:tc>
          <w:tcPr>
            <w:tcW w:w="11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15</w:t>
            </w: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50</w:t>
            </w: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.84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78" w:type="dxa"/>
          <w:trHeight w:val="450" w:hRule="atLeast"/>
        </w:trPr>
        <w:tc>
          <w:tcPr>
            <w:tcW w:w="11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  <w:t>207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  <w:t>01</w:t>
            </w:r>
          </w:p>
        </w:tc>
        <w:tc>
          <w:tcPr>
            <w:tcW w:w="1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eastAsia="zh-CN"/>
              </w:rPr>
              <w:t>文化和旅游</w:t>
            </w:r>
          </w:p>
        </w:tc>
        <w:tc>
          <w:tcPr>
            <w:tcW w:w="12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  <w:t>1571.84</w:t>
            </w:r>
          </w:p>
        </w:tc>
        <w:tc>
          <w:tcPr>
            <w:tcW w:w="11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  <w:t>1550.84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  <w:t>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78" w:type="dxa"/>
          <w:trHeight w:val="450" w:hRule="atLeast"/>
        </w:trPr>
        <w:tc>
          <w:tcPr>
            <w:tcW w:w="11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  <w:t>207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  <w:t>01</w:t>
            </w:r>
          </w:p>
        </w:tc>
        <w:tc>
          <w:tcPr>
            <w:tcW w:w="1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07</w:t>
            </w:r>
          </w:p>
        </w:tc>
        <w:tc>
          <w:tcPr>
            <w:tcW w:w="1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18"/>
                <w:szCs w:val="18"/>
                <w:highlight w:val="none"/>
              </w:rPr>
              <w:t>艺术表演团体</w:t>
            </w:r>
          </w:p>
        </w:tc>
        <w:tc>
          <w:tcPr>
            <w:tcW w:w="12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华文仿宋" w:hAnsi="华文仿宋" w:eastAsia="华文仿宋" w:cs="华文仿宋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sz w:val="18"/>
                <w:szCs w:val="18"/>
              </w:rPr>
              <w:t>1571.84</w:t>
            </w:r>
          </w:p>
        </w:tc>
        <w:tc>
          <w:tcPr>
            <w:tcW w:w="11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1550.84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  <w:t>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78" w:type="dxa"/>
          <w:trHeight w:val="450" w:hRule="atLeast"/>
        </w:trPr>
        <w:tc>
          <w:tcPr>
            <w:tcW w:w="11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208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  <w:lang w:eastAsia="zh-CN"/>
              </w:rPr>
              <w:t>社会保障和就业支出</w:t>
            </w:r>
          </w:p>
        </w:tc>
        <w:tc>
          <w:tcPr>
            <w:tcW w:w="12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208.89</w:t>
            </w:r>
          </w:p>
        </w:tc>
        <w:tc>
          <w:tcPr>
            <w:tcW w:w="11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208.89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78" w:type="dxa"/>
          <w:trHeight w:val="450" w:hRule="atLeast"/>
        </w:trPr>
        <w:tc>
          <w:tcPr>
            <w:tcW w:w="11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  <w:t>208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05</w:t>
            </w:r>
          </w:p>
        </w:tc>
        <w:tc>
          <w:tcPr>
            <w:tcW w:w="1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eastAsia="zh-CN"/>
              </w:rPr>
              <w:t>行政事业单位养老支出</w:t>
            </w:r>
          </w:p>
        </w:tc>
        <w:tc>
          <w:tcPr>
            <w:tcW w:w="12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  <w:t>208.89</w:t>
            </w:r>
          </w:p>
        </w:tc>
        <w:tc>
          <w:tcPr>
            <w:tcW w:w="11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  <w:t>208.89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78" w:type="dxa"/>
          <w:trHeight w:val="450" w:hRule="atLeast"/>
        </w:trPr>
        <w:tc>
          <w:tcPr>
            <w:tcW w:w="11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  <w:t>208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  <w:t>05</w:t>
            </w:r>
          </w:p>
        </w:tc>
        <w:tc>
          <w:tcPr>
            <w:tcW w:w="1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05</w:t>
            </w:r>
          </w:p>
        </w:tc>
        <w:tc>
          <w:tcPr>
            <w:tcW w:w="1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机关事业单位基本养老保险缴费支出</w:t>
            </w:r>
          </w:p>
        </w:tc>
        <w:tc>
          <w:tcPr>
            <w:tcW w:w="12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139.26</w:t>
            </w:r>
          </w:p>
        </w:tc>
        <w:tc>
          <w:tcPr>
            <w:tcW w:w="11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139.26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78" w:type="dxa"/>
          <w:trHeight w:val="450" w:hRule="atLeast"/>
        </w:trPr>
        <w:tc>
          <w:tcPr>
            <w:tcW w:w="11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208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  <w:t>05</w:t>
            </w:r>
          </w:p>
        </w:tc>
        <w:tc>
          <w:tcPr>
            <w:tcW w:w="1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  <w:t>06</w:t>
            </w:r>
          </w:p>
        </w:tc>
        <w:tc>
          <w:tcPr>
            <w:tcW w:w="1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机关事业单位职业年金缴费支出</w:t>
            </w:r>
          </w:p>
        </w:tc>
        <w:tc>
          <w:tcPr>
            <w:tcW w:w="12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69.63</w:t>
            </w:r>
          </w:p>
        </w:tc>
        <w:tc>
          <w:tcPr>
            <w:tcW w:w="11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69.63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78" w:type="dxa"/>
          <w:trHeight w:val="450" w:hRule="atLeast"/>
        </w:trPr>
        <w:tc>
          <w:tcPr>
            <w:tcW w:w="11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210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  <w:lang w:eastAsia="zh-CN"/>
              </w:rPr>
              <w:t>卫生健康支出</w:t>
            </w:r>
          </w:p>
        </w:tc>
        <w:tc>
          <w:tcPr>
            <w:tcW w:w="12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158.1</w:t>
            </w:r>
          </w:p>
        </w:tc>
        <w:tc>
          <w:tcPr>
            <w:tcW w:w="11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158.1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78" w:type="dxa"/>
          <w:trHeight w:val="360" w:hRule="atLeast"/>
        </w:trPr>
        <w:tc>
          <w:tcPr>
            <w:tcW w:w="11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  <w:t>210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  <w:t>11</w:t>
            </w:r>
          </w:p>
        </w:tc>
        <w:tc>
          <w:tcPr>
            <w:tcW w:w="1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  <w:t>行政事业单位医疗</w:t>
            </w:r>
          </w:p>
        </w:tc>
        <w:tc>
          <w:tcPr>
            <w:tcW w:w="12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  <w:t>158.1</w:t>
            </w:r>
          </w:p>
        </w:tc>
        <w:tc>
          <w:tcPr>
            <w:tcW w:w="11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  <w:t>158.1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78" w:type="dxa"/>
          <w:trHeight w:val="450" w:hRule="atLeast"/>
        </w:trPr>
        <w:tc>
          <w:tcPr>
            <w:tcW w:w="11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  <w:t>210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  <w:t>11</w:t>
            </w:r>
          </w:p>
        </w:tc>
        <w:tc>
          <w:tcPr>
            <w:tcW w:w="1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  <w:t>02</w:t>
            </w:r>
          </w:p>
        </w:tc>
        <w:tc>
          <w:tcPr>
            <w:tcW w:w="1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事业单位医疗支出</w:t>
            </w:r>
          </w:p>
        </w:tc>
        <w:tc>
          <w:tcPr>
            <w:tcW w:w="12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116.65</w:t>
            </w:r>
          </w:p>
        </w:tc>
        <w:tc>
          <w:tcPr>
            <w:tcW w:w="11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116.65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78" w:type="dxa"/>
          <w:trHeight w:val="345" w:hRule="atLeast"/>
        </w:trPr>
        <w:tc>
          <w:tcPr>
            <w:tcW w:w="11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210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  <w:t>11</w:t>
            </w:r>
          </w:p>
        </w:tc>
        <w:tc>
          <w:tcPr>
            <w:tcW w:w="1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  <w:t>03</w:t>
            </w:r>
          </w:p>
        </w:tc>
        <w:tc>
          <w:tcPr>
            <w:tcW w:w="1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公务员补助支出</w:t>
            </w:r>
          </w:p>
        </w:tc>
        <w:tc>
          <w:tcPr>
            <w:tcW w:w="12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37.43</w:t>
            </w:r>
          </w:p>
        </w:tc>
        <w:tc>
          <w:tcPr>
            <w:tcW w:w="11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37.43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78" w:type="dxa"/>
          <w:trHeight w:val="375" w:hRule="atLeast"/>
        </w:trPr>
        <w:tc>
          <w:tcPr>
            <w:tcW w:w="11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  <w:t>210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  <w:t>11</w:t>
            </w:r>
          </w:p>
        </w:tc>
        <w:tc>
          <w:tcPr>
            <w:tcW w:w="1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  <w:t>99</w:t>
            </w:r>
          </w:p>
        </w:tc>
        <w:tc>
          <w:tcPr>
            <w:tcW w:w="1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其他机关事业单位医疗支出</w:t>
            </w:r>
          </w:p>
        </w:tc>
        <w:tc>
          <w:tcPr>
            <w:tcW w:w="12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4.02</w:t>
            </w:r>
          </w:p>
        </w:tc>
        <w:tc>
          <w:tcPr>
            <w:tcW w:w="11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4.02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78" w:type="dxa"/>
          <w:trHeight w:val="345" w:hRule="atLeast"/>
        </w:trPr>
        <w:tc>
          <w:tcPr>
            <w:tcW w:w="11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highlight w:val="yellow"/>
                <w:lang w:val="en-US" w:eastAsia="zh-CN" w:bidi="ar-SA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highlight w:val="yellow"/>
                <w:lang w:val="en-US" w:eastAsia="zh-CN" w:bidi="ar-SA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highlight w:val="yellow"/>
                <w:lang w:val="en-US" w:eastAsia="zh-CN" w:bidi="ar-SA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highlight w:val="yellow"/>
                <w:lang w:val="en-US" w:eastAsia="zh-CN" w:bidi="ar-SA"/>
              </w:rPr>
            </w:pPr>
          </w:p>
        </w:tc>
        <w:tc>
          <w:tcPr>
            <w:tcW w:w="12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1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78" w:type="dxa"/>
          <w:trHeight w:val="360" w:hRule="atLeast"/>
        </w:trPr>
        <w:tc>
          <w:tcPr>
            <w:tcW w:w="11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highlight w:val="yellow"/>
                <w:lang w:val="en-US" w:eastAsia="zh-CN" w:bidi="ar-SA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highlight w:val="yellow"/>
                <w:lang w:val="en-US" w:eastAsia="zh-CN" w:bidi="ar-SA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highlight w:val="yellow"/>
                <w:lang w:val="en-US" w:eastAsia="zh-CN" w:bidi="ar-SA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highlight w:val="yellow"/>
                <w:lang w:val="en-US" w:eastAsia="zh-CN" w:bidi="ar-SA"/>
              </w:rPr>
            </w:pPr>
          </w:p>
        </w:tc>
        <w:tc>
          <w:tcPr>
            <w:tcW w:w="12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1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78" w:type="dxa"/>
          <w:trHeight w:val="450" w:hRule="atLeast"/>
        </w:trPr>
        <w:tc>
          <w:tcPr>
            <w:tcW w:w="11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highlight w:val="yellow"/>
                <w:lang w:val="en-US" w:eastAsia="zh-CN" w:bidi="ar-SA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highlight w:val="yellow"/>
                <w:lang w:val="en-US" w:eastAsia="zh-CN" w:bidi="ar-SA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highlight w:val="yellow"/>
                <w:lang w:val="en-US" w:eastAsia="zh-CN" w:bidi="ar-SA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highlight w:val="yellow"/>
                <w:lang w:val="en-US" w:eastAsia="zh-CN" w:bidi="ar-SA"/>
              </w:rPr>
            </w:pPr>
          </w:p>
        </w:tc>
        <w:tc>
          <w:tcPr>
            <w:tcW w:w="12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1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78" w:type="dxa"/>
          <w:trHeight w:val="376" w:hRule="atLeast"/>
        </w:trPr>
        <w:tc>
          <w:tcPr>
            <w:tcW w:w="11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highlight w:val="yellow"/>
                <w:lang w:val="en-US" w:eastAsia="zh-CN" w:bidi="ar-SA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highlight w:val="yellow"/>
                <w:lang w:val="en-US" w:eastAsia="zh-CN" w:bidi="ar-SA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highlight w:val="yellow"/>
                <w:lang w:val="en-US" w:eastAsia="zh-CN" w:bidi="ar-SA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highlight w:val="yellow"/>
                <w:lang w:val="en-US" w:eastAsia="zh-CN" w:bidi="ar-SA"/>
              </w:rPr>
            </w:pPr>
          </w:p>
        </w:tc>
        <w:tc>
          <w:tcPr>
            <w:tcW w:w="12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1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78" w:type="dxa"/>
          <w:trHeight w:val="450" w:hRule="atLeast"/>
        </w:trPr>
        <w:tc>
          <w:tcPr>
            <w:tcW w:w="11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2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1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78" w:type="dxa"/>
          <w:trHeight w:val="450" w:hRule="atLeast"/>
        </w:trPr>
        <w:tc>
          <w:tcPr>
            <w:tcW w:w="11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合  计</w:t>
            </w:r>
          </w:p>
        </w:tc>
        <w:tc>
          <w:tcPr>
            <w:tcW w:w="12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1938.83</w:t>
            </w:r>
          </w:p>
        </w:tc>
        <w:tc>
          <w:tcPr>
            <w:tcW w:w="11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1917.83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21</w:t>
            </w:r>
          </w:p>
        </w:tc>
      </w:tr>
    </w:tbl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表六：</w:t>
      </w:r>
    </w:p>
    <w:tbl>
      <w:tblPr>
        <w:tblStyle w:val="4"/>
        <w:tblW w:w="9328" w:type="dxa"/>
        <w:tblInd w:w="-14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7"/>
        <w:gridCol w:w="577"/>
        <w:gridCol w:w="2891"/>
        <w:gridCol w:w="995"/>
        <w:gridCol w:w="706"/>
        <w:gridCol w:w="976"/>
        <w:gridCol w:w="725"/>
        <w:gridCol w:w="170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328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一般公共预算基本支出情况表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22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编制单位：昌吉州艺术剧院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    </w:t>
            </w:r>
          </w:p>
        </w:tc>
        <w:tc>
          <w:tcPr>
            <w:tcW w:w="24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ind w:firstLine="720" w:firstLineChars="3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单位：万元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42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项目</w:t>
            </w:r>
          </w:p>
        </w:tc>
        <w:tc>
          <w:tcPr>
            <w:tcW w:w="510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一般公共预算基本支出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3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经济分类科目编码</w:t>
            </w:r>
          </w:p>
        </w:tc>
        <w:tc>
          <w:tcPr>
            <w:tcW w:w="289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经济分类科目名称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合  计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人员经费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公用经费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289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Dialog" w:hAnsi="Dialog" w:eastAsia="宋体" w:cs="Dialog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Dialog" w:hAnsi="Dialog" w:cs="Dialog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18"/>
                <w:szCs w:val="18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Dialog" w:hAnsi="Dialog" w:eastAsia="宋体" w:cs="Dialog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Dialog" w:hAnsi="Dialog" w:cs="Dialog"/>
                <w:color w:val="000000"/>
                <w:kern w:val="0"/>
                <w:sz w:val="18"/>
                <w:szCs w:val="18"/>
                <w:lang w:eastAsia="zh-CN"/>
              </w:rPr>
              <w:t>工资福利支出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Dialog" w:hAnsi="Dialog" w:eastAsia="宋体" w:cs="Dialog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Dialog" w:hAnsi="Dialog" w:cs="Dialog"/>
                <w:color w:val="000000"/>
                <w:kern w:val="0"/>
                <w:sz w:val="18"/>
                <w:szCs w:val="18"/>
                <w:lang w:val="en-US" w:eastAsia="zh-CN"/>
              </w:rPr>
              <w:t>1870.7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Dialog" w:hAnsi="Dialog" w:eastAsia="宋体" w:cs="Dialog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Dialog" w:hAnsi="Dialog" w:cs="Dialog"/>
                <w:color w:val="000000"/>
                <w:kern w:val="0"/>
                <w:sz w:val="18"/>
                <w:szCs w:val="18"/>
                <w:lang w:val="en-US" w:eastAsia="zh-CN"/>
              </w:rPr>
              <w:t>1870.7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18"/>
                <w:szCs w:val="18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18"/>
                <w:szCs w:val="18"/>
                <w:highlight w:val="none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Dialog" w:hAnsi="Dialog" w:eastAsia="宋体" w:cs="Dialog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Dialog" w:hAnsi="Dialog" w:cs="Dialog"/>
                <w:color w:val="000000"/>
                <w:sz w:val="18"/>
                <w:szCs w:val="18"/>
                <w:lang w:val="en-US" w:eastAsia="zh-CN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18"/>
                <w:szCs w:val="18"/>
              </w:rPr>
              <w:t>基本工资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18"/>
                <w:szCs w:val="18"/>
              </w:rPr>
            </w:pPr>
            <w:r>
              <w:rPr>
                <w:rFonts w:hint="eastAsia" w:ascii="Dialog" w:hAnsi="Dialog" w:eastAsia="Dialog" w:cs="Dialog"/>
                <w:color w:val="000000"/>
                <w:kern w:val="0"/>
                <w:sz w:val="18"/>
                <w:szCs w:val="18"/>
              </w:rPr>
              <w:t>537.62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18"/>
                <w:szCs w:val="18"/>
              </w:rPr>
            </w:pPr>
            <w:r>
              <w:rPr>
                <w:rFonts w:hint="eastAsia" w:ascii="Dialog" w:hAnsi="Dialog" w:eastAsia="Dialog" w:cs="Dialog"/>
                <w:color w:val="000000"/>
                <w:kern w:val="0"/>
                <w:sz w:val="18"/>
                <w:szCs w:val="18"/>
              </w:rPr>
              <w:t>537.62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18"/>
                <w:szCs w:val="18"/>
              </w:rPr>
              <w:t>0</w:t>
            </w:r>
            <w:r>
              <w:rPr>
                <w:rFonts w:hint="eastAsia" w:ascii="Dialog" w:hAnsi="Dialog" w:eastAsia="Dialog" w:cs="Dialog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18"/>
                <w:szCs w:val="18"/>
              </w:rPr>
            </w:pPr>
            <w:r>
              <w:rPr>
                <w:rFonts w:hint="eastAsia" w:ascii="Dialog" w:hAnsi="Dialog" w:eastAsia="Dialog" w:cs="Dialog"/>
                <w:color w:val="000000"/>
                <w:kern w:val="0"/>
                <w:sz w:val="18"/>
                <w:szCs w:val="18"/>
              </w:rPr>
              <w:t>津贴补贴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18"/>
                <w:szCs w:val="18"/>
              </w:rPr>
            </w:pPr>
            <w:r>
              <w:rPr>
                <w:rFonts w:hint="eastAsia" w:ascii="Dialog" w:hAnsi="Dialog" w:eastAsia="Dialog" w:cs="Dialog"/>
                <w:color w:val="000000"/>
                <w:kern w:val="0"/>
                <w:sz w:val="18"/>
                <w:szCs w:val="18"/>
              </w:rPr>
              <w:t>10.5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18"/>
                <w:szCs w:val="18"/>
              </w:rPr>
            </w:pPr>
            <w:r>
              <w:rPr>
                <w:rFonts w:hint="eastAsia" w:ascii="Dialog" w:hAnsi="Dialog" w:eastAsia="Dialog" w:cs="Dialog"/>
                <w:color w:val="000000"/>
                <w:kern w:val="0"/>
                <w:sz w:val="18"/>
                <w:szCs w:val="18"/>
              </w:rPr>
              <w:t>10.5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18"/>
                <w:szCs w:val="18"/>
              </w:rPr>
              <w:t>03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18"/>
                <w:szCs w:val="18"/>
              </w:rPr>
              <w:t>奖金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18"/>
                <w:szCs w:val="18"/>
              </w:rPr>
            </w:pPr>
            <w:r>
              <w:rPr>
                <w:rFonts w:hint="eastAsia" w:ascii="Dialog" w:hAnsi="Dialog" w:eastAsia="Dialog" w:cs="Dialog"/>
                <w:color w:val="000000"/>
                <w:kern w:val="0"/>
                <w:sz w:val="18"/>
                <w:szCs w:val="18"/>
              </w:rPr>
              <w:t>37.23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18"/>
                <w:szCs w:val="18"/>
              </w:rPr>
            </w:pPr>
            <w:r>
              <w:rPr>
                <w:rFonts w:hint="eastAsia" w:ascii="Dialog" w:hAnsi="Dialog" w:eastAsia="Dialog" w:cs="Dialog"/>
                <w:color w:val="000000"/>
                <w:kern w:val="0"/>
                <w:sz w:val="18"/>
                <w:szCs w:val="18"/>
              </w:rPr>
              <w:t>37.23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18"/>
                <w:szCs w:val="18"/>
              </w:rPr>
              <w:t>06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18"/>
                <w:szCs w:val="18"/>
              </w:rPr>
              <w:t>伙食补助费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18"/>
                <w:szCs w:val="18"/>
              </w:rPr>
            </w:pPr>
            <w:r>
              <w:rPr>
                <w:rFonts w:hint="eastAsia" w:ascii="Dialog" w:hAnsi="Dialog" w:eastAsia="Dialog" w:cs="Dialog"/>
                <w:color w:val="000000"/>
                <w:kern w:val="0"/>
                <w:sz w:val="18"/>
                <w:szCs w:val="18"/>
              </w:rPr>
              <w:t>66.15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18"/>
                <w:szCs w:val="18"/>
              </w:rPr>
            </w:pPr>
            <w:r>
              <w:rPr>
                <w:rFonts w:hint="eastAsia" w:ascii="Dialog" w:hAnsi="Dialog" w:eastAsia="Dialog" w:cs="Dialog"/>
                <w:color w:val="000000"/>
                <w:kern w:val="0"/>
                <w:sz w:val="18"/>
                <w:szCs w:val="18"/>
              </w:rPr>
              <w:t>66.15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18"/>
                <w:szCs w:val="18"/>
              </w:rPr>
              <w:t>07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18"/>
                <w:szCs w:val="18"/>
              </w:rPr>
            </w:pPr>
            <w:r>
              <w:rPr>
                <w:rFonts w:hint="eastAsia" w:ascii="Dialog" w:hAnsi="Dialog" w:eastAsia="Dialog" w:cs="Dialog"/>
                <w:color w:val="000000"/>
                <w:kern w:val="0"/>
                <w:sz w:val="18"/>
                <w:szCs w:val="18"/>
              </w:rPr>
              <w:t>基础性</w:t>
            </w:r>
            <w:r>
              <w:rPr>
                <w:rFonts w:ascii="Dialog" w:hAnsi="Dialog" w:eastAsia="Dialog" w:cs="Dialog"/>
                <w:color w:val="000000"/>
                <w:kern w:val="0"/>
                <w:sz w:val="18"/>
                <w:szCs w:val="18"/>
              </w:rPr>
              <w:t>绩效工资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18"/>
                <w:szCs w:val="18"/>
              </w:rPr>
            </w:pPr>
            <w:r>
              <w:rPr>
                <w:rFonts w:hint="eastAsia" w:ascii="Dialog" w:hAnsi="Dialog" w:eastAsia="Dialog" w:cs="Dialog"/>
                <w:color w:val="000000"/>
                <w:kern w:val="0"/>
                <w:sz w:val="18"/>
                <w:szCs w:val="18"/>
              </w:rPr>
              <w:t>144.9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18"/>
                <w:szCs w:val="18"/>
              </w:rPr>
            </w:pPr>
            <w:r>
              <w:rPr>
                <w:rFonts w:hint="eastAsia" w:ascii="Dialog" w:hAnsi="Dialog" w:eastAsia="Dialog" w:cs="Dialog"/>
                <w:color w:val="000000"/>
                <w:kern w:val="0"/>
                <w:sz w:val="18"/>
                <w:szCs w:val="18"/>
              </w:rPr>
              <w:t>144.9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18"/>
                <w:szCs w:val="18"/>
              </w:rPr>
              <w:t>0</w:t>
            </w:r>
            <w:r>
              <w:rPr>
                <w:rFonts w:hint="eastAsia" w:ascii="Dialog" w:hAnsi="Dialog" w:eastAsia="Dialog" w:cs="Dialog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18"/>
                <w:szCs w:val="18"/>
              </w:rPr>
            </w:pPr>
            <w:r>
              <w:rPr>
                <w:rFonts w:hint="eastAsia" w:ascii="Dialog" w:hAnsi="Dialog" w:eastAsia="Dialog" w:cs="Dialog"/>
                <w:color w:val="000000"/>
                <w:kern w:val="0"/>
                <w:sz w:val="18"/>
                <w:szCs w:val="18"/>
              </w:rPr>
              <w:t>奖励性</w:t>
            </w:r>
            <w:r>
              <w:rPr>
                <w:rFonts w:ascii="Dialog" w:hAnsi="Dialog" w:eastAsia="Dialog" w:cs="Dialog"/>
                <w:color w:val="000000"/>
                <w:kern w:val="0"/>
                <w:sz w:val="18"/>
                <w:szCs w:val="18"/>
              </w:rPr>
              <w:t>绩效工资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18"/>
                <w:szCs w:val="18"/>
              </w:rPr>
            </w:pPr>
            <w:r>
              <w:rPr>
                <w:rFonts w:hint="eastAsia" w:ascii="Dialog" w:hAnsi="Dialog" w:eastAsia="Dialog" w:cs="Dialog"/>
                <w:color w:val="000000"/>
                <w:kern w:val="0"/>
                <w:sz w:val="18"/>
                <w:szCs w:val="18"/>
              </w:rPr>
              <w:t>150.62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18"/>
                <w:szCs w:val="18"/>
              </w:rPr>
            </w:pPr>
            <w:r>
              <w:rPr>
                <w:rFonts w:hint="eastAsia" w:ascii="Dialog" w:hAnsi="Dialog" w:eastAsia="Dialog" w:cs="Dialog"/>
                <w:color w:val="000000"/>
                <w:kern w:val="0"/>
                <w:sz w:val="18"/>
                <w:szCs w:val="18"/>
              </w:rPr>
              <w:t>150.62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18"/>
                <w:szCs w:val="18"/>
              </w:rPr>
              <w:t>08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18"/>
                <w:szCs w:val="18"/>
              </w:rPr>
              <w:t>机关事业单位基本养老保险缴费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18"/>
                <w:szCs w:val="18"/>
              </w:rPr>
            </w:pPr>
            <w:r>
              <w:rPr>
                <w:rFonts w:hint="eastAsia" w:ascii="Dialog" w:hAnsi="Dialog" w:eastAsia="Dialog" w:cs="Dialog"/>
                <w:color w:val="000000"/>
                <w:kern w:val="0"/>
                <w:sz w:val="18"/>
                <w:szCs w:val="18"/>
              </w:rPr>
              <w:t>139.26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18"/>
                <w:szCs w:val="18"/>
              </w:rPr>
            </w:pPr>
            <w:r>
              <w:rPr>
                <w:rFonts w:hint="eastAsia" w:ascii="Dialog" w:hAnsi="Dialog" w:eastAsia="Dialog" w:cs="Dialog"/>
                <w:color w:val="000000"/>
                <w:kern w:val="0"/>
                <w:sz w:val="18"/>
                <w:szCs w:val="18"/>
              </w:rPr>
              <w:t>139.26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18"/>
                <w:szCs w:val="18"/>
              </w:rPr>
              <w:t>09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18"/>
                <w:szCs w:val="18"/>
              </w:rPr>
              <w:t>职业年金缴费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18"/>
                <w:szCs w:val="18"/>
              </w:rPr>
            </w:pPr>
            <w:r>
              <w:rPr>
                <w:rFonts w:hint="eastAsia" w:ascii="Dialog" w:hAnsi="Dialog" w:eastAsia="Dialog" w:cs="Dialog"/>
                <w:color w:val="000000"/>
                <w:kern w:val="0"/>
                <w:sz w:val="18"/>
                <w:szCs w:val="18"/>
              </w:rPr>
              <w:t>69.63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18"/>
                <w:szCs w:val="18"/>
              </w:rPr>
            </w:pPr>
            <w:r>
              <w:rPr>
                <w:rFonts w:hint="eastAsia" w:ascii="Dialog" w:hAnsi="Dialog" w:eastAsia="Dialog" w:cs="Dialog"/>
                <w:color w:val="000000"/>
                <w:kern w:val="0"/>
                <w:sz w:val="18"/>
                <w:szCs w:val="18"/>
              </w:rPr>
              <w:t>69.63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18"/>
                <w:szCs w:val="18"/>
              </w:rPr>
              <w:t>职工基本医疗保险缴费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18"/>
                <w:szCs w:val="18"/>
              </w:rPr>
            </w:pPr>
            <w:r>
              <w:rPr>
                <w:rFonts w:hint="eastAsia" w:ascii="Dialog" w:hAnsi="Dialog" w:eastAsia="Dialog" w:cs="Dialog"/>
                <w:color w:val="000000"/>
                <w:kern w:val="0"/>
                <w:sz w:val="18"/>
                <w:szCs w:val="18"/>
              </w:rPr>
              <w:t>116.65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18"/>
                <w:szCs w:val="18"/>
              </w:rPr>
            </w:pPr>
            <w:r>
              <w:rPr>
                <w:rFonts w:hint="eastAsia" w:ascii="Dialog" w:hAnsi="Dialog" w:eastAsia="Dialog" w:cs="Dialog"/>
                <w:color w:val="000000"/>
                <w:kern w:val="0"/>
                <w:sz w:val="18"/>
                <w:szCs w:val="18"/>
              </w:rPr>
              <w:t>116.65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18"/>
                <w:szCs w:val="18"/>
              </w:rPr>
              <w:t>公务员医疗补助缴费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18"/>
                <w:szCs w:val="18"/>
              </w:rPr>
            </w:pPr>
            <w:r>
              <w:rPr>
                <w:rFonts w:hint="eastAsia" w:ascii="Dialog" w:hAnsi="Dialog" w:eastAsia="Dialog" w:cs="Dialog"/>
                <w:color w:val="000000"/>
                <w:kern w:val="0"/>
                <w:sz w:val="18"/>
                <w:szCs w:val="18"/>
              </w:rPr>
              <w:t>37.43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18"/>
                <w:szCs w:val="18"/>
              </w:rPr>
            </w:pPr>
            <w:r>
              <w:rPr>
                <w:rFonts w:hint="eastAsia" w:ascii="Dialog" w:hAnsi="Dialog" w:eastAsia="Dialog" w:cs="Dialog"/>
                <w:color w:val="000000"/>
                <w:kern w:val="0"/>
                <w:sz w:val="18"/>
                <w:szCs w:val="18"/>
              </w:rPr>
              <w:t>37.43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18"/>
                <w:szCs w:val="18"/>
              </w:rPr>
              <w:t>其他社会保障缴费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18"/>
                <w:szCs w:val="18"/>
              </w:rPr>
            </w:pPr>
            <w:r>
              <w:rPr>
                <w:rFonts w:hint="eastAsia" w:ascii="Dialog" w:hAnsi="Dialog" w:eastAsia="Dialog" w:cs="Dialog"/>
                <w:color w:val="000000"/>
                <w:kern w:val="0"/>
                <w:sz w:val="18"/>
                <w:szCs w:val="18"/>
              </w:rPr>
              <w:t>4.02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18"/>
                <w:szCs w:val="18"/>
              </w:rPr>
            </w:pPr>
            <w:r>
              <w:rPr>
                <w:rFonts w:hint="eastAsia" w:ascii="Dialog" w:hAnsi="Dialog" w:eastAsia="Dialog" w:cs="Dialog"/>
                <w:color w:val="000000"/>
                <w:kern w:val="0"/>
                <w:sz w:val="18"/>
                <w:szCs w:val="18"/>
              </w:rPr>
              <w:t>4.02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18"/>
                <w:szCs w:val="18"/>
              </w:rPr>
              <w:t>住房公积金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18"/>
                <w:szCs w:val="18"/>
              </w:rPr>
            </w:pPr>
            <w:r>
              <w:rPr>
                <w:rFonts w:hint="eastAsia" w:ascii="Dialog" w:hAnsi="Dialog" w:eastAsia="Dialog" w:cs="Dialog"/>
                <w:color w:val="000000"/>
                <w:kern w:val="0"/>
                <w:sz w:val="18"/>
                <w:szCs w:val="18"/>
              </w:rPr>
              <w:t>104.44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18"/>
                <w:szCs w:val="18"/>
              </w:rPr>
            </w:pPr>
            <w:r>
              <w:rPr>
                <w:rFonts w:hint="eastAsia" w:ascii="Dialog" w:hAnsi="Dialog" w:eastAsia="Dialog" w:cs="Dialog"/>
                <w:color w:val="000000"/>
                <w:kern w:val="0"/>
                <w:sz w:val="18"/>
                <w:szCs w:val="18"/>
              </w:rPr>
              <w:t>104.44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18"/>
                <w:szCs w:val="18"/>
              </w:rPr>
              <w:t>99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18"/>
                <w:szCs w:val="18"/>
              </w:rPr>
              <w:t>其他工资福利支出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18"/>
                <w:szCs w:val="18"/>
              </w:rPr>
            </w:pPr>
            <w:r>
              <w:rPr>
                <w:rFonts w:hint="eastAsia" w:ascii="Dialog" w:hAnsi="Dialog" w:eastAsia="Dialog" w:cs="Dialog"/>
                <w:color w:val="000000"/>
                <w:kern w:val="0"/>
                <w:sz w:val="18"/>
                <w:szCs w:val="18"/>
              </w:rPr>
              <w:t>452.25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18"/>
                <w:szCs w:val="18"/>
              </w:rPr>
            </w:pPr>
            <w:r>
              <w:rPr>
                <w:rFonts w:hint="eastAsia" w:ascii="Dialog" w:hAnsi="Dialog" w:eastAsia="Dialog" w:cs="Dialog"/>
                <w:color w:val="000000"/>
                <w:kern w:val="0"/>
                <w:sz w:val="18"/>
                <w:szCs w:val="18"/>
              </w:rPr>
              <w:t>452.25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Dialog" w:hAnsi="Dialog" w:eastAsia="宋体" w:cs="Dialog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Dialog" w:hAnsi="Dialog" w:cs="Dialog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Dialog" w:hAnsi="Dialog" w:eastAsia="宋体" w:cs="Dialog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Dialog" w:hAnsi="Dialog" w:cs="Dialog"/>
                <w:color w:val="000000"/>
                <w:kern w:val="0"/>
                <w:sz w:val="18"/>
                <w:szCs w:val="18"/>
                <w:lang w:eastAsia="zh-CN"/>
              </w:rPr>
              <w:t>商品和服务支出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Dialog" w:hAnsi="Dialog" w:eastAsia="宋体" w:cs="Dialog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Dialog" w:hAnsi="Dialog" w:cs="Dialog"/>
                <w:color w:val="000000"/>
                <w:kern w:val="0"/>
                <w:sz w:val="18"/>
                <w:szCs w:val="18"/>
                <w:lang w:val="en-US" w:eastAsia="zh-CN"/>
              </w:rPr>
              <w:t>29.7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Dialog" w:hAnsi="Dialog" w:eastAsia="宋体" w:cs="Dialog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Dialog" w:hAnsi="Dialog" w:cs="Dialog"/>
                <w:color w:val="000000"/>
                <w:kern w:val="0"/>
                <w:sz w:val="18"/>
                <w:szCs w:val="18"/>
                <w:lang w:val="en-US" w:eastAsia="zh-CN"/>
              </w:rPr>
              <w:t>29.7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18"/>
                <w:szCs w:val="18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18"/>
                <w:szCs w:val="18"/>
                <w:highlight w:val="none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18"/>
                <w:szCs w:val="18"/>
              </w:rPr>
              <w:t>16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18"/>
                <w:szCs w:val="18"/>
              </w:rPr>
              <w:t>培训费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18"/>
                <w:szCs w:val="18"/>
              </w:rPr>
            </w:pPr>
            <w:r>
              <w:rPr>
                <w:rFonts w:hint="eastAsia" w:ascii="Dialog" w:hAnsi="Dialog" w:eastAsia="Dialog" w:cs="Dialog"/>
                <w:color w:val="000000"/>
                <w:kern w:val="0"/>
                <w:sz w:val="18"/>
                <w:szCs w:val="18"/>
              </w:rPr>
              <w:t>1.38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18"/>
                <w:szCs w:val="18"/>
              </w:rPr>
            </w:pPr>
            <w:r>
              <w:rPr>
                <w:rFonts w:hint="eastAsia" w:ascii="Dialog" w:hAnsi="Dialog" w:eastAsia="Dialog" w:cs="Dialog"/>
                <w:color w:val="000000"/>
                <w:kern w:val="0"/>
                <w:sz w:val="18"/>
                <w:szCs w:val="18"/>
              </w:rPr>
              <w:t>1.38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18"/>
                <w:szCs w:val="18"/>
              </w:rPr>
              <w:t>29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18"/>
                <w:szCs w:val="18"/>
              </w:rPr>
              <w:t>福利费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18"/>
                <w:szCs w:val="18"/>
              </w:rPr>
            </w:pPr>
            <w:r>
              <w:rPr>
                <w:rFonts w:hint="eastAsia" w:ascii="Dialog" w:hAnsi="Dialog" w:eastAsia="Dialog" w:cs="Dialog"/>
                <w:color w:val="000000"/>
                <w:kern w:val="0"/>
                <w:sz w:val="18"/>
                <w:szCs w:val="18"/>
              </w:rPr>
              <w:t>24.73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18"/>
                <w:szCs w:val="18"/>
              </w:rPr>
            </w:pPr>
            <w:r>
              <w:rPr>
                <w:rFonts w:hint="eastAsia" w:ascii="Dialog" w:hAnsi="Dialog" w:eastAsia="Dialog" w:cs="Dialog"/>
                <w:color w:val="000000"/>
                <w:kern w:val="0"/>
                <w:sz w:val="18"/>
                <w:szCs w:val="18"/>
              </w:rPr>
              <w:t>24.73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18"/>
                <w:szCs w:val="18"/>
              </w:rPr>
              <w:t>99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18"/>
                <w:szCs w:val="18"/>
              </w:rPr>
              <w:t>其他商品和服务支出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18"/>
                <w:szCs w:val="18"/>
              </w:rPr>
            </w:pPr>
            <w:r>
              <w:rPr>
                <w:rFonts w:hint="eastAsia" w:ascii="Dialog" w:hAnsi="Dialog" w:eastAsia="Dialog" w:cs="Dialog"/>
                <w:color w:val="000000"/>
                <w:kern w:val="0"/>
                <w:sz w:val="18"/>
                <w:szCs w:val="18"/>
              </w:rPr>
              <w:t>3.59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18"/>
                <w:szCs w:val="18"/>
              </w:rPr>
              <w:t>3.5</w:t>
            </w:r>
            <w:r>
              <w:rPr>
                <w:rFonts w:hint="eastAsia" w:ascii="Dialog" w:hAnsi="Dialog" w:eastAsia="Dialog" w:cs="Dialog"/>
                <w:color w:val="000000"/>
                <w:kern w:val="0"/>
                <w:sz w:val="18"/>
                <w:szCs w:val="18"/>
              </w:rPr>
              <w:t>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Dialog" w:hAnsi="Dialog" w:eastAsia="宋体" w:cs="Dialog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Dialog" w:hAnsi="Dialog" w:cs="Dialog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Dialog" w:hAnsi="Dialog" w:eastAsia="宋体" w:cs="Dialog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Dialog" w:hAnsi="Dialog" w:cs="Dialog"/>
                <w:color w:val="000000"/>
                <w:kern w:val="0"/>
                <w:sz w:val="18"/>
                <w:szCs w:val="18"/>
                <w:lang w:eastAsia="zh-CN"/>
              </w:rPr>
              <w:t>对个人和家庭补助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Dialog" w:hAnsi="Dialog" w:eastAsia="宋体" w:cs="Dialog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Dialog" w:hAnsi="Dialog" w:cs="Dialog"/>
                <w:color w:val="000000"/>
                <w:kern w:val="0"/>
                <w:sz w:val="18"/>
                <w:szCs w:val="18"/>
                <w:lang w:val="en-US" w:eastAsia="zh-CN"/>
              </w:rPr>
              <w:t>17.43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Dialog" w:hAnsi="Dialog" w:eastAsia="宋体" w:cs="Dialog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Dialog" w:hAnsi="Dialog" w:cs="Dialog"/>
                <w:color w:val="000000"/>
                <w:kern w:val="0"/>
                <w:sz w:val="18"/>
                <w:szCs w:val="18"/>
                <w:lang w:val="en-US" w:eastAsia="zh-CN"/>
              </w:rPr>
              <w:t>17.43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18"/>
                <w:szCs w:val="18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18"/>
                <w:szCs w:val="18"/>
                <w:highlight w:val="none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18"/>
                <w:szCs w:val="18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18"/>
                <w:szCs w:val="18"/>
              </w:rPr>
              <w:t>离休费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18"/>
                <w:szCs w:val="18"/>
              </w:rPr>
            </w:pPr>
            <w:r>
              <w:rPr>
                <w:rFonts w:hint="eastAsia" w:ascii="Dialog" w:hAnsi="Dialog" w:eastAsia="Dialog" w:cs="Dialog"/>
                <w:color w:val="000000"/>
                <w:kern w:val="0"/>
                <w:sz w:val="18"/>
                <w:szCs w:val="18"/>
              </w:rPr>
              <w:t>6.94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18"/>
                <w:szCs w:val="18"/>
              </w:rPr>
              <w:t>6.92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18"/>
                <w:szCs w:val="18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18"/>
                <w:szCs w:val="18"/>
              </w:rPr>
              <w:t>05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18"/>
                <w:szCs w:val="18"/>
              </w:rPr>
              <w:t>生活补助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18"/>
                <w:szCs w:val="18"/>
              </w:rPr>
            </w:pPr>
            <w:r>
              <w:rPr>
                <w:rFonts w:hint="eastAsia" w:ascii="Dialog" w:hAnsi="Dialog" w:eastAsia="Dialog" w:cs="Dialog"/>
                <w:color w:val="000000"/>
                <w:kern w:val="0"/>
                <w:sz w:val="18"/>
                <w:szCs w:val="18"/>
              </w:rPr>
              <w:t>2.12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18"/>
                <w:szCs w:val="18"/>
              </w:rPr>
            </w:pPr>
            <w:r>
              <w:rPr>
                <w:rFonts w:hint="eastAsia" w:ascii="Dialog" w:hAnsi="Dialog" w:eastAsia="Dialog" w:cs="Dialog"/>
                <w:color w:val="000000"/>
                <w:kern w:val="0"/>
                <w:sz w:val="18"/>
                <w:szCs w:val="18"/>
              </w:rPr>
              <w:t>2.12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18"/>
                <w:szCs w:val="18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18"/>
                <w:szCs w:val="18"/>
              </w:rPr>
              <w:t>09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18"/>
                <w:szCs w:val="18"/>
              </w:rPr>
              <w:t>奖励金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18"/>
                <w:szCs w:val="18"/>
              </w:rPr>
            </w:pPr>
            <w:r>
              <w:rPr>
                <w:rFonts w:hint="eastAsia" w:ascii="Dialog" w:hAnsi="Dialog" w:eastAsia="Dialog" w:cs="Dialog"/>
                <w:color w:val="000000"/>
                <w:kern w:val="0"/>
                <w:sz w:val="18"/>
                <w:szCs w:val="18"/>
              </w:rPr>
              <w:t>3.17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18"/>
                <w:szCs w:val="18"/>
              </w:rPr>
            </w:pPr>
            <w:r>
              <w:rPr>
                <w:rFonts w:hint="eastAsia" w:ascii="Dialog" w:hAnsi="Dialog" w:eastAsia="Dialog" w:cs="Dialog"/>
                <w:color w:val="000000"/>
                <w:kern w:val="0"/>
                <w:sz w:val="18"/>
                <w:szCs w:val="18"/>
              </w:rPr>
              <w:t>3.17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18"/>
                <w:szCs w:val="18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18"/>
                <w:szCs w:val="18"/>
              </w:rPr>
            </w:pPr>
            <w:r>
              <w:rPr>
                <w:rFonts w:hint="eastAsia" w:ascii="Dialog" w:hAnsi="Dialog" w:eastAsia="Dialog" w:cs="Dialog"/>
                <w:color w:val="000000"/>
                <w:kern w:val="0"/>
                <w:sz w:val="18"/>
                <w:szCs w:val="18"/>
              </w:rPr>
              <w:t>对个人和家庭补助支出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18"/>
                <w:szCs w:val="18"/>
              </w:rPr>
            </w:pPr>
            <w:r>
              <w:rPr>
                <w:rFonts w:hint="eastAsia" w:ascii="Dialog" w:hAnsi="Dialog" w:eastAsia="Dialog" w:cs="Dialog"/>
                <w:color w:val="000000"/>
                <w:kern w:val="0"/>
                <w:sz w:val="18"/>
                <w:szCs w:val="18"/>
              </w:rPr>
              <w:t>5.2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18"/>
                <w:szCs w:val="18"/>
              </w:rPr>
            </w:pPr>
            <w:r>
              <w:rPr>
                <w:rFonts w:hint="eastAsia" w:ascii="Dialog" w:hAnsi="Dialog" w:eastAsia="Dialog" w:cs="Dialog"/>
                <w:color w:val="000000"/>
                <w:kern w:val="0"/>
                <w:sz w:val="18"/>
                <w:szCs w:val="18"/>
              </w:rPr>
              <w:t>5.2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合  计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1917.83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1888.13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29.7</w:t>
            </w:r>
          </w:p>
        </w:tc>
      </w:tr>
    </w:tbl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表七：</w:t>
      </w:r>
    </w:p>
    <w:tbl>
      <w:tblPr>
        <w:tblStyle w:val="4"/>
        <w:tblW w:w="9667" w:type="dxa"/>
        <w:tblInd w:w="-36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"/>
        <w:gridCol w:w="522"/>
        <w:gridCol w:w="738"/>
        <w:gridCol w:w="729"/>
        <w:gridCol w:w="1281"/>
        <w:gridCol w:w="925"/>
        <w:gridCol w:w="350"/>
        <w:gridCol w:w="219"/>
        <w:gridCol w:w="441"/>
        <w:gridCol w:w="630"/>
        <w:gridCol w:w="357"/>
        <w:gridCol w:w="652"/>
        <w:gridCol w:w="378"/>
        <w:gridCol w:w="200"/>
        <w:gridCol w:w="419"/>
        <w:gridCol w:w="578"/>
        <w:gridCol w:w="420"/>
        <w:gridCol w:w="420"/>
        <w:gridCol w:w="39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1" w:type="dxa"/>
          <w:trHeight w:val="375" w:hRule="atLeast"/>
        </w:trPr>
        <w:tc>
          <w:tcPr>
            <w:tcW w:w="9656" w:type="dxa"/>
            <w:gridSpan w:val="18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一般公共预算项目支出情况表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1" w:type="dxa"/>
          <w:trHeight w:val="405" w:hRule="atLeast"/>
        </w:trPr>
        <w:tc>
          <w:tcPr>
            <w:tcW w:w="454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编制单位：昌吉州艺术剧院</w:t>
            </w:r>
          </w:p>
        </w:tc>
        <w:tc>
          <w:tcPr>
            <w:tcW w:w="12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38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</w:t>
            </w:r>
          </w:p>
        </w:tc>
        <w:tc>
          <w:tcPr>
            <w:tcW w:w="2434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ind w:firstLine="960" w:firstLineChars="4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000" w:type="dxa"/>
            <w:gridSpan w:val="4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 目 编 码</w:t>
            </w:r>
          </w:p>
        </w:tc>
        <w:tc>
          <w:tcPr>
            <w:tcW w:w="1281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科目</w:t>
            </w:r>
          </w:p>
        </w:tc>
        <w:tc>
          <w:tcPr>
            <w:tcW w:w="925" w:type="dxa"/>
            <w:vMerge w:val="restart"/>
            <w:vAlign w:val="center"/>
          </w:tcPr>
          <w:p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24"/>
              </w:rPr>
              <w:t>项目名称</w:t>
            </w:r>
          </w:p>
        </w:tc>
        <w:tc>
          <w:tcPr>
            <w:tcW w:w="569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项目支出合计</w:t>
            </w:r>
          </w:p>
        </w:tc>
        <w:tc>
          <w:tcPr>
            <w:tcW w:w="441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63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357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652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债务利息及费用支出</w:t>
            </w:r>
          </w:p>
        </w:tc>
        <w:tc>
          <w:tcPr>
            <w:tcW w:w="578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资本性支出（基本建设）</w:t>
            </w:r>
          </w:p>
        </w:tc>
        <w:tc>
          <w:tcPr>
            <w:tcW w:w="419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578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对企业补助（基本建设）</w:t>
            </w:r>
          </w:p>
        </w:tc>
        <w:tc>
          <w:tcPr>
            <w:tcW w:w="42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</w:t>
            </w:r>
          </w:p>
        </w:tc>
        <w:tc>
          <w:tcPr>
            <w:tcW w:w="42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对社会保障基金补助</w:t>
            </w:r>
          </w:p>
        </w:tc>
        <w:tc>
          <w:tcPr>
            <w:tcW w:w="397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其他支出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7" w:hRule="atLeast"/>
        </w:trPr>
        <w:tc>
          <w:tcPr>
            <w:tcW w:w="533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类</w:t>
            </w:r>
          </w:p>
        </w:tc>
        <w:tc>
          <w:tcPr>
            <w:tcW w:w="738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款</w:t>
            </w:r>
          </w:p>
        </w:tc>
        <w:tc>
          <w:tcPr>
            <w:tcW w:w="729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</w:t>
            </w:r>
          </w:p>
        </w:tc>
        <w:tc>
          <w:tcPr>
            <w:tcW w:w="1281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925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41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30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357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33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207</w:t>
            </w:r>
          </w:p>
        </w:tc>
        <w:tc>
          <w:tcPr>
            <w:tcW w:w="738" w:type="dxa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729" w:type="dxa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1281" w:type="dxa"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18"/>
                <w:szCs w:val="18"/>
                <w:highlight w:val="none"/>
                <w:lang w:eastAsia="zh-CN"/>
              </w:rPr>
              <w:t>文化旅游体育与传媒支出</w:t>
            </w:r>
          </w:p>
        </w:tc>
        <w:tc>
          <w:tcPr>
            <w:tcW w:w="925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18"/>
                <w:szCs w:val="18"/>
                <w:highlight w:val="none"/>
              </w:rPr>
              <w:t>三下乡演出补助</w:t>
            </w:r>
          </w:p>
        </w:tc>
        <w:tc>
          <w:tcPr>
            <w:tcW w:w="569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21</w:t>
            </w:r>
          </w:p>
        </w:tc>
        <w:tc>
          <w:tcPr>
            <w:tcW w:w="44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21</w:t>
            </w:r>
          </w:p>
        </w:tc>
        <w:tc>
          <w:tcPr>
            <w:tcW w:w="35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33" w:type="dxa"/>
            <w:gridSpan w:val="2"/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  <w:t>207</w:t>
            </w:r>
          </w:p>
        </w:tc>
        <w:tc>
          <w:tcPr>
            <w:tcW w:w="738" w:type="dxa"/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01</w:t>
            </w:r>
          </w:p>
        </w:tc>
        <w:tc>
          <w:tcPr>
            <w:tcW w:w="729" w:type="dxa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1281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eastAsia="zh-CN"/>
              </w:rPr>
              <w:t>文化和旅游</w:t>
            </w:r>
          </w:p>
        </w:tc>
        <w:tc>
          <w:tcPr>
            <w:tcW w:w="925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18"/>
                <w:szCs w:val="18"/>
                <w:highlight w:val="none"/>
              </w:rPr>
              <w:t>三下乡演出补助</w:t>
            </w:r>
          </w:p>
        </w:tc>
        <w:tc>
          <w:tcPr>
            <w:tcW w:w="569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hint="default" w:ascii="仿宋_GB2312" w:hAnsi="宋体" w:eastAsia="仿宋_GB2312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21</w:t>
            </w:r>
          </w:p>
        </w:tc>
        <w:tc>
          <w:tcPr>
            <w:tcW w:w="44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>
            <w:pPr>
              <w:widowControl/>
              <w:jc w:val="center"/>
              <w:outlineLvl w:val="1"/>
              <w:rPr>
                <w:rFonts w:hint="default" w:ascii="仿宋_GB2312" w:hAnsi="宋体" w:eastAsia="仿宋_GB2312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21</w:t>
            </w:r>
          </w:p>
        </w:tc>
        <w:tc>
          <w:tcPr>
            <w:tcW w:w="35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33" w:type="dxa"/>
            <w:gridSpan w:val="2"/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  <w:t>207</w:t>
            </w:r>
          </w:p>
        </w:tc>
        <w:tc>
          <w:tcPr>
            <w:tcW w:w="738" w:type="dxa"/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  <w:t>01</w:t>
            </w:r>
          </w:p>
        </w:tc>
        <w:tc>
          <w:tcPr>
            <w:tcW w:w="729" w:type="dxa"/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07</w:t>
            </w:r>
          </w:p>
        </w:tc>
        <w:tc>
          <w:tcPr>
            <w:tcW w:w="1281" w:type="dxa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18"/>
                <w:szCs w:val="18"/>
                <w:highlight w:val="none"/>
              </w:rPr>
              <w:t>艺术表演团体</w:t>
            </w:r>
          </w:p>
        </w:tc>
        <w:tc>
          <w:tcPr>
            <w:tcW w:w="925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18"/>
                <w:szCs w:val="18"/>
                <w:highlight w:val="none"/>
              </w:rPr>
              <w:t>三下乡演出补助</w:t>
            </w:r>
          </w:p>
        </w:tc>
        <w:tc>
          <w:tcPr>
            <w:tcW w:w="569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hint="default" w:ascii="仿宋_GB2312" w:hAnsi="宋体" w:eastAsia="仿宋_GB2312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21</w:t>
            </w:r>
          </w:p>
        </w:tc>
        <w:tc>
          <w:tcPr>
            <w:tcW w:w="44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>
            <w:pPr>
              <w:widowControl/>
              <w:jc w:val="center"/>
              <w:outlineLvl w:val="1"/>
              <w:rPr>
                <w:rFonts w:hint="default" w:ascii="仿宋_GB2312" w:hAnsi="宋体" w:eastAsia="仿宋_GB2312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21</w:t>
            </w:r>
          </w:p>
        </w:tc>
        <w:tc>
          <w:tcPr>
            <w:tcW w:w="35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33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3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2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28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925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4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5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33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3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2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28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925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4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5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33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3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2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28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925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4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5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33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3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2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28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925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4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5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33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3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2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28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925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4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5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33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3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2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28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925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4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5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33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3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2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28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925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4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5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33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3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2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28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925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bCs/>
                <w:kern w:val="0"/>
                <w:sz w:val="18"/>
                <w:szCs w:val="18"/>
              </w:rPr>
              <w:t>合 计</w:t>
            </w:r>
          </w:p>
        </w:tc>
        <w:tc>
          <w:tcPr>
            <w:tcW w:w="569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21</w:t>
            </w:r>
          </w:p>
        </w:tc>
        <w:tc>
          <w:tcPr>
            <w:tcW w:w="44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21</w:t>
            </w:r>
          </w:p>
        </w:tc>
        <w:tc>
          <w:tcPr>
            <w:tcW w:w="35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表八：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一般公共预算“三公”经费支出情况表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 xml:space="preserve">编制单位： 昌吉州艺术剧院                   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 xml:space="preserve">    </w:t>
      </w:r>
      <w:r>
        <w:rPr>
          <w:rFonts w:hint="eastAsia" w:ascii="仿宋_GB2312" w:hAnsi="宋体" w:eastAsia="仿宋_GB2312"/>
          <w:kern w:val="0"/>
          <w:sz w:val="24"/>
        </w:rPr>
        <w:t xml:space="preserve">            单位：万元</w:t>
      </w:r>
    </w:p>
    <w:tbl>
      <w:tblPr>
        <w:tblStyle w:val="4"/>
        <w:tblW w:w="9240" w:type="dxa"/>
        <w:tblInd w:w="-17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1417"/>
        <w:gridCol w:w="1559"/>
        <w:gridCol w:w="1418"/>
        <w:gridCol w:w="1559"/>
        <w:gridCol w:w="171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5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4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公务用车购置及运行费</w:t>
            </w:r>
          </w:p>
        </w:tc>
        <w:tc>
          <w:tcPr>
            <w:tcW w:w="171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公务接待费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5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公务用车运行费</w:t>
            </w:r>
          </w:p>
        </w:tc>
        <w:tc>
          <w:tcPr>
            <w:tcW w:w="17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备注：我单位无“三公”经费预算，此表为空表。</w:t>
      </w:r>
    </w:p>
    <w:p>
      <w:pPr>
        <w:widowControl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spacing w:line="360" w:lineRule="exact"/>
        <w:jc w:val="left"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spacing w:line="360" w:lineRule="exact"/>
        <w:jc w:val="left"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spacing w:line="360" w:lineRule="exact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360" w:lineRule="exact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360" w:lineRule="exact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360" w:lineRule="exact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360" w:lineRule="exact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360" w:lineRule="exact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表九：</w:t>
      </w:r>
    </w:p>
    <w:p>
      <w:pPr>
        <w:widowControl/>
        <w:spacing w:line="360" w:lineRule="exact"/>
        <w:jc w:val="center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政府性基金预算支出情况表</w:t>
      </w:r>
    </w:p>
    <w:p>
      <w:pPr>
        <w:widowControl/>
        <w:spacing w:line="360" w:lineRule="exact"/>
        <w:jc w:val="center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280" w:lineRule="exac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 xml:space="preserve">编制单位：昌吉州艺术剧院                             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 xml:space="preserve">       </w:t>
      </w:r>
      <w:r>
        <w:rPr>
          <w:rFonts w:hint="eastAsia" w:ascii="仿宋_GB2312" w:hAnsi="宋体" w:eastAsia="仿宋_GB2312"/>
          <w:kern w:val="0"/>
          <w:sz w:val="24"/>
        </w:rPr>
        <w:t xml:space="preserve"> 单位：万元</w:t>
      </w:r>
    </w:p>
    <w:tbl>
      <w:tblPr>
        <w:tblStyle w:val="4"/>
        <w:tblW w:w="9214" w:type="dxa"/>
        <w:tblInd w:w="-3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5"/>
        <w:gridCol w:w="457"/>
        <w:gridCol w:w="699"/>
        <w:gridCol w:w="2544"/>
        <w:gridCol w:w="1669"/>
        <w:gridCol w:w="1701"/>
        <w:gridCol w:w="155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2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  目</w:t>
            </w:r>
          </w:p>
        </w:tc>
        <w:tc>
          <w:tcPr>
            <w:tcW w:w="492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政府性基金预算支出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7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54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功能分类科目名称</w:t>
            </w:r>
          </w:p>
        </w:tc>
        <w:tc>
          <w:tcPr>
            <w:tcW w:w="166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合 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项目支出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款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</w:t>
            </w:r>
          </w:p>
        </w:tc>
        <w:tc>
          <w:tcPr>
            <w:tcW w:w="254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合  计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>
      <w:pPr>
        <w:widowControl/>
        <w:spacing w:line="280" w:lineRule="exact"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备注：我单位无政府性基金预算，此表为空表。</w:t>
      </w:r>
    </w:p>
    <w:p>
      <w:pPr>
        <w:widowControl/>
        <w:spacing w:line="280" w:lineRule="exact"/>
        <w:jc w:val="left"/>
        <w:outlineLvl w:val="1"/>
        <w:sectPr>
          <w:footerReference r:id="rId3" w:type="even"/>
          <w:pgSz w:w="11906" w:h="16838"/>
          <w:pgMar w:top="2098" w:right="1418" w:bottom="1928" w:left="1588" w:header="851" w:footer="992" w:gutter="0"/>
          <w:pgNumType w:start="1"/>
          <w:cols w:space="720" w:num="1"/>
          <w:docGrid w:linePitch="312" w:charSpace="0"/>
        </w:sectPr>
      </w:pPr>
    </w:p>
    <w:p>
      <w:pPr>
        <w:spacing w:line="560" w:lineRule="exact"/>
        <w:jc w:val="center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第三部分  2021年昌吉州艺术剧院预算情况说明</w:t>
      </w:r>
    </w:p>
    <w:p>
      <w:pPr>
        <w:spacing w:line="560" w:lineRule="exact"/>
        <w:jc w:val="center"/>
        <w:rPr>
          <w:rFonts w:ascii="黑体" w:hAnsi="黑体" w:eastAsia="黑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</w:t>
      </w:r>
      <w:r>
        <w:rPr>
          <w:rFonts w:hint="eastAsia" w:ascii="黑体" w:hAnsi="宋体" w:eastAsia="黑体" w:cs="宋体"/>
          <w:kern w:val="0"/>
          <w:sz w:val="32"/>
          <w:szCs w:val="32"/>
        </w:rPr>
        <w:t>关于</w:t>
      </w:r>
      <w:r>
        <w:rPr>
          <w:rFonts w:hint="eastAsia" w:ascii="黑体" w:hAnsi="黑体" w:eastAsia="黑体"/>
          <w:kern w:val="0"/>
          <w:sz w:val="32"/>
          <w:szCs w:val="32"/>
        </w:rPr>
        <w:t>昌吉州艺术剧院2021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年收支预算情况的总体说明</w:t>
      </w:r>
    </w:p>
    <w:p>
      <w:pPr>
        <w:spacing w:line="560" w:lineRule="exact"/>
        <w:ind w:firstLine="640" w:firstLineChars="200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按照全口径预算的原则，昌吉州艺术剧院2021年所有收入和支出均纳入单位预算管理。收支总预算1938.83万元。</w:t>
      </w:r>
    </w:p>
    <w:p>
      <w:pPr>
        <w:spacing w:line="560" w:lineRule="exact"/>
        <w:ind w:firstLine="640" w:firstLineChars="200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收入预算包括：一般公共预算1938.83万元。</w:t>
      </w:r>
    </w:p>
    <w:p>
      <w:pPr>
        <w:spacing w:line="560" w:lineRule="exact"/>
        <w:ind w:left="2878" w:leftChars="304" w:hanging="2240" w:hangingChars="700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支出预算包括：文化旅游体育与传媒支出1571.84万元、</w:t>
      </w:r>
    </w:p>
    <w:p>
      <w:pPr>
        <w:spacing w:line="560" w:lineRule="exact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 xml:space="preserve"> 社会保障和就业支出208.89万元、卫生健康支出158.1万元。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二、关于</w:t>
      </w:r>
      <w:r>
        <w:rPr>
          <w:rFonts w:hint="eastAsia" w:ascii="黑体" w:hAnsi="黑体" w:eastAsia="黑体"/>
          <w:kern w:val="0"/>
          <w:sz w:val="32"/>
          <w:szCs w:val="32"/>
        </w:rPr>
        <w:t>昌吉州艺术剧院2021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年收入预算情况说明</w:t>
      </w:r>
    </w:p>
    <w:p>
      <w:pPr>
        <w:spacing w:line="560" w:lineRule="exact"/>
        <w:ind w:firstLine="640" w:firstLineChars="200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昌吉州艺术剧院收入预算1938.83万元，其中：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宋体"/>
          <w:kern w:val="0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一般公共预算1938.83万元，占100%</w:t>
      </w:r>
      <w:r>
        <w:rPr>
          <w:rFonts w:hint="eastAsia" w:ascii="仿宋" w:hAnsi="仿宋" w:eastAsia="仿宋" w:cs="宋体"/>
          <w:kern w:val="0"/>
          <w:sz w:val="32"/>
          <w:szCs w:val="32"/>
          <w:highlight w:val="none"/>
        </w:rPr>
        <w:t>，比上年</w:t>
      </w:r>
      <w:r>
        <w:rPr>
          <w:rFonts w:hint="eastAsia" w:ascii="仿宋" w:hAnsi="仿宋" w:eastAsia="仿宋" w:cs="宋体"/>
          <w:kern w:val="0"/>
          <w:sz w:val="32"/>
          <w:szCs w:val="32"/>
          <w:highlight w:val="none"/>
          <w:lang w:eastAsia="zh-CN"/>
        </w:rPr>
        <w:t>预算数</w:t>
      </w:r>
      <w:r>
        <w:rPr>
          <w:rFonts w:hint="eastAsia" w:ascii="仿宋" w:hAnsi="仿宋" w:eastAsia="仿宋" w:cs="宋体"/>
          <w:kern w:val="0"/>
          <w:sz w:val="32"/>
          <w:szCs w:val="32"/>
          <w:highlight w:val="none"/>
        </w:rPr>
        <w:t>减少77.11万元，主要原因是编外聘用人员减少</w:t>
      </w:r>
      <w:r>
        <w:rPr>
          <w:rFonts w:hint="eastAsia" w:ascii="仿宋" w:hAnsi="仿宋" w:eastAsia="仿宋" w:cs="宋体"/>
          <w:kern w:val="0"/>
          <w:sz w:val="32"/>
          <w:szCs w:val="32"/>
          <w:highlight w:val="none"/>
          <w:lang w:eastAsia="zh-CN"/>
        </w:rPr>
        <w:t>，预算经费减少。</w:t>
      </w:r>
    </w:p>
    <w:p>
      <w:pPr>
        <w:spacing w:line="560" w:lineRule="exact"/>
        <w:ind w:firstLine="640" w:firstLineChars="200"/>
        <w:rPr>
          <w:rFonts w:ascii="仿宋" w:hAnsi="仿宋" w:eastAsia="仿宋" w:cs="宋体"/>
          <w:kern w:val="0"/>
          <w:sz w:val="32"/>
          <w:szCs w:val="32"/>
          <w:highlight w:val="none"/>
        </w:rPr>
      </w:pPr>
      <w:r>
        <w:rPr>
          <w:rFonts w:hint="eastAsia" w:ascii="仿宋" w:hAnsi="仿宋" w:eastAsia="仿宋" w:cs="宋体"/>
          <w:kern w:val="0"/>
          <w:sz w:val="32"/>
          <w:szCs w:val="32"/>
          <w:highlight w:val="none"/>
        </w:rPr>
        <w:t>政府性基金预算未安排。</w:t>
      </w:r>
    </w:p>
    <w:p>
      <w:pPr>
        <w:spacing w:line="560" w:lineRule="exact"/>
        <w:ind w:firstLine="640" w:firstLineChars="200"/>
        <w:rPr>
          <w:rFonts w:ascii="仿宋" w:hAnsi="仿宋" w:eastAsia="仿宋" w:cs="宋体"/>
          <w:kern w:val="0"/>
          <w:sz w:val="32"/>
          <w:szCs w:val="32"/>
          <w:highlight w:val="none"/>
        </w:rPr>
      </w:pPr>
      <w:r>
        <w:rPr>
          <w:rFonts w:hint="eastAsia" w:ascii="仿宋" w:hAnsi="仿宋" w:eastAsia="仿宋" w:cs="宋体"/>
          <w:kern w:val="0"/>
          <w:sz w:val="32"/>
          <w:szCs w:val="32"/>
          <w:highlight w:val="none"/>
        </w:rPr>
        <w:t>国有资本经营预算未安排。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  <w:highlight w:val="none"/>
        </w:rPr>
      </w:pPr>
      <w:r>
        <w:rPr>
          <w:rFonts w:hint="eastAsia" w:ascii="黑体" w:hAnsi="宋体" w:eastAsia="黑体" w:cs="宋体"/>
          <w:kern w:val="0"/>
          <w:sz w:val="32"/>
          <w:szCs w:val="32"/>
          <w:highlight w:val="none"/>
        </w:rPr>
        <w:t>三、关于</w:t>
      </w:r>
      <w:r>
        <w:rPr>
          <w:rFonts w:hint="eastAsia" w:ascii="黑体" w:hAnsi="黑体" w:eastAsia="黑体"/>
          <w:kern w:val="0"/>
          <w:sz w:val="32"/>
          <w:szCs w:val="32"/>
          <w:highlight w:val="none"/>
        </w:rPr>
        <w:t>昌吉州艺术剧院2021</w:t>
      </w:r>
      <w:r>
        <w:rPr>
          <w:rFonts w:hint="eastAsia" w:ascii="黑体" w:hAnsi="宋体" w:eastAsia="黑体" w:cs="宋体"/>
          <w:kern w:val="0"/>
          <w:sz w:val="32"/>
          <w:szCs w:val="32"/>
          <w:highlight w:val="none"/>
        </w:rPr>
        <w:t>年支出预算情况说明</w:t>
      </w:r>
    </w:p>
    <w:p>
      <w:pPr>
        <w:spacing w:line="560" w:lineRule="exact"/>
        <w:ind w:firstLine="640" w:firstLineChars="200"/>
        <w:rPr>
          <w:rFonts w:ascii="仿宋" w:hAnsi="仿宋" w:eastAsia="仿宋" w:cs="宋体"/>
          <w:kern w:val="0"/>
          <w:sz w:val="32"/>
          <w:szCs w:val="32"/>
          <w:highlight w:val="none"/>
        </w:rPr>
      </w:pPr>
      <w:r>
        <w:rPr>
          <w:rFonts w:hint="eastAsia" w:ascii="仿宋" w:hAnsi="仿宋" w:eastAsia="仿宋" w:cs="宋体"/>
          <w:kern w:val="0"/>
          <w:sz w:val="32"/>
          <w:szCs w:val="32"/>
          <w:highlight w:val="none"/>
        </w:rPr>
        <w:t>昌吉州艺术剧院2021年支出预算1938.83万元，其中：</w:t>
      </w:r>
    </w:p>
    <w:p>
      <w:pPr>
        <w:spacing w:line="560" w:lineRule="exact"/>
        <w:ind w:firstLine="640" w:firstLineChars="200"/>
        <w:rPr>
          <w:rFonts w:ascii="仿宋" w:hAnsi="仿宋" w:eastAsia="仿宋" w:cs="宋体"/>
          <w:kern w:val="0"/>
          <w:sz w:val="32"/>
          <w:szCs w:val="32"/>
          <w:highlight w:val="none"/>
        </w:rPr>
      </w:pPr>
      <w:r>
        <w:rPr>
          <w:rFonts w:hint="eastAsia" w:ascii="仿宋" w:hAnsi="仿宋" w:eastAsia="仿宋" w:cs="宋体"/>
          <w:kern w:val="0"/>
          <w:sz w:val="32"/>
          <w:szCs w:val="32"/>
          <w:highlight w:val="none"/>
        </w:rPr>
        <w:t>基本支出1917.83万元，占98.91%，比上年</w:t>
      </w:r>
      <w:r>
        <w:rPr>
          <w:rFonts w:hint="eastAsia" w:ascii="仿宋" w:hAnsi="仿宋" w:eastAsia="仿宋" w:cs="宋体"/>
          <w:kern w:val="0"/>
          <w:sz w:val="32"/>
          <w:szCs w:val="32"/>
          <w:highlight w:val="none"/>
          <w:lang w:eastAsia="zh-CN"/>
        </w:rPr>
        <w:t>预算数</w:t>
      </w:r>
      <w:r>
        <w:rPr>
          <w:rFonts w:hint="eastAsia" w:ascii="仿宋" w:hAnsi="仿宋" w:eastAsia="仿宋" w:cs="宋体"/>
          <w:kern w:val="0"/>
          <w:sz w:val="32"/>
          <w:szCs w:val="32"/>
          <w:highlight w:val="none"/>
        </w:rPr>
        <w:t>减少77.11万元，主要原因是编外聘用人员减少</w:t>
      </w:r>
      <w:r>
        <w:rPr>
          <w:rFonts w:hint="eastAsia" w:ascii="仿宋" w:hAnsi="仿宋" w:eastAsia="仿宋" w:cs="宋体"/>
          <w:kern w:val="0"/>
          <w:sz w:val="32"/>
          <w:szCs w:val="32"/>
          <w:highlight w:val="none"/>
          <w:lang w:eastAsia="zh-CN"/>
        </w:rPr>
        <w:t>，预算经费减少。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  <w:highlight w:val="none"/>
        </w:rPr>
        <w:t>项目支出21万元，占1%，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比上年预算无变化，主要原因是项目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与上年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保持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一致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。</w:t>
      </w:r>
    </w:p>
    <w:p>
      <w:pPr>
        <w:spacing w:line="560" w:lineRule="exact"/>
        <w:ind w:firstLine="640" w:firstLineChars="200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四、关于</w:t>
      </w:r>
      <w:r>
        <w:rPr>
          <w:rFonts w:hint="eastAsia" w:ascii="黑体" w:hAnsi="黑体" w:eastAsia="黑体"/>
          <w:kern w:val="0"/>
          <w:sz w:val="32"/>
          <w:szCs w:val="32"/>
        </w:rPr>
        <w:t>昌吉州艺术剧院2021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财政拨款收支预算情况的总体说明</w:t>
      </w:r>
    </w:p>
    <w:p>
      <w:pPr>
        <w:spacing w:line="560" w:lineRule="exact"/>
        <w:ind w:firstLine="640" w:firstLineChars="200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  <w:highlight w:val="none"/>
        </w:rPr>
        <w:t>昌吉州艺术剧院</w:t>
      </w:r>
      <w:r>
        <w:rPr>
          <w:rFonts w:hint="eastAsia" w:ascii="仿宋" w:hAnsi="仿宋" w:eastAsia="仿宋" w:cs="宋体"/>
          <w:kern w:val="0"/>
          <w:sz w:val="32"/>
          <w:szCs w:val="32"/>
        </w:rPr>
        <w:t>2021年财政拨款收支总预算1938.83万元。</w:t>
      </w:r>
    </w:p>
    <w:p>
      <w:pPr>
        <w:spacing w:line="560" w:lineRule="exact"/>
        <w:ind w:firstLine="616" w:firstLineChars="200"/>
        <w:rPr>
          <w:rFonts w:ascii="仿宋" w:hAnsi="仿宋" w:eastAsia="仿宋" w:cs="宋体"/>
          <w:spacing w:val="-6"/>
          <w:kern w:val="0"/>
          <w:sz w:val="32"/>
          <w:szCs w:val="32"/>
        </w:rPr>
      </w:pPr>
      <w:r>
        <w:rPr>
          <w:rFonts w:hint="eastAsia" w:ascii="仿宋" w:hAnsi="仿宋" w:eastAsia="仿宋" w:cs="宋体"/>
          <w:spacing w:val="-6"/>
          <w:kern w:val="0"/>
          <w:sz w:val="32"/>
          <w:szCs w:val="32"/>
        </w:rPr>
        <w:t>收入全部为一般公共预算拨款，无政府性基金预算和国有资本经营预算拨款。</w:t>
      </w:r>
    </w:p>
    <w:p>
      <w:pPr>
        <w:spacing w:line="560" w:lineRule="exact"/>
        <w:ind w:firstLine="616" w:firstLineChars="200"/>
        <w:rPr>
          <w:rFonts w:ascii="仿宋" w:hAnsi="仿宋" w:eastAsia="仿宋" w:cs="宋体"/>
          <w:spacing w:val="-6"/>
          <w:kern w:val="0"/>
          <w:sz w:val="32"/>
          <w:szCs w:val="32"/>
        </w:rPr>
      </w:pPr>
      <w:r>
        <w:rPr>
          <w:rFonts w:hint="eastAsia" w:ascii="仿宋" w:hAnsi="仿宋" w:eastAsia="仿宋" w:cs="宋体"/>
          <w:spacing w:val="-6"/>
          <w:kern w:val="0"/>
          <w:sz w:val="32"/>
          <w:szCs w:val="32"/>
        </w:rPr>
        <w:t>收入预算包括：一般公共预算拨款1938.83万元。</w:t>
      </w:r>
    </w:p>
    <w:p>
      <w:pPr>
        <w:spacing w:line="560" w:lineRule="exact"/>
        <w:ind w:firstLine="616" w:firstLineChars="200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spacing w:val="-6"/>
          <w:kern w:val="0"/>
          <w:sz w:val="32"/>
          <w:szCs w:val="32"/>
        </w:rPr>
        <w:t>一般公共预算支出包括：</w:t>
      </w:r>
      <w:r>
        <w:rPr>
          <w:rFonts w:hint="eastAsia" w:ascii="仿宋" w:hAnsi="仿宋" w:eastAsia="仿宋" w:cs="宋体"/>
          <w:kern w:val="0"/>
          <w:sz w:val="32"/>
          <w:szCs w:val="32"/>
        </w:rPr>
        <w:t>文化旅游体育与传媒支出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1571.84</w:t>
      </w:r>
      <w:r>
        <w:rPr>
          <w:rFonts w:hint="eastAsia" w:ascii="仿宋" w:hAnsi="仿宋" w:eastAsia="仿宋" w:cs="宋体"/>
          <w:kern w:val="0"/>
          <w:sz w:val="32"/>
          <w:szCs w:val="32"/>
        </w:rPr>
        <w:t>万元</w:t>
      </w:r>
      <w:r>
        <w:rPr>
          <w:rFonts w:hint="eastAsia" w:ascii="仿宋" w:hAnsi="仿宋" w:eastAsia="仿宋" w:cs="宋体"/>
          <w:kern w:val="0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宋体"/>
          <w:kern w:val="0"/>
          <w:sz w:val="32"/>
          <w:szCs w:val="32"/>
        </w:rPr>
        <w:t>主要用于在职人员基本工资、绩效工资、津贴补贴和奖金等工资福利支出，退休人员采暖补贴，独生子女奖励金，公用经费支出，三下乡演出补助专项经费</w:t>
      </w:r>
      <w:r>
        <w:rPr>
          <w:rFonts w:hint="eastAsia" w:ascii="仿宋" w:hAnsi="仿宋" w:eastAsia="仿宋" w:cs="宋体"/>
          <w:kern w:val="0"/>
          <w:sz w:val="32"/>
          <w:szCs w:val="32"/>
          <w:lang w:eastAsia="zh-CN"/>
        </w:rPr>
        <w:t>；</w:t>
      </w:r>
      <w:r>
        <w:rPr>
          <w:rFonts w:hint="eastAsia" w:ascii="仿宋" w:hAnsi="仿宋" w:eastAsia="仿宋" w:cs="宋体"/>
          <w:kern w:val="0"/>
          <w:sz w:val="32"/>
          <w:szCs w:val="32"/>
        </w:rPr>
        <w:t>社会保障和就业支出208.89万元，主要用于机关事业单位基本养老保险缴费和职业年金缴费支出</w:t>
      </w:r>
      <w:r>
        <w:rPr>
          <w:rFonts w:hint="eastAsia" w:ascii="仿宋" w:hAnsi="仿宋" w:eastAsia="仿宋" w:cs="宋体"/>
          <w:kern w:val="0"/>
          <w:sz w:val="32"/>
          <w:szCs w:val="32"/>
          <w:lang w:eastAsia="zh-CN"/>
        </w:rPr>
        <w:t>；</w:t>
      </w:r>
      <w:r>
        <w:rPr>
          <w:rFonts w:hint="eastAsia" w:ascii="仿宋" w:hAnsi="仿宋" w:eastAsia="仿宋" w:cs="宋体"/>
          <w:kern w:val="0"/>
          <w:sz w:val="32"/>
          <w:szCs w:val="32"/>
        </w:rPr>
        <w:t>卫生健康支出158.1万元，主要用于职工基本医疗保险缴费，公务员医疗补助和其他社会保障缴费支出</w:t>
      </w:r>
      <w:r>
        <w:rPr>
          <w:rFonts w:hint="eastAsia" w:ascii="仿宋" w:hAnsi="仿宋" w:eastAsia="仿宋" w:cs="宋体"/>
          <w:spacing w:val="-6"/>
          <w:kern w:val="0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五、关于</w:t>
      </w:r>
      <w:r>
        <w:rPr>
          <w:rFonts w:hint="eastAsia" w:ascii="黑体" w:hAnsi="黑体" w:eastAsia="黑体"/>
          <w:kern w:val="0"/>
          <w:sz w:val="32"/>
          <w:szCs w:val="32"/>
        </w:rPr>
        <w:t>昌吉州艺术剧院2021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年一般公共预算当年拨款情况说明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（一）一般公共预算当年拨款规模变化情况</w:t>
      </w:r>
    </w:p>
    <w:p>
      <w:pPr>
        <w:spacing w:line="560" w:lineRule="exact"/>
        <w:ind w:firstLine="640" w:firstLineChars="200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昌吉州艺术剧院2021年一般公共预算拨款合计1938.83万元，其中：基本支出1917.83万元，比上年预算减少77.11万元，下降4%。主要原因是：</w:t>
      </w:r>
      <w:r>
        <w:rPr>
          <w:rFonts w:hint="eastAsia" w:ascii="仿宋" w:hAnsi="仿宋" w:eastAsia="仿宋" w:cs="宋体"/>
          <w:kern w:val="0"/>
          <w:sz w:val="32"/>
          <w:szCs w:val="32"/>
          <w:highlight w:val="none"/>
        </w:rPr>
        <w:t>编外聘用人员减少</w:t>
      </w:r>
      <w:r>
        <w:rPr>
          <w:rFonts w:hint="eastAsia" w:ascii="仿宋" w:hAnsi="仿宋" w:eastAsia="仿宋" w:cs="宋体"/>
          <w:kern w:val="0"/>
          <w:sz w:val="32"/>
          <w:szCs w:val="32"/>
          <w:highlight w:val="none"/>
          <w:lang w:eastAsia="zh-CN"/>
        </w:rPr>
        <w:t>，预算经费减少。</w:t>
      </w:r>
      <w:r>
        <w:rPr>
          <w:rFonts w:hint="eastAsia" w:ascii="仿宋" w:hAnsi="仿宋" w:eastAsia="仿宋" w:cs="宋体"/>
          <w:kern w:val="0"/>
          <w:sz w:val="32"/>
          <w:szCs w:val="32"/>
        </w:rPr>
        <w:t>项目支出21万元，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比上年预算无变化，主要原因是项目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与上年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保持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一致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（二）一般公共预算当年拨款结构情况</w:t>
      </w:r>
    </w:p>
    <w:p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1.</w:t>
      </w:r>
      <w:r>
        <w:rPr>
          <w:rFonts w:hint="eastAsia" w:ascii="仿宋" w:hAnsi="仿宋" w:eastAsia="仿宋" w:cs="宋体"/>
          <w:kern w:val="0"/>
          <w:sz w:val="32"/>
          <w:szCs w:val="32"/>
        </w:rPr>
        <w:t>文化旅游体育与传媒支出</w:t>
      </w:r>
      <w:r>
        <w:rPr>
          <w:rFonts w:hint="eastAsia" w:ascii="仿宋" w:hAnsi="仿宋" w:eastAsia="仿宋"/>
          <w:sz w:val="32"/>
          <w:szCs w:val="32"/>
        </w:rPr>
        <w:t>1571.84万元，占81.07%。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宋体"/>
          <w:kern w:val="0"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</w:rPr>
        <w:t>2.</w:t>
      </w:r>
      <w:r>
        <w:rPr>
          <w:rFonts w:hint="eastAsia" w:ascii="仿宋" w:hAnsi="仿宋" w:eastAsia="仿宋" w:cs="宋体"/>
          <w:kern w:val="0"/>
          <w:sz w:val="32"/>
          <w:szCs w:val="32"/>
        </w:rPr>
        <w:t>社会保障和就业支出208.89万元，占10.77%</w:t>
      </w:r>
      <w:r>
        <w:rPr>
          <w:rFonts w:hint="eastAsia" w:ascii="仿宋" w:hAnsi="仿宋" w:eastAsia="仿宋" w:cs="宋体"/>
          <w:kern w:val="0"/>
          <w:sz w:val="32"/>
          <w:szCs w:val="32"/>
          <w:lang w:eastAsia="zh-CN"/>
        </w:rPr>
        <w:t>。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宋体"/>
          <w:kern w:val="0"/>
          <w:sz w:val="32"/>
          <w:szCs w:val="32"/>
          <w:lang w:eastAsia="zh-CN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3.卫生健康支出158.1万元，占8.15%</w:t>
      </w:r>
      <w:r>
        <w:rPr>
          <w:rFonts w:hint="eastAsia" w:ascii="仿宋" w:hAnsi="仿宋" w:eastAsia="仿宋" w:cs="宋体"/>
          <w:kern w:val="0"/>
          <w:sz w:val="32"/>
          <w:szCs w:val="32"/>
          <w:lang w:eastAsia="zh-CN"/>
        </w:rPr>
        <w:t>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（三）一般公共预算当年拨款具体使用情况</w:t>
      </w:r>
    </w:p>
    <w:p>
      <w:pPr>
        <w:spacing w:line="560" w:lineRule="exact"/>
        <w:ind w:firstLine="640" w:firstLineChars="200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1.</w:t>
      </w:r>
      <w:r>
        <w:rPr>
          <w:rFonts w:hint="eastAsia" w:ascii="仿宋" w:hAnsi="仿宋" w:eastAsia="仿宋" w:cs="宋体"/>
          <w:kern w:val="0"/>
          <w:sz w:val="32"/>
          <w:szCs w:val="32"/>
        </w:rPr>
        <w:t>文化旅游体育与传媒支出（类）文化和旅游（款）艺术表演团体（项）：2021年预算数为</w:t>
      </w:r>
      <w:r>
        <w:rPr>
          <w:rFonts w:hint="eastAsia" w:ascii="仿宋" w:hAnsi="仿宋" w:eastAsia="仿宋"/>
          <w:sz w:val="32"/>
          <w:szCs w:val="32"/>
        </w:rPr>
        <w:t>1571.84万元，比上年预算数减少120.62万元，减少占7.12%。</w:t>
      </w:r>
      <w:r>
        <w:rPr>
          <w:rFonts w:hint="eastAsia" w:ascii="仿宋" w:hAnsi="仿宋" w:eastAsia="仿宋" w:cs="宋体"/>
          <w:kern w:val="0"/>
          <w:sz w:val="32"/>
          <w:szCs w:val="32"/>
        </w:rPr>
        <w:t>主要原因是：减少聘用人员其他工资福利支出。</w:t>
      </w:r>
    </w:p>
    <w:p>
      <w:pPr>
        <w:spacing w:line="560" w:lineRule="exact"/>
        <w:ind w:firstLine="640" w:firstLineChars="200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2.</w:t>
      </w:r>
      <w:r>
        <w:rPr>
          <w:rFonts w:hint="eastAsia" w:ascii="仿宋" w:hAnsi="仿宋" w:eastAsia="仿宋" w:cs="宋体"/>
          <w:kern w:val="0"/>
          <w:sz w:val="32"/>
          <w:szCs w:val="32"/>
        </w:rPr>
        <w:t>社会保障和就业支出（类）行政事业单位养老支出（款）机关事业单位基本养老保险缴费缴费支出（项）：2021年预算数为139.26万元，</w:t>
      </w:r>
      <w:r>
        <w:rPr>
          <w:rFonts w:hint="eastAsia" w:ascii="仿宋" w:hAnsi="仿宋" w:eastAsia="仿宋"/>
          <w:sz w:val="32"/>
          <w:szCs w:val="32"/>
        </w:rPr>
        <w:t>比上年预算数增加6.26万元，</w:t>
      </w:r>
      <w:r>
        <w:rPr>
          <w:rFonts w:hint="eastAsia" w:ascii="仿宋" w:hAnsi="仿宋" w:eastAsia="仿宋" w:cs="宋体"/>
          <w:kern w:val="0"/>
          <w:sz w:val="32"/>
          <w:szCs w:val="32"/>
        </w:rPr>
        <w:t>增加4.7%，主要原因是：2021年新增8人的机关事业单位基本养老保险费部分。</w:t>
      </w:r>
    </w:p>
    <w:p>
      <w:pPr>
        <w:spacing w:line="560" w:lineRule="exact"/>
        <w:ind w:firstLine="640" w:firstLineChars="200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3.社会保障和就业支出（类）行政事业单位养老支出（款）机关事业单位职业年金缴费支出（项）：2021年预算数为69.63万元，</w:t>
      </w:r>
      <w:r>
        <w:rPr>
          <w:rFonts w:hint="eastAsia" w:ascii="仿宋" w:hAnsi="仿宋" w:eastAsia="仿宋"/>
          <w:sz w:val="32"/>
          <w:szCs w:val="32"/>
        </w:rPr>
        <w:t>比上年预算数增加3.13万元，</w:t>
      </w:r>
      <w:r>
        <w:rPr>
          <w:rFonts w:hint="eastAsia" w:ascii="仿宋" w:hAnsi="仿宋" w:eastAsia="仿宋" w:cs="宋体"/>
          <w:kern w:val="0"/>
          <w:sz w:val="32"/>
          <w:szCs w:val="32"/>
        </w:rPr>
        <w:t>增加4.7%，主要原因是：2021年新增8人的机关事业单位职业年金缴费部分。</w:t>
      </w:r>
    </w:p>
    <w:p>
      <w:pPr>
        <w:spacing w:line="560" w:lineRule="exact"/>
        <w:ind w:firstLine="640" w:firstLineChars="200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4.卫生健康支出（类）行政事业单位医疗（款）事业单位医疗缴费支出（项）：2021年预算数为116.65万元，</w:t>
      </w:r>
      <w:r>
        <w:rPr>
          <w:rFonts w:hint="eastAsia" w:ascii="仿宋" w:hAnsi="仿宋" w:eastAsia="仿宋"/>
          <w:sz w:val="32"/>
          <w:szCs w:val="32"/>
        </w:rPr>
        <w:t>比上年预算数增加32.13万元，</w:t>
      </w:r>
      <w:r>
        <w:rPr>
          <w:rFonts w:hint="eastAsia" w:ascii="仿宋" w:hAnsi="仿宋" w:eastAsia="仿宋" w:cs="宋体"/>
          <w:kern w:val="0"/>
          <w:sz w:val="32"/>
          <w:szCs w:val="32"/>
        </w:rPr>
        <w:t>增加38%，主要原因是：2021年新增8人的事业单位医疗缴费支出部分。</w:t>
      </w:r>
    </w:p>
    <w:p>
      <w:pPr>
        <w:spacing w:line="560" w:lineRule="exact"/>
        <w:ind w:firstLine="640" w:firstLineChars="200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5.卫生健康支出（类）行政事业单位医疗（款）公务员医疗补助缴费支出（项）：2021年预算数为37.43万元，</w:t>
      </w:r>
      <w:r>
        <w:rPr>
          <w:rFonts w:hint="eastAsia" w:ascii="仿宋" w:hAnsi="仿宋" w:eastAsia="仿宋"/>
          <w:sz w:val="32"/>
          <w:szCs w:val="32"/>
        </w:rPr>
        <w:t>比上年预算数增加1.84万元，</w:t>
      </w:r>
      <w:r>
        <w:rPr>
          <w:rFonts w:hint="eastAsia" w:ascii="仿宋" w:hAnsi="仿宋" w:eastAsia="仿宋" w:cs="宋体"/>
          <w:kern w:val="0"/>
          <w:sz w:val="32"/>
          <w:szCs w:val="32"/>
        </w:rPr>
        <w:t>增加5.16%，主要原因是：2021年新增8人的公务员医疗补助缴费支出部分。</w:t>
      </w:r>
    </w:p>
    <w:p>
      <w:pPr>
        <w:spacing w:line="560" w:lineRule="exact"/>
        <w:ind w:firstLine="640" w:firstLineChars="200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6.卫生健康支出（类）行政事业单位医疗（款）其他行政事业医疗补助支出（项）2021年预算数为4.02万元，</w:t>
      </w:r>
      <w:r>
        <w:rPr>
          <w:rFonts w:hint="eastAsia" w:ascii="仿宋" w:hAnsi="仿宋" w:eastAsia="仿宋"/>
          <w:sz w:val="32"/>
          <w:szCs w:val="32"/>
        </w:rPr>
        <w:t>比上年预算数增加0.16万元，</w:t>
      </w:r>
      <w:r>
        <w:rPr>
          <w:rFonts w:hint="eastAsia" w:ascii="仿宋" w:hAnsi="仿宋" w:eastAsia="仿宋" w:cs="宋体"/>
          <w:kern w:val="0"/>
          <w:sz w:val="32"/>
          <w:szCs w:val="32"/>
        </w:rPr>
        <w:t>增加4.14%，主要原因是：2021年新增8人的其他行政事业医疗补助支出部分。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六、关于</w:t>
      </w:r>
      <w:r>
        <w:rPr>
          <w:rFonts w:hint="eastAsia" w:ascii="黑体" w:hAnsi="黑体" w:eastAsia="黑体"/>
          <w:kern w:val="0"/>
          <w:sz w:val="32"/>
          <w:szCs w:val="32"/>
        </w:rPr>
        <w:t>昌吉州艺术剧院2021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年一般公共预算基本支出情况说明</w:t>
      </w:r>
    </w:p>
    <w:p>
      <w:pPr>
        <w:spacing w:line="560" w:lineRule="exact"/>
        <w:ind w:firstLine="640" w:firstLineChars="200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昌吉州艺术剧院2021年一般公共预算基本支出1917.83万元， 其中：</w:t>
      </w:r>
    </w:p>
    <w:p>
      <w:pPr>
        <w:spacing w:line="560" w:lineRule="exact"/>
        <w:ind w:firstLine="640" w:firstLineChars="200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人员经费1888.13万元，主要包括：基本工资537.62万元、津贴补贴10.5万元、奖金37.23万元、伙食补助费66.15万元、绩效工资295.52万元、机关事业单位基本养老保险缴费139.26万元、职业年金缴费69.63万元、职工基本医疗保险缴费116.65万元、公务员医疗补助缴费37.43万元、其他社会保障缴费4.02万元、住房公积金104.44万元、其他工资福利支出452.25、离休费6.94万元、生活补助2.12万元、奖励金3.17万元、其他对个人和家庭的补助5.2万元等。</w:t>
      </w:r>
    </w:p>
    <w:p>
      <w:pPr>
        <w:spacing w:line="560" w:lineRule="exact"/>
        <w:ind w:firstLine="640" w:firstLineChars="200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公用经费29.7万元，主要包括：培训费1.38万元、福利费24.73万元、其他商品和服务支出3.59万元。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七、关于昌吉州艺术剧院2021年一般公共预算项目支出情况说明</w:t>
      </w:r>
    </w:p>
    <w:p>
      <w:pPr>
        <w:widowControl/>
        <w:spacing w:line="580" w:lineRule="exact"/>
        <w:ind w:firstLine="640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项目</w:t>
      </w:r>
      <w:r>
        <w:rPr>
          <w:rFonts w:ascii="仿宋" w:hAnsi="仿宋" w:eastAsia="仿宋"/>
          <w:sz w:val="32"/>
          <w:szCs w:val="32"/>
        </w:rPr>
        <w:t>名称</w:t>
      </w:r>
      <w:r>
        <w:rPr>
          <w:rFonts w:hint="eastAsia" w:ascii="仿宋" w:hAnsi="仿宋" w:eastAsia="仿宋"/>
          <w:sz w:val="32"/>
          <w:szCs w:val="32"/>
        </w:rPr>
        <w:t>：政府购买服务（三下乡演出服务）</w:t>
      </w:r>
    </w:p>
    <w:p>
      <w:pPr>
        <w:widowControl/>
        <w:spacing w:line="580" w:lineRule="exact"/>
        <w:ind w:left="3198" w:leftChars="304" w:hanging="2560" w:hangingChars="800"/>
        <w:jc w:val="left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设立的政策依据</w:t>
      </w:r>
      <w:r>
        <w:rPr>
          <w:rFonts w:hint="eastAsia" w:ascii="仿宋" w:hAnsi="仿宋" w:eastAsia="仿宋"/>
          <w:sz w:val="32"/>
          <w:szCs w:val="32"/>
        </w:rPr>
        <w:t>：根据州党委工作部署的安排，宣传党的政策，繁荣基层文化生活。</w:t>
      </w:r>
    </w:p>
    <w:p>
      <w:pPr>
        <w:widowControl/>
        <w:spacing w:line="580" w:lineRule="exact"/>
        <w:ind w:firstLine="640"/>
        <w:jc w:val="left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预算安排规模</w:t>
      </w:r>
      <w:r>
        <w:rPr>
          <w:rFonts w:hint="eastAsia" w:ascii="仿宋" w:hAnsi="仿宋" w:eastAsia="仿宋"/>
          <w:sz w:val="32"/>
          <w:szCs w:val="32"/>
        </w:rPr>
        <w:t>：</w:t>
      </w:r>
      <w:r>
        <w:rPr>
          <w:rFonts w:hint="eastAsia" w:ascii="仿宋" w:hAnsi="仿宋" w:eastAsia="仿宋" w:cs="宋体"/>
          <w:kern w:val="0"/>
          <w:sz w:val="32"/>
          <w:szCs w:val="32"/>
        </w:rPr>
        <w:t>120场下乡演出</w:t>
      </w:r>
    </w:p>
    <w:p>
      <w:pPr>
        <w:widowControl/>
        <w:spacing w:line="580" w:lineRule="exact"/>
        <w:ind w:firstLine="640"/>
        <w:jc w:val="left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项目承担单位</w:t>
      </w:r>
      <w:r>
        <w:rPr>
          <w:rFonts w:hint="eastAsia" w:ascii="仿宋" w:hAnsi="仿宋" w:eastAsia="仿宋"/>
          <w:sz w:val="32"/>
          <w:szCs w:val="32"/>
        </w:rPr>
        <w:t>：</w:t>
      </w:r>
      <w:r>
        <w:rPr>
          <w:rFonts w:hint="eastAsia" w:ascii="仿宋" w:hAnsi="仿宋" w:eastAsia="仿宋" w:cs="宋体"/>
          <w:kern w:val="0"/>
          <w:sz w:val="32"/>
          <w:szCs w:val="32"/>
        </w:rPr>
        <w:t>昌吉州艺术剧院</w:t>
      </w:r>
    </w:p>
    <w:p>
      <w:pPr>
        <w:widowControl/>
        <w:spacing w:line="580" w:lineRule="exact"/>
        <w:ind w:firstLine="640"/>
        <w:jc w:val="left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资金分配情况</w:t>
      </w:r>
      <w:r>
        <w:rPr>
          <w:rFonts w:hint="eastAsia" w:ascii="仿宋" w:hAnsi="仿宋" w:eastAsia="仿宋"/>
          <w:sz w:val="32"/>
          <w:szCs w:val="32"/>
        </w:rPr>
        <w:t>：</w:t>
      </w:r>
      <w:r>
        <w:rPr>
          <w:rFonts w:hint="eastAsia" w:ascii="仿宋" w:hAnsi="仿宋" w:eastAsia="仿宋" w:cs="宋体"/>
          <w:kern w:val="0"/>
          <w:sz w:val="32"/>
          <w:szCs w:val="32"/>
        </w:rPr>
        <w:t>商品服务支出，用于演出期间的演出差费、汽车加油、住宿、节目制作费用。</w:t>
      </w:r>
    </w:p>
    <w:p>
      <w:pPr>
        <w:widowControl/>
        <w:spacing w:line="580" w:lineRule="exact"/>
        <w:ind w:firstLine="640"/>
        <w:jc w:val="left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资金执行时间</w:t>
      </w:r>
      <w:r>
        <w:rPr>
          <w:rFonts w:hint="eastAsia" w:ascii="仿宋" w:hAnsi="仿宋" w:eastAsia="仿宋"/>
          <w:sz w:val="32"/>
          <w:szCs w:val="32"/>
        </w:rPr>
        <w:t>：</w:t>
      </w:r>
      <w:r>
        <w:rPr>
          <w:rFonts w:hint="eastAsia" w:ascii="仿宋" w:hAnsi="仿宋" w:eastAsia="仿宋" w:cs="宋体"/>
          <w:kern w:val="0"/>
          <w:sz w:val="32"/>
          <w:szCs w:val="32"/>
        </w:rPr>
        <w:t>2021年1月至12月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八、关于昌吉州艺术剧院2021年一般公共预算“三公”经费预算情况说明</w:t>
      </w:r>
    </w:p>
    <w:p>
      <w:pPr>
        <w:spacing w:line="560" w:lineRule="exact"/>
        <w:ind w:firstLine="640" w:firstLineChars="200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昌吉州艺术剧院2021年一般公共预算“三公”经费数为0万元，其中：因公出国（境）费0万元，公务用车购置0万元，公务用车运行费0万元，公务接待费0万元。</w:t>
      </w:r>
    </w:p>
    <w:p>
      <w:pPr>
        <w:wordWrap/>
        <w:adjustRightInd/>
        <w:snapToGrid/>
        <w:spacing w:before="0" w:after="0" w:line="530" w:lineRule="exact"/>
        <w:ind w:left="0" w:leftChars="0" w:right="0" w:firstLine="640" w:firstLineChars="200"/>
        <w:textAlignment w:val="auto"/>
        <w:outlineLvl w:val="9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2021年一般公共预算“三公”经费比上年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预算数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增加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0万元，其中：因公出国（境）费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增加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0万元，主要原因是我单位是</w:t>
      </w:r>
      <w:r>
        <w:rPr>
          <w:rFonts w:hint="eastAsia" w:ascii="仿宋_GB2312" w:hAnsi="Tahoma" w:eastAsia="仿宋_GB2312" w:cs="Tahoma"/>
          <w:sz w:val="32"/>
          <w:szCs w:val="32"/>
        </w:rPr>
        <w:t>差额拨款预算单位，未安排预算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；公务用车购置费为0万元，未安排预算。公务用车运行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费增加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0万元，主要原因是我单位是</w:t>
      </w:r>
      <w:r>
        <w:rPr>
          <w:rFonts w:hint="eastAsia" w:ascii="仿宋_GB2312" w:hAnsi="Tahoma" w:eastAsia="仿宋_GB2312" w:cs="Tahoma"/>
          <w:sz w:val="32"/>
          <w:szCs w:val="32"/>
        </w:rPr>
        <w:t>差额拨款预算单位，未安排预算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；公务接待费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增加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0万元，主要原因是我单位是</w:t>
      </w:r>
      <w:r>
        <w:rPr>
          <w:rFonts w:hint="eastAsia" w:ascii="仿宋_GB2312" w:hAnsi="Tahoma" w:eastAsia="仿宋_GB2312" w:cs="Tahoma"/>
          <w:sz w:val="32"/>
          <w:szCs w:val="32"/>
        </w:rPr>
        <w:t>差额拨款预算单位，未安排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“三公”经费</w:t>
      </w:r>
      <w:r>
        <w:rPr>
          <w:rFonts w:hint="eastAsia" w:ascii="仿宋_GB2312" w:hAnsi="Tahoma" w:eastAsia="仿宋_GB2312" w:cs="Tahoma"/>
          <w:sz w:val="32"/>
          <w:szCs w:val="32"/>
        </w:rPr>
        <w:t>预算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九、关于昌吉州艺术剧院2021年政府性基金预算拨款情况说明</w:t>
      </w:r>
    </w:p>
    <w:p>
      <w:pPr>
        <w:spacing w:line="560" w:lineRule="exact"/>
        <w:ind w:firstLine="640" w:firstLineChars="200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昌吉州艺术剧院2021年没有使用政府性基金预算拨款安排的支出，政府性基金预算支出情况表为空表。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十、其他重要事项的情况说明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（一）机关运行经费情况</w:t>
      </w:r>
    </w:p>
    <w:p>
      <w:pPr>
        <w:spacing w:line="560" w:lineRule="exact"/>
        <w:ind w:firstLine="640" w:firstLineChars="200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2021年，昌吉州艺术剧院的机关运行经费财政拨款预算29.7万元，比上年预算增加1.17万元，增长3.9%。主要原因是财政按照2021年我院人员增加8人拨入培训费和福利费。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（二）政府采购情况</w:t>
      </w:r>
    </w:p>
    <w:p>
      <w:pPr>
        <w:spacing w:line="560" w:lineRule="exact"/>
        <w:ind w:firstLine="640" w:firstLineChars="200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2021年，昌吉州艺术剧院政府采购预算443.82万元，其中：政府采购货物预算402.82万元，政府采购工程预算0万元，政府采购服务预算41万元。</w:t>
      </w:r>
    </w:p>
    <w:p>
      <w:pPr>
        <w:spacing w:line="560" w:lineRule="exact"/>
        <w:ind w:firstLine="640" w:firstLineChars="200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/>
          <w:sz w:val="32"/>
        </w:rPr>
        <w:t>2021年度本部门（单位）面向中小企业预留政府采购项目预算金额0万元，其中：面向小微企业预留政府采购项目预算金额0万元。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（三）国有资产占用使用情况</w:t>
      </w:r>
    </w:p>
    <w:p>
      <w:pPr>
        <w:spacing w:line="560" w:lineRule="exact"/>
        <w:ind w:firstLine="640" w:firstLineChars="200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截至2020年底，昌吉州艺术剧院占用使用国有资产总体情况为</w:t>
      </w:r>
    </w:p>
    <w:p>
      <w:pPr>
        <w:spacing w:line="560" w:lineRule="exact"/>
        <w:ind w:firstLine="640" w:firstLineChars="200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1.房屋2383.24平方米，价值88.31万元。</w:t>
      </w:r>
    </w:p>
    <w:p>
      <w:pPr>
        <w:spacing w:line="560" w:lineRule="exact"/>
        <w:ind w:firstLine="640" w:firstLineChars="200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2.车辆5辆，价值192.71万元；其中：一般公务用车1辆，价值15万元；执法执勤用车0辆，价值0万元；其他车辆4辆，价值177.71万元。</w:t>
      </w:r>
    </w:p>
    <w:p>
      <w:pPr>
        <w:spacing w:line="560" w:lineRule="exact"/>
        <w:ind w:firstLine="640" w:firstLineChars="200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3.办公家具价值34.81万元。</w:t>
      </w:r>
    </w:p>
    <w:p>
      <w:pPr>
        <w:spacing w:line="560" w:lineRule="exact"/>
        <w:ind w:firstLine="640" w:firstLineChars="200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4.其他资产价值1120.35万元。</w:t>
      </w:r>
    </w:p>
    <w:p>
      <w:pPr>
        <w:spacing w:line="560" w:lineRule="exact"/>
        <w:ind w:firstLine="640" w:firstLineChars="200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单位价值50万元以上大型设备0台（套），单位价值100万元以上大型设备0台（套）。</w:t>
      </w:r>
    </w:p>
    <w:p>
      <w:pPr>
        <w:spacing w:line="560" w:lineRule="exact"/>
        <w:ind w:firstLine="640" w:firstLineChars="200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2021年昌吉州艺术剧院部门预算未安排购置车辆经费，安排购置50万元以上大型设备0台（套），单位价值100万元以上大型设备0台（套）。</w:t>
      </w:r>
    </w:p>
    <w:p>
      <w:pPr>
        <w:spacing w:line="560" w:lineRule="exact"/>
        <w:ind w:firstLine="321" w:firstLineChars="1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（四）预算绩效情况</w:t>
      </w:r>
    </w:p>
    <w:p>
      <w:pPr>
        <w:spacing w:line="560" w:lineRule="exact"/>
        <w:ind w:firstLine="640" w:firstLineChars="200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2021年度，本年度实行绩效管理的一般公共预算项目1个，涉及预算金额21万元。具体情况见下表（按项目分别填报）：</w:t>
      </w:r>
    </w:p>
    <w:tbl>
      <w:tblPr>
        <w:tblStyle w:val="4"/>
        <w:tblW w:w="881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0"/>
        <w:gridCol w:w="1452"/>
        <w:gridCol w:w="1224"/>
        <w:gridCol w:w="1476"/>
        <w:gridCol w:w="1206"/>
        <w:gridCol w:w="1314"/>
        <w:gridCol w:w="118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881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pacing w:line="480" w:lineRule="exact"/>
              <w:jc w:val="center"/>
              <w:textAlignment w:val="bottom"/>
              <w:rPr>
                <w:rFonts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</w:pPr>
          </w:p>
          <w:p>
            <w:pPr>
              <w:widowControl/>
              <w:spacing w:line="480" w:lineRule="exact"/>
              <w:jc w:val="center"/>
              <w:textAlignment w:val="bottom"/>
              <w:rPr>
                <w:rFonts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</w:pPr>
          </w:p>
          <w:p>
            <w:pPr>
              <w:widowControl/>
              <w:spacing w:line="480" w:lineRule="exact"/>
              <w:jc w:val="center"/>
              <w:textAlignment w:val="bottom"/>
              <w:rPr>
                <w:rFonts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</w:pPr>
          </w:p>
          <w:p>
            <w:pPr>
              <w:widowControl/>
              <w:spacing w:line="480" w:lineRule="exact"/>
              <w:jc w:val="center"/>
              <w:textAlignment w:val="bottom"/>
              <w:rPr>
                <w:rFonts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</w:pPr>
          </w:p>
          <w:p>
            <w:pPr>
              <w:widowControl/>
              <w:spacing w:line="480" w:lineRule="exact"/>
              <w:jc w:val="center"/>
              <w:textAlignment w:val="bottom"/>
              <w:rPr>
                <w:rFonts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</w:pPr>
          </w:p>
          <w:p>
            <w:pPr>
              <w:widowControl/>
              <w:spacing w:line="480" w:lineRule="exact"/>
              <w:jc w:val="center"/>
              <w:textAlignment w:val="bottom"/>
              <w:rPr>
                <w:rFonts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</w:pPr>
          </w:p>
          <w:p>
            <w:pPr>
              <w:widowControl/>
              <w:spacing w:line="480" w:lineRule="exact"/>
              <w:jc w:val="center"/>
              <w:textAlignment w:val="bottom"/>
              <w:rPr>
                <w:rFonts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</w:pPr>
          </w:p>
          <w:p>
            <w:pPr>
              <w:widowControl/>
              <w:spacing w:line="480" w:lineRule="exact"/>
              <w:jc w:val="center"/>
              <w:textAlignment w:val="bottom"/>
              <w:rPr>
                <w:rFonts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</w:pPr>
          </w:p>
          <w:p>
            <w:pPr>
              <w:widowControl/>
              <w:spacing w:line="480" w:lineRule="exact"/>
              <w:jc w:val="center"/>
              <w:textAlignment w:val="bottom"/>
              <w:rPr>
                <w:rFonts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</w:pPr>
          </w:p>
          <w:p>
            <w:pPr>
              <w:widowControl/>
              <w:spacing w:line="480" w:lineRule="exact"/>
              <w:jc w:val="center"/>
              <w:textAlignment w:val="bottom"/>
              <w:rPr>
                <w:rFonts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</w:pPr>
          </w:p>
          <w:p>
            <w:pPr>
              <w:widowControl/>
              <w:spacing w:line="480" w:lineRule="exact"/>
              <w:jc w:val="center"/>
              <w:textAlignment w:val="bottom"/>
              <w:rPr>
                <w:rFonts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</w:pPr>
          </w:p>
          <w:p>
            <w:pPr>
              <w:widowControl/>
              <w:spacing w:line="480" w:lineRule="exact"/>
              <w:jc w:val="center"/>
              <w:textAlignment w:val="bottom"/>
              <w:rPr>
                <w:rFonts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</w:pPr>
          </w:p>
          <w:p>
            <w:pPr>
              <w:widowControl/>
              <w:spacing w:line="480" w:lineRule="exact"/>
              <w:jc w:val="center"/>
              <w:textAlignment w:val="bottom"/>
              <w:rPr>
                <w:rFonts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</w:pPr>
          </w:p>
          <w:p>
            <w:pPr>
              <w:widowControl/>
              <w:spacing w:line="480" w:lineRule="exact"/>
              <w:jc w:val="center"/>
              <w:textAlignment w:val="bottom"/>
              <w:rPr>
                <w:rFonts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</w:pPr>
          </w:p>
          <w:p>
            <w:pPr>
              <w:widowControl/>
              <w:spacing w:line="480" w:lineRule="exact"/>
              <w:jc w:val="center"/>
              <w:textAlignment w:val="bottom"/>
              <w:rPr>
                <w:rFonts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</w:pPr>
          </w:p>
          <w:p>
            <w:pPr>
              <w:widowControl/>
              <w:spacing w:line="480" w:lineRule="exact"/>
              <w:jc w:val="center"/>
              <w:textAlignment w:val="bottom"/>
              <w:rPr>
                <w:rFonts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</w:pPr>
          </w:p>
          <w:p>
            <w:pPr>
              <w:widowControl/>
              <w:spacing w:line="480" w:lineRule="exact"/>
              <w:jc w:val="center"/>
              <w:textAlignment w:val="bottom"/>
              <w:rPr>
                <w:rFonts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</w:pPr>
          </w:p>
          <w:p>
            <w:pPr>
              <w:widowControl/>
              <w:spacing w:line="480" w:lineRule="exact"/>
              <w:jc w:val="center"/>
              <w:textAlignment w:val="bottom"/>
              <w:rPr>
                <w:rFonts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</w:pPr>
          </w:p>
          <w:p>
            <w:pPr>
              <w:widowControl/>
              <w:spacing w:line="480" w:lineRule="exact"/>
              <w:jc w:val="center"/>
              <w:textAlignment w:val="bottom"/>
              <w:rPr>
                <w:rFonts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</w:pPr>
          </w:p>
          <w:p>
            <w:pPr>
              <w:widowControl/>
              <w:spacing w:line="480" w:lineRule="exact"/>
              <w:jc w:val="center"/>
              <w:textAlignment w:val="bottom"/>
              <w:rPr>
                <w:rFonts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</w:pPr>
          </w:p>
          <w:p>
            <w:pPr>
              <w:widowControl/>
              <w:spacing w:line="480" w:lineRule="exact"/>
              <w:jc w:val="center"/>
              <w:textAlignment w:val="bottom"/>
              <w:rPr>
                <w:rFonts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</w:pPr>
          </w:p>
          <w:p>
            <w:pPr>
              <w:widowControl/>
              <w:spacing w:line="480" w:lineRule="exact"/>
              <w:jc w:val="center"/>
              <w:textAlignment w:val="bottom"/>
              <w:rPr>
                <w:rFonts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</w:pPr>
          </w:p>
          <w:p>
            <w:pPr>
              <w:widowControl/>
              <w:spacing w:line="480" w:lineRule="exact"/>
              <w:jc w:val="center"/>
              <w:textAlignment w:val="bottom"/>
              <w:rPr>
                <w:rFonts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</w:pPr>
          </w:p>
          <w:p>
            <w:pPr>
              <w:widowControl/>
              <w:spacing w:line="480" w:lineRule="exact"/>
              <w:jc w:val="center"/>
              <w:textAlignment w:val="bottom"/>
              <w:rPr>
                <w:rFonts w:ascii="仿宋_GB2312" w:hAnsi="宋体" w:eastAsia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>项  目  支  出  绩  效  目  标  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881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pacing w:line="480" w:lineRule="exact"/>
              <w:jc w:val="center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（2021年）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41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昌吉州艺术剧院</w:t>
            </w: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24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演出三下乡补助经费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31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118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785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为了丰富昌吉州农牧区群众的业余生活，紧扣基层生产生活实际，精心创作编排老百姓喜闻乐见、内容积极向上的文艺节目“文化下乡”“文化惠民”“文化暖冬”等活动向基层、农牧区开展惠民演出活动。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390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24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指标值（包含数字及文字描述）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产出指标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390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春季、秋季在各县市文化演出活动（场次）</w:t>
            </w:r>
          </w:p>
        </w:tc>
        <w:tc>
          <w:tcPr>
            <w:tcW w:w="24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≥120场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390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文化三下乡整体完成质量率（%）</w:t>
            </w:r>
          </w:p>
        </w:tc>
        <w:tc>
          <w:tcPr>
            <w:tcW w:w="24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≥98%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390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艺术下基层任务时间完成（月）</w:t>
            </w:r>
          </w:p>
        </w:tc>
        <w:tc>
          <w:tcPr>
            <w:tcW w:w="24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12月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390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演出交通、住宿、伙食补助（万元）</w:t>
            </w:r>
          </w:p>
        </w:tc>
        <w:tc>
          <w:tcPr>
            <w:tcW w:w="24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≤10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90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节目专用材料经费（万元）</w:t>
            </w:r>
          </w:p>
        </w:tc>
        <w:tc>
          <w:tcPr>
            <w:tcW w:w="24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≤11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390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增强基层、校园群众艺术感染力</w:t>
            </w:r>
          </w:p>
        </w:tc>
        <w:tc>
          <w:tcPr>
            <w:tcW w:w="24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增强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390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丰富群众文化生活，营造具有地方特色的文化氛围</w:t>
            </w:r>
          </w:p>
        </w:tc>
        <w:tc>
          <w:tcPr>
            <w:tcW w:w="24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长期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390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群众满意度</w:t>
            </w:r>
          </w:p>
        </w:tc>
        <w:tc>
          <w:tcPr>
            <w:tcW w:w="24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≥95%　</w:t>
            </w:r>
          </w:p>
        </w:tc>
      </w:tr>
    </w:tbl>
    <w:p>
      <w:pPr>
        <w:widowControl/>
        <w:spacing w:line="480" w:lineRule="exact"/>
        <w:sectPr>
          <w:pgSz w:w="11906" w:h="16838"/>
          <w:pgMar w:top="1440" w:right="1800" w:bottom="1440" w:left="1800" w:header="851" w:footer="992" w:gutter="0"/>
          <w:pgNumType w:fmt="numberInDash" w:start="24"/>
          <w:cols w:space="720" w:num="1"/>
          <w:docGrid w:type="lines" w:linePitch="312" w:charSpace="0"/>
        </w:sectPr>
      </w:pPr>
    </w:p>
    <w:p>
      <w:pPr>
        <w:widowControl/>
        <w:spacing w:line="480" w:lineRule="exact"/>
        <w:ind w:firstLine="482" w:firstLineChars="150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（五）其他需说明的事项</w:t>
      </w:r>
    </w:p>
    <w:p>
      <w:pPr>
        <w:widowControl/>
        <w:spacing w:line="520" w:lineRule="exact"/>
        <w:ind w:firstLine="640" w:firstLineChars="200"/>
        <w:jc w:val="left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无其他需要说明的事项。</w:t>
      </w: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beforeLines="50" w:line="52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第四部分  名词解释</w:t>
      </w:r>
    </w:p>
    <w:p>
      <w:pPr>
        <w:widowControl/>
        <w:spacing w:beforeLines="50" w:line="52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52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名词解释：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一、财政拨款：</w:t>
      </w:r>
      <w:r>
        <w:rPr>
          <w:rFonts w:hint="eastAsia" w:ascii="仿宋_GB2312" w:eastAsia="仿宋_GB2312"/>
          <w:sz w:val="32"/>
          <w:szCs w:val="32"/>
        </w:rPr>
        <w:t>指由一般公共预算、政府性基金预算安排的财政拨款数。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二、一般公共预算：</w:t>
      </w:r>
      <w:r>
        <w:rPr>
          <w:rFonts w:hint="eastAsia" w:ascii="仿宋_GB2312" w:eastAsia="仿宋_GB2312"/>
          <w:spacing w:val="-6"/>
          <w:sz w:val="32"/>
          <w:szCs w:val="32"/>
        </w:rPr>
        <w:t>包括公共财政拨款（补助）资金、专项收入。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三、财政专户管理资金：</w:t>
      </w:r>
      <w:r>
        <w:rPr>
          <w:rFonts w:hint="eastAsia" w:ascii="仿宋_GB2312" w:eastAsia="仿宋_GB2312"/>
          <w:sz w:val="32"/>
          <w:szCs w:val="32"/>
        </w:rPr>
        <w:t>包括专户管理行政事业性收费（主要是教育收费）、其他非税收入。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四、其他资金：</w:t>
      </w:r>
      <w:r>
        <w:rPr>
          <w:rFonts w:hint="eastAsia" w:ascii="仿宋_GB2312" w:eastAsia="仿宋_GB2312"/>
          <w:sz w:val="32"/>
          <w:szCs w:val="32"/>
        </w:rPr>
        <w:t>包括事业收入、事业经营收入、其他收入等。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五、基本支出：</w:t>
      </w:r>
      <w:r>
        <w:rPr>
          <w:rFonts w:hint="eastAsia" w:ascii="仿宋_GB2312" w:eastAsia="仿宋_GB2312"/>
          <w:sz w:val="32"/>
          <w:szCs w:val="32"/>
        </w:rPr>
        <w:t>包括人员经费、商品和服务支出（定额）。其中，人员经费包括工资福利支出、对个人和家庭的补助。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六、项目支出：</w:t>
      </w:r>
      <w:r>
        <w:rPr>
          <w:rFonts w:hint="eastAsia" w:ascii="仿宋_GB2312" w:eastAsia="仿宋_GB2312"/>
          <w:sz w:val="32"/>
          <w:szCs w:val="32"/>
        </w:rPr>
        <w:t>部门（单位）支出预算的组成部分，是州本级部门（单位）为完成其特定的行政任务或事业发展目标，在基本支出预算之外编制的年度项目支出计划。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七、“三公”经费：</w:t>
      </w:r>
      <w:r>
        <w:rPr>
          <w:rFonts w:hint="eastAsia" w:ascii="仿宋_GB2312" w:eastAsia="仿宋_GB2312"/>
          <w:sz w:val="32"/>
          <w:szCs w:val="32"/>
        </w:rPr>
        <w:t>指州本级部门（单位）用一般公共预算财政拨款安排的因公出国（境）费、公务用车购置及运行费和公务接待费。其中，因公出国（境）费指单位公务出国（境）的住宿费、旅费、伙食补助费、杂费、培训费等支出；公务用车购置及运行费指单位公务用车购置费及租用费、燃料费、维修费、过路过桥费、保险费、安全奖励费用等支出；公务接待费指单位按规定开支的各类公务接待（含外宾接待）支出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八、机关运行经费：</w:t>
      </w:r>
      <w:r>
        <w:rPr>
          <w:rFonts w:hint="eastAsia" w:ascii="仿宋_GB2312" w:eastAsia="仿宋_GB2312"/>
          <w:sz w:val="32"/>
          <w:szCs w:val="32"/>
        </w:rPr>
        <w:t>指各部门（单位）的公用经费，包括办公及印刷费、邮电费、差旅费、会议费、福利费、日常维修费、专用材料及一般设备购置费、办公用房水电费、办公用房取暖费、办公用房物业管理费、公务用车运行维护费及其他费用。</w:t>
      </w: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            </w:t>
      </w: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ind w:firstLine="4800" w:firstLineChars="15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昌吉州艺术剧院</w:t>
      </w: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                2021</w:t>
      </w:r>
      <w:r>
        <w:rPr>
          <w:rFonts w:ascii="仿宋_GB2312" w:hAnsi="宋体" w:eastAsia="仿宋_GB2312" w:cs="宋体"/>
          <w:kern w:val="0"/>
          <w:sz w:val="32"/>
          <w:szCs w:val="32"/>
        </w:rPr>
        <w:t>年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</w:t>
      </w:r>
      <w:r>
        <w:rPr>
          <w:rFonts w:ascii="仿宋_GB2312" w:hAnsi="宋体" w:eastAsia="仿宋_GB2312" w:cs="宋体"/>
          <w:kern w:val="0"/>
          <w:sz w:val="32"/>
          <w:szCs w:val="32"/>
        </w:rPr>
        <w:t>月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</w:t>
      </w:r>
      <w:r>
        <w:rPr>
          <w:rFonts w:ascii="仿宋_GB2312" w:hAnsi="宋体" w:eastAsia="仿宋_GB2312" w:cs="宋体"/>
          <w:kern w:val="0"/>
          <w:sz w:val="32"/>
          <w:szCs w:val="32"/>
        </w:rPr>
        <w:t>日</w:t>
      </w:r>
    </w:p>
    <w:p/>
    <w:sectPr>
      <w:footerReference r:id="rId4" w:type="default"/>
      <w:pgSz w:w="11906" w:h="16838"/>
      <w:pgMar w:top="1440" w:right="1800" w:bottom="1440" w:left="1800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Dialog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楷体_GB2312">
    <w:altName w:val="楷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rPr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 \* MERGEFORMAT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-</w:t>
    </w:r>
    <w:r>
      <w:rPr>
        <w:rFonts w:ascii="宋体" w:hAnsi="宋体" w:eastAsia="宋体"/>
        <w:sz w:val="28"/>
        <w:szCs w:val="28"/>
      </w:rPr>
      <w:t xml:space="preserve"> 9 -</w:t>
    </w:r>
    <w:r>
      <w:rPr>
        <w:rFonts w:ascii="宋体" w:hAnsi="宋体" w:eastAsia="宋体"/>
        <w:sz w:val="28"/>
        <w:szCs w:val="28"/>
      </w:rPr>
      <w:fldChar w:fldCharType="end"/>
    </w:r>
  </w:p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00000"/>
    <w:rsid w:val="0BA557EA"/>
    <w:rsid w:val="157D1C52"/>
    <w:rsid w:val="24C57418"/>
    <w:rsid w:val="2A9A5273"/>
    <w:rsid w:val="31390FE6"/>
    <w:rsid w:val="3D773A1C"/>
    <w:rsid w:val="49C41168"/>
    <w:rsid w:val="56B42F63"/>
    <w:rsid w:val="74F94B3B"/>
    <w:rsid w:val="7AA05D02"/>
    <w:rsid w:val="7FAF1E5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eastAsia="黑体"/>
      <w:sz w:val="18"/>
      <w:szCs w:val="18"/>
    </w:rPr>
  </w:style>
  <w:style w:type="paragraph" w:styleId="3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批注框文本1"/>
    <w:basedOn w:val="1"/>
    <w:link w:val="7"/>
    <w:qFormat/>
    <w:uiPriority w:val="0"/>
    <w:rPr>
      <w:sz w:val="18"/>
      <w:szCs w:val="18"/>
    </w:rPr>
  </w:style>
  <w:style w:type="character" w:customStyle="1" w:styleId="7">
    <w:name w:val="批注框文本 Char"/>
    <w:link w:val="6"/>
    <w:semiHidden/>
    <w:qFormat/>
    <w:uiPriority w:val="0"/>
    <w:rPr>
      <w:sz w:val="18"/>
      <w:szCs w:val="18"/>
    </w:rPr>
  </w:style>
  <w:style w:type="character" w:customStyle="1" w:styleId="8">
    <w:name w:val="页脚 Char"/>
    <w:link w:val="2"/>
    <w:semiHidden/>
    <w:qFormat/>
    <w:uiPriority w:val="0"/>
    <w:rPr>
      <w:rFonts w:eastAsia="黑体"/>
      <w:sz w:val="18"/>
      <w:szCs w:val="18"/>
    </w:rPr>
  </w:style>
  <w:style w:type="character" w:customStyle="1" w:styleId="9">
    <w:name w:val="页眉 Char"/>
    <w:link w:val="3"/>
    <w:semiHidden/>
    <w:qFormat/>
    <w:uiPriority w:val="0"/>
    <w:rPr>
      <w:sz w:val="18"/>
      <w:szCs w:val="18"/>
    </w:rPr>
  </w:style>
  <w:style w:type="character" w:customStyle="1" w:styleId="10">
    <w:name w:val="正文文本缩进 3 Char"/>
    <w:link w:val="11"/>
    <w:semiHidden/>
    <w:qFormat/>
    <w:uiPriority w:val="0"/>
    <w:rPr>
      <w:rFonts w:eastAsia="仿宋_GB2312"/>
      <w:sz w:val="32"/>
      <w:szCs w:val="24"/>
    </w:rPr>
  </w:style>
  <w:style w:type="paragraph" w:customStyle="1" w:styleId="11">
    <w:name w:val="Body Text Indent 3"/>
    <w:basedOn w:val="1"/>
    <w:link w:val="10"/>
    <w:qFormat/>
    <w:uiPriority w:val="0"/>
    <w:pPr>
      <w:pBdr>
        <w:top w:val="single" w:color="auto" w:sz="12" w:space="1"/>
        <w:bottom w:val="single" w:color="auto" w:sz="12" w:space="1"/>
      </w:pBdr>
      <w:spacing w:line="600" w:lineRule="exact"/>
      <w:ind w:left="1280" w:hanging="1280" w:hangingChars="400"/>
    </w:pPr>
    <w:rPr>
      <w:rFonts w:eastAsia="仿宋_GB2312"/>
      <w:sz w:val="32"/>
      <w:szCs w:val="24"/>
    </w:rPr>
  </w:style>
  <w:style w:type="character" w:customStyle="1" w:styleId="12">
    <w:name w:val="页眉 Char1"/>
    <w:basedOn w:val="5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3">
    <w:name w:val="正文文本缩进 3 Char1"/>
    <w:basedOn w:val="5"/>
    <w:qFormat/>
    <w:uiPriority w:val="0"/>
    <w:rPr>
      <w:rFonts w:ascii="Times New Roman" w:hAnsi="Times New Roman" w:eastAsia="宋体" w:cs="Times New Roman"/>
      <w:sz w:val="16"/>
      <w:szCs w:val="16"/>
    </w:rPr>
  </w:style>
  <w:style w:type="character" w:customStyle="1" w:styleId="14">
    <w:name w:val="页脚 Char1"/>
    <w:basedOn w:val="5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5">
    <w:name w:val="批注框文本 Char1"/>
    <w:basedOn w:val="5"/>
    <w:qFormat/>
    <w:uiPriority w:val="0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23</Pages>
  <Words>6556</Words>
  <Characters>8102</Characters>
  <Lines>74</Lines>
  <Paragraphs>20</Paragraphs>
  <TotalTime>1</TotalTime>
  <ScaleCrop>false</ScaleCrop>
  <LinksUpToDate>false</LinksUpToDate>
  <CharactersWithSpaces>8835</CharactersWithSpaces>
  <Application>WPS Office_11.1.0.11566_F1E327BC-269C-435d-A152-05C5408002CA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2021-02-07T10:26:00Z</dcterms:created>
  <dc:creator>闫超</dc:creator>
  <cp:lastModifiedBy>Administrator</cp:lastModifiedBy>
  <cp:lastPrinted>2021-02-07T21:18:00Z</cp:lastPrinted>
  <dcterms:modified xsi:type="dcterms:W3CDTF">2022-04-04T17:11:29Z</dcterms:modified>
  <dc:title>Administrator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2052-11.1.0.11566</vt:lpwstr>
  </property>
  <property fmtid="{D5CDD505-2E9C-101B-9397-08002B2CF9AE}" pid="3" name="ICV">
    <vt:lpwstr>DD51A9FB167E4342A08A15AE111FEAEF</vt:lpwstr>
  </property>
</Properties>
</file>