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8C" w:rsidRDefault="00D46ABC">
      <w:pPr>
        <w:spacing w:line="560" w:lineRule="exact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BF108C" w:rsidRDefault="00BF108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:rsidR="00BF108C" w:rsidRDefault="00BF108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:rsidR="00BF108C" w:rsidRDefault="00D46AB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昌吉州住房公积金管理中心</w:t>
      </w:r>
    </w:p>
    <w:p w:rsidR="00BF108C" w:rsidRDefault="00D46AB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2022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6332E2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BF108C" w:rsidRDefault="00BF108C">
      <w:pPr>
        <w:widowControl/>
        <w:spacing w:line="440" w:lineRule="exact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BF108C" w:rsidRDefault="00D46ABC">
      <w:pPr>
        <w:spacing w:line="56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目</w:t>
      </w:r>
      <w:r>
        <w:rPr>
          <w:rFonts w:ascii="黑体" w:eastAsia="黑体" w:hAnsi="黑体" w:cs="黑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kern w:val="0"/>
          <w:sz w:val="32"/>
          <w:szCs w:val="32"/>
        </w:rPr>
        <w:t>录</w:t>
      </w:r>
    </w:p>
    <w:p w:rsidR="00BF108C" w:rsidRDefault="00BF108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概况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一、主要职能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二、机构设置及人员情况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 2022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预算公开表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一、部门（单位）收支总体情况表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二、部门（单位）收入总体情况表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三、部门（单位）支出总体情况表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四、财政拨款收支总体情况表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五、一般公共预算支出情况表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六、一般公共预算基本支出情况表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项目支出情况表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八、一般公共预算“三公”经费支出情况表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九、政府性基金预算支出情况表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 2022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预算情况说明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一、关于昌吉州住房公积金管理中心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年收支预算情况的总体说明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二、关于昌吉州住房公积金管理中心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年收入预算情况说明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三、关于昌吉州住房公积金管理中心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年支出预算情况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年财政拨款收支预算情况的总体说明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spacing w:val="-6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五、</w:t>
      </w: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关于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年一般公共预算当年拨款情况说明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spacing w:val="-6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六、</w:t>
      </w: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关于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年一般公共预算基本支出情况说明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spacing w:val="-6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七、</w:t>
      </w: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关于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pacing w:val="-6"/>
          <w:kern w:val="0"/>
          <w:sz w:val="32"/>
          <w:szCs w:val="32"/>
        </w:rPr>
        <w:t>年一般公共预算项目支出情况说明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八、关于昌吉州住房公积金管理中心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年一般公共预算“三公”经费预算情况说明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九、关于昌吉州住房公积金管理中心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年政府性基金预算拨款情况说明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十、其他重要事项的情况说明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名词解释</w:t>
      </w:r>
    </w:p>
    <w:p w:rsidR="00BF108C" w:rsidRDefault="00BF108C">
      <w:pPr>
        <w:spacing w:line="60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  <w:sectPr w:rsidR="00BF108C"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BF108C" w:rsidRDefault="00D46ABC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昌吉州住房公积金管理中心概况</w:t>
      </w:r>
    </w:p>
    <w:p w:rsidR="00BF108C" w:rsidRDefault="00BF108C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BF108C" w:rsidRDefault="00D46ABC">
      <w:pPr>
        <w:widowControl/>
        <w:spacing w:line="560" w:lineRule="exact"/>
        <w:ind w:firstLineChars="200" w:firstLine="643"/>
        <w:jc w:val="left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一、主要职能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、编制、执行住房公积金的归集、使用计划；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、负责记载职工住房公积金的缴存、提取、使用等情况；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、负责住房公积金的核算；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、审批住房公积金的提取、使用；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、负责住房公积金的保值和归还；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、编制住房公积金归集、使用计划执行情况的报告；</w:t>
      </w:r>
    </w:p>
    <w:p w:rsidR="00BF108C" w:rsidRDefault="00D46ABC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、承办住房公积金管理委员会决定的其他事项。</w:t>
      </w:r>
    </w:p>
    <w:p w:rsidR="00BF108C" w:rsidRDefault="00D46ABC">
      <w:pPr>
        <w:widowControl/>
        <w:spacing w:line="560" w:lineRule="exact"/>
        <w:jc w:val="left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 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二、机构设置及人员情况</w:t>
      </w:r>
    </w:p>
    <w:p w:rsidR="00BF108C" w:rsidRDefault="00D46ABC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昌吉州住房公积金管理中心无下属预算单位，下设</w:t>
      </w:r>
      <w:r>
        <w:rPr>
          <w:rFonts w:ascii="仿宋_GB2312" w:eastAsia="仿宋_GB2312" w:hint="eastAsia"/>
          <w:sz w:val="32"/>
          <w:szCs w:val="32"/>
        </w:rPr>
        <w:t>16</w:t>
      </w:r>
      <w:r>
        <w:rPr>
          <w:rFonts w:ascii="仿宋_GB2312" w:eastAsia="仿宋_GB2312" w:hint="eastAsia"/>
          <w:sz w:val="32"/>
          <w:szCs w:val="32"/>
        </w:rPr>
        <w:t>个管理部及科室，分别是：木垒管理部、奇台管理部、吉木萨尔管理部、阜康管理部、昌吉管理部、呼图壁管理部、玛纳斯管理部、办公室、财务科、资金核算科、综合业务科、宣教科、信息技术科、审计稽核科、法制科、组织人事科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单位编制数</w:t>
      </w:r>
      <w:r>
        <w:rPr>
          <w:rFonts w:ascii="仿宋_GB2312" w:eastAsia="仿宋_GB2312" w:hint="eastAsia"/>
          <w:sz w:val="32"/>
          <w:szCs w:val="32"/>
        </w:rPr>
        <w:t>80</w:t>
      </w:r>
      <w:r>
        <w:rPr>
          <w:rFonts w:ascii="仿宋_GB2312" w:eastAsia="仿宋_GB2312" w:hint="eastAsia"/>
          <w:sz w:val="32"/>
          <w:szCs w:val="32"/>
        </w:rPr>
        <w:t>个，实有人数</w:t>
      </w:r>
      <w:r>
        <w:rPr>
          <w:rFonts w:ascii="仿宋_GB2312" w:eastAsia="仿宋_GB2312" w:hint="eastAsia"/>
          <w:sz w:val="32"/>
          <w:szCs w:val="32"/>
        </w:rPr>
        <w:t>148</w:t>
      </w:r>
      <w:r>
        <w:rPr>
          <w:rFonts w:ascii="仿宋_GB2312" w:eastAsia="仿宋_GB2312" w:hint="eastAsia"/>
          <w:sz w:val="32"/>
          <w:szCs w:val="32"/>
        </w:rPr>
        <w:t>人，其中：在职</w:t>
      </w:r>
      <w:r>
        <w:rPr>
          <w:rFonts w:ascii="仿宋_GB2312" w:eastAsia="仿宋_GB2312" w:hint="eastAsia"/>
          <w:sz w:val="32"/>
          <w:szCs w:val="32"/>
        </w:rPr>
        <w:t>133</w:t>
      </w:r>
      <w:r>
        <w:rPr>
          <w:rFonts w:ascii="仿宋_GB2312" w:eastAsia="仿宋_GB2312" w:hint="eastAsia"/>
          <w:sz w:val="32"/>
          <w:szCs w:val="32"/>
        </w:rPr>
        <w:t>人，较上年增加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人；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退休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人，较上年增加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人；离休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人，较上年无增减变化。</w:t>
      </w:r>
    </w:p>
    <w:p w:rsidR="00BF108C" w:rsidRDefault="00BF108C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BF108C" w:rsidRDefault="00BF108C">
      <w:pPr>
        <w:widowControl/>
        <w:spacing w:line="440" w:lineRule="exact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BF108C" w:rsidRDefault="00BF108C">
      <w:pPr>
        <w:widowControl/>
        <w:spacing w:line="440" w:lineRule="exact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BF108C" w:rsidRDefault="00D46AB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/>
          <w:kern w:val="0"/>
          <w:sz w:val="32"/>
          <w:szCs w:val="32"/>
        </w:rPr>
        <w:t>2022</w:t>
      </w:r>
      <w:r>
        <w:rPr>
          <w:rFonts w:ascii="黑体" w:eastAsia="黑体" w:hAnsi="黑体" w:hint="eastAsia"/>
          <w:kern w:val="0"/>
          <w:sz w:val="32"/>
          <w:szCs w:val="32"/>
        </w:rPr>
        <w:t>年昌吉州住房公积金管理中心预算公开表</w:t>
      </w:r>
    </w:p>
    <w:p w:rsidR="00BF108C" w:rsidRDefault="00D46ABC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1</w:t>
      </w:r>
    </w:p>
    <w:p w:rsidR="00BF108C" w:rsidRDefault="00D46ABC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BF108C" w:rsidRDefault="00D46ABC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编制部门（单位）：昌吉州住房公积金管理中心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BF108C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168.58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87.58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3323.72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108C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</w:tr>
    </w:tbl>
    <w:p w:rsidR="00BF108C" w:rsidRDefault="00BF108C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F108C" w:rsidRDefault="00BF108C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lastRenderedPageBreak/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2</w:t>
      </w:r>
    </w:p>
    <w:p w:rsidR="00BF108C" w:rsidRDefault="00D46ABC">
      <w:pPr>
        <w:widowControl/>
        <w:spacing w:line="440" w:lineRule="exact"/>
        <w:jc w:val="center"/>
        <w:outlineLvl w:val="1"/>
        <w:rPr>
          <w:rFonts w:ascii="方正小标宋_GBK" w:eastAsia="方正小标宋_GBK" w:hAnsi="方正小标宋_GBK" w:cs="方正小标宋_GBK"/>
          <w:bCs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36"/>
          <w:szCs w:val="36"/>
        </w:rPr>
        <w:t>部门（单位）收入总体情况表</w:t>
      </w:r>
    </w:p>
    <w:p w:rsidR="00BF108C" w:rsidRDefault="00BF108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108C" w:rsidRDefault="00D46AB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编制部门（单位）：昌吉州住房公积金管理中心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25"/>
        <w:gridCol w:w="420"/>
        <w:gridCol w:w="495"/>
        <w:gridCol w:w="2025"/>
        <w:gridCol w:w="949"/>
        <w:gridCol w:w="986"/>
        <w:gridCol w:w="573"/>
        <w:gridCol w:w="795"/>
        <w:gridCol w:w="921"/>
        <w:gridCol w:w="660"/>
        <w:gridCol w:w="708"/>
        <w:gridCol w:w="684"/>
      </w:tblGrid>
      <w:tr w:rsidR="00BF108C">
        <w:trPr>
          <w:trHeight w:val="510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:rsidR="00BF108C">
        <w:trPr>
          <w:trHeight w:val="18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事业单位离退休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事业单位医疗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其他行政事业单位医疗支出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3323.72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3323.72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住房改革支出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住房公积金管理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计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lastRenderedPageBreak/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3</w:t>
      </w:r>
    </w:p>
    <w:p w:rsidR="00BF108C" w:rsidRDefault="00D46ABC">
      <w:pPr>
        <w:widowControl/>
        <w:spacing w:line="360" w:lineRule="exact"/>
        <w:jc w:val="center"/>
        <w:outlineLvl w:val="1"/>
        <w:rPr>
          <w:rFonts w:ascii="方正小标宋_GBK" w:eastAsia="方正小标宋_GBK" w:hAnsi="方正小标宋_GBK" w:cs="方正小标宋_GBK"/>
          <w:bCs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36"/>
          <w:szCs w:val="36"/>
        </w:rPr>
        <w:t>部门（单位）支出总体情况表</w:t>
      </w:r>
    </w:p>
    <w:p w:rsidR="00BF108C" w:rsidRDefault="00BF108C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108C" w:rsidRDefault="00D46ABC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昌吉州住房公积金管理中心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705"/>
        <w:gridCol w:w="480"/>
        <w:gridCol w:w="555"/>
        <w:gridCol w:w="2065"/>
        <w:gridCol w:w="1855"/>
        <w:gridCol w:w="1856"/>
        <w:gridCol w:w="1904"/>
      </w:tblGrid>
      <w:tr w:rsidR="00BF108C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BF108C">
        <w:trPr>
          <w:trHeight w:val="480"/>
        </w:trPr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F108C">
        <w:trPr>
          <w:trHeight w:val="5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3323.72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2247.72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2147.33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2147.33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40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3579.88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2503.88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</w:tbl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lastRenderedPageBreak/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4</w:t>
      </w:r>
    </w:p>
    <w:p w:rsidR="00BF108C" w:rsidRDefault="00D46ABC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BF108C" w:rsidRDefault="00D46ABC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编制部门（单位）：昌吉州住房公积金金管理中心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</w:t>
      </w:r>
      <w:r>
        <w:rPr>
          <w:rFonts w:ascii="仿宋_GB2312" w:eastAsia="仿宋_GB2312" w:hAnsi="宋体" w:hint="eastAsia"/>
          <w:kern w:val="0"/>
          <w:szCs w:val="21"/>
        </w:rPr>
        <w:t xml:space="preserve">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9449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36"/>
        <w:gridCol w:w="1199"/>
        <w:gridCol w:w="2295"/>
        <w:gridCol w:w="1170"/>
        <w:gridCol w:w="930"/>
        <w:gridCol w:w="785"/>
        <w:gridCol w:w="1134"/>
      </w:tblGrid>
      <w:tr w:rsidR="00BF108C">
        <w:trPr>
          <w:trHeight w:val="285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BF108C">
        <w:trPr>
          <w:trHeight w:val="365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spacing w:line="200" w:lineRule="exac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BF108C">
        <w:trPr>
          <w:trHeight w:hRule="exact" w:val="347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07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3579.88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3323.72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3323.72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/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jc w:val="right"/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F108C">
        <w:trPr>
          <w:trHeight w:hRule="exact"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3579.88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3579.88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3579.88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lastRenderedPageBreak/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5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579"/>
        <w:gridCol w:w="2348"/>
        <w:gridCol w:w="1684"/>
        <w:gridCol w:w="1842"/>
        <w:gridCol w:w="1701"/>
      </w:tblGrid>
      <w:tr w:rsidR="00BF108C">
        <w:trPr>
          <w:trHeight w:val="45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BF108C">
        <w:trPr>
          <w:trHeight w:val="28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08C" w:rsidRDefault="00D46ABC">
            <w:pPr>
              <w:widowControl/>
              <w:spacing w:beforeLines="50" w:before="120" w:line="280" w:lineRule="exac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编制部门（单位）：昌吉州住房公积金管理中心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单位：万元</w:t>
            </w:r>
          </w:p>
        </w:tc>
      </w:tr>
      <w:tr w:rsidR="00BF108C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BF108C">
        <w:trPr>
          <w:trHeight w:val="465"/>
        </w:trPr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F108C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3323.72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2247.72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2147.33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3223.33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2147.33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3579.88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2503.8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1076</w:t>
            </w:r>
          </w:p>
        </w:tc>
      </w:tr>
    </w:tbl>
    <w:p w:rsidR="00BF108C" w:rsidRDefault="00BF108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F108C" w:rsidRDefault="00BF108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lastRenderedPageBreak/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6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1701"/>
        <w:gridCol w:w="1701"/>
        <w:gridCol w:w="1701"/>
      </w:tblGrid>
      <w:tr w:rsidR="00BF108C">
        <w:trPr>
          <w:trHeight w:val="375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BF108C">
        <w:trPr>
          <w:trHeight w:val="405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08C" w:rsidRDefault="00D46ABC">
            <w:pPr>
              <w:widowControl/>
              <w:spacing w:beforeLines="50" w:before="120" w:line="280" w:lineRule="exac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编制部门（单位）：昌吉州住房公积金管理中心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单位：万元</w:t>
            </w:r>
          </w:p>
        </w:tc>
      </w:tr>
      <w:tr w:rsidR="00BF108C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BF108C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BF108C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2360.28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2360.28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341.16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341.16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79.64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79.64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机关事业单位基本养老保险缴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111.39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66.14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1298.16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1298.16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124.02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8.3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BF108C">
        <w:trPr>
          <w:trHeight w:val="43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维修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护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5.15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租赁费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1.84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13.35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13.35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12.02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20.8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其他交通费用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9.46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9.46</w:t>
            </w: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19.58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19.58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108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2503.88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2379.86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124.02</w:t>
            </w:r>
          </w:p>
        </w:tc>
      </w:tr>
    </w:tbl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lastRenderedPageBreak/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7</w:t>
      </w:r>
    </w:p>
    <w:tbl>
      <w:tblPr>
        <w:tblW w:w="9596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652"/>
        <w:gridCol w:w="480"/>
        <w:gridCol w:w="480"/>
        <w:gridCol w:w="1050"/>
        <w:gridCol w:w="884"/>
        <w:gridCol w:w="750"/>
        <w:gridCol w:w="569"/>
        <w:gridCol w:w="647"/>
        <w:gridCol w:w="541"/>
        <w:gridCol w:w="652"/>
        <w:gridCol w:w="522"/>
        <w:gridCol w:w="419"/>
        <w:gridCol w:w="634"/>
        <w:gridCol w:w="420"/>
        <w:gridCol w:w="420"/>
        <w:gridCol w:w="333"/>
        <w:gridCol w:w="135"/>
      </w:tblGrid>
      <w:tr w:rsidR="00BF108C">
        <w:trPr>
          <w:gridBefore w:val="1"/>
          <w:gridAfter w:val="1"/>
          <w:wBefore w:w="8" w:type="dxa"/>
          <w:wAfter w:w="135" w:type="dxa"/>
          <w:trHeight w:val="375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BF108C">
        <w:trPr>
          <w:gridBefore w:val="1"/>
          <w:gridAfter w:val="1"/>
          <w:wBefore w:w="8" w:type="dxa"/>
          <w:wAfter w:w="135" w:type="dxa"/>
          <w:trHeight w:val="405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08C" w:rsidRDefault="00D46ABC">
            <w:pPr>
              <w:widowControl/>
              <w:spacing w:beforeLines="50" w:before="120" w:line="280" w:lineRule="exact"/>
              <w:outlineLvl w:val="1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编制部门（单位）：昌吉州住房公积金管理中心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                   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单位：万元</w:t>
            </w: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620" w:type="dxa"/>
            <w:gridSpan w:val="4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050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84" w:type="dxa"/>
            <w:vAlign w:val="center"/>
          </w:tcPr>
          <w:p w:rsidR="00BF108C" w:rsidRDefault="00D46ABC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7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41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22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34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65"/>
        </w:trPr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bottom w:val="single" w:sz="4" w:space="0" w:color="auto"/>
            </w:tcBorders>
          </w:tcPr>
          <w:p w:rsidR="00BF108C" w:rsidRDefault="00BF10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住房保障支出</w:t>
            </w:r>
          </w:p>
        </w:tc>
        <w:tc>
          <w:tcPr>
            <w:tcW w:w="884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  <w:tc>
          <w:tcPr>
            <w:tcW w:w="569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47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  <w:tc>
          <w:tcPr>
            <w:tcW w:w="541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城乡社区住宅</w:t>
            </w:r>
          </w:p>
        </w:tc>
        <w:tc>
          <w:tcPr>
            <w:tcW w:w="884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  <w:tc>
          <w:tcPr>
            <w:tcW w:w="569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47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1076</w:t>
            </w:r>
          </w:p>
        </w:tc>
        <w:tc>
          <w:tcPr>
            <w:tcW w:w="541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8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0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住房公积金管理</w:t>
            </w:r>
          </w:p>
        </w:tc>
        <w:tc>
          <w:tcPr>
            <w:tcW w:w="884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住房公积金服务</w:t>
            </w:r>
          </w:p>
        </w:tc>
        <w:tc>
          <w:tcPr>
            <w:tcW w:w="7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569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541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8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8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0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住房公积金管理</w:t>
            </w:r>
          </w:p>
        </w:tc>
        <w:tc>
          <w:tcPr>
            <w:tcW w:w="884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信息化建设</w:t>
            </w:r>
          </w:p>
        </w:tc>
        <w:tc>
          <w:tcPr>
            <w:tcW w:w="750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569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541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7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7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dxa"/>
          </w:tcPr>
          <w:p w:rsidR="00BF108C" w:rsidRDefault="00BF10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47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41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47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41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60" w:type="dxa"/>
            <w:gridSpan w:val="2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计</w:t>
            </w:r>
          </w:p>
        </w:tc>
        <w:tc>
          <w:tcPr>
            <w:tcW w:w="750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1076</w:t>
            </w:r>
          </w:p>
        </w:tc>
        <w:tc>
          <w:tcPr>
            <w:tcW w:w="569" w:type="dxa"/>
            <w:vAlign w:val="center"/>
          </w:tcPr>
          <w:p w:rsidR="00BF108C" w:rsidRDefault="00BF10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47" w:type="dxa"/>
            <w:vAlign w:val="center"/>
          </w:tcPr>
          <w:p w:rsidR="00BF108C" w:rsidRDefault="00D46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1076</w:t>
            </w:r>
          </w:p>
        </w:tc>
        <w:tc>
          <w:tcPr>
            <w:tcW w:w="541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2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34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BF108C" w:rsidRDefault="00BF108C">
            <w:pPr>
              <w:widowControl/>
              <w:jc w:val="righ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</w:tbl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8</w:t>
      </w:r>
    </w:p>
    <w:p w:rsidR="00BF108C" w:rsidRDefault="00D46ABC">
      <w:pPr>
        <w:widowControl/>
        <w:jc w:val="center"/>
        <w:outlineLvl w:val="1"/>
        <w:rPr>
          <w:rFonts w:ascii="方正小标宋_GBK" w:eastAsia="方正小标宋_GBK" w:hAnsi="方正小标宋_GBK" w:cs="方正小标宋_GBK"/>
          <w:bCs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32"/>
          <w:szCs w:val="32"/>
        </w:rPr>
        <w:t>一般公共预算“三公”经费支出情况表</w:t>
      </w:r>
    </w:p>
    <w:p w:rsidR="00BF108C" w:rsidRDefault="00BF108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108C" w:rsidRDefault="00D46ABC">
      <w:pPr>
        <w:widowControl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编制部门（单位）：昌吉州住房公积金管理中心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            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单位：万元</w:t>
      </w:r>
    </w:p>
    <w:p w:rsidR="00BF108C" w:rsidRDefault="00BF108C">
      <w:pPr>
        <w:widowControl/>
        <w:rPr>
          <w:rFonts w:ascii="仿宋_GB2312" w:eastAsia="仿宋_GB2312" w:hAnsi="宋体" w:cs="宋体"/>
          <w:color w:val="000000"/>
          <w:kern w:val="0"/>
          <w:sz w:val="22"/>
          <w:szCs w:val="22"/>
        </w:rPr>
      </w:pP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BF108C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BF108C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108C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2"/>
                <w:lang w:bidi="ar"/>
              </w:rPr>
              <w:t>22.64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2"/>
                <w:lang w:bidi="ar"/>
              </w:rPr>
              <w:t>20.8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bidi="ar"/>
              </w:rPr>
              <w:t>20.8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bidi="ar"/>
              </w:rPr>
              <w:t>1.84</w:t>
            </w:r>
          </w:p>
        </w:tc>
      </w:tr>
      <w:tr w:rsidR="00BF108C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108C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108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108C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BF108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:rsidR="00BF108C" w:rsidRDefault="00D46AB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表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9</w:t>
      </w:r>
    </w:p>
    <w:p w:rsidR="00BF108C" w:rsidRDefault="00D46ABC">
      <w:pPr>
        <w:widowControl/>
        <w:spacing w:line="360" w:lineRule="exact"/>
        <w:jc w:val="center"/>
        <w:outlineLvl w:val="1"/>
        <w:rPr>
          <w:rFonts w:ascii="方正小标宋_GBK" w:eastAsia="方正小标宋_GBK" w:hAnsi="方正小标宋_GBK" w:cs="方正小标宋_GBK" w:hint="eastAsia"/>
          <w:bCs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32"/>
          <w:szCs w:val="32"/>
        </w:rPr>
        <w:lastRenderedPageBreak/>
        <w:t>政府性基金预算支出情况表</w:t>
      </w:r>
    </w:p>
    <w:p w:rsidR="006332E2" w:rsidRDefault="006332E2">
      <w:pPr>
        <w:widowControl/>
        <w:spacing w:line="360" w:lineRule="exact"/>
        <w:jc w:val="center"/>
        <w:outlineLvl w:val="1"/>
        <w:rPr>
          <w:rFonts w:ascii="方正小标宋_GBK" w:eastAsia="方正小标宋_GBK" w:hAnsi="方正小标宋_GBK" w:cs="方正小标宋_GBK"/>
          <w:bCs/>
          <w:kern w:val="0"/>
          <w:sz w:val="32"/>
          <w:szCs w:val="32"/>
        </w:rPr>
      </w:pPr>
    </w:p>
    <w:p w:rsidR="00BF108C" w:rsidRDefault="00D46ABC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编制部门（单位）：昌吉州住房公积金管理中心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BF108C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BF108C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BF108C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108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BF10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08C" w:rsidRDefault="00D46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F108C" w:rsidRDefault="00D46ABC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BF108C" w:rsidRDefault="00BF108C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BF108C">
          <w:footerReference w:type="default" r:id="rId10"/>
          <w:pgSz w:w="11906" w:h="16838"/>
          <w:pgMar w:top="2098" w:right="1531" w:bottom="1984" w:left="1531" w:header="851" w:footer="992" w:gutter="0"/>
          <w:pgNumType w:fmt="numberInDash" w:start="56"/>
          <w:cols w:space="720"/>
          <w:docGrid w:linePitch="312"/>
        </w:sectPr>
      </w:pPr>
    </w:p>
    <w:p w:rsidR="00BF108C" w:rsidRDefault="00D46AB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2022</w:t>
      </w:r>
      <w:r>
        <w:rPr>
          <w:rFonts w:ascii="黑体" w:eastAsia="黑体" w:hAnsi="黑体" w:hint="eastAsia"/>
          <w:kern w:val="0"/>
          <w:sz w:val="32"/>
          <w:szCs w:val="32"/>
        </w:rPr>
        <w:t>年昌吉州住房公积金管理中心</w:t>
      </w:r>
    </w:p>
    <w:p w:rsidR="00BF108C" w:rsidRDefault="00D46AB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BF108C" w:rsidRDefault="00BF108C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kern w:val="0"/>
          <w:sz w:val="32"/>
          <w:szCs w:val="32"/>
        </w:rPr>
        <w:t>一、关于昌吉州住房公积金管理中心</w:t>
      </w:r>
      <w:r>
        <w:rPr>
          <w:rFonts w:ascii="楷体_GB2312" w:eastAsia="楷体_GB2312" w:hAnsi="楷体_GB2312" w:cs="楷体_GB2312" w:hint="eastAsia"/>
          <w:b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kern w:val="0"/>
          <w:sz w:val="32"/>
          <w:szCs w:val="32"/>
        </w:rPr>
        <w:t>年收支预算情况的总体说明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按照全口径预算的原则，昌吉州住房公积金管理中心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支出预算包括：社会保障和就业支出、医疗卫生健康支出、住房保障支出。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二、关于昌吉州住房公积金管理中心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年收入预算情况说明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524.67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17.17%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原因是增加了项目支出住房公积金服务；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三、关昌吉州住房公积金管理中心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年支出预算情况说明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2503.88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69.94%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7.67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，主要原因是增加了职工社保基数。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30.06%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92.49%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，主要原因是增加了项目支出住房公积金服务。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四、关于昌吉州住房公积金管理中心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年财政拨款收支预算情况的总体说明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168.58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万元，主要用于干部职工基本养老保险缴费支出；卫生健康支出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87.58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万元，主要用于干部职工医疗保险、公务员医疗补助等支出。住房保障支出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3323.72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万元，主要用于住房公积金干部职工工资、奖金发放、机关运行经费及住房公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积金服务等项目支出。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五、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关于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昌吉州住房公积金管理中心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年一般公共预算当年拨款情况说明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（一）一般公共预算当年拨款规模变化情况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3579.88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2503.88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7.67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，主要原因是：增加了职工社保基数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1076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517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92.49%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，主要原因是：增加了项目支出住房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公积金服务。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（二）一般公共预算当年拨款结构情况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、住房保障支出</w:t>
      </w:r>
      <w:r>
        <w:rPr>
          <w:rFonts w:ascii="仿宋_GB2312" w:eastAsia="仿宋_GB2312" w:hint="eastAsia"/>
          <w:sz w:val="32"/>
          <w:szCs w:val="32"/>
        </w:rPr>
        <w:t>3323.72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92.84%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Default="00D46ABC">
      <w:pPr>
        <w:numPr>
          <w:ilvl w:val="0"/>
          <w:numId w:val="1"/>
        </w:numPr>
        <w:spacing w:line="560" w:lineRule="exact"/>
        <w:ind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168.58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占一般预算支出的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Pr="006332E2" w:rsidRDefault="00D46ABC">
      <w:pPr>
        <w:spacing w:line="56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、卫生健康支出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87.58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占一般预算支出的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2.45%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Pr="006332E2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 w:rsidRPr="006332E2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（三）一般公共预算当年拨款具体使用情况</w:t>
      </w:r>
    </w:p>
    <w:p w:rsidR="00BF108C" w:rsidRPr="006332E2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住房保障支出（类）住房改革支出（款）住房公积金（项）：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100.39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100.39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Pr="006332E2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住房保障支出（类）城乡社区住宅（款）住房公积金管理（项）：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3223.33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420.82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15.02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增加了项目支出住房公积金服务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Pr="006332E2" w:rsidRDefault="00D46ABC" w:rsidP="006332E2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3.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（类）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行政事业单位养老支出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（款）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事业单位离退休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 w:rsidRPr="006332E2">
        <w:rPr>
          <w:rFonts w:ascii="仿宋_GB2312" w:eastAsia="仿宋_GB2312" w:hAnsi="宋体" w:cs="宋体"/>
          <w:kern w:val="0"/>
          <w:sz w:val="32"/>
          <w:szCs w:val="32"/>
        </w:rPr>
        <w:t>: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1.5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1.5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年州财政统一调整该事项科目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Pr="006332E2" w:rsidRDefault="00D46ABC" w:rsidP="006332E2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4.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（类）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行政事业单位养老支出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（款）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机关事业单位基本养老保险缴费支出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111.39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比上年预算增加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7.45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7.17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调增职工养老保险缴费基数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BF108C" w:rsidRPr="006332E2" w:rsidRDefault="00D46ABC" w:rsidP="006332E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lastRenderedPageBreak/>
        <w:t>5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（类）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行政事业单位养老支出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（款）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机关事业单位职业年金缴费支出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55.69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比上年预算增加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3.72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7.16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调增职工职业年金缴费基数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;</w:t>
      </w:r>
    </w:p>
    <w:p w:rsidR="00BF108C" w:rsidRPr="006332E2" w:rsidRDefault="00D46ABC">
      <w:pPr>
        <w:spacing w:line="560" w:lineRule="exact"/>
        <w:ind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、卫生健康支出（类）行政事业单位医疗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（款）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事业单位医疗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66.14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4.95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降低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6.96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缴费比例降低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</w:t>
      </w:r>
    </w:p>
    <w:p w:rsidR="00BF108C" w:rsidRPr="006332E2" w:rsidRDefault="00D46ABC">
      <w:pPr>
        <w:spacing w:line="560" w:lineRule="exact"/>
        <w:ind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7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卫生健康支出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（类）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行政事业单位医疗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（款）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公务员医疗补助（项）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20.89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1.72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降低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7.61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缴费比例降低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</w:t>
      </w:r>
    </w:p>
    <w:p w:rsidR="00BF108C" w:rsidRPr="006332E2" w:rsidRDefault="00D46ABC">
      <w:pPr>
        <w:spacing w:line="560" w:lineRule="exact"/>
        <w:ind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8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卫生健康支出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（类）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行政事业单位医疗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（款）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其他行政事业单位医疗支出（项）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：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年预算数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0.56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2.53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降低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81.88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Pr="006332E2">
        <w:rPr>
          <w:rFonts w:ascii="仿宋_GB2312" w:eastAsia="仿宋_GB2312" w:hAnsi="宋体" w:cs="宋体" w:hint="eastAsia"/>
          <w:kern w:val="0"/>
          <w:sz w:val="32"/>
          <w:szCs w:val="32"/>
        </w:rPr>
        <w:t>缴费比例降低</w:t>
      </w:r>
      <w:r w:rsidRPr="006332E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六、</w:t>
      </w:r>
      <w:r w:rsidRPr="006332E2"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关于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昌吉州住房公积金管理中心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年一般公共预算基本支出情况说明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2503.88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其中：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2379.86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绩效工资、机关事业单位基本养老保险缴费、职业年金缴费、职工基本医疗保险缴费、公务员医疗补助缴费、其他社会保障缴费、住房公积金、其他工资福利支出、离休费、生活补助、医疗费补助、奖励金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124.02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咨询费、水费、电费、邮电费、取暖费、物业管理费、差旅费、维修（护）费、租赁费、培训费、公务接待费、专用材料费、劳务费、工会经费、福利费、公务用车运行维护费、其他交通费用、其他商品和服务支出等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七、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关于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昌吉州住房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公积金管理中心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spacing w:val="-6"/>
          <w:kern w:val="0"/>
          <w:sz w:val="32"/>
          <w:szCs w:val="32"/>
        </w:rPr>
        <w:t>年一般公共预算项目支出情况说明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1</w:t>
      </w:r>
      <w:r>
        <w:rPr>
          <w:rFonts w:ascii="仿宋_GB2312" w:eastAsia="仿宋_GB2312" w:hAnsi="黑体" w:hint="eastAsia"/>
          <w:b/>
          <w:sz w:val="32"/>
          <w:szCs w:val="32"/>
        </w:rPr>
        <w:t>、项目</w:t>
      </w:r>
      <w:r>
        <w:rPr>
          <w:rFonts w:ascii="仿宋_GB2312" w:eastAsia="仿宋_GB2312" w:hAnsi="黑体"/>
          <w:b/>
          <w:sz w:val="32"/>
          <w:szCs w:val="32"/>
        </w:rPr>
        <w:t>名称</w:t>
      </w:r>
      <w:r>
        <w:rPr>
          <w:rFonts w:ascii="仿宋_GB2312" w:eastAsia="仿宋_GB2312" w:hAnsi="黑体" w:hint="eastAsia"/>
          <w:b/>
          <w:sz w:val="32"/>
          <w:szCs w:val="32"/>
        </w:rPr>
        <w:t>：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住房公积金服务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：《住房公积金财务管理办法》；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：住房公积金管理中心运转类公用经费支出</w:t>
      </w:r>
      <w:r>
        <w:rPr>
          <w:rFonts w:ascii="仿宋_GB2312" w:eastAsia="仿宋_GB2312" w:hAnsi="黑体" w:hint="eastAsia"/>
          <w:sz w:val="32"/>
          <w:szCs w:val="32"/>
        </w:rPr>
        <w:t>716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2</w:t>
      </w:r>
      <w:r>
        <w:rPr>
          <w:rFonts w:ascii="仿宋_GB2312" w:eastAsia="仿宋_GB2312" w:hAnsi="黑体" w:hint="eastAsia"/>
          <w:b/>
          <w:sz w:val="32"/>
          <w:szCs w:val="32"/>
        </w:rPr>
        <w:t>、项目</w:t>
      </w:r>
      <w:r>
        <w:rPr>
          <w:rFonts w:ascii="仿宋_GB2312" w:eastAsia="仿宋_GB2312" w:hAnsi="黑体"/>
          <w:b/>
          <w:sz w:val="32"/>
          <w:szCs w:val="32"/>
        </w:rPr>
        <w:t>名称</w:t>
      </w:r>
      <w:r>
        <w:rPr>
          <w:rFonts w:ascii="仿宋_GB2312" w:eastAsia="仿宋_GB2312" w:hAnsi="黑体" w:hint="eastAsia"/>
          <w:b/>
          <w:sz w:val="32"/>
          <w:szCs w:val="32"/>
        </w:rPr>
        <w:t>：信息化建设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  <w:lang w:val="zh-CN"/>
        </w:rPr>
        <w:t>根据住建部信息化建设相关要求，贯彻《住房公积金管理条例》《政府购买服务管理办法》及“信息多跑路、群众少跑腿”的工作目标，信息化购买服务保障住房公积金业务有序进行，服务缴存职工和缴存职工；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昌吉州住房公积金管理中心；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：业务应用系统维护费用</w:t>
      </w:r>
      <w:r>
        <w:rPr>
          <w:rFonts w:ascii="仿宋_GB2312" w:eastAsia="仿宋_GB2312" w:hAnsi="黑体" w:hint="eastAsia"/>
          <w:sz w:val="32"/>
          <w:szCs w:val="32"/>
        </w:rPr>
        <w:t>322.35</w:t>
      </w:r>
      <w:r>
        <w:rPr>
          <w:rFonts w:ascii="仿宋_GB2312" w:eastAsia="仿宋_GB2312" w:hAnsi="黑体" w:hint="eastAsia"/>
          <w:sz w:val="32"/>
          <w:szCs w:val="32"/>
        </w:rPr>
        <w:t>万元；专线租用费用</w:t>
      </w:r>
      <w:r>
        <w:rPr>
          <w:rFonts w:ascii="仿宋_GB2312" w:eastAsia="仿宋_GB2312" w:hAnsi="黑体" w:hint="eastAsia"/>
          <w:sz w:val="32"/>
          <w:szCs w:val="32"/>
        </w:rPr>
        <w:t>6.4</w:t>
      </w:r>
      <w:r>
        <w:rPr>
          <w:rFonts w:ascii="仿宋_GB2312" w:eastAsia="仿宋_GB2312" w:hAnsi="黑体" w:hint="eastAsia"/>
          <w:sz w:val="32"/>
          <w:szCs w:val="32"/>
        </w:rPr>
        <w:t>万元；人事档案电子化管理系统费用</w:t>
      </w:r>
      <w:r>
        <w:rPr>
          <w:rFonts w:ascii="仿宋_GB2312" w:eastAsia="仿宋_GB2312" w:hAnsi="黑体" w:hint="eastAsia"/>
          <w:sz w:val="32"/>
          <w:szCs w:val="32"/>
        </w:rPr>
        <w:t>6</w:t>
      </w:r>
      <w:r>
        <w:rPr>
          <w:rFonts w:ascii="仿宋_GB2312" w:eastAsia="仿宋_GB2312" w:hAnsi="黑体" w:hint="eastAsia"/>
          <w:sz w:val="32"/>
          <w:szCs w:val="32"/>
        </w:rPr>
        <w:t>万元；会计档案扫描设备购买费用</w:t>
      </w:r>
      <w:r>
        <w:rPr>
          <w:rFonts w:ascii="仿宋_GB2312" w:eastAsia="仿宋_GB2312" w:hAnsi="黑体" w:hint="eastAsia"/>
          <w:sz w:val="32"/>
          <w:szCs w:val="32"/>
        </w:rPr>
        <w:t>5.25</w:t>
      </w:r>
      <w:r>
        <w:rPr>
          <w:rFonts w:ascii="仿宋_GB2312" w:eastAsia="仿宋_GB2312" w:hAnsi="黑体" w:hint="eastAsia"/>
          <w:sz w:val="32"/>
          <w:szCs w:val="32"/>
        </w:rPr>
        <w:t>万元；固定资产条码化服务费用</w:t>
      </w:r>
      <w:r>
        <w:rPr>
          <w:rFonts w:ascii="仿宋_GB2312" w:eastAsia="仿宋_GB2312" w:hAnsi="黑体" w:hint="eastAsia"/>
          <w:sz w:val="32"/>
          <w:szCs w:val="32"/>
        </w:rPr>
        <w:t>20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八、关于昌吉州住房公积金管理中心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年一般公共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lastRenderedPageBreak/>
        <w:t>预算“三公”经费预算情况说明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1.16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4.87%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hint="eastAsia"/>
          <w:sz w:val="32"/>
          <w:szCs w:val="32"/>
        </w:rPr>
        <w:t>我单位严格执行中央八项规定和自治区十条规定及实施细则，压减因公出国（境）经费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万元，主要原因是未安排预算；公务用车运行费减少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>
        <w:rPr>
          <w:rFonts w:ascii="仿宋_GB2312" w:eastAsia="仿宋_GB2312" w:hAnsi="Tahoma" w:cs="Tahoma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公务用车</w:t>
      </w:r>
      <w:r>
        <w:rPr>
          <w:rFonts w:ascii="仿宋_GB2312" w:eastAsia="仿宋_GB2312" w:hint="eastAsia"/>
          <w:sz w:val="32"/>
          <w:szCs w:val="32"/>
        </w:rPr>
        <w:t>实行统一管理、调度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合并使用，不设专车，派车由办公室出具派车单，</w:t>
      </w:r>
      <w:r>
        <w:rPr>
          <w:rFonts w:ascii="仿宋_GB2312" w:eastAsia="仿宋_GB2312" w:hAnsi="Tahoma" w:cs="Tahoma" w:hint="eastAsia"/>
          <w:sz w:val="32"/>
          <w:szCs w:val="32"/>
        </w:rPr>
        <w:t>尽量乘用公共交通工具，坚决杜绝节假日及八小时以外使用，同时进行封存停驶。进一步健全完善公务用车管理使用制度，车辆用油实行一车一卡管理，</w:t>
      </w:r>
      <w:r>
        <w:rPr>
          <w:rFonts w:ascii="仿宋_GB2312" w:eastAsia="仿宋_GB2312" w:hAnsi="Tahoma" w:cs="Tahoma" w:hint="eastAsia"/>
          <w:sz w:val="32"/>
          <w:szCs w:val="32"/>
        </w:rPr>
        <w:t>公务用车保险、维修、加油实行政府集中采购，采用银行转账或者公务卡方式结算，提</w:t>
      </w:r>
      <w:r>
        <w:rPr>
          <w:rFonts w:ascii="仿宋_GB2312" w:eastAsia="仿宋_GB2312" w:hint="eastAsia"/>
          <w:sz w:val="32"/>
          <w:szCs w:val="32"/>
        </w:rPr>
        <w:t>高用车效率，降低车辆运行成本，提高公务支出透明度；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36.55%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，主要原因是按出具的公函进行接待，</w:t>
      </w:r>
      <w:r>
        <w:rPr>
          <w:rFonts w:ascii="仿宋_GB2312" w:eastAsia="仿宋_GB2312" w:hAnsi="Tahoma" w:cs="Tahoma" w:hint="eastAsia"/>
          <w:sz w:val="32"/>
          <w:szCs w:val="32"/>
        </w:rPr>
        <w:t>严格执行工作餐标准</w:t>
      </w:r>
      <w:r>
        <w:rPr>
          <w:rFonts w:ascii="仿宋_GB2312" w:eastAsia="仿宋_GB2312" w:hAnsi="宋体" w:hint="eastAsia"/>
          <w:sz w:val="32"/>
          <w:szCs w:val="32"/>
        </w:rPr>
        <w:t>，倡导光盘行动，</w:t>
      </w:r>
      <w:r>
        <w:rPr>
          <w:rFonts w:ascii="仿宋_GB2312" w:eastAsia="仿宋_GB2312" w:hAnsi="Tahoma" w:cs="Tahoma" w:hint="eastAsia"/>
          <w:sz w:val="32"/>
          <w:szCs w:val="32"/>
        </w:rPr>
        <w:t>坚决杜绝奢侈浪费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九、关于昌吉州住房公积金管理中心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年政府性基金预算拨款情况说明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年没有使用政府性基金预算拨款安排的支出，政府性基金预算支出情况表为空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表。</w:t>
      </w:r>
    </w:p>
    <w:p w:rsidR="00BF108C" w:rsidRDefault="00D46ABC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  <w:t>十、其他重要事项的情况说明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（一）机关运行经费情况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机关运行经费财政拨款预算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124.02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313.75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71.67%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。主要原因是部分运转类经费通过运转类项目予以保障。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（二）政府采购情况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324.32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68.72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200.6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</w:rPr>
        <w:t>2022</w:t>
      </w:r>
      <w:r>
        <w:rPr>
          <w:rFonts w:ascii="仿宋_GB2312" w:eastAsia="仿宋_GB2312" w:hAnsi="仿宋_GB2312" w:cs="仿宋_GB2312" w:hint="eastAsia"/>
          <w:sz w:val="32"/>
        </w:rPr>
        <w:t>年度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sz w:val="32"/>
        </w:rPr>
        <w:t>面向中小企业预留政府采购项目预算金额</w:t>
      </w:r>
      <w:r>
        <w:rPr>
          <w:rFonts w:ascii="仿宋_GB2312" w:eastAsia="仿宋_GB2312" w:hAnsi="仿宋_GB2312" w:cs="仿宋_GB2312" w:hint="eastAsia"/>
          <w:sz w:val="32"/>
        </w:rPr>
        <w:t>324.32</w:t>
      </w:r>
      <w:r>
        <w:rPr>
          <w:rFonts w:ascii="仿宋_GB2312" w:eastAsia="仿宋_GB2312" w:hAnsi="仿宋_GB2312" w:cs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 w:cs="仿宋_GB2312" w:hint="eastAsia"/>
          <w:sz w:val="32"/>
        </w:rPr>
        <w:t>0</w:t>
      </w:r>
      <w:r>
        <w:rPr>
          <w:rFonts w:ascii="仿宋_GB2312" w:eastAsia="仿宋_GB2312" w:hAnsi="仿宋_GB2312" w:cs="仿宋_GB2312" w:hint="eastAsia"/>
          <w:sz w:val="32"/>
        </w:rPr>
        <w:t>万元。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（三）国有资产占用使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用情况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截至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占用使用国有资产总体情况为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房屋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13656.54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4594.79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车辆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216.41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216.41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165.15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1067.46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100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台（套）。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预算未安排购置车辆经费，安排购置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万元以上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大型设备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台（套）。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（四）预算绩效情况</w:t>
      </w:r>
    </w:p>
    <w:p w:rsidR="00BF108C" w:rsidRDefault="00D46AB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年，本年度预算绩效管理的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eastAsia="zh-Hans"/>
        </w:rPr>
        <w:t>财政拨款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项目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1076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万元。具体情况见下表（按项目分别填报）：</w:t>
      </w: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1342"/>
        <w:gridCol w:w="38"/>
        <w:gridCol w:w="906"/>
        <w:gridCol w:w="1476"/>
        <w:gridCol w:w="1039"/>
        <w:gridCol w:w="1481"/>
        <w:gridCol w:w="1183"/>
      </w:tblGrid>
      <w:tr w:rsidR="00BF108C">
        <w:trPr>
          <w:trHeight w:val="327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BF108C" w:rsidRDefault="00BF108C">
            <w:pPr>
              <w:widowControl/>
              <w:spacing w:line="480" w:lineRule="exac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BF108C" w:rsidRDefault="00D46ABC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绩效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  <w:p w:rsidR="00BF108C" w:rsidRDefault="00D46ABC">
            <w:pPr>
              <w:widowControl/>
              <w:spacing w:line="480" w:lineRule="exac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BF108C">
        <w:trPr>
          <w:trHeight w:val="50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lastRenderedPageBreak/>
              <w:t>预算单位</w:t>
            </w:r>
          </w:p>
        </w:tc>
        <w:tc>
          <w:tcPr>
            <w:tcW w:w="3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昌吉州住房公积金管理中心本级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住房公积金服务</w:t>
            </w:r>
          </w:p>
        </w:tc>
      </w:tr>
      <w:tr w:rsidR="00BF108C">
        <w:trPr>
          <w:trHeight w:val="54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ind w:firstLineChars="100" w:firstLine="18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ind w:firstLineChars="100" w:firstLine="18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1547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BF108C" w:rsidRDefault="00D46ABC">
            <w:pPr>
              <w:spacing w:line="24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在编人员、聘用人员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137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人；住房公积金政策宣传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次；购买人员服务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次；办公楼物业服务次数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次；合同档案印刷册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册；执法及两项群众工作车辆租用次数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次；购买办公用品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批；政务大厅统一服装套数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套；办公场所修缮件数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件；工会经费及食堂补助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次；律师顾问费案件、代理费件数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件；交流干部租房费用政策宣传费、人员经费和执法车辆租用费到位，扩大住房公积金金覆盖面，保障职工合法权益实现。目标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：办公经费及律师费及时充足，积极落实逾期贷款催收措施，降低逾期率，防范风险。</w:t>
            </w:r>
          </w:p>
        </w:tc>
      </w:tr>
      <w:tr w:rsidR="00BF108C">
        <w:trPr>
          <w:trHeight w:val="48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BF108C">
        <w:trPr>
          <w:trHeight w:val="48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产出指标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在编人员、聘用人员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=137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住房公积金政策宣传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购买人员服务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=80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办公楼物业服务次数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=40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合同档案印刷册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=25000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册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执法及两项群众工作车辆租用次数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购买办公用品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=40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批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政务大厅统一服装套数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=150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套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办公场所修缮件数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</w:t>
            </w:r>
          </w:p>
        </w:tc>
      </w:tr>
      <w:tr w:rsidR="00BF108C">
        <w:trPr>
          <w:trHeight w:val="48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工会经费及食堂补助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律师顾问费案件、代理费件数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件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交流干部租房费用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套</w:t>
            </w:r>
          </w:p>
        </w:tc>
      </w:tr>
      <w:tr w:rsidR="00BF108C">
        <w:trPr>
          <w:trHeight w:val="422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各项工作完成率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&gt;=95%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支付及时率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&gt;=90%</w:t>
            </w:r>
          </w:p>
        </w:tc>
      </w:tr>
      <w:tr w:rsidR="00BF108C">
        <w:trPr>
          <w:trHeight w:val="9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按时开展各类工作时间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日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保障办公人员费用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&lt;=282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党建、政策宣传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&lt;=65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购买服务费用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&lt;=31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物业费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&lt;=40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取暖费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工会经费、食堂补助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&lt;=85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租车费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=30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交流干部租房费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&lt;=13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律师顾问费案件代理费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&lt;=80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办公楼修缮费用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&lt;=55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3"/>
        </w:trPr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服装、办公桌椅费用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&lt;=18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效益指标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经济效益指标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实现增值收益费用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=16000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社会效益指标</w:t>
            </w: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生态效益指标</w:t>
            </w: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可持续影响指标</w:t>
            </w: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保障职工合法权益实现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长期有效</w:t>
            </w:r>
          </w:p>
        </w:tc>
      </w:tr>
      <w:tr w:rsidR="00BF108C">
        <w:trPr>
          <w:trHeight w:val="44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客户满意度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&gt;=90%</w:t>
            </w:r>
          </w:p>
        </w:tc>
      </w:tr>
    </w:tbl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</w:pPr>
    </w:p>
    <w:p w:rsidR="006332E2" w:rsidRDefault="006332E2">
      <w:pPr>
        <w:spacing w:line="600" w:lineRule="exact"/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</w:pPr>
    </w:p>
    <w:p w:rsidR="006332E2" w:rsidRDefault="006332E2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BF108C">
      <w:pPr>
        <w:spacing w:line="600" w:lineRule="exact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1252"/>
        <w:gridCol w:w="128"/>
        <w:gridCol w:w="906"/>
        <w:gridCol w:w="1476"/>
        <w:gridCol w:w="1039"/>
        <w:gridCol w:w="1481"/>
        <w:gridCol w:w="1183"/>
      </w:tblGrid>
      <w:tr w:rsidR="00BF108C">
        <w:trPr>
          <w:trHeight w:val="327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BF108C" w:rsidRDefault="00D46ABC">
            <w:pPr>
              <w:widowControl/>
              <w:spacing w:line="480" w:lineRule="exact"/>
              <w:ind w:firstLineChars="500" w:firstLine="1606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BF108C">
        <w:trPr>
          <w:trHeight w:val="327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BF108C" w:rsidRDefault="00D46ABC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BF108C">
        <w:trPr>
          <w:trHeight w:val="50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昌吉州住房公积金管理中心本级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信息化建设</w:t>
            </w:r>
          </w:p>
        </w:tc>
      </w:tr>
      <w:tr w:rsidR="00BF108C">
        <w:trPr>
          <w:trHeight w:val="54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65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BF108C" w:rsidRDefault="00BF108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8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BF108C">
        <w:trPr>
          <w:trHeight w:val="44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业务应用系统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套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专线租用条数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条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人事档案电子化管理系统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套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会计档案扫描设备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套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固定资产条码化、信息化建设服务次数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设备采购合格率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=100%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采购设备完成及时率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&gt;=95%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业务应用系统维护费用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&lt;=322.35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专线租用费用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&lt;=6.40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人事档案电子化管理系统费用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&lt;=6.00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会计档案扫描设备购买费用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&lt;=5.25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固定资产条码化服务费用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&lt;=20.00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F108C">
        <w:trPr>
          <w:trHeight w:val="44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实现信息多跑路，群众少跑腿工作目标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效果明显</w:t>
            </w: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F108C">
        <w:trPr>
          <w:trHeight w:val="4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BF10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系统正常使用年限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&gt;=3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</w:p>
        </w:tc>
      </w:tr>
      <w:tr w:rsidR="00BF108C">
        <w:trPr>
          <w:trHeight w:val="44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缴存职工满意度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108C" w:rsidRDefault="00D46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&gt;=95%</w:t>
            </w:r>
          </w:p>
        </w:tc>
      </w:tr>
    </w:tbl>
    <w:p w:rsidR="00BF108C" w:rsidRDefault="00BF108C">
      <w:pPr>
        <w:spacing w:line="600" w:lineRule="exact"/>
        <w:ind w:firstLineChars="196" w:firstLine="630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BF108C" w:rsidRDefault="00D46ABC">
      <w:pPr>
        <w:spacing w:line="600" w:lineRule="exact"/>
        <w:ind w:firstLineChars="196" w:firstLine="63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lastRenderedPageBreak/>
        <w:t>（五）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他需说明的事项</w:t>
      </w:r>
    </w:p>
    <w:p w:rsidR="00BF108C" w:rsidRDefault="00D46ABC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BF108C" w:rsidRDefault="00BF108C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BF108C" w:rsidRDefault="00D46AB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BF108C" w:rsidRDefault="00BF108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指由一般公共预算、政府性基金预算、国有资本经营预算安排的财政拨款数。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pacing w:val="-17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四、其他资金：</w:t>
      </w:r>
      <w:r>
        <w:rPr>
          <w:rFonts w:ascii="仿宋_GB2312" w:eastAsia="仿宋_GB2312" w:hint="eastAsia"/>
          <w:spacing w:val="-17"/>
          <w:sz w:val="32"/>
          <w:szCs w:val="32"/>
        </w:rPr>
        <w:t>包括事业收入、事业经营收入、其他收入等。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包括人员经费、公用经费（定额）。其中，人员经费包括工资福利支出、对个人和家庭的补助。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pacing w:val="-6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ascii="仿宋_GB2312" w:eastAsia="仿宋_GB2312" w:hint="eastAsia"/>
          <w:spacing w:val="-11"/>
          <w:sz w:val="32"/>
          <w:szCs w:val="32"/>
        </w:rPr>
        <w:t>务接待费指单位按规定开支的各类公务接待（含外宾</w:t>
      </w:r>
      <w:r>
        <w:rPr>
          <w:rFonts w:ascii="仿宋_GB2312" w:eastAsia="仿宋_GB2312" w:hint="eastAsia"/>
          <w:spacing w:val="-11"/>
          <w:sz w:val="32"/>
          <w:szCs w:val="32"/>
        </w:rPr>
        <w:lastRenderedPageBreak/>
        <w:t>接待）支出。</w:t>
      </w:r>
    </w:p>
    <w:p w:rsidR="00BF108C" w:rsidRDefault="00D46ABC">
      <w:pPr>
        <w:spacing w:line="560" w:lineRule="exact"/>
        <w:ind w:firstLineChars="200" w:firstLine="643"/>
        <w:rPr>
          <w:rFonts w:ascii="仿宋_GB2312" w:eastAsia="仿宋_GB2312"/>
          <w:spacing w:val="-11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ascii="仿宋_GB2312" w:eastAsia="仿宋_GB2312" w:hint="eastAsia"/>
          <w:spacing w:val="-11"/>
          <w:sz w:val="32"/>
          <w:szCs w:val="32"/>
        </w:rPr>
        <w:t>取暖费、办公用房物业管理费、公务用车运行维护费及其他费用。</w:t>
      </w:r>
      <w:bookmarkStart w:id="0" w:name="_GoBack"/>
      <w:bookmarkEnd w:id="0"/>
    </w:p>
    <w:p w:rsidR="00BF108C" w:rsidRDefault="00BF10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BF108C" w:rsidRDefault="00D46ABC">
      <w:pPr>
        <w:spacing w:line="560" w:lineRule="exact"/>
        <w:ind w:leftChars="304" w:left="4478" w:hangingChars="1200" w:hanging="38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</w:t>
      </w:r>
    </w:p>
    <w:p w:rsidR="00BF108C" w:rsidRDefault="00D46ABC">
      <w:pPr>
        <w:spacing w:line="560" w:lineRule="exact"/>
        <w:ind w:leftChars="1900" w:left="4470" w:hangingChars="150" w:hanging="4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昌吉州住房公积金管理中心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</w:t>
      </w:r>
    </w:p>
    <w:p w:rsidR="00BF108C" w:rsidRDefault="00D46ABC">
      <w:pPr>
        <w:spacing w:line="560" w:lineRule="exact"/>
        <w:ind w:leftChars="2128" w:left="4469"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2022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BF108C" w:rsidRDefault="00BF108C"/>
    <w:sectPr w:rsidR="00BF1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BC" w:rsidRDefault="00D46ABC">
      <w:r>
        <w:separator/>
      </w:r>
    </w:p>
  </w:endnote>
  <w:endnote w:type="continuationSeparator" w:id="0">
    <w:p w:rsidR="00D46ABC" w:rsidRDefault="00D4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8C" w:rsidRDefault="00D46ABC">
    <w:pPr>
      <w:pStyle w:val="a4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F108C" w:rsidRDefault="00D46ABC">
                          <w:pPr>
                            <w:pStyle w:val="a4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332E2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-9.15pt;margin-top:0;width:42.05pt;height:18.15pt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" filled="f" stroked="f">
              <v:textbox style="mso-fit-shape-to-text:t" inset="0,0,0,0">
                <w:txbxContent>
                  <w:p w:rsidR="00BF108C" w:rsidRDefault="00D46ABC">
                    <w:pPr>
                      <w:pStyle w:val="a4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332E2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F108C" w:rsidRDefault="00BF108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8C" w:rsidRDefault="00D46ABC">
    <w:pPr>
      <w:pStyle w:val="a4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F108C" w:rsidRDefault="00D46AB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332E2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- 60 -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-9.15pt;margin-top:0;width:42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" filled="f" stroked="f" strokeweight=".5pt">
              <v:textbox style="mso-fit-shape-to-text:t" inset="0,0,0,0">
                <w:txbxContent>
                  <w:p w:rsidR="00BF108C" w:rsidRDefault="00D46AB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332E2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- 60 -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F108C" w:rsidRDefault="00BF10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BC" w:rsidRDefault="00D46ABC">
      <w:r>
        <w:separator/>
      </w:r>
    </w:p>
  </w:footnote>
  <w:footnote w:type="continuationSeparator" w:id="0">
    <w:p w:rsidR="00D46ABC" w:rsidRDefault="00D46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50E05"/>
    <w:multiLevelType w:val="singleLevel"/>
    <w:tmpl w:val="43E50E05"/>
    <w:lvl w:ilvl="0">
      <w:start w:val="2"/>
      <w:numFmt w:val="decimal"/>
      <w:suff w:val="nothing"/>
      <w:lvlText w:val="%1、"/>
      <w:lvlJc w:val="left"/>
      <w:pPr>
        <w:ind w:left="1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26C48"/>
    <w:rsid w:val="002E5250"/>
    <w:rsid w:val="003923D8"/>
    <w:rsid w:val="004265FD"/>
    <w:rsid w:val="00432BE1"/>
    <w:rsid w:val="004662CB"/>
    <w:rsid w:val="0047118F"/>
    <w:rsid w:val="004D477F"/>
    <w:rsid w:val="004D57A5"/>
    <w:rsid w:val="00523444"/>
    <w:rsid w:val="00527F6E"/>
    <w:rsid w:val="00540D38"/>
    <w:rsid w:val="00573D15"/>
    <w:rsid w:val="0059437A"/>
    <w:rsid w:val="005D2F21"/>
    <w:rsid w:val="006332E2"/>
    <w:rsid w:val="006A5818"/>
    <w:rsid w:val="008C725C"/>
    <w:rsid w:val="0090107A"/>
    <w:rsid w:val="00944B81"/>
    <w:rsid w:val="00AF3F7E"/>
    <w:rsid w:val="00B141E5"/>
    <w:rsid w:val="00B23720"/>
    <w:rsid w:val="00B9262A"/>
    <w:rsid w:val="00BB38BC"/>
    <w:rsid w:val="00BF108C"/>
    <w:rsid w:val="00C12D75"/>
    <w:rsid w:val="00CE4C77"/>
    <w:rsid w:val="00D46ABC"/>
    <w:rsid w:val="00D85033"/>
    <w:rsid w:val="00DB7683"/>
    <w:rsid w:val="00F00BC5"/>
    <w:rsid w:val="00F91EEB"/>
    <w:rsid w:val="021E6E5B"/>
    <w:rsid w:val="02610E44"/>
    <w:rsid w:val="02B23843"/>
    <w:rsid w:val="034D135B"/>
    <w:rsid w:val="042C3268"/>
    <w:rsid w:val="04F76B38"/>
    <w:rsid w:val="05D67AF3"/>
    <w:rsid w:val="06541B05"/>
    <w:rsid w:val="069B0DB4"/>
    <w:rsid w:val="09EF1087"/>
    <w:rsid w:val="0A8B6057"/>
    <w:rsid w:val="0B7671C9"/>
    <w:rsid w:val="10062D97"/>
    <w:rsid w:val="142F6614"/>
    <w:rsid w:val="143E6C51"/>
    <w:rsid w:val="173A6218"/>
    <w:rsid w:val="18E532D4"/>
    <w:rsid w:val="192B73A6"/>
    <w:rsid w:val="1DAB047A"/>
    <w:rsid w:val="219A0671"/>
    <w:rsid w:val="253C39CC"/>
    <w:rsid w:val="25566C12"/>
    <w:rsid w:val="264F4DE1"/>
    <w:rsid w:val="276B2385"/>
    <w:rsid w:val="27C1653C"/>
    <w:rsid w:val="28994EF4"/>
    <w:rsid w:val="28B65555"/>
    <w:rsid w:val="29424DD6"/>
    <w:rsid w:val="2A46233A"/>
    <w:rsid w:val="2B3468A3"/>
    <w:rsid w:val="2C065C4E"/>
    <w:rsid w:val="2DC9229C"/>
    <w:rsid w:val="316E66FB"/>
    <w:rsid w:val="32F90FEF"/>
    <w:rsid w:val="33B95F7C"/>
    <w:rsid w:val="33DD5D1C"/>
    <w:rsid w:val="340F38CF"/>
    <w:rsid w:val="355058B7"/>
    <w:rsid w:val="366F7B33"/>
    <w:rsid w:val="37300802"/>
    <w:rsid w:val="38DF1C6F"/>
    <w:rsid w:val="39DB2DF4"/>
    <w:rsid w:val="3D6D5DF5"/>
    <w:rsid w:val="3DBB2349"/>
    <w:rsid w:val="3EE223BF"/>
    <w:rsid w:val="3F790C62"/>
    <w:rsid w:val="40A91D05"/>
    <w:rsid w:val="41D1614A"/>
    <w:rsid w:val="43040427"/>
    <w:rsid w:val="44905E3D"/>
    <w:rsid w:val="468D41D1"/>
    <w:rsid w:val="4A121D1F"/>
    <w:rsid w:val="4C3E6B11"/>
    <w:rsid w:val="4C727D09"/>
    <w:rsid w:val="4DD72A9F"/>
    <w:rsid w:val="4DE932CF"/>
    <w:rsid w:val="4E53109D"/>
    <w:rsid w:val="4ECA7FFF"/>
    <w:rsid w:val="4F8F5FF7"/>
    <w:rsid w:val="4FFF670F"/>
    <w:rsid w:val="504974F4"/>
    <w:rsid w:val="511C7C7C"/>
    <w:rsid w:val="512C6F3C"/>
    <w:rsid w:val="52FA75B8"/>
    <w:rsid w:val="55DD5E04"/>
    <w:rsid w:val="56A25747"/>
    <w:rsid w:val="56F228D0"/>
    <w:rsid w:val="58910C80"/>
    <w:rsid w:val="5ACA4A24"/>
    <w:rsid w:val="5C0274AB"/>
    <w:rsid w:val="5E0667D1"/>
    <w:rsid w:val="61DB652B"/>
    <w:rsid w:val="62FD3594"/>
    <w:rsid w:val="64924707"/>
    <w:rsid w:val="664375E7"/>
    <w:rsid w:val="67540DE7"/>
    <w:rsid w:val="6C9E297D"/>
    <w:rsid w:val="6D486027"/>
    <w:rsid w:val="6FF22FB8"/>
    <w:rsid w:val="7115169E"/>
    <w:rsid w:val="722D50E3"/>
    <w:rsid w:val="73D07491"/>
    <w:rsid w:val="74C0172F"/>
    <w:rsid w:val="74CF2D95"/>
    <w:rsid w:val="752F008F"/>
    <w:rsid w:val="75817EED"/>
    <w:rsid w:val="75A54C9A"/>
    <w:rsid w:val="76B02ABD"/>
    <w:rsid w:val="76C07C77"/>
    <w:rsid w:val="779F4144"/>
    <w:rsid w:val="77F27CFD"/>
    <w:rsid w:val="79D6169C"/>
    <w:rsid w:val="7A3C38A5"/>
    <w:rsid w:val="7BDE5445"/>
    <w:rsid w:val="7CC30BA4"/>
    <w:rsid w:val="7D857E87"/>
    <w:rsid w:val="7F2A129E"/>
    <w:rsid w:val="7F36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pPr>
      <w:ind w:left="1277"/>
      <w:outlineLvl w:val="1"/>
    </w:pPr>
    <w:rPr>
      <w:rFonts w:ascii="仿宋_GB2312" w:eastAsia="仿宋_GB2312" w:hAnsi="仿宋_GB2312" w:cs="仿宋_GB2312"/>
      <w:b/>
      <w:bCs/>
      <w:sz w:val="32"/>
      <w:szCs w:val="3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方正仿宋_GBK" w:eastAsia="方正仿宋_GBK" w:hAnsi="方正仿宋_GBK" w:cs="方正仿宋_GBK"/>
      <w:sz w:val="32"/>
      <w:szCs w:val="32"/>
      <w:lang w:val="zh-CN" w:bidi="zh-CN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qFormat/>
    <w:rPr>
      <w:rFonts w:ascii="仿宋_GB2312" w:eastAsia="仿宋_GB2312" w:hAnsi="仿宋_GB2312" w:cs="仿宋_GB2312"/>
      <w:b/>
      <w:bCs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qFormat/>
    <w:rPr>
      <w:rFonts w:ascii="方正仿宋_GBK" w:eastAsia="方正仿宋_GBK" w:hAnsi="方正仿宋_GBK" w:cs="方正仿宋_GBK"/>
      <w:sz w:val="32"/>
      <w:szCs w:val="32"/>
      <w:lang w:val="zh-CN" w:bidi="zh-CN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pPr>
      <w:ind w:left="1277"/>
      <w:outlineLvl w:val="1"/>
    </w:pPr>
    <w:rPr>
      <w:rFonts w:ascii="仿宋_GB2312" w:eastAsia="仿宋_GB2312" w:hAnsi="仿宋_GB2312" w:cs="仿宋_GB2312"/>
      <w:b/>
      <w:bCs/>
      <w:sz w:val="32"/>
      <w:szCs w:val="3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方正仿宋_GBK" w:eastAsia="方正仿宋_GBK" w:hAnsi="方正仿宋_GBK" w:cs="方正仿宋_GBK"/>
      <w:sz w:val="32"/>
      <w:szCs w:val="32"/>
      <w:lang w:val="zh-CN" w:bidi="zh-CN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qFormat/>
    <w:rPr>
      <w:rFonts w:ascii="仿宋_GB2312" w:eastAsia="仿宋_GB2312" w:hAnsi="仿宋_GB2312" w:cs="仿宋_GB2312"/>
      <w:b/>
      <w:bCs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qFormat/>
    <w:rPr>
      <w:rFonts w:ascii="方正仿宋_GBK" w:eastAsia="方正仿宋_GBK" w:hAnsi="方正仿宋_GBK" w:cs="方正仿宋_GBK"/>
      <w:sz w:val="32"/>
      <w:szCs w:val="32"/>
      <w:lang w:val="zh-CN" w:bidi="zh-CN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1971</Words>
  <Characters>11241</Characters>
  <Application>Microsoft Office Word</Application>
  <DocSecurity>0</DocSecurity>
  <Lines>93</Lines>
  <Paragraphs>26</Paragraphs>
  <ScaleCrop>false</ScaleCrop>
  <Company>Lenovo</Company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闫超</cp:lastModifiedBy>
  <cp:revision>17</cp:revision>
  <cp:lastPrinted>2022-04-06T08:01:00Z</cp:lastPrinted>
  <dcterms:created xsi:type="dcterms:W3CDTF">2022-02-11T11:16:00Z</dcterms:created>
  <dcterms:modified xsi:type="dcterms:W3CDTF">2022-04-06T11:08:00Z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