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昌吉回族自治州农村合作经济经营管理局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昌吉回族自治州农村合作经济经营管理局单位概况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一、关于昌吉回族自治州农村合作经济经营管理局2021年收支预算情况的总体说明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二、关于昌吉回族自治州农村合作经济经营管理局2021年收入预算情况说明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三、关于昌吉回族自治州农村合作经济经营管理局2021年支出预算情况说明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昌吉回族自治州农村合作经济经营管理局2021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五、关于昌吉回族自治州农村合作经济经营管理局2021年一般公共预算当年拨款情况说明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六、关于昌吉回族自治州农村合作经济经营管理局2021年一般公共预算基本支出情况说明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七、关于昌吉回族自治州农村合作经济经营管理局2021年项目支出情况说明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八、关于昌吉回族自治州农村合作经济经营管理局2021年一般公共预算“三公”经费预算情况说明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九、关于昌吉回族自治州农村合作经济经营管理局2021年政府性基金预算拨款情况说明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第一部分昌吉回族自治州农村合作经济经营管理局单位概况</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20" w:lineRule="exact"/>
        <w:ind w:firstLine="640" w:firstLineChars="200"/>
        <w:rPr>
          <w:rFonts w:ascii="仿宋_GB2312" w:hAnsi="宋体" w:eastAsia="仿宋_GB2312" w:cs="宋体"/>
          <w:bCs/>
          <w:kern w:val="0"/>
          <w:sz w:val="32"/>
          <w:szCs w:val="32"/>
        </w:rPr>
      </w:pPr>
      <w:r>
        <w:rPr>
          <w:rFonts w:hint="eastAsia" w:ascii="仿宋_GB2312" w:eastAsia="仿宋_GB2312"/>
          <w:sz w:val="32"/>
          <w:szCs w:val="32"/>
        </w:rPr>
        <w:t>根据国家法律法规和中央、自治区有关文件的规定，农经系统具有以下主要职能：</w:t>
      </w:r>
      <w:r>
        <w:rPr>
          <w:rFonts w:ascii="仿宋_GB2312" w:eastAsia="仿宋_GB2312"/>
          <w:sz w:val="32"/>
          <w:szCs w:val="32"/>
        </w:rPr>
        <w:t>1</w:t>
      </w:r>
      <w:r>
        <w:rPr>
          <w:rFonts w:hint="eastAsia" w:ascii="仿宋_GB2312" w:eastAsia="仿宋_GB2312"/>
          <w:sz w:val="32"/>
          <w:szCs w:val="32"/>
        </w:rPr>
        <w:t>、负责农村土地承包管理，指导农村家庭联产制和统分结合的双层经营体制的稳定和完善：</w:t>
      </w:r>
      <w:r>
        <w:rPr>
          <w:rFonts w:ascii="仿宋_GB2312" w:eastAsia="仿宋_GB2312"/>
          <w:sz w:val="32"/>
          <w:szCs w:val="32"/>
        </w:rPr>
        <w:t>2</w:t>
      </w:r>
      <w:r>
        <w:rPr>
          <w:rFonts w:hint="eastAsia" w:ascii="仿宋_GB2312" w:eastAsia="仿宋_GB2312"/>
          <w:sz w:val="32"/>
          <w:szCs w:val="32"/>
        </w:rPr>
        <w:t>、负责农村土地承包经营权流转的管理和服务；</w:t>
      </w:r>
      <w:r>
        <w:rPr>
          <w:rFonts w:ascii="仿宋_GB2312" w:eastAsia="仿宋_GB2312"/>
          <w:sz w:val="32"/>
          <w:szCs w:val="32"/>
        </w:rPr>
        <w:t>3</w:t>
      </w:r>
      <w:r>
        <w:rPr>
          <w:rFonts w:hint="eastAsia" w:ascii="仿宋_GB2312" w:eastAsia="仿宋_GB2312"/>
          <w:sz w:val="32"/>
          <w:szCs w:val="32"/>
        </w:rPr>
        <w:t>、负责农民专业合作社、其他农村各类合作组织以及农民经纪人队伍的建设与发展；</w:t>
      </w:r>
      <w:r>
        <w:rPr>
          <w:rFonts w:ascii="仿宋_GB2312" w:eastAsia="仿宋_GB2312"/>
          <w:sz w:val="32"/>
          <w:szCs w:val="32"/>
        </w:rPr>
        <w:t>4</w:t>
      </w:r>
      <w:r>
        <w:rPr>
          <w:rFonts w:hint="eastAsia" w:ascii="仿宋_GB2312" w:eastAsia="仿宋_GB2312"/>
          <w:sz w:val="32"/>
          <w:szCs w:val="32"/>
        </w:rPr>
        <w:t>、负责对农牧民负担监督管理、村级“一事一议”筹资筹劳的监督管理；</w:t>
      </w:r>
      <w:r>
        <w:rPr>
          <w:rFonts w:ascii="仿宋_GB2312" w:eastAsia="仿宋_GB2312"/>
          <w:sz w:val="32"/>
          <w:szCs w:val="32"/>
        </w:rPr>
        <w:t>5</w:t>
      </w:r>
      <w:r>
        <w:rPr>
          <w:rFonts w:hint="eastAsia" w:ascii="仿宋_GB2312" w:eastAsia="仿宋_GB2312"/>
          <w:sz w:val="32"/>
          <w:szCs w:val="32"/>
        </w:rPr>
        <w:t>、负责农村土地承包纠纷调处和农民负担信访工作；</w:t>
      </w:r>
      <w:r>
        <w:rPr>
          <w:rFonts w:ascii="仿宋_GB2312" w:eastAsia="仿宋_GB2312"/>
          <w:sz w:val="32"/>
          <w:szCs w:val="32"/>
        </w:rPr>
        <w:t>6</w:t>
      </w:r>
      <w:r>
        <w:rPr>
          <w:rFonts w:hint="eastAsia" w:ascii="仿宋_GB2312" w:eastAsia="仿宋_GB2312"/>
          <w:sz w:val="32"/>
          <w:szCs w:val="32"/>
        </w:rPr>
        <w:t>、负责农村土地承包纠纷仲裁；</w:t>
      </w:r>
      <w:r>
        <w:rPr>
          <w:rFonts w:ascii="仿宋_GB2312" w:eastAsia="仿宋_GB2312"/>
          <w:sz w:val="32"/>
          <w:szCs w:val="32"/>
        </w:rPr>
        <w:t>7</w:t>
      </w:r>
      <w:r>
        <w:rPr>
          <w:rFonts w:hint="eastAsia" w:ascii="仿宋_GB2312" w:eastAsia="仿宋_GB2312"/>
          <w:sz w:val="32"/>
          <w:szCs w:val="32"/>
        </w:rPr>
        <w:t>、指导农村集体经济组织的财务会计、资产管理和村级财务审计、村干部离任审计，负责农村财务公开及农村会计队伍建设工作；</w:t>
      </w:r>
      <w:r>
        <w:rPr>
          <w:rFonts w:ascii="仿宋_GB2312" w:eastAsia="仿宋_GB2312"/>
          <w:sz w:val="32"/>
          <w:szCs w:val="32"/>
        </w:rPr>
        <w:t>8</w:t>
      </w:r>
      <w:r>
        <w:rPr>
          <w:rFonts w:hint="eastAsia" w:ascii="仿宋_GB2312" w:eastAsia="仿宋_GB2312"/>
          <w:sz w:val="32"/>
          <w:szCs w:val="32"/>
        </w:rPr>
        <w:t>、研究制定农村经济发展政策、法规和制度，承担农村税费改革后财政转移支付资金的监督管理工作；</w:t>
      </w:r>
      <w:r>
        <w:rPr>
          <w:rFonts w:ascii="仿宋_GB2312" w:eastAsia="仿宋_GB2312"/>
          <w:sz w:val="32"/>
          <w:szCs w:val="32"/>
        </w:rPr>
        <w:t>9</w:t>
      </w:r>
      <w:r>
        <w:rPr>
          <w:rFonts w:hint="eastAsia" w:ascii="仿宋_GB2312" w:eastAsia="仿宋_GB2312"/>
          <w:sz w:val="32"/>
          <w:szCs w:val="32"/>
        </w:rPr>
        <w:t>、负责农村经济收益分配的统计、农产品成本核算和农村经济运行分析等工作。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520" w:lineRule="exact"/>
        <w:ind w:firstLine="640" w:firstLineChars="200"/>
        <w:rPr>
          <w:rFonts w:ascii="仿宋_GB2312" w:eastAsia="仿宋_GB2312"/>
          <w:sz w:val="32"/>
          <w:szCs w:val="32"/>
        </w:rPr>
      </w:pPr>
      <w:r>
        <w:rPr>
          <w:rFonts w:hint="eastAsia" w:ascii="仿宋_GB2312" w:hAnsi="黑体" w:eastAsia="仿宋_GB2312" w:cs="宋体"/>
          <w:bCs/>
          <w:kern w:val="0"/>
          <w:sz w:val="32"/>
          <w:szCs w:val="32"/>
        </w:rPr>
        <w:t>昌吉回族自治州农村合作经济经营管理局无下属预算单位，</w:t>
      </w:r>
      <w:r>
        <w:rPr>
          <w:rFonts w:hint="eastAsia" w:ascii="仿宋_GB2312" w:eastAsia="仿宋_GB2312"/>
          <w:sz w:val="32"/>
          <w:szCs w:val="32"/>
        </w:rPr>
        <w:t>下设四个科室，分别是：农村合作经济管理科、农村土地承包管理科、农村集体财务管理审计科、综合科。</w:t>
      </w:r>
    </w:p>
    <w:p>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昌吉回族自治州农村合作经济经营管理局编制数11人，实有人数20人，其中：在职11人，增加0人； 退休9人，增加0人；离休0人，增加0人。</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编制部门：昌吉回族自治州农村合作经济经营管理局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177．87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177．87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14．96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19．97</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142．94</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177．87</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177．87</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kern w:val="0"/>
          <w:sz w:val="24"/>
        </w:rPr>
        <w:t>编制部门：昌吉回族自治州农村合作经济经营管理局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社全保障和就业支出</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14.96</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14.96</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行政事业单位养老支出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14.96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14.96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机关事业单位基本养老保险经费支出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14．96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14．96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卫生健康支出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行政事业单位医疗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15．05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15．05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4．86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4．86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0．06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0．06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213</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农林水支出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142.94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142.94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213</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农业农村</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142.94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142.94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事业运行</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137．94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137．94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213</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其他农业农村支出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177．87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177．87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kern w:val="0"/>
          <w:sz w:val="24"/>
        </w:rPr>
        <w:t>编制部门：昌吉回族自治州农村合作经济经营管理局           单位：万元</w:t>
      </w:r>
    </w:p>
    <w:tbl>
      <w:tblPr>
        <w:tblStyle w:val="6"/>
        <w:tblW w:w="9420" w:type="dxa"/>
        <w:tblInd w:w="-240" w:type="dxa"/>
        <w:tblLayout w:type="fixed"/>
        <w:tblCellMar>
          <w:top w:w="0" w:type="dxa"/>
          <w:left w:w="108" w:type="dxa"/>
          <w:bottom w:w="0" w:type="dxa"/>
          <w:right w:w="108" w:type="dxa"/>
        </w:tblCellMar>
      </w:tblPr>
      <w:tblGrid>
        <w:gridCol w:w="486"/>
        <w:gridCol w:w="400"/>
        <w:gridCol w:w="400"/>
        <w:gridCol w:w="2571"/>
        <w:gridCol w:w="1840"/>
        <w:gridCol w:w="1841"/>
        <w:gridCol w:w="1882"/>
      </w:tblGrid>
      <w:tr>
        <w:tblPrEx>
          <w:tblLayout w:type="fixed"/>
          <w:tblCellMar>
            <w:top w:w="0" w:type="dxa"/>
            <w:left w:w="108" w:type="dxa"/>
            <w:bottom w:w="0" w:type="dxa"/>
            <w:right w:w="108" w:type="dxa"/>
          </w:tblCellMar>
        </w:tblPrEx>
        <w:trPr>
          <w:trHeight w:val="345" w:hRule="atLeast"/>
        </w:trPr>
        <w:tc>
          <w:tcPr>
            <w:tcW w:w="3857"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3"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4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4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4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4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社全保障和就业支出</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14.96</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14.96</w:t>
            </w: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行政事业单位养老支出</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14.96</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14.96</w:t>
            </w: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机关事业单位基本养老保险经费支出</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14．96</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14．96</w:t>
            </w: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卫生健康支出</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19.97</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19.97</w:t>
            </w: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行政事业单位医疗</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19.97</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19.97</w:t>
            </w: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15．05</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15．05</w:t>
            </w: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4．86</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4．86</w:t>
            </w: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0．06</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0．06</w:t>
            </w: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农林水支出</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142.94</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142.94</w:t>
            </w: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eastAsia="zh-CN"/>
              </w:rPr>
              <w:t>农业农村</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142.94</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142.94</w:t>
            </w: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04</w:t>
            </w: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事业运行</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137．94</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137．94</w:t>
            </w: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其他农业农村支出</w:t>
            </w: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5</w:t>
            </w: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lang w:val="en-US" w:eastAsia="zh-CN"/>
              </w:rPr>
              <w:t>5</w:t>
            </w: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177．87</w:t>
            </w:r>
          </w:p>
        </w:tc>
        <w:tc>
          <w:tcPr>
            <w:tcW w:w="184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172．87</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5</w:t>
            </w: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kern w:val="0"/>
          <w:sz w:val="24"/>
        </w:rPr>
        <w:t>编制部门：昌吉回族自治州农村合作经济经营管理局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177．87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177．87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14．96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14．96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19．97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19．97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142．94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142．94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177．87</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177．87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177．87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Layout w:type="fixed"/>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noWrap/>
            <w:vAlign w:val="center"/>
          </w:tcPr>
          <w:p>
            <w:pPr>
              <w:widowControl/>
              <w:spacing w:line="440" w:lineRule="exact"/>
              <w:jc w:val="center"/>
              <w:outlineLvl w:val="1"/>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spacing w:line="440" w:lineRule="exact"/>
              <w:outlineLvl w:val="1"/>
              <w:rPr>
                <w:rFonts w:ascii="仿宋_GB2312" w:hAnsi="宋体" w:eastAsia="仿宋_GB2312" w:cs="宋体"/>
                <w:b/>
                <w:bCs/>
                <w:color w:val="000000"/>
                <w:kern w:val="0"/>
                <w:sz w:val="32"/>
                <w:szCs w:val="32"/>
              </w:rPr>
            </w:pPr>
            <w:r>
              <w:rPr>
                <w:rFonts w:hint="eastAsia" w:ascii="仿宋_GB2312" w:hAnsi="宋体" w:eastAsia="仿宋_GB2312"/>
                <w:kern w:val="0"/>
                <w:sz w:val="24"/>
              </w:rPr>
              <w:t>编制部门：昌吉回族自治州农村合作经济经营管理局           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社全保障和就业支出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14.96</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14.96</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行政事业单位养老支出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14.96</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14.96</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机关事业单位基本养老保险经费支出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14．96</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14．96</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卫生健康支出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19.97</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19.97</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eastAsia="zh-CN"/>
              </w:rPr>
              <w:t>行政事业单位医疗</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19.97</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19.97</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15．05</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15．05</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4．86</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4．86</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0．06</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0．06</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农林水支出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142.94</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142.94</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eastAsia="zh-CN"/>
              </w:rPr>
              <w:t>农业农村</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142.94</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142.94</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04</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事业运行</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137．94</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137．94</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其他农业农村支出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w:t>
            </w: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lang w:val="en-US" w:eastAsia="zh-CN"/>
              </w:rPr>
              <w:t>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177．87</w:t>
            </w: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172．87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1701"/>
        <w:gridCol w:w="1701"/>
        <w:gridCol w:w="1701"/>
      </w:tblGrid>
      <w:tr>
        <w:tblPrEx>
          <w:tblLayout w:type="fixed"/>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noWrap/>
            <w:vAlign w:val="center"/>
          </w:tcPr>
          <w:p>
            <w:pPr>
              <w:widowControl/>
              <w:spacing w:line="440" w:lineRule="exact"/>
              <w:jc w:val="center"/>
              <w:outlineLvl w:val="1"/>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p>
            <w:pPr>
              <w:widowControl/>
              <w:spacing w:line="440" w:lineRule="exact"/>
              <w:outlineLvl w:val="1"/>
              <w:rPr>
                <w:rFonts w:ascii="仿宋_GB2312" w:hAnsi="宋体" w:eastAsia="仿宋_GB2312" w:cs="宋体"/>
                <w:b/>
                <w:bCs/>
                <w:color w:val="000000"/>
                <w:kern w:val="0"/>
                <w:sz w:val="32"/>
                <w:szCs w:val="32"/>
              </w:rPr>
            </w:pPr>
            <w:r>
              <w:rPr>
                <w:rFonts w:hint="eastAsia" w:ascii="仿宋_GB2312" w:hAnsi="宋体" w:eastAsia="仿宋_GB2312"/>
                <w:kern w:val="0"/>
                <w:sz w:val="24"/>
              </w:rPr>
              <w:t>编制部门：昌吉回族自治州农村合作经济经营管理局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cs="宋体" w:asciiTheme="minorEastAsia" w:hAnsiTheme="minorEastAsia" w:eastAsiaTheme="minorEastAsia"/>
                <w:b/>
                <w:bCs/>
                <w:color w:val="000000"/>
                <w:kern w:val="0"/>
                <w:szCs w:val="21"/>
              </w:rPr>
            </w:pPr>
            <w:r>
              <w:rPr>
                <w:rFonts w:hint="eastAsia" w:cs="宋体" w:asciiTheme="minorEastAsia" w:hAnsiTheme="minorEastAsia" w:eastAsiaTheme="minorEastAsia"/>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cs="宋体" w:asciiTheme="minorEastAsia" w:hAnsiTheme="minorEastAsia" w:eastAsiaTheme="minorEastAsia"/>
                <w:b/>
                <w:bCs/>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rFonts w:hint="eastAsia"/>
                <w:color w:val="000000"/>
                <w:lang w:val="en-US" w:eastAsia="zh-CN"/>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p>
        </w:tc>
        <w:tc>
          <w:tcPr>
            <w:tcW w:w="2891" w:type="dxa"/>
            <w:tcBorders>
              <w:top w:val="nil"/>
              <w:left w:val="nil"/>
              <w:bottom w:val="single" w:color="auto" w:sz="4" w:space="0"/>
              <w:right w:val="single" w:color="auto" w:sz="4" w:space="0"/>
            </w:tcBorders>
            <w:vAlign w:val="center"/>
          </w:tcPr>
          <w:p>
            <w:pPr>
              <w:jc w:val="center"/>
              <w:rPr>
                <w:color w:val="000000"/>
                <w:sz w:val="24"/>
              </w:rPr>
            </w:pPr>
            <w:r>
              <w:rPr>
                <w:rFonts w:hint="eastAsia"/>
                <w:color w:val="000000"/>
                <w:lang w:eastAsia="zh-CN"/>
              </w:rPr>
              <w:t>工资福利支出</w:t>
            </w:r>
          </w:p>
        </w:tc>
        <w:tc>
          <w:tcPr>
            <w:tcW w:w="1701" w:type="dxa"/>
            <w:tcBorders>
              <w:top w:val="nil"/>
              <w:left w:val="nil"/>
              <w:bottom w:val="single" w:color="auto" w:sz="4" w:space="0"/>
              <w:right w:val="single" w:color="auto" w:sz="4" w:space="0"/>
            </w:tcBorders>
            <w:vAlign w:val="center"/>
          </w:tcPr>
          <w:p>
            <w:pPr>
              <w:jc w:val="center"/>
              <w:rPr>
                <w:color w:val="000000"/>
                <w:sz w:val="24"/>
              </w:rPr>
            </w:pPr>
            <w:r>
              <w:rPr>
                <w:rFonts w:hint="eastAsia"/>
                <w:color w:val="000000"/>
                <w:lang w:val="en-US" w:eastAsia="zh-CN"/>
              </w:rPr>
              <w:t>154.58</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hint="eastAsia" w:asciiTheme="minorEastAsia" w:hAnsiTheme="minorEastAsia" w:eastAsiaTheme="minorEastAsia"/>
                <w:color w:val="000000"/>
                <w:lang w:val="en-US" w:eastAsia="zh-CN"/>
              </w:rPr>
              <w:t>154.58</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01</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基本工资</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50.12</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50.12</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02</w:t>
            </w:r>
          </w:p>
        </w:tc>
        <w:tc>
          <w:tcPr>
            <w:tcW w:w="2891" w:type="dxa"/>
            <w:tcBorders>
              <w:top w:val="nil"/>
              <w:left w:val="nil"/>
              <w:bottom w:val="single" w:color="auto" w:sz="4" w:space="0"/>
              <w:right w:val="single" w:color="auto" w:sz="4" w:space="0"/>
            </w:tcBorders>
            <w:vAlign w:val="center"/>
          </w:tcPr>
          <w:p>
            <w:pPr>
              <w:jc w:val="center"/>
              <w:rPr>
                <w:rFonts w:ascii="宋体" w:hAnsi="宋体" w:cs="宋体"/>
                <w:color w:val="000000"/>
                <w:sz w:val="24"/>
              </w:rPr>
            </w:pPr>
            <w:r>
              <w:rPr>
                <w:color w:val="000000"/>
              </w:rPr>
              <w:t>津贴补贴</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26.24</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26.24</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02</w:t>
            </w:r>
          </w:p>
        </w:tc>
        <w:tc>
          <w:tcPr>
            <w:tcW w:w="2891" w:type="dxa"/>
            <w:tcBorders>
              <w:top w:val="nil"/>
              <w:left w:val="nil"/>
              <w:bottom w:val="single" w:color="auto" w:sz="4" w:space="0"/>
              <w:right w:val="single" w:color="auto" w:sz="4" w:space="0"/>
            </w:tcBorders>
            <w:vAlign w:val="center"/>
          </w:tcPr>
          <w:p>
            <w:pPr>
              <w:jc w:val="center"/>
              <w:rPr>
                <w:color w:val="000000"/>
                <w:sz w:val="24"/>
              </w:rPr>
            </w:pPr>
            <w:r>
              <w:rPr>
                <w:rFonts w:hint="eastAsia"/>
                <w:color w:val="000000"/>
              </w:rPr>
              <w:t>津贴补贴</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0.9</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0.9</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03</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奖金</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3.49</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3.49</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06</w:t>
            </w:r>
          </w:p>
        </w:tc>
        <w:tc>
          <w:tcPr>
            <w:tcW w:w="2891" w:type="dxa"/>
            <w:tcBorders>
              <w:top w:val="nil"/>
              <w:left w:val="nil"/>
              <w:bottom w:val="single" w:color="auto" w:sz="4" w:space="0"/>
              <w:right w:val="single" w:color="auto" w:sz="4" w:space="0"/>
            </w:tcBorders>
            <w:vAlign w:val="center"/>
          </w:tcPr>
          <w:p>
            <w:pPr>
              <w:jc w:val="center"/>
              <w:rPr>
                <w:rFonts w:ascii="宋体" w:hAnsi="宋体" w:cs="宋体"/>
                <w:color w:val="000000"/>
                <w:sz w:val="24"/>
              </w:rPr>
            </w:pPr>
            <w:r>
              <w:rPr>
                <w:color w:val="000000"/>
              </w:rPr>
              <w:t>伙食补助费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11.34</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11.34</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13</w:t>
            </w:r>
          </w:p>
        </w:tc>
        <w:tc>
          <w:tcPr>
            <w:tcW w:w="2891" w:type="dxa"/>
            <w:tcBorders>
              <w:top w:val="nil"/>
              <w:left w:val="nil"/>
              <w:bottom w:val="single" w:color="auto" w:sz="4" w:space="0"/>
              <w:right w:val="single" w:color="auto" w:sz="4" w:space="0"/>
            </w:tcBorders>
            <w:vAlign w:val="center"/>
          </w:tcPr>
          <w:p>
            <w:pPr>
              <w:jc w:val="center"/>
              <w:rPr>
                <w:color w:val="000000"/>
                <w:sz w:val="24"/>
              </w:rPr>
            </w:pPr>
            <w:r>
              <w:rPr>
                <w:rFonts w:hint="eastAsia"/>
                <w:color w:val="000000"/>
              </w:rPr>
              <w:t>住房公积金</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9.58</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9.58</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01</w:t>
            </w:r>
          </w:p>
        </w:tc>
        <w:tc>
          <w:tcPr>
            <w:tcW w:w="2891" w:type="dxa"/>
            <w:tcBorders>
              <w:top w:val="nil"/>
              <w:left w:val="nil"/>
              <w:bottom w:val="single" w:color="auto" w:sz="4" w:space="0"/>
              <w:right w:val="single" w:color="auto" w:sz="4" w:space="0"/>
            </w:tcBorders>
            <w:vAlign w:val="center"/>
          </w:tcPr>
          <w:p>
            <w:pPr>
              <w:jc w:val="center"/>
              <w:rPr>
                <w:rFonts w:ascii="宋体" w:hAnsi="宋体" w:cs="宋体"/>
                <w:color w:val="000000"/>
                <w:sz w:val="24"/>
              </w:rPr>
            </w:pPr>
            <w:r>
              <w:rPr>
                <w:color w:val="000000"/>
              </w:rPr>
              <w:t>基本工资</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7.89</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7.89</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02</w:t>
            </w:r>
          </w:p>
        </w:tc>
        <w:tc>
          <w:tcPr>
            <w:tcW w:w="2891" w:type="dxa"/>
            <w:tcBorders>
              <w:top w:val="nil"/>
              <w:left w:val="nil"/>
              <w:bottom w:val="single" w:color="auto" w:sz="4" w:space="0"/>
              <w:right w:val="single" w:color="auto" w:sz="4" w:space="0"/>
            </w:tcBorders>
            <w:vAlign w:val="center"/>
          </w:tcPr>
          <w:p>
            <w:pPr>
              <w:jc w:val="center"/>
              <w:rPr>
                <w:color w:val="000000"/>
                <w:sz w:val="24"/>
              </w:rPr>
            </w:pPr>
            <w:r>
              <w:rPr>
                <w:rFonts w:hint="eastAsia"/>
                <w:color w:val="000000"/>
              </w:rPr>
              <w:t>津贴补贴</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0.2</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0.2</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03</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奖金</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0.52</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0.52</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06</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伙食补助费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2.52</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2.52</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07</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基础性绩效工资</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3.3</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3.3</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07</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奖励性绩效工资</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1.92</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1.92</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08</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机关事业单位基本养老保险缴费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14.96</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14.96</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10</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职工基本医疗保险缴费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15.05</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15.05</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11</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公务员医疗补助缴费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4.86</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4.86</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12</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其他社会保障缴费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0.04</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0.04</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12</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其他社会保障缴费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0.02</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0.02</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301</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13</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住房公积金</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1.63</w:t>
            </w:r>
          </w:p>
        </w:tc>
        <w:tc>
          <w:tcPr>
            <w:tcW w:w="1701" w:type="dxa"/>
            <w:tcBorders>
              <w:top w:val="nil"/>
              <w:left w:val="nil"/>
              <w:bottom w:val="single" w:color="auto" w:sz="4" w:space="0"/>
              <w:right w:val="single" w:color="auto" w:sz="4" w:space="0"/>
            </w:tcBorders>
            <w:vAlign w:val="center"/>
          </w:tcPr>
          <w:p>
            <w:pPr>
              <w:jc w:val="center"/>
              <w:rPr>
                <w:rFonts w:cs="宋体" w:asciiTheme="minorEastAsia" w:hAnsiTheme="minorEastAsia" w:eastAsiaTheme="minorEastAsia"/>
                <w:color w:val="000000"/>
                <w:kern w:val="0"/>
                <w:sz w:val="18"/>
                <w:szCs w:val="18"/>
              </w:rPr>
            </w:pPr>
            <w:r>
              <w:rPr>
                <w:rFonts w:asciiTheme="minorEastAsia" w:hAnsiTheme="minorEastAsia" w:eastAsiaTheme="minorEastAsia"/>
                <w:color w:val="000000"/>
              </w:rPr>
              <w:t>1.63</w:t>
            </w:r>
          </w:p>
        </w:tc>
        <w:tc>
          <w:tcPr>
            <w:tcW w:w="1701" w:type="dxa"/>
            <w:tcBorders>
              <w:top w:val="nil"/>
              <w:left w:val="nil"/>
              <w:bottom w:val="single" w:color="auto" w:sz="4" w:space="0"/>
              <w:right w:val="single" w:color="auto" w:sz="4" w:space="0"/>
            </w:tcBorders>
            <w:vAlign w:val="center"/>
          </w:tcPr>
          <w:p>
            <w:pPr>
              <w:widowControl/>
              <w:jc w:val="center"/>
              <w:rPr>
                <w:rFonts w:asciiTheme="minorEastAsia" w:hAnsiTheme="minorEastAsia" w:eastAsiaTheme="minorEastAsia"/>
                <w:color w:val="00000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rFonts w:hint="eastAsia" w:cs="Times New Roman"/>
                <w:color w:val="000000"/>
                <w:kern w:val="2"/>
                <w:sz w:val="24"/>
                <w:szCs w:val="24"/>
                <w:lang w:val="en-US" w:eastAsia="zh-CN" w:bidi="ar-SA"/>
              </w:rPr>
              <w:t>302</w:t>
            </w:r>
          </w:p>
        </w:tc>
        <w:tc>
          <w:tcPr>
            <w:tcW w:w="577" w:type="dxa"/>
            <w:tcBorders>
              <w:top w:val="nil"/>
              <w:left w:val="nil"/>
              <w:bottom w:val="single" w:color="auto" w:sz="4" w:space="0"/>
              <w:right w:val="single" w:color="auto" w:sz="4" w:space="0"/>
            </w:tcBorders>
            <w:vAlign w:val="center"/>
          </w:tcPr>
          <w:p>
            <w:pPr>
              <w:jc w:val="center"/>
              <w:rPr>
                <w:color w:val="000000"/>
                <w:sz w:val="24"/>
              </w:rPr>
            </w:pPr>
          </w:p>
        </w:tc>
        <w:tc>
          <w:tcPr>
            <w:tcW w:w="2891" w:type="dxa"/>
            <w:tcBorders>
              <w:top w:val="nil"/>
              <w:left w:val="nil"/>
              <w:bottom w:val="single" w:color="auto" w:sz="4" w:space="0"/>
              <w:right w:val="single" w:color="auto" w:sz="4" w:space="0"/>
            </w:tcBorders>
            <w:vAlign w:val="center"/>
          </w:tcPr>
          <w:p>
            <w:pPr>
              <w:jc w:val="center"/>
              <w:rPr>
                <w:color w:val="000000"/>
                <w:sz w:val="24"/>
              </w:rPr>
            </w:pPr>
            <w:r>
              <w:rPr>
                <w:rFonts w:hint="eastAsia" w:cs="Times New Roman"/>
                <w:color w:val="000000"/>
                <w:kern w:val="2"/>
                <w:sz w:val="24"/>
                <w:szCs w:val="24"/>
                <w:lang w:val="en-US" w:eastAsia="zh-CN" w:bidi="ar-SA"/>
              </w:rPr>
              <w:t>商品和服务支出</w:t>
            </w:r>
          </w:p>
        </w:tc>
        <w:tc>
          <w:tcPr>
            <w:tcW w:w="1701" w:type="dxa"/>
            <w:tcBorders>
              <w:top w:val="nil"/>
              <w:left w:val="nil"/>
              <w:bottom w:val="single" w:color="auto" w:sz="4" w:space="0"/>
              <w:right w:val="single" w:color="auto" w:sz="4" w:space="0"/>
            </w:tcBorders>
            <w:vAlign w:val="center"/>
          </w:tcPr>
          <w:p>
            <w:pPr>
              <w:jc w:val="center"/>
              <w:rPr>
                <w:color w:val="000000"/>
                <w:sz w:val="24"/>
              </w:rPr>
            </w:pPr>
            <w:r>
              <w:rPr>
                <w:rFonts w:hint="eastAsia" w:cs="Times New Roman"/>
                <w:color w:val="000000"/>
                <w:kern w:val="2"/>
                <w:sz w:val="24"/>
                <w:szCs w:val="24"/>
                <w:lang w:val="en-US" w:eastAsia="zh-CN" w:bidi="ar-SA"/>
              </w:rPr>
              <w:t>16.71</w:t>
            </w:r>
          </w:p>
        </w:tc>
        <w:tc>
          <w:tcPr>
            <w:tcW w:w="1701" w:type="dxa"/>
            <w:tcBorders>
              <w:top w:val="nil"/>
              <w:left w:val="nil"/>
              <w:bottom w:val="single" w:color="auto" w:sz="4" w:space="0"/>
              <w:right w:val="single" w:color="auto" w:sz="4" w:space="0"/>
            </w:tcBorders>
            <w:vAlign w:val="center"/>
          </w:tcPr>
          <w:p>
            <w:pPr>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Theme="minorEastAsia" w:hAnsiTheme="minorEastAsia" w:eastAsiaTheme="minorEastAsia"/>
                <w:color w:val="000000"/>
                <w:szCs w:val="21"/>
              </w:rPr>
            </w:pPr>
            <w:r>
              <w:rPr>
                <w:rFonts w:hint="eastAsia" w:cs="宋体" w:asciiTheme="minorEastAsia" w:hAnsiTheme="minorEastAsia" w:eastAsiaTheme="minorEastAsia"/>
                <w:color w:val="000000"/>
                <w:kern w:val="0"/>
                <w:sz w:val="21"/>
                <w:szCs w:val="21"/>
                <w:lang w:val="en-US" w:eastAsia="zh-CN" w:bidi="ar-SA"/>
              </w:rPr>
              <w:t>16.71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302</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01</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办公费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2</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302</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02</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印刷费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0.5</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302</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07</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邮电费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1</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302</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11</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差旅费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2</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302</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17</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公务接待费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0.12</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0.12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302</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26</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劳务费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2.41</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2.41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302</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28</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工会经费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1.16</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1.16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302</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29</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福利费</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2.67</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2.67</w:t>
            </w:r>
          </w:p>
        </w:tc>
      </w:tr>
      <w:tr>
        <w:tblPrEx>
          <w:tblLayout w:type="fixed"/>
          <w:tblCellMar>
            <w:top w:w="0" w:type="dxa"/>
            <w:left w:w="108" w:type="dxa"/>
            <w:bottom w:w="0" w:type="dxa"/>
            <w:right w:w="108" w:type="dxa"/>
          </w:tblCellMar>
        </w:tblPrEx>
        <w:trPr>
          <w:trHeight w:val="43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rPr>
            </w:pPr>
            <w:r>
              <w:rPr>
                <w:color w:val="000000"/>
              </w:rPr>
              <w:t>302</w:t>
            </w:r>
          </w:p>
        </w:tc>
        <w:tc>
          <w:tcPr>
            <w:tcW w:w="577" w:type="dxa"/>
            <w:tcBorders>
              <w:top w:val="nil"/>
              <w:left w:val="nil"/>
              <w:bottom w:val="single" w:color="auto" w:sz="4" w:space="0"/>
              <w:right w:val="single" w:color="auto" w:sz="4" w:space="0"/>
            </w:tcBorders>
            <w:vAlign w:val="center"/>
          </w:tcPr>
          <w:p>
            <w:pPr>
              <w:jc w:val="center"/>
              <w:rPr>
                <w:color w:val="000000"/>
              </w:rPr>
            </w:pPr>
            <w:r>
              <w:rPr>
                <w:color w:val="000000"/>
              </w:rPr>
              <w:t>31</w:t>
            </w:r>
          </w:p>
        </w:tc>
        <w:tc>
          <w:tcPr>
            <w:tcW w:w="2891" w:type="dxa"/>
            <w:tcBorders>
              <w:top w:val="nil"/>
              <w:left w:val="nil"/>
              <w:bottom w:val="single" w:color="auto" w:sz="4" w:space="0"/>
              <w:right w:val="single" w:color="auto" w:sz="4" w:space="0"/>
            </w:tcBorders>
            <w:vAlign w:val="center"/>
          </w:tcPr>
          <w:p>
            <w:pPr>
              <w:jc w:val="center"/>
              <w:rPr>
                <w:color w:val="000000"/>
              </w:rPr>
            </w:pPr>
            <w:r>
              <w:rPr>
                <w:color w:val="000000"/>
              </w:rPr>
              <w:t>公务用车运行维护费</w:t>
            </w:r>
          </w:p>
        </w:tc>
        <w:tc>
          <w:tcPr>
            <w:tcW w:w="1701" w:type="dxa"/>
            <w:tcBorders>
              <w:top w:val="nil"/>
              <w:left w:val="nil"/>
              <w:bottom w:val="single" w:color="auto" w:sz="4" w:space="0"/>
              <w:right w:val="single" w:color="auto" w:sz="4" w:space="0"/>
            </w:tcBorders>
            <w:vAlign w:val="center"/>
          </w:tcPr>
          <w:p>
            <w:pPr>
              <w:jc w:val="center"/>
              <w:rPr>
                <w:color w:val="000000"/>
              </w:rPr>
            </w:pPr>
            <w:r>
              <w:rPr>
                <w:color w:val="000000"/>
              </w:rPr>
              <w:t>2.23</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Cs w:val="21"/>
              </w:rPr>
            </w:pPr>
            <w:r>
              <w:rPr>
                <w:rFonts w:asciiTheme="minorEastAsia" w:hAnsiTheme="minorEastAsia" w:eastAsiaTheme="minorEastAsia"/>
                <w:color w:val="000000"/>
                <w:szCs w:val="21"/>
              </w:rPr>
              <w:t>2.23</w:t>
            </w:r>
          </w:p>
        </w:tc>
      </w:tr>
      <w:tr>
        <w:tblPrEx>
          <w:tblLayout w:type="fixed"/>
          <w:tblCellMar>
            <w:top w:w="0" w:type="dxa"/>
            <w:left w:w="108" w:type="dxa"/>
            <w:bottom w:w="0" w:type="dxa"/>
            <w:right w:w="108" w:type="dxa"/>
          </w:tblCellMar>
        </w:tblPrEx>
        <w:trPr>
          <w:trHeight w:val="43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rPr>
            </w:pPr>
            <w:r>
              <w:rPr>
                <w:color w:val="000000"/>
              </w:rPr>
              <w:t>302</w:t>
            </w:r>
          </w:p>
        </w:tc>
        <w:tc>
          <w:tcPr>
            <w:tcW w:w="577" w:type="dxa"/>
            <w:tcBorders>
              <w:top w:val="nil"/>
              <w:left w:val="nil"/>
              <w:bottom w:val="single" w:color="auto" w:sz="4" w:space="0"/>
              <w:right w:val="single" w:color="auto" w:sz="4" w:space="0"/>
            </w:tcBorders>
            <w:vAlign w:val="center"/>
          </w:tcPr>
          <w:p>
            <w:pPr>
              <w:jc w:val="center"/>
              <w:rPr>
                <w:color w:val="000000"/>
              </w:rPr>
            </w:pPr>
            <w:r>
              <w:rPr>
                <w:color w:val="000000"/>
              </w:rPr>
              <w:t>99</w:t>
            </w:r>
          </w:p>
        </w:tc>
        <w:tc>
          <w:tcPr>
            <w:tcW w:w="2891" w:type="dxa"/>
            <w:tcBorders>
              <w:top w:val="nil"/>
              <w:left w:val="nil"/>
              <w:bottom w:val="single" w:color="auto" w:sz="4" w:space="0"/>
              <w:right w:val="single" w:color="auto" w:sz="4" w:space="0"/>
            </w:tcBorders>
            <w:vAlign w:val="center"/>
          </w:tcPr>
          <w:p>
            <w:pPr>
              <w:jc w:val="center"/>
              <w:rPr>
                <w:color w:val="000000"/>
              </w:rPr>
            </w:pPr>
            <w:r>
              <w:rPr>
                <w:color w:val="000000"/>
              </w:rPr>
              <w:t>商品和服务支出</w:t>
            </w:r>
          </w:p>
        </w:tc>
        <w:tc>
          <w:tcPr>
            <w:tcW w:w="1701" w:type="dxa"/>
            <w:tcBorders>
              <w:top w:val="nil"/>
              <w:left w:val="nil"/>
              <w:bottom w:val="single" w:color="auto" w:sz="4" w:space="0"/>
              <w:right w:val="single" w:color="auto" w:sz="4" w:space="0"/>
            </w:tcBorders>
            <w:vAlign w:val="center"/>
          </w:tcPr>
          <w:p>
            <w:pPr>
              <w:jc w:val="center"/>
              <w:rPr>
                <w:color w:val="000000"/>
              </w:rPr>
            </w:pPr>
            <w:r>
              <w:rPr>
                <w:color w:val="000000"/>
              </w:rPr>
              <w:t>0.59</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0.59</w:t>
            </w:r>
          </w:p>
        </w:tc>
      </w:tr>
      <w:tr>
        <w:tblPrEx>
          <w:tblLayout w:type="fixed"/>
          <w:tblCellMar>
            <w:top w:w="0" w:type="dxa"/>
            <w:left w:w="108" w:type="dxa"/>
            <w:bottom w:w="0" w:type="dxa"/>
            <w:right w:w="108" w:type="dxa"/>
          </w:tblCellMar>
        </w:tblPrEx>
        <w:trPr>
          <w:trHeight w:val="43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rPr>
            </w:pPr>
            <w:r>
              <w:rPr>
                <w:color w:val="000000"/>
              </w:rPr>
              <w:t>302</w:t>
            </w:r>
          </w:p>
        </w:tc>
        <w:tc>
          <w:tcPr>
            <w:tcW w:w="577" w:type="dxa"/>
            <w:tcBorders>
              <w:top w:val="nil"/>
              <w:left w:val="nil"/>
              <w:bottom w:val="single" w:color="auto" w:sz="4" w:space="0"/>
              <w:right w:val="single" w:color="auto" w:sz="4" w:space="0"/>
            </w:tcBorders>
            <w:vAlign w:val="center"/>
          </w:tcPr>
          <w:p>
            <w:pPr>
              <w:jc w:val="center"/>
              <w:rPr>
                <w:color w:val="000000"/>
              </w:rPr>
            </w:pPr>
            <w:r>
              <w:rPr>
                <w:color w:val="000000"/>
              </w:rPr>
              <w:t>99</w:t>
            </w:r>
          </w:p>
        </w:tc>
        <w:tc>
          <w:tcPr>
            <w:tcW w:w="2891" w:type="dxa"/>
            <w:tcBorders>
              <w:top w:val="nil"/>
              <w:left w:val="nil"/>
              <w:bottom w:val="single" w:color="auto" w:sz="4" w:space="0"/>
              <w:right w:val="single" w:color="auto" w:sz="4" w:space="0"/>
            </w:tcBorders>
            <w:vAlign w:val="center"/>
          </w:tcPr>
          <w:p>
            <w:pPr>
              <w:jc w:val="center"/>
              <w:rPr>
                <w:color w:val="000000"/>
              </w:rPr>
            </w:pPr>
            <w:r>
              <w:rPr>
                <w:color w:val="000000"/>
              </w:rPr>
              <w:t>商品和服务支出</w:t>
            </w:r>
          </w:p>
        </w:tc>
        <w:tc>
          <w:tcPr>
            <w:tcW w:w="1701" w:type="dxa"/>
            <w:tcBorders>
              <w:top w:val="nil"/>
              <w:left w:val="nil"/>
              <w:bottom w:val="single" w:color="auto" w:sz="4" w:space="0"/>
              <w:right w:val="single" w:color="auto" w:sz="4" w:space="0"/>
            </w:tcBorders>
            <w:vAlign w:val="center"/>
          </w:tcPr>
          <w:p>
            <w:pPr>
              <w:jc w:val="center"/>
              <w:rPr>
                <w:color w:val="000000"/>
              </w:rPr>
            </w:pPr>
            <w:r>
              <w:rPr>
                <w:color w:val="000000"/>
              </w:rPr>
              <w:t>2.03</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2.03</w:t>
            </w:r>
          </w:p>
        </w:tc>
      </w:tr>
      <w:tr>
        <w:tblPrEx>
          <w:tblLayout w:type="fixed"/>
          <w:tblCellMar>
            <w:top w:w="0" w:type="dxa"/>
            <w:left w:w="108" w:type="dxa"/>
            <w:bottom w:w="0" w:type="dxa"/>
            <w:right w:w="108" w:type="dxa"/>
          </w:tblCellMar>
        </w:tblPrEx>
        <w:trPr>
          <w:trHeight w:val="43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rFonts w:hint="eastAsia"/>
                <w:color w:val="000000"/>
                <w:lang w:val="en-US" w:eastAsia="zh-CN"/>
              </w:rPr>
              <w:t>303</w:t>
            </w:r>
          </w:p>
        </w:tc>
        <w:tc>
          <w:tcPr>
            <w:tcW w:w="577" w:type="dxa"/>
            <w:tcBorders>
              <w:top w:val="nil"/>
              <w:left w:val="nil"/>
              <w:bottom w:val="single" w:color="auto" w:sz="4" w:space="0"/>
              <w:right w:val="single" w:color="auto" w:sz="4" w:space="0"/>
            </w:tcBorders>
            <w:vAlign w:val="center"/>
          </w:tcPr>
          <w:p>
            <w:pPr>
              <w:jc w:val="center"/>
              <w:rPr>
                <w:color w:val="000000"/>
                <w:sz w:val="24"/>
              </w:rPr>
            </w:pPr>
          </w:p>
        </w:tc>
        <w:tc>
          <w:tcPr>
            <w:tcW w:w="2891" w:type="dxa"/>
            <w:tcBorders>
              <w:top w:val="nil"/>
              <w:left w:val="nil"/>
              <w:bottom w:val="single" w:color="auto" w:sz="4" w:space="0"/>
              <w:right w:val="single" w:color="auto" w:sz="4" w:space="0"/>
            </w:tcBorders>
            <w:vAlign w:val="center"/>
          </w:tcPr>
          <w:p>
            <w:pPr>
              <w:jc w:val="center"/>
              <w:rPr>
                <w:color w:val="000000"/>
                <w:sz w:val="24"/>
              </w:rPr>
            </w:pPr>
            <w:r>
              <w:rPr>
                <w:rFonts w:hint="eastAsia"/>
                <w:color w:val="000000"/>
                <w:lang w:eastAsia="zh-CN"/>
              </w:rPr>
              <w:t>对个人和家庭的补助</w:t>
            </w:r>
          </w:p>
        </w:tc>
        <w:tc>
          <w:tcPr>
            <w:tcW w:w="1701" w:type="dxa"/>
            <w:tcBorders>
              <w:top w:val="nil"/>
              <w:left w:val="nil"/>
              <w:bottom w:val="single" w:color="auto" w:sz="4" w:space="0"/>
              <w:right w:val="single" w:color="auto" w:sz="4" w:space="0"/>
            </w:tcBorders>
            <w:vAlign w:val="center"/>
          </w:tcPr>
          <w:p>
            <w:pPr>
              <w:jc w:val="center"/>
              <w:rPr>
                <w:color w:val="000000"/>
                <w:sz w:val="24"/>
              </w:rPr>
            </w:pPr>
            <w:r>
              <w:rPr>
                <w:rFonts w:hint="eastAsia"/>
                <w:color w:val="000000"/>
                <w:lang w:val="en-US" w:eastAsia="zh-CN"/>
              </w:rPr>
              <w:t>1.58</w:t>
            </w:r>
          </w:p>
        </w:tc>
        <w:tc>
          <w:tcPr>
            <w:tcW w:w="1701" w:type="dxa"/>
            <w:tcBorders>
              <w:top w:val="nil"/>
              <w:left w:val="nil"/>
              <w:bottom w:val="single" w:color="auto" w:sz="4" w:space="0"/>
              <w:right w:val="single" w:color="auto" w:sz="4" w:space="0"/>
            </w:tcBorders>
            <w:vAlign w:val="center"/>
          </w:tcPr>
          <w:p>
            <w:pPr>
              <w:jc w:val="center"/>
              <w:rPr>
                <w:rFonts w:cs="宋体" w:asciiTheme="minorEastAsia" w:hAnsiTheme="minorEastAsia" w:eastAsiaTheme="minorEastAsia"/>
                <w:color w:val="000000"/>
                <w:kern w:val="0"/>
                <w:sz w:val="18"/>
                <w:szCs w:val="18"/>
              </w:rPr>
            </w:pPr>
            <w:r>
              <w:rPr>
                <w:rFonts w:hint="eastAsia" w:asciiTheme="minorEastAsia" w:hAnsiTheme="minorEastAsia" w:eastAsiaTheme="minorEastAsia"/>
                <w:color w:val="000000"/>
                <w:lang w:val="en-US" w:eastAsia="zh-CN"/>
              </w:rPr>
              <w:t>1.58</w:t>
            </w:r>
          </w:p>
        </w:tc>
        <w:tc>
          <w:tcPr>
            <w:tcW w:w="1701" w:type="dxa"/>
            <w:tcBorders>
              <w:top w:val="nil"/>
              <w:left w:val="nil"/>
              <w:bottom w:val="single" w:color="auto" w:sz="4" w:space="0"/>
              <w:right w:val="single" w:color="auto" w:sz="4" w:space="0"/>
            </w:tcBorders>
            <w:vAlign w:val="center"/>
          </w:tcPr>
          <w:p>
            <w:pPr>
              <w:widowControl/>
              <w:jc w:val="center"/>
              <w:rPr>
                <w:rFonts w:asciiTheme="minorEastAsia" w:hAnsiTheme="minorEastAsia" w:eastAsiaTheme="minorEastAsia"/>
                <w:color w:val="00000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303</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09</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奖励金</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0.68</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0.68</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color w:val="000000"/>
                <w:sz w:val="24"/>
              </w:rPr>
            </w:pPr>
            <w:r>
              <w:rPr>
                <w:color w:val="000000"/>
              </w:rPr>
              <w:t>303</w:t>
            </w:r>
          </w:p>
        </w:tc>
        <w:tc>
          <w:tcPr>
            <w:tcW w:w="577" w:type="dxa"/>
            <w:tcBorders>
              <w:top w:val="nil"/>
              <w:left w:val="nil"/>
              <w:bottom w:val="single" w:color="auto" w:sz="4" w:space="0"/>
              <w:right w:val="single" w:color="auto" w:sz="4" w:space="0"/>
            </w:tcBorders>
            <w:vAlign w:val="center"/>
          </w:tcPr>
          <w:p>
            <w:pPr>
              <w:jc w:val="center"/>
              <w:rPr>
                <w:color w:val="000000"/>
                <w:sz w:val="24"/>
              </w:rPr>
            </w:pPr>
            <w:r>
              <w:rPr>
                <w:color w:val="000000"/>
              </w:rPr>
              <w:t>14</w:t>
            </w:r>
          </w:p>
        </w:tc>
        <w:tc>
          <w:tcPr>
            <w:tcW w:w="2891" w:type="dxa"/>
            <w:tcBorders>
              <w:top w:val="nil"/>
              <w:left w:val="nil"/>
              <w:bottom w:val="single" w:color="auto" w:sz="4" w:space="0"/>
              <w:right w:val="single" w:color="auto" w:sz="4" w:space="0"/>
            </w:tcBorders>
            <w:vAlign w:val="center"/>
          </w:tcPr>
          <w:p>
            <w:pPr>
              <w:jc w:val="center"/>
              <w:rPr>
                <w:color w:val="000000"/>
                <w:sz w:val="24"/>
              </w:rPr>
            </w:pPr>
            <w:r>
              <w:rPr>
                <w:color w:val="000000"/>
              </w:rPr>
              <w:t>对个人和家庭的补助支出</w:t>
            </w:r>
          </w:p>
        </w:tc>
        <w:tc>
          <w:tcPr>
            <w:tcW w:w="1701" w:type="dxa"/>
            <w:tcBorders>
              <w:top w:val="nil"/>
              <w:left w:val="nil"/>
              <w:bottom w:val="single" w:color="auto" w:sz="4" w:space="0"/>
              <w:right w:val="single" w:color="auto" w:sz="4" w:space="0"/>
            </w:tcBorders>
            <w:vAlign w:val="center"/>
          </w:tcPr>
          <w:p>
            <w:pPr>
              <w:jc w:val="center"/>
              <w:rPr>
                <w:color w:val="000000"/>
                <w:sz w:val="24"/>
              </w:rPr>
            </w:pPr>
            <w:r>
              <w:rPr>
                <w:color w:val="000000"/>
              </w:rPr>
              <w:t>0.9</w:t>
            </w:r>
          </w:p>
        </w:tc>
        <w:tc>
          <w:tcPr>
            <w:tcW w:w="1701" w:type="dxa"/>
            <w:tcBorders>
              <w:top w:val="nil"/>
              <w:left w:val="nil"/>
              <w:bottom w:val="single" w:color="auto" w:sz="4" w:space="0"/>
              <w:right w:val="single" w:color="auto" w:sz="4" w:space="0"/>
            </w:tcBorders>
            <w:vAlign w:val="center"/>
          </w:tcPr>
          <w:p>
            <w:pPr>
              <w:jc w:val="center"/>
              <w:rPr>
                <w:rFonts w:asciiTheme="minorEastAsia" w:hAnsiTheme="minorEastAsia" w:eastAsiaTheme="minorEastAsia"/>
                <w:color w:val="000000"/>
                <w:sz w:val="24"/>
              </w:rPr>
            </w:pPr>
            <w:r>
              <w:rPr>
                <w:rFonts w:asciiTheme="minorEastAsia" w:hAnsiTheme="minorEastAsia" w:eastAsiaTheme="minorEastAsia"/>
                <w:color w:val="000000"/>
              </w:rPr>
              <w:t>0.9</w:t>
            </w:r>
          </w:p>
        </w:tc>
        <w:tc>
          <w:tcPr>
            <w:tcW w:w="1701"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eastAsiaTheme="minorEastAsia"/>
                <w:color w:val="000000"/>
                <w:kern w:val="0"/>
                <w:szCs w:val="21"/>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tcBorders>
              <w:top w:val="nil"/>
              <w:left w:val="nil"/>
              <w:bottom w:val="single" w:color="auto" w:sz="4" w:space="0"/>
              <w:right w:val="single" w:color="auto" w:sz="4" w:space="0"/>
            </w:tcBorders>
            <w:vAlign w:val="center"/>
          </w:tcPr>
          <w:p>
            <w:pPr>
              <w:widowControl/>
              <w:jc w:val="righ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172．87</w:t>
            </w:r>
          </w:p>
        </w:tc>
        <w:tc>
          <w:tcPr>
            <w:tcW w:w="1701" w:type="dxa"/>
            <w:tcBorders>
              <w:top w:val="nil"/>
              <w:left w:val="nil"/>
              <w:bottom w:val="single" w:color="auto" w:sz="4" w:space="0"/>
              <w:right w:val="single" w:color="auto" w:sz="4" w:space="0"/>
            </w:tcBorders>
            <w:vAlign w:val="center"/>
          </w:tcPr>
          <w:p>
            <w:pPr>
              <w:widowControl/>
              <w:jc w:val="righ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156．16</w:t>
            </w:r>
          </w:p>
        </w:tc>
        <w:tc>
          <w:tcPr>
            <w:tcW w:w="1701" w:type="dxa"/>
            <w:tcBorders>
              <w:top w:val="nil"/>
              <w:left w:val="nil"/>
              <w:bottom w:val="single" w:color="auto" w:sz="4" w:space="0"/>
              <w:right w:val="single" w:color="auto" w:sz="4" w:space="0"/>
            </w:tcBorders>
            <w:vAlign w:val="center"/>
          </w:tcPr>
          <w:p>
            <w:pPr>
              <w:widowControl/>
              <w:jc w:val="righ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16．71</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58" w:type="dxa"/>
        <w:tblInd w:w="-360" w:type="dxa"/>
        <w:tblLayout w:type="fixed"/>
        <w:tblCellMar>
          <w:top w:w="0" w:type="dxa"/>
          <w:left w:w="108" w:type="dxa"/>
          <w:bottom w:w="0" w:type="dxa"/>
          <w:right w:w="108" w:type="dxa"/>
        </w:tblCellMar>
      </w:tblPr>
      <w:tblGrid>
        <w:gridCol w:w="10"/>
        <w:gridCol w:w="476"/>
        <w:gridCol w:w="397"/>
        <w:gridCol w:w="397"/>
        <w:gridCol w:w="851"/>
        <w:gridCol w:w="1456"/>
        <w:gridCol w:w="750"/>
        <w:gridCol w:w="569"/>
        <w:gridCol w:w="536"/>
        <w:gridCol w:w="652"/>
        <w:gridCol w:w="652"/>
        <w:gridCol w:w="578"/>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6"/>
            <w:tcBorders>
              <w:top w:val="nil"/>
              <w:left w:val="nil"/>
              <w:bottom w:val="nil"/>
              <w:right w:val="nil"/>
            </w:tcBorders>
            <w:noWrap/>
            <w:vAlign w:val="center"/>
          </w:tcPr>
          <w:p>
            <w:pPr>
              <w:widowControl/>
              <w:spacing w:line="440" w:lineRule="exact"/>
              <w:jc w:val="center"/>
              <w:outlineLvl w:val="1"/>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p>
            <w:pPr>
              <w:widowControl/>
              <w:spacing w:line="440" w:lineRule="exact"/>
              <w:outlineLvl w:val="1"/>
              <w:rPr>
                <w:rFonts w:ascii="仿宋_GB2312" w:hAnsi="宋体" w:eastAsia="仿宋_GB2312" w:cs="宋体"/>
                <w:b/>
                <w:bCs/>
                <w:color w:val="000000"/>
                <w:kern w:val="0"/>
                <w:sz w:val="32"/>
                <w:szCs w:val="32"/>
              </w:rPr>
            </w:pPr>
            <w:r>
              <w:rPr>
                <w:rFonts w:hint="eastAsia" w:ascii="仿宋_GB2312" w:hAnsi="宋体" w:eastAsia="仿宋_GB2312"/>
                <w:kern w:val="0"/>
                <w:sz w:val="24"/>
              </w:rPr>
              <w:t>编制部门：昌吉回族自治州农村合作经济经营管理局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280"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6"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213</w:t>
            </w: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eastAsia="zh-CN"/>
              </w:rPr>
              <w:t>农林水支出</w:t>
            </w: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213</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val="en-US" w:eastAsia="zh-CN"/>
              </w:rPr>
              <w:t>01</w:t>
            </w: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lang w:eastAsia="zh-CN"/>
              </w:rPr>
              <w:t>农业农村</w:t>
            </w: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5</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213</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851"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其它农业农村支出</w:t>
            </w: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农村财务管理及审计业务经费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6"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97"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kern w:val="0"/>
          <w:sz w:val="24"/>
        </w:rPr>
        <w:t>编制部门：昌吉回族自治州农村合作经济经营管理局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2．35</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2．35</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2．23</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0．12</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kern w:val="0"/>
          <w:sz w:val="24"/>
        </w:rPr>
        <w:t>编制部门：昌吉回族自治州农村合作经济经营管理局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关于昌吉回族自治州农村合作经济经营管理局2021年收支预算情况的总体说明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按照全口径预算的原则，昌吉回族自治州农村合作经济经营管理局2021年所有收入和支出均纳入部门预算管理。收支总预算177.87万元。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支出预算包括：农林水支出、社会保障和就业支出、卫生健康支出。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昌吉回族自治州农村合作经济经营管理局2021</w:t>
      </w:r>
      <w:r>
        <w:rPr>
          <w:rFonts w:hint="eastAsia" w:ascii="黑体" w:hAnsi="宋体" w:eastAsia="黑体" w:cs="宋体"/>
          <w:kern w:val="0"/>
          <w:sz w:val="32"/>
          <w:szCs w:val="32"/>
        </w:rPr>
        <w:t>年收入预算情况说明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昌吉回族自治州农村合作经济经营管理局收入预算177.87万元，其中：</w:t>
      </w:r>
    </w:p>
    <w:p>
      <w:pPr>
        <w:spacing w:line="560" w:lineRule="exact"/>
        <w:ind w:firstLine="640" w:firstLineChars="200"/>
        <w:rPr>
          <w:rFonts w:ascii="黑体" w:hAnsi="宋体" w:eastAsia="黑体" w:cs="宋体"/>
          <w:kern w:val="0"/>
          <w:sz w:val="32"/>
          <w:szCs w:val="32"/>
        </w:rPr>
      </w:pPr>
      <w:r>
        <w:rPr>
          <w:rFonts w:hint="eastAsia" w:ascii="仿宋_GB2312" w:hAnsi="宋体" w:eastAsia="仿宋_GB2312" w:cs="宋体"/>
          <w:kern w:val="0"/>
          <w:sz w:val="32"/>
          <w:szCs w:val="32"/>
        </w:rPr>
        <w:t>一般公共预算177.87万元，占100%，比上年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增加24.82万元，</w:t>
      </w:r>
      <w:r>
        <w:rPr>
          <w:rFonts w:hint="eastAsia" w:ascii="仿宋_GB2312" w:hAnsi="宋体" w:eastAsia="仿宋_GB2312" w:cs="宋体"/>
          <w:kern w:val="0"/>
          <w:sz w:val="32"/>
          <w:szCs w:val="32"/>
          <w:lang w:val="en-US" w:eastAsia="zh-CN"/>
        </w:rPr>
        <w:t>增长16.21%，</w:t>
      </w:r>
      <w:r>
        <w:rPr>
          <w:rFonts w:hint="eastAsia" w:ascii="仿宋_GB2312" w:hAnsi="宋体" w:eastAsia="仿宋_GB2312" w:cs="宋体"/>
          <w:kern w:val="0"/>
          <w:sz w:val="32"/>
          <w:szCs w:val="32"/>
        </w:rPr>
        <w:t>主要原因是: 基本支出中人员经费较上年增加21.51万元，公用经费较上年增加3.31万元。增加原因：本单位2020年全体人员工资正常晋升,职级并行2人工资增加;本单位调入1人，2020年未纳入预算，2021年纳入预算，公用经费较上年有所增加。</w:t>
      </w:r>
      <w:r>
        <w:rPr>
          <w:rFonts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昌吉回族自治州农村合作经济经营管理局2021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昌吉回族自治州农村合作经济经营管理局2021年支出预算177.87万元，其中：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基本支出172.87万元，占97%，比上年增加24.82万元，</w:t>
      </w:r>
      <w:r>
        <w:rPr>
          <w:rFonts w:hint="eastAsia" w:ascii="仿宋_GB2312" w:hAnsi="宋体" w:eastAsia="仿宋_GB2312" w:cs="宋体"/>
          <w:kern w:val="0"/>
          <w:sz w:val="32"/>
          <w:szCs w:val="32"/>
          <w:lang w:val="en-US" w:eastAsia="zh-CN"/>
        </w:rPr>
        <w:t>增长16.76%，</w:t>
      </w:r>
      <w:r>
        <w:rPr>
          <w:rFonts w:hint="eastAsia" w:ascii="仿宋_GB2312" w:hAnsi="宋体" w:eastAsia="仿宋_GB2312" w:cs="宋体"/>
          <w:kern w:val="0"/>
          <w:sz w:val="32"/>
          <w:szCs w:val="32"/>
        </w:rPr>
        <w:t>主要原因是:本单位2020年全体人员工资正常晋升,职级并行2人工资增加; 本单位调入1人，2020年未纳入预算，2021年纳入预算，公用经费较上年有所增加。</w:t>
      </w:r>
    </w:p>
    <w:p>
      <w:pPr>
        <w:spacing w:line="560" w:lineRule="exact"/>
        <w:ind w:firstLine="640" w:firstLineChars="200"/>
        <w:rPr>
          <w:rFonts w:ascii="黑体" w:hAnsi="宋体" w:eastAsia="黑体" w:cs="宋体"/>
          <w:kern w:val="0"/>
          <w:sz w:val="32"/>
          <w:szCs w:val="32"/>
        </w:rPr>
      </w:pPr>
      <w:r>
        <w:rPr>
          <w:rFonts w:hint="eastAsia" w:ascii="仿宋_GB2312" w:hAnsi="宋体" w:eastAsia="仿宋_GB2312" w:cs="宋体"/>
          <w:kern w:val="0"/>
          <w:sz w:val="32"/>
          <w:szCs w:val="32"/>
        </w:rPr>
        <w:t>项目支出5万元，占3%，比上年增加0万元，</w:t>
      </w:r>
      <w:r>
        <w:rPr>
          <w:rFonts w:hint="eastAsia" w:ascii="仿宋_GB2312" w:hAnsi="宋体" w:eastAsia="仿宋_GB2312" w:cs="宋体"/>
          <w:kern w:val="0"/>
          <w:sz w:val="32"/>
          <w:szCs w:val="32"/>
          <w:lang w:val="en-US" w:eastAsia="zh-CN"/>
        </w:rPr>
        <w:t>增长0%</w:t>
      </w:r>
      <w:r>
        <w:rPr>
          <w:rFonts w:hint="eastAsia" w:ascii="仿宋_GB2312" w:hAnsi="宋体" w:eastAsia="仿宋_GB2312" w:cs="宋体"/>
          <w:kern w:val="0"/>
          <w:sz w:val="32"/>
          <w:szCs w:val="32"/>
          <w:lang w:eastAsia="zh-CN"/>
        </w:rPr>
        <w:t>。</w:t>
      </w:r>
      <w:r>
        <w:rPr>
          <w:rFonts w:ascii="仿宋_GB2312" w:hAnsi="宋体" w:eastAsia="仿宋_GB2312" w:cs="宋体"/>
          <w:kern w:val="0"/>
          <w:sz w:val="32"/>
          <w:szCs w:val="32"/>
        </w:rPr>
        <w:t xml:space="preserve"> </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昌吉回族自治州农村合作经济经营管理局2021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2021年财政拨款收支总预算177.87万元。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收入预算包括：一般公共预算拨款177.87万元。</w:t>
      </w:r>
    </w:p>
    <w:p>
      <w:pPr>
        <w:spacing w:line="56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农林水支出142.94万元,主要用于行政人员、事业人员</w:t>
      </w:r>
      <w:r>
        <w:rPr>
          <w:rFonts w:hint="eastAsia" w:ascii="仿宋_GB2312" w:hAnsi="宋体" w:eastAsia="仿宋_GB2312" w:cs="宋体"/>
          <w:spacing w:val="-6"/>
          <w:kern w:val="0"/>
          <w:sz w:val="32"/>
          <w:szCs w:val="32"/>
        </w:rPr>
        <w:t>工资福利费支出、公用经费支出、其它商品和服务支出、对个人和家庭的补助、运转类;</w:t>
      </w:r>
      <w:r>
        <w:rPr>
          <w:rFonts w:hint="eastAsia" w:ascii="仿宋_GB2312" w:hAnsi="宋体" w:eastAsia="仿宋_GB2312" w:cs="宋体"/>
          <w:kern w:val="0"/>
          <w:sz w:val="32"/>
          <w:szCs w:val="32"/>
        </w:rPr>
        <w:t>社会保障和就业支出14.96万元,主要用于机关事业单位基本养老保险缴费;卫生健康支出19.97万元,主要用于职工基本医疗保险缴费、公务员医疗补助缴费、其他社会保障缴费。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昌吉回族自治州农村合作经济经营管理局2021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昌吉回族自治州农村合作经济经营管理局2021年一般公共预算拨款合计177.87万元，其中：基本支出172.87万元，比上年预算增加24.82万元，</w:t>
      </w:r>
      <w:r>
        <w:rPr>
          <w:rFonts w:hint="eastAsia" w:ascii="仿宋_GB2312" w:hAnsi="宋体" w:eastAsia="仿宋_GB2312" w:cs="宋体"/>
          <w:kern w:val="0"/>
          <w:sz w:val="32"/>
          <w:szCs w:val="32"/>
          <w:lang w:val="en-US" w:eastAsia="zh-CN"/>
        </w:rPr>
        <w:t>增长16.76%，</w:t>
      </w:r>
      <w:r>
        <w:rPr>
          <w:rFonts w:hint="eastAsia" w:ascii="仿宋_GB2312" w:hAnsi="宋体" w:eastAsia="仿宋_GB2312" w:cs="宋体"/>
          <w:kern w:val="0"/>
          <w:sz w:val="32"/>
          <w:szCs w:val="32"/>
        </w:rPr>
        <w:t>主要原因是:本单位2020年全体人员工资正常晋升,职级并行2人工资增加; 本单位调入1人，2020年未纳入预算，2021年纳入预算，公用经费较上年有所增加。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项目支出5万元，比上年增加0万元，</w:t>
      </w:r>
      <w:r>
        <w:rPr>
          <w:rFonts w:hint="eastAsia" w:ascii="仿宋_GB2312" w:hAnsi="宋体" w:eastAsia="仿宋_GB2312" w:cs="宋体"/>
          <w:kern w:val="0"/>
          <w:sz w:val="32"/>
          <w:szCs w:val="32"/>
          <w:lang w:val="en-US" w:eastAsia="zh-CN"/>
        </w:rPr>
        <w:t>增长0%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spacing w:val="-6"/>
          <w:kern w:val="0"/>
          <w:sz w:val="32"/>
          <w:szCs w:val="32"/>
        </w:rPr>
        <w:t>社会保障和就业支出14.96万元，</w:t>
      </w:r>
      <w:r>
        <w:rPr>
          <w:rFonts w:hint="eastAsia" w:ascii="仿宋_GB2312" w:eastAsia="仿宋_GB2312"/>
          <w:sz w:val="32"/>
          <w:szCs w:val="32"/>
        </w:rPr>
        <w:t>占8.41%；</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eastAsia="zh-CN"/>
        </w:rPr>
        <w:t>.</w:t>
      </w:r>
      <w:r>
        <w:rPr>
          <w:rFonts w:hint="eastAsia" w:ascii="仿宋_GB2312" w:hAnsi="宋体" w:eastAsia="仿宋_GB2312" w:cs="宋体"/>
          <w:spacing w:val="-6"/>
          <w:kern w:val="0"/>
          <w:sz w:val="32"/>
          <w:szCs w:val="32"/>
        </w:rPr>
        <w:t>卫生健康支出19.97万元，</w:t>
      </w:r>
      <w:r>
        <w:rPr>
          <w:rFonts w:hint="eastAsia" w:ascii="仿宋_GB2312" w:eastAsia="仿宋_GB2312"/>
          <w:sz w:val="32"/>
          <w:szCs w:val="32"/>
        </w:rPr>
        <w:t>占11.23%；</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3.</w:t>
      </w:r>
      <w:r>
        <w:rPr>
          <w:rFonts w:hint="eastAsia" w:ascii="仿宋_GB2312" w:hAnsi="宋体" w:eastAsia="仿宋_GB2312" w:cs="宋体"/>
          <w:spacing w:val="-6"/>
          <w:kern w:val="0"/>
          <w:sz w:val="32"/>
          <w:szCs w:val="32"/>
        </w:rPr>
        <w:t>农林水支出142.94万元，</w:t>
      </w:r>
      <w:r>
        <w:rPr>
          <w:rFonts w:hint="eastAsia" w:ascii="仿宋_GB2312" w:eastAsia="仿宋_GB2312"/>
          <w:sz w:val="32"/>
          <w:szCs w:val="32"/>
        </w:rPr>
        <w:t>占80.36%。</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类</w:t>
      </w:r>
      <w:r>
        <w:rPr>
          <w:rFonts w:hint="eastAsia" w:ascii="仿宋_GB2312" w:hAnsi="宋体" w:eastAsia="仿宋_GB2312" w:cs="宋体"/>
          <w:kern w:val="0"/>
          <w:sz w:val="32"/>
          <w:szCs w:val="32"/>
        </w:rPr>
        <w:t>）行政事业单位养老支出（</w:t>
      </w:r>
      <w:r>
        <w:rPr>
          <w:rFonts w:hint="eastAsia" w:ascii="仿宋_GB2312" w:hAnsi="宋体" w:eastAsia="仿宋_GB2312" w:cs="宋体"/>
          <w:kern w:val="0"/>
          <w:sz w:val="32"/>
          <w:szCs w:val="32"/>
          <w:lang w:val="en-US" w:eastAsia="zh-CN"/>
        </w:rPr>
        <w:t>款</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val="en-US" w:eastAsia="zh-CN"/>
        </w:rPr>
        <w:t>项</w:t>
      </w:r>
      <w:r>
        <w:rPr>
          <w:rFonts w:hint="eastAsia" w:ascii="仿宋_GB2312" w:hAnsi="宋体" w:eastAsia="仿宋_GB2312" w:cs="宋体"/>
          <w:kern w:val="0"/>
          <w:sz w:val="32"/>
          <w:szCs w:val="32"/>
        </w:rPr>
        <w:t>）：2021年预算数为14.96万元，比上年预算数增加14.96万元，增加100%，主要原因是：上年预算未将养老保险缴费、医疗保险等按款项明细划分；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val="en-US" w:eastAsia="zh-CN"/>
        </w:rPr>
        <w:t>款</w:t>
      </w:r>
      <w:r>
        <w:rPr>
          <w:rFonts w:hint="eastAsia" w:ascii="仿宋_GB2312" w:hAnsi="宋体" w:eastAsia="仿宋_GB2312" w:cs="宋体"/>
          <w:kern w:val="0"/>
          <w:sz w:val="32"/>
          <w:szCs w:val="32"/>
        </w:rPr>
        <w:t>）事业单位医疗（</w:t>
      </w:r>
      <w:r>
        <w:rPr>
          <w:rFonts w:hint="eastAsia" w:ascii="仿宋_GB2312" w:hAnsi="宋体" w:eastAsia="仿宋_GB2312" w:cs="宋体"/>
          <w:kern w:val="0"/>
          <w:sz w:val="32"/>
          <w:szCs w:val="32"/>
          <w:lang w:val="en-US" w:eastAsia="zh-CN"/>
        </w:rPr>
        <w:t>项</w:t>
      </w:r>
      <w:r>
        <w:rPr>
          <w:rFonts w:hint="eastAsia" w:ascii="仿宋_GB2312" w:hAnsi="宋体" w:eastAsia="仿宋_GB2312" w:cs="宋体"/>
          <w:kern w:val="0"/>
          <w:sz w:val="32"/>
          <w:szCs w:val="32"/>
        </w:rPr>
        <w:t>）：2021年预算数为15.05万元，比上年预算数增加15.05万元，增加100%，主要原因是：上年预算未将养老保险缴费、医疗保险等按款项明细划分；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val="en-US" w:eastAsia="zh-CN"/>
        </w:rPr>
        <w:t>款</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val="en-US" w:eastAsia="zh-CN"/>
        </w:rPr>
        <w:t>项</w:t>
      </w:r>
      <w:r>
        <w:rPr>
          <w:rFonts w:hint="eastAsia" w:ascii="仿宋_GB2312" w:hAnsi="宋体" w:eastAsia="仿宋_GB2312" w:cs="宋体"/>
          <w:kern w:val="0"/>
          <w:sz w:val="32"/>
          <w:szCs w:val="32"/>
        </w:rPr>
        <w:t>）：2021年预算数为4.86万元，比上年预算数增加4.86万元，增加100%，主要原因是：上年预算未将养老保险缴费、医疗保险等按款项明细划分；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val="en-US" w:eastAsia="zh-CN"/>
        </w:rPr>
        <w:t>类</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val="en-US" w:eastAsia="zh-CN"/>
        </w:rPr>
        <w:t>款</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val="en-US" w:eastAsia="zh-CN"/>
        </w:rPr>
        <w:t>项</w:t>
      </w:r>
      <w:r>
        <w:rPr>
          <w:rFonts w:hint="eastAsia" w:ascii="仿宋_GB2312" w:hAnsi="宋体" w:eastAsia="仿宋_GB2312" w:cs="宋体"/>
          <w:kern w:val="0"/>
          <w:sz w:val="32"/>
          <w:szCs w:val="32"/>
        </w:rPr>
        <w:t>）：2021年预算数为0.06万元，比上年预算数增加0.06万元，增加100%，主要原因是：上年预算未将养老保险缴费、医疗保险等按款项明细划分；</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val="en-US" w:eastAsia="zh-CN"/>
        </w:rPr>
        <w:t>类</w:t>
      </w:r>
      <w:r>
        <w:rPr>
          <w:rFonts w:hint="eastAsia" w:ascii="仿宋_GB2312" w:hAnsi="宋体" w:eastAsia="仿宋_GB2312" w:cs="宋体"/>
          <w:kern w:val="0"/>
          <w:sz w:val="32"/>
          <w:szCs w:val="32"/>
        </w:rPr>
        <w:t>）农业农村（</w:t>
      </w:r>
      <w:r>
        <w:rPr>
          <w:rFonts w:hint="eastAsia" w:ascii="仿宋_GB2312" w:hAnsi="宋体" w:eastAsia="仿宋_GB2312" w:cs="宋体"/>
          <w:kern w:val="0"/>
          <w:sz w:val="32"/>
          <w:szCs w:val="32"/>
          <w:lang w:val="en-US" w:eastAsia="zh-CN"/>
        </w:rPr>
        <w:t>款</w:t>
      </w:r>
      <w:r>
        <w:rPr>
          <w:rFonts w:hint="eastAsia" w:ascii="仿宋_GB2312" w:hAnsi="宋体" w:eastAsia="仿宋_GB2312" w:cs="宋体"/>
          <w:kern w:val="0"/>
          <w:sz w:val="32"/>
          <w:szCs w:val="32"/>
        </w:rPr>
        <w:t>）事业运行（</w:t>
      </w:r>
      <w:r>
        <w:rPr>
          <w:rFonts w:hint="eastAsia" w:ascii="仿宋_GB2312" w:hAnsi="宋体" w:eastAsia="仿宋_GB2312" w:cs="宋体"/>
          <w:kern w:val="0"/>
          <w:sz w:val="32"/>
          <w:szCs w:val="32"/>
          <w:lang w:val="en-US" w:eastAsia="zh-CN"/>
        </w:rPr>
        <w:t>项</w:t>
      </w:r>
      <w:r>
        <w:rPr>
          <w:rFonts w:hint="eastAsia" w:ascii="仿宋_GB2312" w:hAnsi="宋体" w:eastAsia="仿宋_GB2312" w:cs="宋体"/>
          <w:kern w:val="0"/>
          <w:sz w:val="32"/>
          <w:szCs w:val="32"/>
        </w:rPr>
        <w:t>）：2021年预算数为137.94万元，比上年预算数减少10.11万元，下降6.83%，主要原因是：上年预算未将养老保险缴费、医疗保险等按款项明细划分；</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农林水支出（</w:t>
      </w:r>
      <w:r>
        <w:rPr>
          <w:rFonts w:hint="eastAsia" w:ascii="仿宋_GB2312" w:hAnsi="仿宋_GB2312" w:eastAsia="仿宋_GB2312" w:cs="仿宋_GB2312"/>
          <w:kern w:val="0"/>
          <w:sz w:val="32"/>
          <w:szCs w:val="32"/>
          <w:lang w:val="en-US" w:eastAsia="zh-CN"/>
        </w:rPr>
        <w:t>类</w:t>
      </w:r>
      <w:r>
        <w:rPr>
          <w:rFonts w:hint="eastAsia" w:ascii="仿宋_GB2312" w:hAnsi="仿宋_GB2312" w:eastAsia="仿宋_GB2312" w:cs="仿宋_GB2312"/>
          <w:kern w:val="0"/>
          <w:sz w:val="32"/>
          <w:szCs w:val="32"/>
        </w:rPr>
        <w:t>）农业农村（</w:t>
      </w:r>
      <w:r>
        <w:rPr>
          <w:rFonts w:hint="eastAsia" w:ascii="仿宋_GB2312" w:hAnsi="仿宋_GB2312" w:eastAsia="仿宋_GB2312" w:cs="仿宋_GB2312"/>
          <w:kern w:val="0"/>
          <w:sz w:val="32"/>
          <w:szCs w:val="32"/>
          <w:lang w:val="en-US" w:eastAsia="zh-CN"/>
        </w:rPr>
        <w:t>款</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其它农业农村支出</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w:t>
      </w: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年预算数为</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万元，比上年预算</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与上年预算安排保持一致。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昌吉回族自治州农村合作经济经营管理局2021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昌吉回族自治州农村合作经济经营管理局2021年一般公共预算基本支出172.87万元，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156.16万元，主要包括：基本工资、津贴补贴、奖金、伙食补助费、绩效工资、机关事业单位基本养老保险缴费、职工基本医疗保险缴费、公务员医疗补助缴费、其他社会保障缴费、住房公积金、奖励金、其他对个人和家庭的补助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公用经费16.71万元，主要包括：办公费、印刷费、邮电费、差旅费、公务接待费、劳务费、工会经费、福利费、公务用车运行维护费、其他商品和服务支出。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七、关于昌吉回族自治州农村合作经济经营管理局2021年一般公共预算项目支出情况说明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农村财务管理及审计业务经费</w:t>
      </w:r>
    </w:p>
    <w:p>
      <w:pPr>
        <w:widowControl/>
        <w:spacing w:line="54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sz w:val="32"/>
          <w:szCs w:val="32"/>
        </w:rPr>
        <w:t>根据农业部、民政部、财政部、审计署《关于推动农村集体财务和监督经常化规范化制度化的意见》、农业部、监察部、国务院纠风办《关于做好村干部离任和任期经济责任专项审计的通知》、</w:t>
      </w:r>
      <w:r>
        <w:rPr>
          <w:rStyle w:val="8"/>
          <w:rFonts w:hint="eastAsia" w:ascii="仿宋_GB2312" w:hAnsi="宋体" w:eastAsia="仿宋_GB2312"/>
          <w:b w:val="0"/>
          <w:bCs w:val="0"/>
          <w:sz w:val="32"/>
          <w:szCs w:val="32"/>
        </w:rPr>
        <w:t>中共中央纪委监察部财政部农业部《关于进一步规范乡村财务管理工作的通知》（中纪发〔</w:t>
      </w:r>
      <w:r>
        <w:rPr>
          <w:rStyle w:val="8"/>
          <w:rFonts w:ascii="仿宋_GB2312" w:hAnsi="宋体" w:eastAsia="仿宋_GB2312"/>
          <w:b w:val="0"/>
          <w:bCs w:val="0"/>
          <w:sz w:val="32"/>
          <w:szCs w:val="32"/>
        </w:rPr>
        <w:t>2006</w:t>
      </w:r>
      <w:r>
        <w:rPr>
          <w:rStyle w:val="8"/>
          <w:rFonts w:hint="eastAsia" w:ascii="仿宋_GB2312" w:hAnsi="宋体" w:eastAsia="仿宋_GB2312"/>
          <w:b w:val="0"/>
          <w:bCs w:val="0"/>
          <w:sz w:val="32"/>
          <w:szCs w:val="32"/>
        </w:rPr>
        <w:t>〕</w:t>
      </w:r>
      <w:r>
        <w:rPr>
          <w:rStyle w:val="8"/>
          <w:rFonts w:ascii="仿宋_GB2312" w:hAnsi="宋体" w:eastAsia="仿宋_GB2312"/>
          <w:b w:val="0"/>
          <w:bCs w:val="0"/>
          <w:sz w:val="32"/>
          <w:szCs w:val="32"/>
        </w:rPr>
        <w:t xml:space="preserve">24 </w:t>
      </w:r>
      <w:r>
        <w:rPr>
          <w:rStyle w:val="8"/>
          <w:rFonts w:hint="eastAsia" w:ascii="仿宋_GB2312" w:hAnsi="宋体" w:eastAsia="仿宋_GB2312"/>
          <w:b w:val="0"/>
          <w:bCs w:val="0"/>
          <w:sz w:val="32"/>
          <w:szCs w:val="32"/>
        </w:rPr>
        <w:t>号）、国务院办公厅《关于做好清理化解乡村债务工作的意见》（国办发〔</w:t>
      </w:r>
      <w:r>
        <w:rPr>
          <w:rStyle w:val="8"/>
          <w:rFonts w:ascii="仿宋_GB2312" w:hAnsi="宋体" w:eastAsia="仿宋_GB2312"/>
          <w:b w:val="0"/>
          <w:bCs w:val="0"/>
          <w:sz w:val="32"/>
          <w:szCs w:val="32"/>
        </w:rPr>
        <w:t>2006</w:t>
      </w:r>
      <w:r>
        <w:rPr>
          <w:rStyle w:val="8"/>
          <w:rFonts w:hint="eastAsia" w:ascii="仿宋_GB2312" w:hAnsi="宋体" w:eastAsia="仿宋_GB2312"/>
          <w:b w:val="0"/>
          <w:bCs w:val="0"/>
          <w:sz w:val="32"/>
          <w:szCs w:val="32"/>
        </w:rPr>
        <w:t>〕</w:t>
      </w:r>
      <w:r>
        <w:rPr>
          <w:rStyle w:val="8"/>
          <w:rFonts w:ascii="仿宋_GB2312" w:hAnsi="宋体" w:eastAsia="仿宋_GB2312"/>
          <w:b w:val="0"/>
          <w:bCs w:val="0"/>
          <w:sz w:val="32"/>
          <w:szCs w:val="32"/>
        </w:rPr>
        <w:t>86</w:t>
      </w:r>
      <w:r>
        <w:rPr>
          <w:rStyle w:val="8"/>
          <w:rFonts w:hint="eastAsia" w:ascii="仿宋_GB2312" w:hAnsi="宋体" w:eastAsia="仿宋_GB2312"/>
          <w:b w:val="0"/>
          <w:bCs w:val="0"/>
          <w:sz w:val="32"/>
          <w:szCs w:val="32"/>
        </w:rPr>
        <w:t>号）和</w:t>
      </w:r>
      <w:r>
        <w:rPr>
          <w:rFonts w:hint="eastAsia" w:ascii="仿宋_GB2312" w:hAnsi="宋体" w:eastAsia="仿宋_GB2312"/>
          <w:sz w:val="32"/>
          <w:szCs w:val="32"/>
        </w:rPr>
        <w:t>农业部办公厅《关于印发〈农村集体财务管理规范化管理办法〉的通知》。</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：昌吉回族自治州农村合作经济经营管理局。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：进一步规范农村集体资产管理，维护农村集体经济组织其成员的合法权益，确保农村集体资产保值增值，巩固和发展农村集体经济专项业务经费5万元。</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w:t>
      </w:r>
      <w:r>
        <w:rPr>
          <w:rFonts w:hint="eastAsia" w:ascii="仿宋_GB2312" w:hAnsi="宋体" w:eastAsia="仿宋_GB2312" w:cs="宋体"/>
          <w:kern w:val="0"/>
          <w:sz w:val="32"/>
          <w:szCs w:val="32"/>
          <w:lang w:val="en-US" w:eastAsia="zh-CN"/>
        </w:rPr>
        <w:t>1日</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2021年12月31日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八、关于昌吉回族自治州农村合作经济经营管理局2021年一般公共预算“三公”经费预算情况说明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昌吉回族自治州农村合作经济经营管理局2021年一般公共预算“三公”经费数为2.35万元，其中：因公出国（境）费0万元，公务用车购置0万元，公务用车运行费2.23万元，公务接待费0.12万元。</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2021年“三公”经费财政拨款预算比上年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增加0万元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增长0%</w:t>
      </w:r>
      <w:r>
        <w:rPr>
          <w:rFonts w:hint="eastAsia" w:ascii="仿宋_GB2312" w:hAnsi="宋体" w:eastAsia="仿宋_GB2312" w:cs="宋体"/>
          <w:kern w:val="0"/>
          <w:sz w:val="32"/>
          <w:szCs w:val="32"/>
        </w:rPr>
        <w:t>。其中：因出国（境）费比上年增加0万元，增长0%</w:t>
      </w:r>
      <w:r>
        <w:rPr>
          <w:rFonts w:ascii="仿宋_GB2312" w:hAnsi="宋体" w:eastAsia="仿宋_GB2312" w:cs="宋体"/>
          <w:kern w:val="0"/>
          <w:sz w:val="32"/>
          <w:szCs w:val="32"/>
        </w:rPr>
        <w:t>，主要原因是</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，比上年增加0万元，增长0%，主要原因是未安排预算；</w:t>
      </w:r>
      <w:r>
        <w:rPr>
          <w:rFonts w:ascii="仿宋_GB2312" w:hAnsi="宋体" w:eastAsia="仿宋_GB2312" w:cs="宋体"/>
          <w:kern w:val="0"/>
          <w:sz w:val="32"/>
          <w:szCs w:val="32"/>
        </w:rPr>
        <w:t>公务用车运行费</w:t>
      </w:r>
      <w:r>
        <w:rPr>
          <w:rFonts w:hint="eastAsia" w:ascii="仿宋_GB2312" w:hAnsi="宋体" w:eastAsia="仿宋_GB2312" w:cs="宋体"/>
          <w:kern w:val="0"/>
          <w:sz w:val="32"/>
          <w:szCs w:val="32"/>
        </w:rPr>
        <w:t>比上年增加0万元，增长0%</w:t>
      </w:r>
      <w:r>
        <w:rPr>
          <w:rFonts w:ascii="仿宋_GB2312" w:hAnsi="宋体" w:eastAsia="仿宋_GB2312" w:cs="宋体"/>
          <w:kern w:val="0"/>
          <w:sz w:val="32"/>
          <w:szCs w:val="32"/>
        </w:rPr>
        <w:t>，主要原因是我单位严格执行中央八项规定和自治区十条规定，年初</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公务用车运行费预算</w:t>
      </w:r>
      <w:r>
        <w:rPr>
          <w:rFonts w:hint="eastAsia" w:ascii="仿宋_GB2312" w:hAnsi="宋体" w:eastAsia="仿宋_GB2312" w:cs="宋体"/>
          <w:kern w:val="0"/>
          <w:sz w:val="32"/>
          <w:szCs w:val="32"/>
        </w:rPr>
        <w:t>；</w:t>
      </w:r>
      <w:r>
        <w:rPr>
          <w:rFonts w:ascii="仿宋_GB2312" w:hAnsi="宋体" w:eastAsia="仿宋_GB2312" w:cs="宋体"/>
          <w:kern w:val="0"/>
          <w:sz w:val="32"/>
          <w:szCs w:val="32"/>
        </w:rPr>
        <w:t>公务接待费</w:t>
      </w:r>
      <w:r>
        <w:rPr>
          <w:rFonts w:hint="eastAsia" w:ascii="仿宋_GB2312" w:hAnsi="宋体" w:eastAsia="仿宋_GB2312" w:cs="宋体"/>
          <w:kern w:val="0"/>
          <w:sz w:val="32"/>
          <w:szCs w:val="32"/>
        </w:rPr>
        <w:t>比上年增加0万元，增长0%</w:t>
      </w:r>
      <w:r>
        <w:rPr>
          <w:rFonts w:ascii="仿宋_GB2312" w:hAnsi="宋体" w:eastAsia="仿宋_GB2312" w:cs="宋体"/>
          <w:kern w:val="0"/>
          <w:sz w:val="32"/>
          <w:szCs w:val="32"/>
        </w:rPr>
        <w:t>，主要原因是我单位严格执行中央八项规定和自治区十条规定，</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公务接待费预算</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九、关于昌吉回族自治州农</w:t>
      </w:r>
      <w:bookmarkStart w:id="0" w:name="_GoBack"/>
      <w:bookmarkEnd w:id="0"/>
      <w:r>
        <w:rPr>
          <w:rFonts w:hint="eastAsia" w:ascii="黑体" w:hAnsi="宋体" w:eastAsia="黑体" w:cs="宋体"/>
          <w:kern w:val="0"/>
          <w:sz w:val="32"/>
          <w:szCs w:val="32"/>
        </w:rPr>
        <w:t>村合作经济经营管理局2021年政府性基金预算拨款情况说明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昌吉回族自治州农村合作经济经营管理局2021年没有使用政府性基金预算拨款安排的支出，政府性基金预算支出情况表为空表。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楷体_GB2312" w:hAnsi="宋体" w:eastAsia="楷体_GB2312" w:cs="宋体"/>
          <w:b/>
          <w:kern w:val="0"/>
          <w:sz w:val="32"/>
          <w:szCs w:val="32"/>
        </w:rPr>
      </w:pPr>
      <w:r>
        <w:rPr>
          <w:rFonts w:hint="eastAsia" w:ascii="仿宋_GB2312" w:hAnsi="宋体" w:eastAsia="仿宋_GB2312" w:cs="宋体"/>
          <w:kern w:val="0"/>
          <w:sz w:val="32"/>
          <w:szCs w:val="32"/>
        </w:rPr>
        <w:t>2021年，昌吉回族自治州农村合作经济经营管理局单位的机关运行经费财政拨款预算16.71万元，比上年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数增加3.31万元，增加24.70</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，主要原因是：本单位调入1人，2020年未纳入预算，2021年纳入预算，公用经费较上年有所增加。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2021年，昌吉回族自治州农村合作经济经营管理局政府采购预算11.73万元，其中：政府采购货物预算4.50万元，政府采购工程预算0万元，政府采购服务预算7.23万元。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w:t>
      </w:r>
      <w:r>
        <w:rPr>
          <w:rFonts w:hint="eastAsia" w:ascii="仿宋_GB2312" w:hAnsi="仿宋_GB2312" w:eastAsia="仿宋_GB2312"/>
          <w:sz w:val="32"/>
          <w:lang w:eastAsia="zh-CN"/>
        </w:rPr>
        <w:t>，</w:t>
      </w:r>
      <w:r>
        <w:rPr>
          <w:rFonts w:hint="eastAsia" w:ascii="仿宋_GB2312" w:hAnsi="宋体" w:eastAsia="仿宋_GB2312" w:cs="宋体"/>
          <w:kern w:val="0"/>
          <w:sz w:val="32"/>
          <w:szCs w:val="32"/>
        </w:rPr>
        <w:t>昌吉回族自治州农村合作经济经营管理局</w:t>
      </w:r>
      <w:r>
        <w:rPr>
          <w:rFonts w:hint="eastAsia" w:ascii="仿宋_GB2312" w:hAnsi="仿宋_GB2312" w:eastAsia="仿宋_GB2312"/>
          <w:sz w:val="32"/>
        </w:rPr>
        <w:t>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截至2020年底，昌吉回族自治州农村合作经济经营管理局占用使用国有资产总体情况为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  0  平方米，价值  0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  1  辆，价值 20.48  万元；其中：一般公务用车 0 辆，价值 0  万元；执法执勤用车  0 辆，价值0   万元；其他车辆 1 辆，价值  20.48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3.办公家具价值4.06万元。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4.其他资产价值77.50万元。</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4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2021年部门预算未安排购置车辆经费（或安排购置车辆经费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2021年度，本年度实行绩效管理的一般公共预算项目   1个，涉及预算金额5万元。具体情况见下表</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昌吉回族自治州农村合作经济经营管理局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农村财务管理及审计业务经费</w:t>
            </w:r>
          </w:p>
        </w:tc>
      </w:tr>
      <w:tr>
        <w:tblPrEx>
          <w:tblLayout w:type="fixed"/>
          <w:tblCellMar>
            <w:top w:w="0" w:type="dxa"/>
            <w:left w:w="0" w:type="dxa"/>
            <w:bottom w:w="0" w:type="dxa"/>
            <w:right w:w="0" w:type="dxa"/>
          </w:tblCellMar>
        </w:tblPrEx>
        <w:trPr>
          <w:trHeight w:val="627"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职能：本单位承担农村土地承包管理、农村集体产改制度改革、构建新型农业经营体系三大改革任务。目标：进一步规范农村集体资产管理，维护农村集体经济组织其成员的合法权益，确保农村集体资产保值增值，巩固和发展农村集体经济。</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督促指导七个县股份经济合作社财务规范化管理的次数（次）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 xml:space="preserve">2 </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textAlignment w:val="center"/>
              <w:rPr>
                <w:rFonts w:ascii="宋体" w:hAnsi="宋体" w:cs="宋体"/>
                <w:color w:val="000000"/>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完成督导报告数量（篇）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 xml:space="preserve">1 </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督促指导七县市承担项目资金的专业合作社规范使用的数量（个）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 xml:space="preserve">20 </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完成项目检查验收总结数量（篇）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 xml:space="preserve">1 </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项目实施完成率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≧95%</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督促指导完成率（%）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≧95%</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年度督促指导完成率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≧95%</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各项任务计划按期完成时间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2021年12月31日</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开展各项工作业务经费（万元）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 xml:space="preserve">5 </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盘活村集体资产，提升村集体资产收益率（%）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≧7%</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提升农村集体资产效益，增加村集体收入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促农增收，振兴乡村，保障农村社会稳定</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保障</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规范村集体资产管理，保障集体资产保值增值</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≧95%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防止集体资产流失</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村集体资产管理满意度测评</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≧95%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cs="宋体"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w:t>
            </w:r>
            <w:r>
              <w:rPr>
                <w:rFonts w:cs="Calibri" w:asciiTheme="minorEastAsia" w:hAnsiTheme="minorEastAsia" w:eastAsiaTheme="minorEastAsia"/>
                <w:color w:val="000000"/>
                <w:sz w:val="18"/>
                <w:szCs w:val="18"/>
              </w:rPr>
              <w:t>95%</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昌吉回族自治州农村合作</w:t>
      </w:r>
    </w:p>
    <w:p>
      <w:pPr>
        <w:widowControl/>
        <w:spacing w:line="52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经济经营管理局</w:t>
      </w:r>
    </w:p>
    <w:p>
      <w:pPr>
        <w:widowControl/>
        <w:spacing w:line="52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4</w:t>
      </w:r>
      <w:r>
        <w:rPr>
          <w:rFonts w:ascii="仿宋_GB2312" w:hAnsi="宋体" w:eastAsia="仿宋_GB2312" w:cs="宋体"/>
          <w:kern w:val="0"/>
          <w:sz w:val="32"/>
          <w:szCs w:val="32"/>
        </w:rPr>
        <w:t>月</w:t>
      </w:r>
      <w:r>
        <w:rPr>
          <w:rFonts w:hint="eastAsia" w:ascii="仿宋_GB2312" w:hAnsi="宋体" w:eastAsia="仿宋_GB2312" w:cs="宋体"/>
          <w:kern w:val="0"/>
          <w:sz w:val="32"/>
          <w:szCs w:val="32"/>
        </w:rPr>
        <w:t>7</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57575"/>
    <w:rsid w:val="00016D24"/>
    <w:rsid w:val="00031E76"/>
    <w:rsid w:val="00084258"/>
    <w:rsid w:val="000A37B7"/>
    <w:rsid w:val="000A407E"/>
    <w:rsid w:val="000A6625"/>
    <w:rsid w:val="000B028F"/>
    <w:rsid w:val="000B2ACE"/>
    <w:rsid w:val="000B3C33"/>
    <w:rsid w:val="000C0B44"/>
    <w:rsid w:val="000C10AB"/>
    <w:rsid w:val="000C63A1"/>
    <w:rsid w:val="000C6FBF"/>
    <w:rsid w:val="000D531A"/>
    <w:rsid w:val="000F3B60"/>
    <w:rsid w:val="0011281A"/>
    <w:rsid w:val="0011450F"/>
    <w:rsid w:val="0011737B"/>
    <w:rsid w:val="0013780E"/>
    <w:rsid w:val="00137A14"/>
    <w:rsid w:val="00142656"/>
    <w:rsid w:val="001747C9"/>
    <w:rsid w:val="00175BB1"/>
    <w:rsid w:val="00176C0F"/>
    <w:rsid w:val="00184866"/>
    <w:rsid w:val="001A6F29"/>
    <w:rsid w:val="001D3540"/>
    <w:rsid w:val="001E4785"/>
    <w:rsid w:val="001E7D72"/>
    <w:rsid w:val="00223EA5"/>
    <w:rsid w:val="00234362"/>
    <w:rsid w:val="00261065"/>
    <w:rsid w:val="00287ABF"/>
    <w:rsid w:val="002E6168"/>
    <w:rsid w:val="002E7530"/>
    <w:rsid w:val="0031291B"/>
    <w:rsid w:val="00321E8A"/>
    <w:rsid w:val="00324752"/>
    <w:rsid w:val="00331679"/>
    <w:rsid w:val="00336ADC"/>
    <w:rsid w:val="00345299"/>
    <w:rsid w:val="00357806"/>
    <w:rsid w:val="003679D2"/>
    <w:rsid w:val="0039192D"/>
    <w:rsid w:val="003D5DF3"/>
    <w:rsid w:val="003D74C5"/>
    <w:rsid w:val="003E18C4"/>
    <w:rsid w:val="003E24A8"/>
    <w:rsid w:val="003F1682"/>
    <w:rsid w:val="003F4E8A"/>
    <w:rsid w:val="00440850"/>
    <w:rsid w:val="00452A86"/>
    <w:rsid w:val="004809D2"/>
    <w:rsid w:val="00481829"/>
    <w:rsid w:val="004A1622"/>
    <w:rsid w:val="004A3773"/>
    <w:rsid w:val="004B0F94"/>
    <w:rsid w:val="004B3818"/>
    <w:rsid w:val="004B71FE"/>
    <w:rsid w:val="004D77F3"/>
    <w:rsid w:val="004E3735"/>
    <w:rsid w:val="004F4E1F"/>
    <w:rsid w:val="00502259"/>
    <w:rsid w:val="005320EE"/>
    <w:rsid w:val="00556410"/>
    <w:rsid w:val="005602EA"/>
    <w:rsid w:val="00567073"/>
    <w:rsid w:val="00586A27"/>
    <w:rsid w:val="0059125F"/>
    <w:rsid w:val="00594AAC"/>
    <w:rsid w:val="005A36F0"/>
    <w:rsid w:val="005A4553"/>
    <w:rsid w:val="005C5D6E"/>
    <w:rsid w:val="005F3C63"/>
    <w:rsid w:val="006124EE"/>
    <w:rsid w:val="006174B9"/>
    <w:rsid w:val="006320C0"/>
    <w:rsid w:val="00644635"/>
    <w:rsid w:val="00651739"/>
    <w:rsid w:val="006B3A6D"/>
    <w:rsid w:val="006C247A"/>
    <w:rsid w:val="006D3EF4"/>
    <w:rsid w:val="006E0D4B"/>
    <w:rsid w:val="006E145A"/>
    <w:rsid w:val="006F6B9E"/>
    <w:rsid w:val="00712A59"/>
    <w:rsid w:val="00730A55"/>
    <w:rsid w:val="0073465C"/>
    <w:rsid w:val="00742229"/>
    <w:rsid w:val="00760458"/>
    <w:rsid w:val="00774E23"/>
    <w:rsid w:val="0078004C"/>
    <w:rsid w:val="00791377"/>
    <w:rsid w:val="007A4FFF"/>
    <w:rsid w:val="007A7ABA"/>
    <w:rsid w:val="007B60AD"/>
    <w:rsid w:val="007D31BD"/>
    <w:rsid w:val="007D7119"/>
    <w:rsid w:val="007E5ACA"/>
    <w:rsid w:val="007E7400"/>
    <w:rsid w:val="007F4C44"/>
    <w:rsid w:val="00806FFD"/>
    <w:rsid w:val="0080700F"/>
    <w:rsid w:val="008202AE"/>
    <w:rsid w:val="0082533D"/>
    <w:rsid w:val="00825485"/>
    <w:rsid w:val="008259CC"/>
    <w:rsid w:val="00837192"/>
    <w:rsid w:val="00841D44"/>
    <w:rsid w:val="00856C6B"/>
    <w:rsid w:val="00867828"/>
    <w:rsid w:val="00874683"/>
    <w:rsid w:val="00881190"/>
    <w:rsid w:val="008850EE"/>
    <w:rsid w:val="008910BE"/>
    <w:rsid w:val="008916B0"/>
    <w:rsid w:val="00896463"/>
    <w:rsid w:val="008A4B03"/>
    <w:rsid w:val="008B53D8"/>
    <w:rsid w:val="008D5BE4"/>
    <w:rsid w:val="008E236E"/>
    <w:rsid w:val="008E4F9E"/>
    <w:rsid w:val="008F2FE3"/>
    <w:rsid w:val="008F7F8D"/>
    <w:rsid w:val="00944B81"/>
    <w:rsid w:val="00946803"/>
    <w:rsid w:val="00946A1C"/>
    <w:rsid w:val="00951A65"/>
    <w:rsid w:val="00967A4D"/>
    <w:rsid w:val="00974BA1"/>
    <w:rsid w:val="00977253"/>
    <w:rsid w:val="00984781"/>
    <w:rsid w:val="0099288F"/>
    <w:rsid w:val="00997CE4"/>
    <w:rsid w:val="009A1A16"/>
    <w:rsid w:val="009A6440"/>
    <w:rsid w:val="009B5F74"/>
    <w:rsid w:val="009B654C"/>
    <w:rsid w:val="009B6FA3"/>
    <w:rsid w:val="009D4DFB"/>
    <w:rsid w:val="009D587A"/>
    <w:rsid w:val="009D5CF5"/>
    <w:rsid w:val="009D66CC"/>
    <w:rsid w:val="009E0368"/>
    <w:rsid w:val="009F385C"/>
    <w:rsid w:val="00A07C61"/>
    <w:rsid w:val="00A13D75"/>
    <w:rsid w:val="00A14F42"/>
    <w:rsid w:val="00A20042"/>
    <w:rsid w:val="00A33DA1"/>
    <w:rsid w:val="00A57575"/>
    <w:rsid w:val="00A91251"/>
    <w:rsid w:val="00AB1984"/>
    <w:rsid w:val="00AE2B07"/>
    <w:rsid w:val="00AF7591"/>
    <w:rsid w:val="00AF7976"/>
    <w:rsid w:val="00B1700F"/>
    <w:rsid w:val="00B201A9"/>
    <w:rsid w:val="00B22373"/>
    <w:rsid w:val="00B24764"/>
    <w:rsid w:val="00B2732A"/>
    <w:rsid w:val="00B44AAE"/>
    <w:rsid w:val="00B52EED"/>
    <w:rsid w:val="00B65D75"/>
    <w:rsid w:val="00B71194"/>
    <w:rsid w:val="00B74CE1"/>
    <w:rsid w:val="00B86782"/>
    <w:rsid w:val="00B871E5"/>
    <w:rsid w:val="00B92090"/>
    <w:rsid w:val="00B94A73"/>
    <w:rsid w:val="00BA4D70"/>
    <w:rsid w:val="00BA78C3"/>
    <w:rsid w:val="00BD047B"/>
    <w:rsid w:val="00C01E39"/>
    <w:rsid w:val="00C37890"/>
    <w:rsid w:val="00C50E37"/>
    <w:rsid w:val="00C8329A"/>
    <w:rsid w:val="00CB5672"/>
    <w:rsid w:val="00CE68E3"/>
    <w:rsid w:val="00D02D47"/>
    <w:rsid w:val="00D04660"/>
    <w:rsid w:val="00D06B04"/>
    <w:rsid w:val="00D205F2"/>
    <w:rsid w:val="00D5202B"/>
    <w:rsid w:val="00D67E16"/>
    <w:rsid w:val="00D77354"/>
    <w:rsid w:val="00D85033"/>
    <w:rsid w:val="00DA2829"/>
    <w:rsid w:val="00DB73C5"/>
    <w:rsid w:val="00DC7DA0"/>
    <w:rsid w:val="00DE0422"/>
    <w:rsid w:val="00DE0C9B"/>
    <w:rsid w:val="00DE3D40"/>
    <w:rsid w:val="00DE494B"/>
    <w:rsid w:val="00DE6938"/>
    <w:rsid w:val="00E0087C"/>
    <w:rsid w:val="00E05A1C"/>
    <w:rsid w:val="00E07017"/>
    <w:rsid w:val="00E36535"/>
    <w:rsid w:val="00E440DF"/>
    <w:rsid w:val="00E51C21"/>
    <w:rsid w:val="00E57807"/>
    <w:rsid w:val="00E60BA6"/>
    <w:rsid w:val="00E65DDF"/>
    <w:rsid w:val="00E814EE"/>
    <w:rsid w:val="00E83DD2"/>
    <w:rsid w:val="00EE0C28"/>
    <w:rsid w:val="00EE1ACC"/>
    <w:rsid w:val="00EE734A"/>
    <w:rsid w:val="00EF1E61"/>
    <w:rsid w:val="00F105A9"/>
    <w:rsid w:val="00F132D4"/>
    <w:rsid w:val="00F1509D"/>
    <w:rsid w:val="00F31073"/>
    <w:rsid w:val="00F312CA"/>
    <w:rsid w:val="00F34030"/>
    <w:rsid w:val="00F66AB5"/>
    <w:rsid w:val="00F9080B"/>
    <w:rsid w:val="00FB7932"/>
    <w:rsid w:val="00FC566A"/>
    <w:rsid w:val="00FD7E03"/>
    <w:rsid w:val="1A714C6F"/>
    <w:rsid w:val="2B2F0AD8"/>
    <w:rsid w:val="509D4CC9"/>
    <w:rsid w:val="56593B5B"/>
    <w:rsid w:val="5AFB1167"/>
    <w:rsid w:val="5FD86545"/>
    <w:rsid w:val="7EB63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iPriority w:val="0"/>
    <w:rPr>
      <w:rFonts w:asciiTheme="minorHAnsi" w:hAnsiTheme="minorHAnsi" w:eastAsiaTheme="minorEastAsia" w:cstheme="minorBidi"/>
      <w:sz w:val="18"/>
      <w:szCs w:val="18"/>
    </w:rPr>
  </w:style>
  <w:style w:type="paragraph" w:styleId="3">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styleId="8">
    <w:name w:val="Strong"/>
    <w:qFormat/>
    <w:uiPriority w:val="99"/>
    <w:rPr>
      <w:rFonts w:cs="Times New Roman"/>
      <w:b/>
      <w:bCs/>
    </w:rPr>
  </w:style>
  <w:style w:type="character" w:customStyle="1" w:styleId="9">
    <w:name w:val="正文文本缩进 3 Char"/>
    <w:link w:val="5"/>
    <w:qFormat/>
    <w:uiPriority w:val="0"/>
    <w:rPr>
      <w:rFonts w:eastAsia="仿宋_GB2312"/>
      <w:sz w:val="32"/>
      <w:szCs w:val="24"/>
    </w:rPr>
  </w:style>
  <w:style w:type="character" w:customStyle="1" w:styleId="10">
    <w:name w:val="页脚 Char"/>
    <w:link w:val="3"/>
    <w:qFormat/>
    <w:uiPriority w:val="99"/>
    <w:rPr>
      <w:rFonts w:eastAsia="黑体"/>
      <w:sz w:val="18"/>
      <w:szCs w:val="18"/>
    </w:rPr>
  </w:style>
  <w:style w:type="character" w:customStyle="1" w:styleId="11">
    <w:name w:val="批注框文本 Char"/>
    <w:link w:val="2"/>
    <w:semiHidden/>
    <w:qFormat/>
    <w:uiPriority w:val="0"/>
    <w:rPr>
      <w:sz w:val="18"/>
      <w:szCs w:val="18"/>
    </w:rPr>
  </w:style>
  <w:style w:type="character" w:customStyle="1" w:styleId="12">
    <w:name w:val="页眉 Char"/>
    <w:link w:val="4"/>
    <w:qFormat/>
    <w:uiPriority w:val="99"/>
    <w:rPr>
      <w:sz w:val="18"/>
      <w:szCs w:val="18"/>
    </w:rPr>
  </w:style>
  <w:style w:type="character" w:customStyle="1" w:styleId="13">
    <w:name w:val="页眉 Char1"/>
    <w:basedOn w:val="7"/>
    <w:semiHidden/>
    <w:qFormat/>
    <w:uiPriority w:val="99"/>
    <w:rPr>
      <w:rFonts w:ascii="Times New Roman" w:hAnsi="Times New Roman" w:eastAsia="宋体" w:cs="Times New Roman"/>
      <w:sz w:val="18"/>
      <w:szCs w:val="18"/>
    </w:rPr>
  </w:style>
  <w:style w:type="character" w:customStyle="1" w:styleId="14">
    <w:name w:val="正文文本缩进 3 Char1"/>
    <w:basedOn w:val="7"/>
    <w:semiHidden/>
    <w:qFormat/>
    <w:uiPriority w:val="99"/>
    <w:rPr>
      <w:rFonts w:ascii="Times New Roman" w:hAnsi="Times New Roman" w:eastAsia="宋体" w:cs="Times New Roman"/>
      <w:sz w:val="16"/>
      <w:szCs w:val="16"/>
    </w:rPr>
  </w:style>
  <w:style w:type="character" w:customStyle="1" w:styleId="15">
    <w:name w:val="页脚 Char1"/>
    <w:basedOn w:val="7"/>
    <w:semiHidden/>
    <w:qFormat/>
    <w:uiPriority w:val="99"/>
    <w:rPr>
      <w:rFonts w:ascii="Times New Roman" w:hAnsi="Times New Roman" w:eastAsia="宋体" w:cs="Times New Roman"/>
      <w:sz w:val="18"/>
      <w:szCs w:val="18"/>
    </w:rPr>
  </w:style>
  <w:style w:type="character" w:customStyle="1" w:styleId="16">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004ECA-2967-4385-A2C4-445890AF45C0}">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22</Pages>
  <Words>1712</Words>
  <Characters>9761</Characters>
  <Lines>81</Lines>
  <Paragraphs>22</Paragraphs>
  <TotalTime>1</TotalTime>
  <ScaleCrop>false</ScaleCrop>
  <LinksUpToDate>false</LinksUpToDate>
  <CharactersWithSpaces>11451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2021-04-12T05:47:00Z</dcterms:created>
  <dc:creator>闫超</dc:creator>
  <cp:lastModifiedBy>lenovo</cp:lastModifiedBy>
  <cp:lastPrinted>2021-02-07T13:18:00Z</cp:lastPrinted>
  <dcterms:modified xsi:type="dcterms:W3CDTF">2022-04-07T02:58:17Z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B7F08FAEB2EC4651A1131DDB719BBF99</vt:lpwstr>
  </property>
</Properties>
</file>