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宋体" w:hAnsi="宋体" w:cs="宋体"/>
          <w:b/>
          <w:bCs/>
          <w:kern w:val="0"/>
          <w:sz w:val="44"/>
          <w:szCs w:val="44"/>
        </w:rPr>
      </w:pPr>
      <w:r>
        <w:rPr>
          <w:rFonts w:hint="eastAsia" w:ascii="黑体" w:hAnsi="黑体" w:eastAsia="黑体"/>
          <w:sz w:val="32"/>
          <w:szCs w:val="32"/>
        </w:rPr>
        <w:t>附件2：</w:t>
      </w:r>
    </w:p>
    <w:p>
      <w:pPr>
        <w:rPr>
          <w:rFonts w:ascii="宋体" w:hAnsi="宋体" w:cs="宋体"/>
          <w:b/>
          <w:bCs/>
          <w:kern w:val="0"/>
          <w:sz w:val="44"/>
          <w:szCs w:val="44"/>
        </w:rPr>
      </w:pPr>
    </w:p>
    <w:p>
      <w:pPr>
        <w:rPr>
          <w:rFonts w:ascii="宋体" w:hAnsi="宋体" w:cs="宋体"/>
          <w:b/>
          <w:bCs/>
          <w:kern w:val="0"/>
          <w:sz w:val="44"/>
          <w:szCs w:val="44"/>
        </w:rPr>
      </w:pPr>
    </w:p>
    <w:p>
      <w:pPr>
        <w:rPr>
          <w:rFonts w:ascii="宋体" w:hAnsi="宋体" w:cs="宋体"/>
          <w:b/>
          <w:bCs/>
          <w:kern w:val="0"/>
          <w:sz w:val="44"/>
          <w:szCs w:val="44"/>
        </w:rPr>
      </w:pPr>
    </w:p>
    <w:p>
      <w:pPr>
        <w:rPr>
          <w:rFonts w:ascii="黑体" w:hAnsi="黑体" w:eastAsia="黑体"/>
          <w:sz w:val="32"/>
          <w:szCs w:val="32"/>
        </w:rPr>
      </w:pPr>
    </w:p>
    <w:p>
      <w:pPr>
        <w:rPr>
          <w:rFonts w:ascii="宋体" w:hAnsi="宋体" w:cs="宋体"/>
          <w:b/>
          <w:bCs/>
          <w:kern w:val="0"/>
          <w:sz w:val="44"/>
          <w:szCs w:val="44"/>
        </w:rPr>
      </w:pPr>
    </w:p>
    <w:p>
      <w:pPr>
        <w:widowControl/>
        <w:spacing w:before="100" w:beforeAutospacing="1" w:after="100" w:afterAutospacing="1"/>
        <w:jc w:val="center"/>
        <w:outlineLvl w:val="1"/>
        <w:rPr>
          <w:rFonts w:ascii="方正小标宋_GBK" w:hAnsi="宋体" w:eastAsia="方正小标宋_GBK"/>
          <w:kern w:val="0"/>
          <w:sz w:val="44"/>
          <w:szCs w:val="44"/>
        </w:rPr>
      </w:pPr>
      <w:r>
        <w:rPr>
          <w:rFonts w:hint="eastAsia" w:ascii="方正小标宋_GBK" w:hAnsi="宋体" w:eastAsia="方正小标宋_GBK"/>
          <w:kern w:val="0"/>
          <w:sz w:val="44"/>
          <w:szCs w:val="44"/>
        </w:rPr>
        <w:t>昌吉州农产品检验检测中心2021年预算公开</w:t>
      </w: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before="100" w:beforeAutospacing="1" w:after="100" w:afterAutospacing="1"/>
        <w:jc w:val="center"/>
        <w:outlineLvl w:val="1"/>
        <w:rPr>
          <w:rFonts w:ascii="宋体" w:hAnsi="宋体"/>
          <w:b/>
          <w:kern w:val="0"/>
          <w:sz w:val="44"/>
          <w:szCs w:val="44"/>
        </w:rPr>
      </w:pPr>
    </w:p>
    <w:p>
      <w:pPr>
        <w:widowControl/>
        <w:spacing w:line="480" w:lineRule="exact"/>
        <w:jc w:val="center"/>
        <w:outlineLvl w:val="1"/>
        <w:rPr>
          <w:rFonts w:ascii="黑体" w:hAnsi="黑体" w:eastAsia="黑体"/>
          <w:kern w:val="0"/>
          <w:sz w:val="36"/>
          <w:szCs w:val="32"/>
        </w:rPr>
      </w:pPr>
      <w:r>
        <w:rPr>
          <w:rFonts w:hint="eastAsia" w:ascii="黑体" w:hAnsi="黑体" w:eastAsia="黑体"/>
          <w:kern w:val="0"/>
          <w:sz w:val="36"/>
          <w:szCs w:val="32"/>
        </w:rPr>
        <w:t>目 录</w:t>
      </w:r>
    </w:p>
    <w:p>
      <w:pPr>
        <w:widowControl/>
        <w:spacing w:line="480" w:lineRule="exact"/>
        <w:ind w:firstLine="883" w:firstLineChars="200"/>
        <w:outlineLvl w:val="1"/>
        <w:rPr>
          <w:rFonts w:ascii="宋体" w:hAnsi="宋体"/>
          <w:b/>
          <w:kern w:val="0"/>
          <w:sz w:val="44"/>
          <w:szCs w:val="44"/>
        </w:rPr>
      </w:pP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第一部分  昌吉州农产品检验检测中心概况</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一、主要职能</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二、机构设置及人员情况</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第二部分  2021年部门（单位）预算公开表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一、昌吉州农产品检验检测中心收支总体情况表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二、昌吉州农产品检验检测中心收入总体情况表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三、昌吉州农产品检验检测纵向支出总体情况表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四、财政拨款收支总体情况表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五、一般公共预算支出情况表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六、一般公共预算基本支出情况表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七、一般公共预算</w:t>
      </w:r>
      <w:r>
        <w:rPr>
          <w:rFonts w:hint="eastAsia" w:ascii="仿宋_GB2312" w:hAnsi="宋体" w:eastAsia="仿宋_GB2312"/>
          <w:bCs/>
          <w:kern w:val="0"/>
          <w:sz w:val="32"/>
          <w:szCs w:val="32"/>
        </w:rPr>
        <w:t>项目支出情况表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八、一般公共预算“三公”经费支出情况表</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九、政府性基金预算支出情况表</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第三部分  2021年部门（单位）预算情况说明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一、关于昌吉州农产品检验检测中心2021年收支预算情况的总体说明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二、关于昌吉州农产品检验检测中心2021年收入预算情况说明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三、关于昌吉州农产品检验检测中心2021年支出预算情况说明</w:t>
      </w:r>
    </w:p>
    <w:p>
      <w:pPr>
        <w:widowControl/>
        <w:spacing w:line="480" w:lineRule="exact"/>
        <w:ind w:firstLine="640" w:firstLineChars="200"/>
        <w:outlineLvl w:val="1"/>
        <w:rPr>
          <w:rFonts w:ascii="仿宋_GB2312" w:hAnsi="宋体" w:eastAsia="仿宋_GB2312"/>
          <w:bCs/>
          <w:kern w:val="0"/>
          <w:sz w:val="32"/>
          <w:szCs w:val="32"/>
        </w:rPr>
      </w:pPr>
      <w:r>
        <w:rPr>
          <w:rFonts w:hint="eastAsia" w:ascii="仿宋_GB2312" w:hAnsi="宋体" w:eastAsia="仿宋_GB2312"/>
          <w:bCs/>
          <w:kern w:val="0"/>
          <w:sz w:val="32"/>
          <w:szCs w:val="32"/>
        </w:rPr>
        <w:t>四、关于</w:t>
      </w:r>
      <w:r>
        <w:rPr>
          <w:rFonts w:hint="eastAsia" w:ascii="仿宋_GB2312" w:hAnsi="宋体" w:eastAsia="仿宋_GB2312"/>
          <w:kern w:val="0"/>
          <w:sz w:val="32"/>
          <w:szCs w:val="32"/>
        </w:rPr>
        <w:t>昌吉州农产品检验检测中心2021</w:t>
      </w:r>
      <w:r>
        <w:rPr>
          <w:rFonts w:hint="eastAsia" w:ascii="仿宋_GB2312" w:hAnsi="宋体" w:eastAsia="仿宋_GB2312"/>
          <w:bCs/>
          <w:kern w:val="0"/>
          <w:sz w:val="32"/>
          <w:szCs w:val="32"/>
        </w:rPr>
        <w:t>年财政拨款收支预算情况的总体说明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五、关于昌吉州农产品检验检测中心2021年一般公共预算当年拨款情况说明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六、关于昌吉州农产品检验检测中心2021年一般公共预算基本支出情况说明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七、关于昌吉州农产品检验检测中心2021年一般公共预算项目支出情况说明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八、关于昌吉州农产品检验检测中心2021年一般公共预算“三公”经费预算情况说明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九、关于昌吉州农产品检验检测中心2021年政府性基金预算拨款情况说明</w:t>
      </w:r>
    </w:p>
    <w:p>
      <w:pPr>
        <w:widowControl/>
        <w:spacing w:line="480" w:lineRule="exact"/>
        <w:ind w:firstLine="640" w:firstLineChars="200"/>
        <w:outlineLvl w:val="1"/>
        <w:rPr>
          <w:rFonts w:ascii="仿宋_GB2312" w:hAnsi="宋体" w:eastAsia="仿宋_GB2312"/>
          <w:kern w:val="0"/>
          <w:sz w:val="32"/>
          <w:szCs w:val="32"/>
        </w:rPr>
      </w:pPr>
      <w:r>
        <w:rPr>
          <w:rFonts w:hint="eastAsia" w:ascii="仿宋_GB2312" w:hAnsi="宋体" w:eastAsia="仿宋_GB2312"/>
          <w:kern w:val="0"/>
          <w:sz w:val="32"/>
          <w:szCs w:val="32"/>
        </w:rPr>
        <w:t>十、其他重要事项的情况说明</w:t>
      </w:r>
    </w:p>
    <w:p>
      <w:pPr>
        <w:widowControl/>
        <w:spacing w:line="480" w:lineRule="exact"/>
        <w:ind w:firstLine="643" w:firstLineChars="200"/>
        <w:outlineLvl w:val="1"/>
        <w:rPr>
          <w:rFonts w:ascii="仿宋_GB2312" w:hAnsi="宋体" w:eastAsia="仿宋_GB2312"/>
          <w:b/>
          <w:kern w:val="0"/>
          <w:sz w:val="32"/>
          <w:szCs w:val="32"/>
        </w:rPr>
      </w:pPr>
      <w:r>
        <w:rPr>
          <w:rFonts w:hint="eastAsia" w:ascii="仿宋_GB2312" w:hAnsi="宋体" w:eastAsia="仿宋_GB2312"/>
          <w:b/>
          <w:kern w:val="0"/>
          <w:sz w:val="32"/>
          <w:szCs w:val="32"/>
        </w:rPr>
        <w:t>第四部分  名词解释</w:t>
      </w: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480" w:lineRule="exact"/>
        <w:jc w:val="center"/>
        <w:outlineLvl w:val="1"/>
        <w:rPr>
          <w:rFonts w:ascii="黑体" w:hAnsi="黑体" w:eastAsia="黑体"/>
          <w:kern w:val="0"/>
          <w:sz w:val="32"/>
          <w:szCs w:val="32"/>
        </w:rPr>
      </w:pPr>
    </w:p>
    <w:p>
      <w:pPr>
        <w:widowControl/>
        <w:spacing w:line="560" w:lineRule="exact"/>
        <w:jc w:val="center"/>
        <w:outlineLvl w:val="1"/>
        <w:rPr>
          <w:rFonts w:ascii="黑体" w:hAnsi="黑体" w:eastAsia="黑体"/>
          <w:kern w:val="0"/>
          <w:sz w:val="32"/>
          <w:szCs w:val="32"/>
        </w:rPr>
      </w:pPr>
      <w:r>
        <w:rPr>
          <w:rFonts w:hint="eastAsia" w:ascii="黑体" w:hAnsi="黑体" w:eastAsia="黑体"/>
          <w:kern w:val="0"/>
          <w:sz w:val="32"/>
          <w:szCs w:val="32"/>
        </w:rPr>
        <w:t>第一部分   昌吉州农产品检验检测中心单位概况</w:t>
      </w:r>
    </w:p>
    <w:p>
      <w:pPr>
        <w:widowControl/>
        <w:spacing w:line="560" w:lineRule="exact"/>
        <w:jc w:val="center"/>
        <w:outlineLvl w:val="1"/>
        <w:rPr>
          <w:rFonts w:ascii="宋体" w:hAnsi="宋体"/>
          <w:b/>
          <w:kern w:val="0"/>
          <w:sz w:val="32"/>
          <w:szCs w:val="32"/>
        </w:rPr>
      </w:pPr>
    </w:p>
    <w:p>
      <w:pPr>
        <w:widowControl/>
        <w:spacing w:line="560" w:lineRule="exact"/>
        <w:jc w:val="left"/>
        <w:rPr>
          <w:rFonts w:hint="eastAsia" w:ascii="黑体" w:hAnsi="黑体" w:eastAsia="黑体" w:cs="宋体"/>
          <w:bCs/>
          <w:kern w:val="0"/>
          <w:sz w:val="32"/>
          <w:szCs w:val="32"/>
        </w:rPr>
      </w:pPr>
      <w:r>
        <w:rPr>
          <w:rFonts w:hint="eastAsia" w:ascii="仿宋_GB2312" w:hAnsi="宋体" w:eastAsia="仿宋_GB2312" w:cs="宋体"/>
          <w:kern w:val="0"/>
          <w:sz w:val="32"/>
          <w:szCs w:val="32"/>
        </w:rPr>
        <w:t xml:space="preserve">　  </w:t>
      </w:r>
      <w:r>
        <w:rPr>
          <w:rFonts w:hint="eastAsia" w:ascii="黑体" w:hAnsi="黑体" w:eastAsia="黑体" w:cs="宋体"/>
          <w:bCs/>
          <w:kern w:val="0"/>
          <w:sz w:val="32"/>
          <w:szCs w:val="32"/>
        </w:rPr>
        <w:t>一、主要职能</w:t>
      </w:r>
    </w:p>
    <w:p>
      <w:pPr>
        <w:widowControl/>
        <w:spacing w:line="560" w:lineRule="exact"/>
        <w:ind w:firstLine="640" w:firstLineChars="200"/>
        <w:jc w:val="left"/>
        <w:rPr>
          <w:rFonts w:ascii="仿宋_GB2312" w:hAnsi="宋体" w:eastAsia="仿宋_GB2312"/>
          <w:color w:val="000000"/>
          <w:sz w:val="32"/>
          <w:szCs w:val="32"/>
        </w:rPr>
      </w:pPr>
      <w:r>
        <w:rPr>
          <w:rFonts w:hint="eastAsia" w:ascii="仿宋_GB2312" w:hAnsi="仿宋" w:eastAsia="仿宋_GB2312"/>
          <w:sz w:val="32"/>
          <w:szCs w:val="32"/>
        </w:rPr>
        <w:t>为农产品质量安全提供检验检测服务保障、种子质量的检验检测、农产品的检验检测、农药质量的检验检测、委托检验、技术咨询、技术服务工作。</w:t>
      </w:r>
    </w:p>
    <w:p>
      <w:pPr>
        <w:widowControl/>
        <w:spacing w:line="560" w:lineRule="exact"/>
        <w:ind w:firstLine="645"/>
        <w:jc w:val="left"/>
        <w:rPr>
          <w:rFonts w:hint="eastAsia" w:ascii="黑体" w:hAnsi="黑体" w:eastAsia="黑体" w:cs="宋体"/>
          <w:bCs/>
          <w:kern w:val="0"/>
          <w:sz w:val="32"/>
          <w:szCs w:val="32"/>
        </w:rPr>
      </w:pPr>
      <w:r>
        <w:rPr>
          <w:rFonts w:hint="eastAsia" w:ascii="黑体" w:hAnsi="黑体" w:eastAsia="黑体" w:cs="宋体"/>
          <w:bCs/>
          <w:kern w:val="0"/>
          <w:sz w:val="32"/>
          <w:szCs w:val="32"/>
        </w:rPr>
        <w:t>二、机构设置及人员情况</w:t>
      </w:r>
    </w:p>
    <w:p>
      <w:pPr>
        <w:widowControl/>
        <w:spacing w:line="560" w:lineRule="exact"/>
        <w:ind w:firstLine="645"/>
        <w:jc w:val="left"/>
        <w:rPr>
          <w:rFonts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农产品检验检测中心</w:t>
      </w:r>
      <w:r>
        <w:rPr>
          <w:rFonts w:hint="eastAsia" w:ascii="仿宋_GB2312" w:hAnsi="黑体" w:eastAsia="仿宋_GB2312" w:cs="宋体"/>
          <w:bCs/>
          <w:kern w:val="0"/>
          <w:sz w:val="32"/>
          <w:szCs w:val="32"/>
        </w:rPr>
        <w:t>无下属预算单位，下设4个处室，分别是：</w:t>
      </w:r>
      <w:r>
        <w:rPr>
          <w:rFonts w:hint="eastAsia" w:ascii="仿宋_GB2312" w:hAnsi="仿宋" w:eastAsia="仿宋_GB2312"/>
          <w:sz w:val="32"/>
          <w:szCs w:val="32"/>
        </w:rPr>
        <w:t>综合科、绿色食品发展科、项目管理和质量控制科、实验室</w:t>
      </w:r>
      <w:r>
        <w:rPr>
          <w:rFonts w:hint="eastAsia" w:ascii="仿宋_GB2312" w:hAnsi="宋体" w:eastAsia="仿宋_GB2312" w:cs="宋体"/>
          <w:kern w:val="0"/>
          <w:sz w:val="32"/>
          <w:szCs w:val="32"/>
        </w:rPr>
        <w:t>。</w:t>
      </w:r>
    </w:p>
    <w:p>
      <w:pPr>
        <w:widowControl/>
        <w:spacing w:line="560" w:lineRule="exact"/>
        <w:ind w:firstLine="640"/>
        <w:jc w:val="left"/>
        <w:rPr>
          <w:rFonts w:hint="eastAsia" w:ascii="仿宋_GB2312" w:hAnsi="宋体" w:eastAsia="仿宋_GB2312" w:cs="宋体"/>
          <w:kern w:val="0"/>
          <w:sz w:val="32"/>
          <w:szCs w:val="32"/>
        </w:rPr>
      </w:pPr>
      <w:r>
        <w:rPr>
          <w:rFonts w:hint="eastAsia" w:ascii="仿宋_GB2312" w:hAnsi="宋体" w:eastAsia="仿宋_GB2312" w:cs="宋体"/>
          <w:kern w:val="0"/>
          <w:sz w:val="32"/>
          <w:szCs w:val="32"/>
        </w:rPr>
        <w:t>昌吉州</w:t>
      </w:r>
      <w:r>
        <w:rPr>
          <w:rFonts w:hint="eastAsia" w:ascii="仿宋_GB2312" w:hAnsi="宋体" w:eastAsia="仿宋_GB2312"/>
          <w:kern w:val="0"/>
          <w:sz w:val="32"/>
          <w:szCs w:val="32"/>
        </w:rPr>
        <w:t>农产品检验检测中心</w:t>
      </w:r>
      <w:r>
        <w:rPr>
          <w:rFonts w:hint="eastAsia" w:ascii="仿宋_GB2312" w:hAnsi="宋体" w:eastAsia="仿宋_GB2312" w:cs="宋体"/>
          <w:kern w:val="0"/>
          <w:sz w:val="32"/>
          <w:szCs w:val="32"/>
        </w:rPr>
        <w:t>编制数19，实有人数</w:t>
      </w:r>
      <w:r>
        <w:rPr>
          <w:rFonts w:hint="eastAsia" w:ascii="仿宋_GB2312" w:hAnsi="宋体" w:eastAsia="仿宋_GB2312" w:cs="宋体"/>
          <w:kern w:val="0"/>
          <w:sz w:val="32"/>
          <w:szCs w:val="32"/>
          <w:lang w:val="en-US" w:eastAsia="zh-CN"/>
        </w:rPr>
        <w:t>27</w:t>
      </w:r>
      <w:r>
        <w:rPr>
          <w:rFonts w:hint="eastAsia" w:ascii="仿宋_GB2312" w:hAnsi="宋体" w:eastAsia="仿宋_GB2312" w:cs="宋体"/>
          <w:kern w:val="0"/>
          <w:sz w:val="32"/>
          <w:szCs w:val="32"/>
        </w:rPr>
        <w:t>人，其中：在职18人，增加0人； 退休9人，增加0人；离休0人，增加0人。</w:t>
      </w: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hint="eastAsia" w:ascii="仿宋_GB2312" w:hAnsi="宋体" w:eastAsia="仿宋_GB2312" w:cs="宋体"/>
          <w:kern w:val="0"/>
          <w:sz w:val="32"/>
          <w:szCs w:val="32"/>
        </w:rPr>
      </w:pPr>
    </w:p>
    <w:p>
      <w:pPr>
        <w:widowControl/>
        <w:spacing w:line="560" w:lineRule="exact"/>
        <w:ind w:firstLine="640"/>
        <w:jc w:val="left"/>
        <w:rPr>
          <w:rFonts w:ascii="仿宋_GB2312" w:hAnsi="宋体" w:eastAsia="仿宋_GB2312" w:cs="宋体"/>
          <w:kern w:val="0"/>
          <w:sz w:val="32"/>
          <w:szCs w:val="32"/>
        </w:rPr>
      </w:pPr>
    </w:p>
    <w:p>
      <w:pPr>
        <w:widowControl/>
        <w:spacing w:line="480" w:lineRule="exact"/>
        <w:jc w:val="left"/>
        <w:rPr>
          <w:rFonts w:ascii="仿宋_GB2312" w:hAnsi="宋体" w:eastAsia="仿宋_GB2312" w:cs="宋体"/>
          <w:kern w:val="0"/>
          <w:sz w:val="32"/>
          <w:szCs w:val="32"/>
        </w:rPr>
      </w:pPr>
    </w:p>
    <w:p>
      <w:pPr>
        <w:widowControl/>
        <w:spacing w:line="280" w:lineRule="exact"/>
        <w:jc w:val="center"/>
        <w:outlineLvl w:val="1"/>
        <w:rPr>
          <w:rFonts w:ascii="黑体" w:hAnsi="黑体" w:eastAsia="黑体"/>
          <w:kern w:val="0"/>
          <w:sz w:val="32"/>
          <w:szCs w:val="32"/>
        </w:rPr>
      </w:pPr>
    </w:p>
    <w:p>
      <w:pPr>
        <w:widowControl/>
        <w:spacing w:line="440" w:lineRule="exact"/>
        <w:jc w:val="center"/>
        <w:outlineLvl w:val="1"/>
        <w:rPr>
          <w:rFonts w:ascii="黑体" w:hAnsi="黑体" w:eastAsia="黑体"/>
          <w:kern w:val="0"/>
          <w:sz w:val="32"/>
          <w:szCs w:val="32"/>
        </w:rPr>
      </w:pPr>
      <w:r>
        <w:rPr>
          <w:rFonts w:hint="eastAsia" w:ascii="黑体" w:hAnsi="黑体" w:eastAsia="黑体"/>
          <w:kern w:val="0"/>
          <w:sz w:val="32"/>
          <w:szCs w:val="32"/>
        </w:rPr>
        <w:t>第二部分  2021年部门（单位）预算公开表</w:t>
      </w:r>
    </w:p>
    <w:p>
      <w:pPr>
        <w:widowControl/>
        <w:spacing w:line="44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表一：</w:t>
      </w:r>
    </w:p>
    <w:p>
      <w:pPr>
        <w:widowControl/>
        <w:spacing w:line="44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部门（单位）收支总体情况表</w:t>
      </w:r>
    </w:p>
    <w:p>
      <w:pPr>
        <w:widowControl/>
        <w:spacing w:line="440" w:lineRule="exact"/>
        <w:outlineLvl w:val="1"/>
        <w:rPr>
          <w:rFonts w:ascii="仿宋_GB2312" w:hAnsi="宋体" w:eastAsia="仿宋_GB2312"/>
          <w:kern w:val="0"/>
          <w:sz w:val="24"/>
        </w:rPr>
      </w:pPr>
      <w:r>
        <w:rPr>
          <w:rFonts w:hint="eastAsia" w:ascii="仿宋_GB2312" w:hAnsi="宋体" w:eastAsia="仿宋_GB2312"/>
          <w:kern w:val="0"/>
          <w:sz w:val="24"/>
        </w:rPr>
        <w:t>编制部门（单位）： 昌吉州农产品检验检测中心                 单位：万元</w:t>
      </w:r>
    </w:p>
    <w:tbl>
      <w:tblPr>
        <w:tblStyle w:val="8"/>
        <w:tblW w:w="8662" w:type="dxa"/>
        <w:tblInd w:w="93" w:type="dxa"/>
        <w:tblLayout w:type="fixed"/>
        <w:tblCellMar>
          <w:top w:w="0" w:type="dxa"/>
          <w:left w:w="108" w:type="dxa"/>
          <w:bottom w:w="0" w:type="dxa"/>
          <w:right w:w="108" w:type="dxa"/>
        </w:tblCellMar>
      </w:tblPr>
      <w:tblGrid>
        <w:gridCol w:w="2425"/>
        <w:gridCol w:w="1418"/>
        <w:gridCol w:w="3260"/>
        <w:gridCol w:w="1559"/>
      </w:tblGrid>
      <w:tr>
        <w:tblPrEx>
          <w:tblLayout w:type="fixed"/>
          <w:tblCellMar>
            <w:top w:w="0" w:type="dxa"/>
            <w:left w:w="108" w:type="dxa"/>
            <w:bottom w:w="0" w:type="dxa"/>
            <w:right w:w="108" w:type="dxa"/>
          </w:tblCellMar>
        </w:tblPrEx>
        <w:trPr>
          <w:trHeight w:val="360" w:hRule="atLeast"/>
        </w:trPr>
        <w:tc>
          <w:tcPr>
            <w:tcW w:w="3843" w:type="dxa"/>
            <w:gridSpan w:val="2"/>
            <w:tcBorders>
              <w:top w:val="single" w:color="auto" w:sz="4" w:space="0"/>
              <w:left w:val="single" w:color="auto" w:sz="4" w:space="0"/>
              <w:bottom w:val="single" w:color="auto" w:sz="4" w:space="0"/>
              <w:right w:val="single" w:color="000000"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收     入</w:t>
            </w:r>
          </w:p>
        </w:tc>
        <w:tc>
          <w:tcPr>
            <w:tcW w:w="4819" w:type="dxa"/>
            <w:gridSpan w:val="2"/>
            <w:tcBorders>
              <w:top w:val="single" w:color="auto" w:sz="4" w:space="0"/>
              <w:left w:val="nil"/>
              <w:bottom w:val="single" w:color="auto" w:sz="4" w:space="0"/>
              <w:right w:val="single" w:color="auto" w:sz="4" w:space="0"/>
            </w:tcBorders>
            <w:vAlign w:val="bottom"/>
          </w:tcPr>
          <w:p>
            <w:pPr>
              <w:widowControl/>
              <w:spacing w:line="280" w:lineRule="exact"/>
              <w:jc w:val="center"/>
              <w:rPr>
                <w:rFonts w:ascii="仿宋_GB2312" w:hAnsi="宋体" w:eastAsia="仿宋_GB2312" w:cs="宋体"/>
                <w:b/>
                <w:bCs/>
                <w:kern w:val="0"/>
                <w:sz w:val="18"/>
                <w:szCs w:val="18"/>
              </w:rPr>
            </w:pPr>
            <w:r>
              <w:rPr>
                <w:rFonts w:hint="eastAsia" w:ascii="仿宋_GB2312" w:hAnsi="宋体" w:eastAsia="仿宋_GB2312" w:cs="宋体"/>
                <w:b/>
                <w:bCs/>
                <w:kern w:val="0"/>
                <w:sz w:val="18"/>
                <w:szCs w:val="18"/>
              </w:rPr>
              <w:t>支     出</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项     目</w:t>
            </w:r>
          </w:p>
        </w:tc>
        <w:tc>
          <w:tcPr>
            <w:tcW w:w="141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c>
          <w:tcPr>
            <w:tcW w:w="326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功能分类</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18"/>
                <w:szCs w:val="18"/>
              </w:rPr>
            </w:pPr>
            <w:r>
              <w:rPr>
                <w:rFonts w:hint="eastAsia" w:ascii="仿宋_GB2312" w:hAnsi="宋体" w:eastAsia="仿宋_GB2312" w:cs="宋体"/>
                <w:b/>
                <w:kern w:val="0"/>
                <w:sz w:val="18"/>
                <w:szCs w:val="18"/>
              </w:rPr>
              <w:t>预算数</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295.89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一般公共预算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295.89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政府性基金预算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教育收费（财政专户）</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事业单位经营收入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单位其他资金收入</w:t>
            </w:r>
          </w:p>
        </w:tc>
        <w:tc>
          <w:tcPr>
            <w:tcW w:w="1418"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25.68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29.26</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240.95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single" w:color="auto" w:sz="4" w:space="0"/>
            </w:tcBorders>
            <w:vAlign w:val="bottom"/>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418"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3260" w:type="dxa"/>
            <w:tcBorders>
              <w:top w:val="nil"/>
              <w:left w:val="nil"/>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color w:val="000000"/>
                <w:sz w:val="18"/>
                <w:szCs w:val="18"/>
              </w:rPr>
            </w:pPr>
            <w:r>
              <w:rPr>
                <w:rFonts w:hint="eastAsia" w:ascii="仿宋_GB2312" w:hAnsi="宋体" w:eastAsia="仿宋_GB2312" w:cs="宋体"/>
                <w:color w:val="000000"/>
                <w:kern w:val="0"/>
                <w:sz w:val="18"/>
                <w:szCs w:val="18"/>
                <w:lang w:bidi="ar"/>
              </w:rPr>
              <w:t>234 抗疫特别国债还本支出</w:t>
            </w: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trHeight w:val="312" w:hRule="exact"/>
        </w:trPr>
        <w:tc>
          <w:tcPr>
            <w:tcW w:w="2425" w:type="dxa"/>
            <w:tcBorders>
              <w:top w:val="nil"/>
              <w:left w:val="single" w:color="auto" w:sz="4" w:space="0"/>
              <w:bottom w:val="single" w:color="auto" w:sz="4" w:space="0"/>
              <w:right w:val="nil"/>
            </w:tcBorders>
            <w:vAlign w:val="center"/>
          </w:tcPr>
          <w:p>
            <w:pPr>
              <w:widowControl/>
              <w:spacing w:line="280" w:lineRule="exact"/>
              <w:jc w:val="left"/>
              <w:rPr>
                <w:rFonts w:ascii="仿宋_GB2312" w:hAnsi="宋体" w:eastAsia="仿宋_GB2312" w:cs="宋体"/>
                <w:kern w:val="0"/>
                <w:sz w:val="18"/>
                <w:szCs w:val="18"/>
              </w:rPr>
            </w:pP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3260" w:type="dxa"/>
            <w:tcBorders>
              <w:top w:val="nil"/>
              <w:left w:val="nil"/>
              <w:bottom w:val="single" w:color="auto" w:sz="4" w:space="0"/>
              <w:right w:val="single" w:color="auto" w:sz="4" w:space="0"/>
            </w:tcBorders>
            <w:vAlign w:val="center"/>
          </w:tcPr>
          <w:p>
            <w:pPr>
              <w:widowControl/>
              <w:spacing w:line="280" w:lineRule="exact"/>
              <w:jc w:val="left"/>
              <w:textAlignment w:val="center"/>
              <w:rPr>
                <w:rFonts w:ascii="仿宋_GB2312" w:hAnsi="宋体" w:eastAsia="仿宋_GB2312" w:cs="宋体"/>
                <w:kern w:val="0"/>
                <w:sz w:val="18"/>
                <w:szCs w:val="18"/>
                <w:lang w:bidi="ar"/>
              </w:rPr>
            </w:pPr>
          </w:p>
        </w:tc>
        <w:tc>
          <w:tcPr>
            <w:tcW w:w="1559"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65" w:hRule="atLeast"/>
        </w:trPr>
        <w:tc>
          <w:tcPr>
            <w:tcW w:w="2425" w:type="dxa"/>
            <w:tcBorders>
              <w:top w:val="nil"/>
              <w:left w:val="single" w:color="auto" w:sz="4" w:space="0"/>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418"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295.89</w:t>
            </w:r>
          </w:p>
        </w:tc>
        <w:tc>
          <w:tcPr>
            <w:tcW w:w="3260" w:type="dxa"/>
            <w:tcBorders>
              <w:top w:val="nil"/>
              <w:left w:val="nil"/>
              <w:bottom w:val="single" w:color="auto" w:sz="4" w:space="0"/>
              <w:right w:val="nil"/>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1559" w:type="dxa"/>
            <w:tcBorders>
              <w:top w:val="nil"/>
              <w:left w:val="single" w:color="auto" w:sz="4" w:space="0"/>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295.89</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表二：</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部门（单位）收入总体情况表</w:t>
      </w: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编制部门（单位）：昌吉州农产品检验检测中心                      单位：万元</w:t>
      </w:r>
    </w:p>
    <w:tbl>
      <w:tblPr>
        <w:tblStyle w:val="8"/>
        <w:tblW w:w="9775" w:type="dxa"/>
        <w:tblInd w:w="-450" w:type="dxa"/>
        <w:tblLayout w:type="fixed"/>
        <w:tblCellMar>
          <w:top w:w="0" w:type="dxa"/>
          <w:left w:w="108" w:type="dxa"/>
          <w:bottom w:w="0" w:type="dxa"/>
          <w:right w:w="108" w:type="dxa"/>
        </w:tblCellMar>
      </w:tblPr>
      <w:tblGrid>
        <w:gridCol w:w="560"/>
        <w:gridCol w:w="427"/>
        <w:gridCol w:w="570"/>
        <w:gridCol w:w="1852"/>
        <w:gridCol w:w="1022"/>
        <w:gridCol w:w="853"/>
        <w:gridCol w:w="711"/>
        <w:gridCol w:w="798"/>
        <w:gridCol w:w="924"/>
        <w:gridCol w:w="662"/>
        <w:gridCol w:w="710"/>
        <w:gridCol w:w="686"/>
      </w:tblGrid>
      <w:tr>
        <w:tblPrEx>
          <w:tblLayout w:type="fixed"/>
          <w:tblCellMar>
            <w:top w:w="0" w:type="dxa"/>
            <w:left w:w="108" w:type="dxa"/>
            <w:bottom w:w="0" w:type="dxa"/>
            <w:right w:w="108" w:type="dxa"/>
          </w:tblCellMar>
        </w:tblPrEx>
        <w:trPr>
          <w:trHeight w:val="538" w:hRule="atLeast"/>
        </w:trPr>
        <w:tc>
          <w:tcPr>
            <w:tcW w:w="1557"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功能分类科目编码</w:t>
            </w:r>
          </w:p>
        </w:tc>
        <w:tc>
          <w:tcPr>
            <w:tcW w:w="185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功能分类科目名称</w:t>
            </w:r>
          </w:p>
        </w:tc>
        <w:tc>
          <w:tcPr>
            <w:tcW w:w="102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总  计</w:t>
            </w:r>
          </w:p>
        </w:tc>
        <w:tc>
          <w:tcPr>
            <w:tcW w:w="853"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一般公共预算拨款</w:t>
            </w:r>
          </w:p>
        </w:tc>
        <w:tc>
          <w:tcPr>
            <w:tcW w:w="711"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政府性基金预算拨款</w:t>
            </w:r>
          </w:p>
        </w:tc>
        <w:tc>
          <w:tcPr>
            <w:tcW w:w="798"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国有资本经营预算</w:t>
            </w:r>
          </w:p>
        </w:tc>
        <w:tc>
          <w:tcPr>
            <w:tcW w:w="924"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财政专户（教育收费）</w:t>
            </w:r>
          </w:p>
        </w:tc>
        <w:tc>
          <w:tcPr>
            <w:tcW w:w="662"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事业收入</w:t>
            </w:r>
          </w:p>
        </w:tc>
        <w:tc>
          <w:tcPr>
            <w:tcW w:w="710"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事业单位经营收入</w:t>
            </w:r>
          </w:p>
        </w:tc>
        <w:tc>
          <w:tcPr>
            <w:tcW w:w="686" w:type="dxa"/>
            <w:vMerge w:val="restart"/>
            <w:tcBorders>
              <w:top w:val="single" w:color="auto" w:sz="4" w:space="0"/>
              <w:left w:val="single" w:color="auto" w:sz="4" w:space="0"/>
              <w:bottom w:val="single" w:color="000000"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单位其他资金收入</w:t>
            </w:r>
          </w:p>
        </w:tc>
      </w:tr>
      <w:tr>
        <w:tblPrEx>
          <w:tblLayout w:type="fixed"/>
          <w:tblCellMar>
            <w:top w:w="0" w:type="dxa"/>
            <w:left w:w="108" w:type="dxa"/>
            <w:bottom w:w="0" w:type="dxa"/>
            <w:right w:w="108" w:type="dxa"/>
          </w:tblCellMar>
        </w:tblPrEx>
        <w:trPr>
          <w:trHeight w:val="1945"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类</w:t>
            </w: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款</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b/>
                <w:color w:val="000000"/>
                <w:sz w:val="18"/>
                <w:szCs w:val="18"/>
              </w:rPr>
            </w:pPr>
            <w:r>
              <w:rPr>
                <w:rFonts w:hint="eastAsia" w:ascii="仿宋_GB2312" w:eastAsia="仿宋_GB2312"/>
                <w:b/>
                <w:color w:val="000000"/>
                <w:sz w:val="18"/>
                <w:szCs w:val="18"/>
              </w:rPr>
              <w:t>项</w:t>
            </w:r>
          </w:p>
        </w:tc>
        <w:tc>
          <w:tcPr>
            <w:tcW w:w="185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102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853"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11"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98"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924"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62"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710"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c>
          <w:tcPr>
            <w:tcW w:w="686" w:type="dxa"/>
            <w:vMerge w:val="continue"/>
            <w:tcBorders>
              <w:top w:val="single" w:color="auto" w:sz="4" w:space="0"/>
              <w:left w:val="single" w:color="auto" w:sz="4" w:space="0"/>
              <w:bottom w:val="single" w:color="000000" w:sz="4" w:space="0"/>
              <w:right w:val="single" w:color="auto" w:sz="4" w:space="0"/>
            </w:tcBorders>
            <w:vAlign w:val="center"/>
          </w:tcPr>
          <w:p>
            <w:pPr>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73" w:hRule="atLeast"/>
        </w:trPr>
        <w:tc>
          <w:tcPr>
            <w:tcW w:w="560" w:type="dxa"/>
            <w:tcBorders>
              <w:top w:val="nil"/>
              <w:left w:val="single" w:color="auto" w:sz="4" w:space="0"/>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208</w:t>
            </w:r>
          </w:p>
        </w:tc>
        <w:tc>
          <w:tcPr>
            <w:tcW w:w="427"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社会保障和就业支出</w:t>
            </w:r>
          </w:p>
        </w:tc>
        <w:tc>
          <w:tcPr>
            <w:tcW w:w="102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25.68</w:t>
            </w:r>
          </w:p>
        </w:tc>
        <w:tc>
          <w:tcPr>
            <w:tcW w:w="853"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25.68</w:t>
            </w:r>
          </w:p>
        </w:tc>
        <w:tc>
          <w:tcPr>
            <w:tcW w:w="71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73" w:hRule="atLeast"/>
        </w:trPr>
        <w:tc>
          <w:tcPr>
            <w:tcW w:w="560" w:type="dxa"/>
            <w:tcBorders>
              <w:top w:val="nil"/>
              <w:left w:val="single" w:color="auto" w:sz="4" w:space="0"/>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208</w:t>
            </w:r>
          </w:p>
        </w:tc>
        <w:tc>
          <w:tcPr>
            <w:tcW w:w="427"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05</w:t>
            </w:r>
          </w:p>
        </w:tc>
        <w:tc>
          <w:tcPr>
            <w:tcW w:w="570" w:type="dxa"/>
            <w:tcBorders>
              <w:top w:val="nil"/>
              <w:left w:val="nil"/>
              <w:bottom w:val="single" w:color="auto" w:sz="4" w:space="0"/>
              <w:right w:val="single" w:color="auto" w:sz="4" w:space="0"/>
            </w:tcBorders>
            <w:shd w:val="clear" w:color="auto" w:fill="auto"/>
            <w:vAlign w:val="top"/>
          </w:tcPr>
          <w:p>
            <w:pPr>
              <w:widowControl/>
              <w:spacing w:line="280" w:lineRule="exact"/>
              <w:jc w:val="center"/>
              <w:rPr>
                <w:rFonts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shd w:val="clear" w:color="auto" w:fill="auto"/>
            <w:vAlign w:val="center"/>
          </w:tcPr>
          <w:p>
            <w:pPr>
              <w:keepNext w:val="0"/>
              <w:keepLines w:val="0"/>
              <w:widowControl/>
              <w:suppressLineNumbers w:val="0"/>
              <w:jc w:val="left"/>
              <w:textAlignment w:val="center"/>
              <w:rPr>
                <w:rFonts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行政事业单位养老支出</w:t>
            </w:r>
          </w:p>
        </w:tc>
        <w:tc>
          <w:tcPr>
            <w:tcW w:w="102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25.68</w:t>
            </w:r>
          </w:p>
        </w:tc>
        <w:tc>
          <w:tcPr>
            <w:tcW w:w="853"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25.68</w:t>
            </w:r>
          </w:p>
        </w:tc>
        <w:tc>
          <w:tcPr>
            <w:tcW w:w="711"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shd w:val="clear" w:color="000000" w:fill="FFFFFF"/>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2"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208</w:t>
            </w: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05</w:t>
            </w:r>
          </w:p>
        </w:tc>
        <w:tc>
          <w:tcPr>
            <w:tcW w:w="1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机关事业单位基本养老保险缴费支出</w:t>
            </w: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25.68</w:t>
            </w: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25.68</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210</w:t>
            </w:r>
          </w:p>
        </w:tc>
        <w:tc>
          <w:tcPr>
            <w:tcW w:w="427"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卫生健康支出</w:t>
            </w:r>
          </w:p>
        </w:tc>
        <w:tc>
          <w:tcPr>
            <w:tcW w:w="1022"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29.26</w:t>
            </w:r>
          </w:p>
        </w:tc>
        <w:tc>
          <w:tcPr>
            <w:tcW w:w="8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29.26</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73" w:hRule="atLeast"/>
        </w:trPr>
        <w:tc>
          <w:tcPr>
            <w:tcW w:w="560" w:type="dxa"/>
            <w:tcBorders>
              <w:top w:val="nil"/>
              <w:left w:val="single" w:color="auto" w:sz="4" w:space="0"/>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210</w:t>
            </w:r>
          </w:p>
        </w:tc>
        <w:tc>
          <w:tcPr>
            <w:tcW w:w="427"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sz w:val="18"/>
                <w:szCs w:val="18"/>
              </w:rPr>
            </w:pPr>
            <w:r>
              <w:rPr>
                <w:rFonts w:hint="eastAsia" w:ascii="仿宋_GB2312" w:hAnsi="宋体" w:eastAsia="仿宋_GB2312" w:cs="宋体"/>
                <w:bCs/>
                <w:color w:val="000000"/>
                <w:kern w:val="0"/>
                <w:sz w:val="18"/>
                <w:szCs w:val="18"/>
                <w:lang w:val="en-US" w:eastAsia="zh-CN"/>
              </w:rPr>
              <w:t>11</w:t>
            </w:r>
          </w:p>
        </w:tc>
        <w:tc>
          <w:tcPr>
            <w:tcW w:w="570"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sz w:val="18"/>
                <w:szCs w:val="18"/>
              </w:rPr>
            </w:pPr>
            <w:r>
              <w:rPr>
                <w:rFonts w:hint="eastAsia" w:ascii="仿宋" w:hAnsi="仿宋" w:eastAsia="仿宋" w:cs="仿宋"/>
                <w:i w:val="0"/>
                <w:color w:val="000000"/>
                <w:kern w:val="0"/>
                <w:sz w:val="21"/>
                <w:szCs w:val="21"/>
                <w:u w:val="none"/>
                <w:lang w:val="en-US" w:eastAsia="zh-CN" w:bidi="ar"/>
              </w:rPr>
              <w:t>行政事业单位医疗</w:t>
            </w:r>
          </w:p>
        </w:tc>
        <w:tc>
          <w:tcPr>
            <w:tcW w:w="1022"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29.26</w:t>
            </w:r>
          </w:p>
        </w:tc>
        <w:tc>
          <w:tcPr>
            <w:tcW w:w="8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29.26</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02</w:t>
            </w:r>
          </w:p>
        </w:tc>
        <w:tc>
          <w:tcPr>
            <w:tcW w:w="1852" w:type="dxa"/>
            <w:tcBorders>
              <w:top w:val="nil"/>
              <w:left w:val="nil"/>
              <w:bottom w:val="single" w:color="auto" w:sz="4" w:space="0"/>
              <w:right w:val="single" w:color="auto" w:sz="4" w:space="0"/>
            </w:tcBorders>
            <w:vAlign w:val="center"/>
          </w:tcPr>
          <w:p>
            <w:pPr>
              <w:tabs>
                <w:tab w:val="left" w:pos="324"/>
              </w:tabs>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事业单位医疗</w:t>
            </w: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21.57</w:t>
            </w: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21.57</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03</w:t>
            </w:r>
          </w:p>
        </w:tc>
        <w:tc>
          <w:tcPr>
            <w:tcW w:w="1852" w:type="dxa"/>
            <w:tcBorders>
              <w:top w:val="nil"/>
              <w:left w:val="nil"/>
              <w:bottom w:val="single" w:color="auto" w:sz="4" w:space="0"/>
              <w:right w:val="single" w:color="auto" w:sz="4" w:space="0"/>
            </w:tcBorders>
            <w:vAlign w:val="center"/>
          </w:tcPr>
          <w:p>
            <w:pPr>
              <w:tabs>
                <w:tab w:val="left" w:pos="249"/>
              </w:tabs>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公务员医疗补助</w:t>
            </w: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6.92</w:t>
            </w: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6.92</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2"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210</w:t>
            </w: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11</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1852" w:type="dxa"/>
            <w:tcBorders>
              <w:top w:val="nil"/>
              <w:left w:val="nil"/>
              <w:bottom w:val="single" w:color="auto" w:sz="4" w:space="0"/>
              <w:right w:val="single" w:color="auto" w:sz="4" w:space="0"/>
            </w:tcBorders>
            <w:vAlign w:val="center"/>
          </w:tcPr>
          <w:p>
            <w:pPr>
              <w:tabs>
                <w:tab w:val="left" w:pos="429"/>
              </w:tabs>
              <w:ind w:left="360" w:hanging="360" w:hangingChars="200"/>
              <w:jc w:val="left"/>
              <w:rPr>
                <w:rFonts w:ascii="仿宋_GB2312" w:hAnsi="宋体" w:eastAsia="仿宋_GB2312" w:cs="宋体"/>
                <w:color w:val="000000"/>
                <w:sz w:val="18"/>
                <w:szCs w:val="18"/>
              </w:rPr>
            </w:pPr>
            <w:r>
              <w:rPr>
                <w:rFonts w:hint="eastAsia" w:ascii="仿宋_GB2312" w:hAnsi="宋体" w:eastAsia="仿宋_GB2312" w:cs="宋体"/>
                <w:color w:val="000000"/>
                <w:sz w:val="18"/>
                <w:szCs w:val="18"/>
              </w:rPr>
              <w:t>其他行政事业单位医疗支出</w:t>
            </w: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0.77</w:t>
            </w: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0.77</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bCs/>
                <w:color w:val="000000"/>
                <w:kern w:val="0"/>
                <w:sz w:val="18"/>
                <w:szCs w:val="18"/>
                <w:lang w:val="en-US" w:eastAsia="zh-CN"/>
              </w:rPr>
              <w:t>213</w:t>
            </w:r>
          </w:p>
        </w:tc>
        <w:tc>
          <w:tcPr>
            <w:tcW w:w="427"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kern w:val="2"/>
                <w:sz w:val="18"/>
                <w:szCs w:val="18"/>
                <w:lang w:val="en-US" w:eastAsia="zh-CN" w:bidi="ar-SA"/>
              </w:rPr>
            </w:pPr>
          </w:p>
        </w:tc>
        <w:tc>
          <w:tcPr>
            <w:tcW w:w="570"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kern w:val="2"/>
                <w:sz w:val="18"/>
                <w:szCs w:val="18"/>
                <w:lang w:val="en-US" w:eastAsia="zh-CN" w:bidi="ar-SA"/>
              </w:rPr>
            </w:pPr>
          </w:p>
        </w:tc>
        <w:tc>
          <w:tcPr>
            <w:tcW w:w="185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kern w:val="2"/>
                <w:sz w:val="18"/>
                <w:szCs w:val="18"/>
                <w:lang w:val="en-US" w:eastAsia="zh-CN" w:bidi="ar-SA"/>
              </w:rPr>
            </w:pPr>
            <w:r>
              <w:rPr>
                <w:rFonts w:hint="eastAsia" w:ascii="仿宋" w:hAnsi="仿宋" w:eastAsia="仿宋" w:cs="仿宋"/>
                <w:i w:val="0"/>
                <w:color w:val="000000"/>
                <w:kern w:val="0"/>
                <w:sz w:val="21"/>
                <w:szCs w:val="21"/>
                <w:u w:val="none"/>
                <w:lang w:val="en-US" w:eastAsia="zh-CN" w:bidi="ar"/>
              </w:rPr>
              <w:t>农林水支出</w:t>
            </w:r>
          </w:p>
        </w:tc>
        <w:tc>
          <w:tcPr>
            <w:tcW w:w="1022"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240.95</w:t>
            </w:r>
          </w:p>
        </w:tc>
        <w:tc>
          <w:tcPr>
            <w:tcW w:w="8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240.95</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bCs/>
                <w:color w:val="000000"/>
                <w:kern w:val="0"/>
                <w:sz w:val="18"/>
                <w:szCs w:val="18"/>
                <w:lang w:val="en-US" w:eastAsia="zh-CN"/>
              </w:rPr>
              <w:t>213</w:t>
            </w:r>
          </w:p>
        </w:tc>
        <w:tc>
          <w:tcPr>
            <w:tcW w:w="427"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bCs/>
                <w:color w:val="000000"/>
                <w:kern w:val="0"/>
                <w:sz w:val="18"/>
                <w:szCs w:val="18"/>
                <w:lang w:val="en-US" w:eastAsia="zh-CN"/>
              </w:rPr>
              <w:t>01</w:t>
            </w:r>
          </w:p>
        </w:tc>
        <w:tc>
          <w:tcPr>
            <w:tcW w:w="570" w:type="dxa"/>
            <w:tcBorders>
              <w:top w:val="nil"/>
              <w:left w:val="nil"/>
              <w:bottom w:val="single" w:color="auto" w:sz="4" w:space="0"/>
              <w:right w:val="single" w:color="auto" w:sz="4" w:space="0"/>
            </w:tcBorders>
            <w:vAlign w:val="top"/>
          </w:tcPr>
          <w:p>
            <w:pPr>
              <w:widowControl/>
              <w:spacing w:line="280" w:lineRule="exact"/>
              <w:jc w:val="center"/>
              <w:rPr>
                <w:rFonts w:hint="eastAsia" w:ascii="仿宋_GB2312" w:hAnsi="宋体" w:eastAsia="仿宋_GB2312" w:cs="宋体"/>
                <w:color w:val="000000"/>
                <w:kern w:val="2"/>
                <w:sz w:val="18"/>
                <w:szCs w:val="18"/>
                <w:lang w:val="en-US" w:eastAsia="zh-CN" w:bidi="ar-SA"/>
              </w:rPr>
            </w:pPr>
          </w:p>
        </w:tc>
        <w:tc>
          <w:tcPr>
            <w:tcW w:w="1852"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hint="eastAsia" w:ascii="仿宋_GB2312" w:hAnsi="宋体" w:eastAsia="仿宋_GB2312" w:cs="宋体"/>
                <w:color w:val="000000"/>
                <w:kern w:val="2"/>
                <w:sz w:val="18"/>
                <w:szCs w:val="18"/>
                <w:lang w:val="en-US" w:eastAsia="zh-CN" w:bidi="ar-SA"/>
              </w:rPr>
            </w:pPr>
            <w:r>
              <w:rPr>
                <w:rFonts w:hint="eastAsia" w:ascii="仿宋" w:hAnsi="仿宋" w:eastAsia="仿宋" w:cs="仿宋"/>
                <w:i w:val="0"/>
                <w:color w:val="000000"/>
                <w:kern w:val="0"/>
                <w:sz w:val="21"/>
                <w:szCs w:val="21"/>
                <w:u w:val="none"/>
                <w:lang w:val="en-US" w:eastAsia="zh-CN" w:bidi="ar"/>
              </w:rPr>
              <w:t>农业农村</w:t>
            </w:r>
          </w:p>
        </w:tc>
        <w:tc>
          <w:tcPr>
            <w:tcW w:w="1022" w:type="dxa"/>
            <w:tcBorders>
              <w:top w:val="nil"/>
              <w:left w:val="nil"/>
              <w:bottom w:val="single" w:color="auto" w:sz="4" w:space="0"/>
              <w:right w:val="single" w:color="auto" w:sz="4" w:space="0"/>
            </w:tcBorders>
            <w:vAlign w:val="center"/>
          </w:tcPr>
          <w:p>
            <w:pPr>
              <w:jc w:val="right"/>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240.95</w:t>
            </w:r>
          </w:p>
        </w:tc>
        <w:tc>
          <w:tcPr>
            <w:tcW w:w="8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sz w:val="18"/>
                <w:szCs w:val="18"/>
              </w:rPr>
            </w:pPr>
            <w:r>
              <w:rPr>
                <w:rFonts w:hint="eastAsia" w:ascii="仿宋_GB2312" w:hAnsi="宋体" w:eastAsia="仿宋_GB2312" w:cs="宋体"/>
                <w:color w:val="000000"/>
                <w:sz w:val="18"/>
                <w:szCs w:val="18"/>
                <w:lang w:val="en-US" w:eastAsia="zh-CN"/>
              </w:rPr>
              <w:t>240.95</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213</w:t>
            </w:r>
          </w:p>
        </w:tc>
        <w:tc>
          <w:tcPr>
            <w:tcW w:w="427"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01</w:t>
            </w:r>
          </w:p>
        </w:tc>
        <w:tc>
          <w:tcPr>
            <w:tcW w:w="570"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04</w:t>
            </w:r>
          </w:p>
        </w:tc>
        <w:tc>
          <w:tcPr>
            <w:tcW w:w="1852"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事业运行</w:t>
            </w:r>
          </w:p>
        </w:tc>
        <w:tc>
          <w:tcPr>
            <w:tcW w:w="1022"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230.95</w:t>
            </w:r>
          </w:p>
        </w:tc>
        <w:tc>
          <w:tcPr>
            <w:tcW w:w="853" w:type="dxa"/>
            <w:tcBorders>
              <w:top w:val="nil"/>
              <w:left w:val="nil"/>
              <w:bottom w:val="single" w:color="auto" w:sz="4" w:space="0"/>
              <w:right w:val="single" w:color="auto" w:sz="4" w:space="0"/>
            </w:tcBorders>
            <w:vAlign w:val="center"/>
          </w:tcPr>
          <w:p>
            <w:pPr>
              <w:jc w:val="right"/>
              <w:rPr>
                <w:rFonts w:hint="eastAsia" w:ascii="仿宋_GB2312" w:hAnsi="宋体" w:eastAsia="仿宋_GB2312" w:cs="宋体"/>
                <w:color w:val="000000"/>
                <w:kern w:val="2"/>
                <w:sz w:val="18"/>
                <w:szCs w:val="18"/>
                <w:lang w:val="en-US" w:eastAsia="zh-CN" w:bidi="ar-SA"/>
              </w:rPr>
            </w:pPr>
            <w:r>
              <w:rPr>
                <w:rFonts w:hint="eastAsia" w:ascii="仿宋_GB2312" w:hAnsi="宋体" w:eastAsia="仿宋_GB2312" w:cs="宋体"/>
                <w:color w:val="000000"/>
                <w:sz w:val="18"/>
                <w:szCs w:val="18"/>
              </w:rPr>
              <w:t>230.95</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2"/>
                <w:sz w:val="18"/>
                <w:szCs w:val="18"/>
                <w:lang w:val="en-US" w:eastAsia="zh-CN" w:bidi="ar-SA"/>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213</w:t>
            </w: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01</w:t>
            </w: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1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农产品质量安全</w:t>
            </w: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10</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49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r>
        <w:tblPrEx>
          <w:tblLayout w:type="fixed"/>
          <w:tblCellMar>
            <w:top w:w="0" w:type="dxa"/>
            <w:left w:w="108" w:type="dxa"/>
            <w:bottom w:w="0" w:type="dxa"/>
            <w:right w:w="108" w:type="dxa"/>
          </w:tblCellMar>
        </w:tblPrEx>
        <w:trPr>
          <w:trHeight w:val="501" w:hRule="atLeast"/>
        </w:trPr>
        <w:tc>
          <w:tcPr>
            <w:tcW w:w="560"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42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57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185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eastAsia="仿宋_GB2312"/>
                <w:b/>
                <w:bCs/>
                <w:color w:val="000000"/>
                <w:sz w:val="18"/>
                <w:szCs w:val="18"/>
              </w:rPr>
              <w:t>合  计</w:t>
            </w:r>
          </w:p>
        </w:tc>
        <w:tc>
          <w:tcPr>
            <w:tcW w:w="102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295.89</w:t>
            </w:r>
          </w:p>
        </w:tc>
        <w:tc>
          <w:tcPr>
            <w:tcW w:w="853"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r>
              <w:rPr>
                <w:rFonts w:hint="eastAsia" w:ascii="仿宋_GB2312" w:hAnsi="宋体" w:eastAsia="仿宋_GB2312" w:cs="宋体"/>
                <w:color w:val="000000"/>
                <w:sz w:val="18"/>
                <w:szCs w:val="18"/>
              </w:rPr>
              <w:t>295.89</w:t>
            </w:r>
          </w:p>
        </w:tc>
        <w:tc>
          <w:tcPr>
            <w:tcW w:w="711"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98"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924"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62"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710"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c>
          <w:tcPr>
            <w:tcW w:w="686" w:type="dxa"/>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sz w:val="18"/>
                <w:szCs w:val="18"/>
              </w:rPr>
            </w:pPr>
          </w:p>
        </w:tc>
      </w:tr>
    </w:tbl>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表三：</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部门（单位）支出总体情况表</w:t>
      </w:r>
    </w:p>
    <w:p>
      <w:pPr>
        <w:widowControl/>
        <w:spacing w:line="280" w:lineRule="exact"/>
        <w:jc w:val="center"/>
        <w:outlineLvl w:val="1"/>
        <w:rPr>
          <w:rFonts w:ascii="仿宋_GB2312" w:hAnsi="宋体" w:eastAsia="仿宋_GB2312"/>
          <w:b/>
          <w:kern w:val="0"/>
          <w:sz w:val="32"/>
          <w:szCs w:val="32"/>
        </w:rPr>
      </w:pPr>
    </w:p>
    <w:p>
      <w:pPr>
        <w:widowControl/>
        <w:spacing w:line="280" w:lineRule="exact"/>
        <w:jc w:val="left"/>
        <w:outlineLvl w:val="1"/>
        <w:rPr>
          <w:rFonts w:ascii="仿宋_GB2312" w:hAnsi="宋体" w:eastAsia="仿宋_GB2312"/>
          <w:kern w:val="0"/>
          <w:sz w:val="24"/>
        </w:rPr>
      </w:pPr>
      <w:r>
        <w:rPr>
          <w:rFonts w:hint="eastAsia" w:ascii="仿宋_GB2312" w:hAnsi="宋体" w:eastAsia="仿宋_GB2312"/>
          <w:kern w:val="0"/>
          <w:sz w:val="24"/>
        </w:rPr>
        <w:t>编制部门（单位）：昌吉州农产品检验检测中心                       单位：万元</w:t>
      </w:r>
    </w:p>
    <w:tbl>
      <w:tblPr>
        <w:tblStyle w:val="8"/>
        <w:tblW w:w="9420" w:type="dxa"/>
        <w:tblInd w:w="-240" w:type="dxa"/>
        <w:tblLayout w:type="fixed"/>
        <w:tblCellMar>
          <w:top w:w="0" w:type="dxa"/>
          <w:left w:w="108" w:type="dxa"/>
          <w:bottom w:w="0" w:type="dxa"/>
          <w:right w:w="108" w:type="dxa"/>
        </w:tblCellMar>
      </w:tblPr>
      <w:tblGrid>
        <w:gridCol w:w="618"/>
        <w:gridCol w:w="405"/>
        <w:gridCol w:w="705"/>
        <w:gridCol w:w="2077"/>
        <w:gridCol w:w="1855"/>
        <w:gridCol w:w="1856"/>
        <w:gridCol w:w="1904"/>
      </w:tblGrid>
      <w:tr>
        <w:tblPrEx>
          <w:tblLayout w:type="fixed"/>
          <w:tblCellMar>
            <w:top w:w="0" w:type="dxa"/>
            <w:left w:w="108" w:type="dxa"/>
            <w:bottom w:w="0" w:type="dxa"/>
            <w:right w:w="108" w:type="dxa"/>
          </w:tblCellMar>
        </w:tblPrEx>
        <w:trPr>
          <w:trHeight w:val="345" w:hRule="atLeast"/>
        </w:trPr>
        <w:tc>
          <w:tcPr>
            <w:tcW w:w="380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    目</w:t>
            </w:r>
          </w:p>
        </w:tc>
        <w:tc>
          <w:tcPr>
            <w:tcW w:w="5615" w:type="dxa"/>
            <w:gridSpan w:val="3"/>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支出预算</w:t>
            </w:r>
          </w:p>
        </w:tc>
      </w:tr>
      <w:tr>
        <w:tblPrEx>
          <w:tblLayout w:type="fixed"/>
          <w:tblCellMar>
            <w:top w:w="0" w:type="dxa"/>
            <w:left w:w="108" w:type="dxa"/>
            <w:bottom w:w="0" w:type="dxa"/>
            <w:right w:w="108" w:type="dxa"/>
          </w:tblCellMar>
        </w:tblPrEx>
        <w:trPr>
          <w:trHeight w:val="480" w:hRule="atLeast"/>
        </w:trPr>
        <w:tc>
          <w:tcPr>
            <w:tcW w:w="1728"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077"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功能分类科目名称</w:t>
            </w:r>
          </w:p>
        </w:tc>
        <w:tc>
          <w:tcPr>
            <w:tcW w:w="1855"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合  计</w:t>
            </w:r>
          </w:p>
        </w:tc>
        <w:tc>
          <w:tcPr>
            <w:tcW w:w="1856"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基本支出</w:t>
            </w:r>
          </w:p>
        </w:tc>
        <w:tc>
          <w:tcPr>
            <w:tcW w:w="190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项目支出</w:t>
            </w:r>
          </w:p>
        </w:tc>
      </w:tr>
      <w:tr>
        <w:tblPrEx>
          <w:tblLayout w:type="fixed"/>
          <w:tblCellMar>
            <w:top w:w="0" w:type="dxa"/>
            <w:left w:w="108" w:type="dxa"/>
            <w:bottom w:w="0" w:type="dxa"/>
            <w:right w:w="108" w:type="dxa"/>
          </w:tblCellMar>
        </w:tblPrEx>
        <w:trPr>
          <w:trHeight w:val="270" w:hRule="atLeast"/>
        </w:trPr>
        <w:tc>
          <w:tcPr>
            <w:tcW w:w="6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类</w:t>
            </w: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款</w:t>
            </w:r>
          </w:p>
        </w:tc>
        <w:tc>
          <w:tcPr>
            <w:tcW w:w="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项</w:t>
            </w:r>
          </w:p>
        </w:tc>
        <w:tc>
          <w:tcPr>
            <w:tcW w:w="2077"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5"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856"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c>
          <w:tcPr>
            <w:tcW w:w="190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color w:val="000000"/>
                <w:kern w:val="0"/>
                <w:sz w:val="21"/>
                <w:szCs w:val="21"/>
                <w:u w:val="none"/>
                <w:lang w:val="en-US" w:eastAsia="zh-CN" w:bidi="ar"/>
              </w:rPr>
              <w:t>社会保障和就业支出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25.68</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25.68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05</w:t>
            </w: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行政事业单位养老支出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25.68</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25.68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208</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05</w:t>
            </w: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25.68</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25.68</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color w:val="000000"/>
                <w:kern w:val="0"/>
                <w:sz w:val="21"/>
                <w:szCs w:val="21"/>
                <w:u w:val="none"/>
                <w:lang w:val="en-US" w:eastAsia="zh-CN" w:bidi="ar"/>
              </w:rPr>
              <w:t>卫生健康支出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29.26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29.26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11</w:t>
            </w: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Cs/>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29.26</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lang w:val="en-US" w:eastAsia="zh-CN"/>
              </w:rPr>
              <w:t>29.26</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02</w:t>
            </w:r>
          </w:p>
        </w:tc>
        <w:tc>
          <w:tcPr>
            <w:tcW w:w="2077" w:type="dxa"/>
            <w:tcBorders>
              <w:top w:val="nil"/>
              <w:left w:val="nil"/>
              <w:bottom w:val="single" w:color="auto" w:sz="4" w:space="0"/>
              <w:right w:val="single" w:color="auto" w:sz="4" w:space="0"/>
            </w:tcBorders>
            <w:vAlign w:val="center"/>
          </w:tcPr>
          <w:p>
            <w:pPr>
              <w:tabs>
                <w:tab w:val="left" w:pos="324"/>
              </w:tabs>
              <w:jc w:val="lef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事业单位医疗</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21.57</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Cs/>
                <w:color w:val="000000"/>
                <w:kern w:val="0"/>
                <w:sz w:val="18"/>
                <w:szCs w:val="18"/>
              </w:rPr>
            </w:pPr>
            <w:r>
              <w:rPr>
                <w:rFonts w:hint="eastAsia" w:ascii="仿宋_GB2312" w:hAnsi="宋体" w:eastAsia="仿宋_GB2312" w:cs="宋体"/>
                <w:color w:val="000000"/>
                <w:sz w:val="18"/>
                <w:szCs w:val="18"/>
              </w:rPr>
              <w:t>21.57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03</w:t>
            </w:r>
          </w:p>
        </w:tc>
        <w:tc>
          <w:tcPr>
            <w:tcW w:w="2077" w:type="dxa"/>
            <w:tcBorders>
              <w:top w:val="nil"/>
              <w:left w:val="nil"/>
              <w:bottom w:val="single" w:color="auto" w:sz="4" w:space="0"/>
              <w:right w:val="single" w:color="auto" w:sz="4" w:space="0"/>
            </w:tcBorders>
            <w:vAlign w:val="center"/>
          </w:tcPr>
          <w:p>
            <w:pPr>
              <w:tabs>
                <w:tab w:val="left" w:pos="249"/>
              </w:tabs>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公务员医疗补助</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6.92</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6.92</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210</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11</w:t>
            </w: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99</w:t>
            </w:r>
          </w:p>
        </w:tc>
        <w:tc>
          <w:tcPr>
            <w:tcW w:w="2077" w:type="dxa"/>
            <w:tcBorders>
              <w:top w:val="nil"/>
              <w:left w:val="nil"/>
              <w:bottom w:val="single" w:color="auto" w:sz="4" w:space="0"/>
              <w:right w:val="single" w:color="auto" w:sz="4" w:space="0"/>
            </w:tcBorders>
            <w:vAlign w:val="center"/>
          </w:tcPr>
          <w:p>
            <w:pPr>
              <w:tabs>
                <w:tab w:val="left" w:pos="429"/>
              </w:tabs>
              <w:ind w:left="360" w:leftChars="0" w:hanging="360" w:hangingChars="200"/>
              <w:jc w:val="lef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其他行政事业单位医疗支出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0.77</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0.77</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213</w:t>
            </w: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color w:val="000000"/>
                <w:kern w:val="0"/>
                <w:sz w:val="21"/>
                <w:szCs w:val="21"/>
                <w:u w:val="none"/>
                <w:lang w:val="en-US" w:eastAsia="zh-CN" w:bidi="ar"/>
              </w:rPr>
              <w:t>农林水支出</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240.95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2300.95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rPr>
            </w:pPr>
            <w:r>
              <w:rPr>
                <w:rFonts w:hint="eastAsia" w:ascii="仿宋_GB2312" w:hAnsi="宋体" w:eastAsia="仿宋_GB2312" w:cs="宋体"/>
                <w:bCs/>
                <w:color w:val="000000"/>
                <w:kern w:val="0"/>
                <w:sz w:val="18"/>
                <w:szCs w:val="18"/>
              </w:rPr>
              <w:t>10</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213</w:t>
            </w: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lang w:val="en-US" w:eastAsia="zh-CN"/>
              </w:rPr>
              <w:t>01</w:t>
            </w: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r>
              <w:rPr>
                <w:rFonts w:hint="eastAsia" w:ascii="仿宋" w:hAnsi="仿宋" w:eastAsia="仿宋" w:cs="仿宋"/>
                <w:i w:val="0"/>
                <w:color w:val="000000"/>
                <w:kern w:val="0"/>
                <w:sz w:val="21"/>
                <w:szCs w:val="21"/>
                <w:u w:val="none"/>
                <w:lang w:val="en-US" w:eastAsia="zh-CN" w:bidi="ar"/>
              </w:rPr>
              <w:t>农业农村</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240.95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lang w:val="en-US" w:eastAsia="zh-CN"/>
              </w:rPr>
              <w:t>230.95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hint="default" w:ascii="仿宋_GB2312" w:hAnsi="宋体" w:eastAsia="仿宋_GB2312" w:cs="宋体"/>
                <w:b/>
                <w:bCs/>
                <w:color w:val="000000"/>
                <w:kern w:val="0"/>
                <w:sz w:val="18"/>
                <w:szCs w:val="18"/>
                <w:lang w:val="en-US" w:eastAsia="zh-CN" w:bidi="ar-SA"/>
              </w:rPr>
            </w:pPr>
            <w:r>
              <w:rPr>
                <w:rFonts w:hint="eastAsia" w:ascii="仿宋_GB2312" w:hAnsi="宋体" w:eastAsia="仿宋_GB2312" w:cs="宋体"/>
                <w:bCs/>
                <w:color w:val="000000"/>
                <w:kern w:val="0"/>
                <w:sz w:val="18"/>
                <w:szCs w:val="18"/>
              </w:rPr>
              <w:t>10</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213</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04</w:t>
            </w: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事业运行</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230.95</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230.95</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lang w:val="en-US" w:eastAsia="zh-CN" w:bidi="ar-SA"/>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213</w:t>
            </w: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01</w:t>
            </w: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09</w:t>
            </w: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农产品质量安全</w:t>
            </w: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r>
              <w:rPr>
                <w:rFonts w:hint="eastAsia" w:ascii="仿宋_GB2312" w:hAnsi="宋体" w:eastAsia="仿宋_GB2312" w:cs="宋体"/>
                <w:color w:val="000000"/>
                <w:sz w:val="18"/>
                <w:szCs w:val="18"/>
              </w:rPr>
              <w:t>10</w:t>
            </w:r>
          </w:p>
        </w:tc>
        <w:tc>
          <w:tcPr>
            <w:tcW w:w="1856"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Cs/>
                <w:color w:val="000000"/>
                <w:kern w:val="0"/>
                <w:sz w:val="18"/>
                <w:szCs w:val="18"/>
              </w:rPr>
              <w:t>10</w:t>
            </w: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jc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4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705"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b/>
                <w:bCs/>
                <w:color w:val="000000"/>
                <w:kern w:val="0"/>
                <w:sz w:val="18"/>
                <w:szCs w:val="18"/>
              </w:rPr>
            </w:pPr>
          </w:p>
        </w:tc>
        <w:tc>
          <w:tcPr>
            <w:tcW w:w="2077"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b/>
                <w:bCs/>
                <w:color w:val="000000"/>
                <w:kern w:val="0"/>
                <w:sz w:val="18"/>
                <w:szCs w:val="18"/>
              </w:rPr>
            </w:pPr>
          </w:p>
        </w:tc>
        <w:tc>
          <w:tcPr>
            <w:tcW w:w="1855" w:type="dxa"/>
            <w:tcBorders>
              <w:top w:val="nil"/>
              <w:left w:val="nil"/>
              <w:bottom w:val="single" w:color="auto" w:sz="4" w:space="0"/>
              <w:right w:val="single" w:color="auto" w:sz="4" w:space="0"/>
            </w:tcBorders>
            <w:vAlign w:val="center"/>
          </w:tcPr>
          <w:p>
            <w:pPr>
              <w:jc w:val="right"/>
              <w:rPr>
                <w:rFonts w:ascii="仿宋_GB2312" w:hAnsi="宋体" w:eastAsia="仿宋_GB2312" w:cs="宋体"/>
                <w:b/>
                <w:bCs/>
                <w:color w:val="000000"/>
                <w:kern w:val="0"/>
                <w:sz w:val="18"/>
                <w:szCs w:val="18"/>
              </w:rPr>
            </w:pP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405" w:hRule="atLeast"/>
        </w:trPr>
        <w:tc>
          <w:tcPr>
            <w:tcW w:w="61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70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07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855"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295.89</w:t>
            </w:r>
          </w:p>
        </w:tc>
        <w:tc>
          <w:tcPr>
            <w:tcW w:w="1856"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285.89</w:t>
            </w:r>
          </w:p>
        </w:tc>
        <w:tc>
          <w:tcPr>
            <w:tcW w:w="190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pPr>
        <w:widowControl/>
        <w:spacing w:before="120" w:beforeLines="50" w:line="280" w:lineRule="exact"/>
        <w:outlineLvl w:val="1"/>
        <w:rPr>
          <w:rFonts w:ascii="仿宋_GB2312" w:hAnsi="宋体" w:eastAsia="仿宋_GB2312"/>
          <w:b/>
          <w:kern w:val="0"/>
          <w:sz w:val="32"/>
          <w:szCs w:val="32"/>
        </w:rPr>
      </w:pPr>
    </w:p>
    <w:p>
      <w:pPr>
        <w:widowControl/>
        <w:spacing w:before="120" w:beforeLines="50" w:line="280" w:lineRule="exact"/>
        <w:outlineLvl w:val="1"/>
        <w:rPr>
          <w:rFonts w:ascii="仿宋_GB2312" w:hAnsi="宋体" w:eastAsia="仿宋_GB2312"/>
          <w:b/>
          <w:kern w:val="0"/>
          <w:sz w:val="32"/>
          <w:szCs w:val="32"/>
        </w:rPr>
      </w:pPr>
      <w:r>
        <w:rPr>
          <w:rFonts w:hint="eastAsia" w:ascii="仿宋_GB2312" w:hAnsi="宋体" w:eastAsia="仿宋_GB2312"/>
          <w:b/>
          <w:kern w:val="0"/>
          <w:sz w:val="32"/>
          <w:szCs w:val="32"/>
        </w:rPr>
        <w:t>表四：</w:t>
      </w:r>
    </w:p>
    <w:p>
      <w:pPr>
        <w:widowControl/>
        <w:spacing w:before="120" w:beforeLines="50" w:line="28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财政拨款收支预算总体情况表</w:t>
      </w:r>
    </w:p>
    <w:p>
      <w:pPr>
        <w:widowControl/>
        <w:spacing w:before="120" w:beforeLines="50" w:line="280" w:lineRule="exact"/>
        <w:outlineLvl w:val="1"/>
        <w:rPr>
          <w:rFonts w:ascii="仿宋_GB2312" w:hAnsi="宋体" w:eastAsia="仿宋_GB2312"/>
          <w:kern w:val="0"/>
          <w:szCs w:val="21"/>
        </w:rPr>
      </w:pPr>
      <w:r>
        <w:rPr>
          <w:rFonts w:hint="eastAsia" w:ascii="仿宋_GB2312" w:hAnsi="宋体" w:eastAsia="仿宋_GB2312"/>
          <w:kern w:val="0"/>
          <w:szCs w:val="21"/>
        </w:rPr>
        <w:t>编制部门（单位）：昌吉州</w:t>
      </w:r>
      <w:r>
        <w:rPr>
          <w:rFonts w:hint="eastAsia" w:ascii="仿宋_GB2312" w:hAnsi="宋体" w:eastAsia="仿宋_GB2312"/>
          <w:kern w:val="0"/>
          <w:sz w:val="24"/>
        </w:rPr>
        <w:t>农产品检验检测中心</w:t>
      </w:r>
      <w:r>
        <w:rPr>
          <w:rFonts w:hint="eastAsia" w:ascii="仿宋_GB2312" w:hAnsi="宋体" w:eastAsia="仿宋_GB2312"/>
          <w:kern w:val="0"/>
          <w:szCs w:val="21"/>
        </w:rPr>
        <w:t xml:space="preserve">                             单位：万元</w:t>
      </w:r>
    </w:p>
    <w:tbl>
      <w:tblPr>
        <w:tblStyle w:val="8"/>
        <w:tblW w:w="10583" w:type="dxa"/>
        <w:tblInd w:w="-240" w:type="dxa"/>
        <w:tblLayout w:type="fixed"/>
        <w:tblCellMar>
          <w:top w:w="0" w:type="dxa"/>
          <w:left w:w="108" w:type="dxa"/>
          <w:bottom w:w="0" w:type="dxa"/>
          <w:right w:w="108" w:type="dxa"/>
        </w:tblCellMar>
      </w:tblPr>
      <w:tblGrid>
        <w:gridCol w:w="1908"/>
        <w:gridCol w:w="1134"/>
        <w:gridCol w:w="2388"/>
        <w:gridCol w:w="900"/>
        <w:gridCol w:w="964"/>
        <w:gridCol w:w="1021"/>
        <w:gridCol w:w="1134"/>
        <w:gridCol w:w="1134"/>
      </w:tblGrid>
      <w:tr>
        <w:tblPrEx>
          <w:tblLayout w:type="fixed"/>
          <w:tblCellMar>
            <w:top w:w="0" w:type="dxa"/>
            <w:left w:w="108" w:type="dxa"/>
            <w:bottom w:w="0" w:type="dxa"/>
            <w:right w:w="108" w:type="dxa"/>
          </w:tblCellMar>
        </w:tblPrEx>
        <w:trPr>
          <w:gridAfter w:val="1"/>
          <w:wAfter w:w="1134" w:type="dxa"/>
          <w:trHeight w:val="285" w:hRule="atLeast"/>
        </w:trPr>
        <w:tc>
          <w:tcPr>
            <w:tcW w:w="3042" w:type="dxa"/>
            <w:gridSpan w:val="2"/>
            <w:tcBorders>
              <w:top w:val="single" w:color="auto" w:sz="4" w:space="0"/>
              <w:left w:val="single" w:color="auto" w:sz="4" w:space="0"/>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财政拨款收入</w:t>
            </w:r>
          </w:p>
        </w:tc>
        <w:tc>
          <w:tcPr>
            <w:tcW w:w="6407" w:type="dxa"/>
            <w:gridSpan w:val="5"/>
            <w:tcBorders>
              <w:top w:val="single" w:color="auto" w:sz="4" w:space="0"/>
              <w:left w:val="nil"/>
              <w:bottom w:val="single" w:color="auto" w:sz="4" w:space="0"/>
              <w:right w:val="single" w:color="000000" w:sz="4" w:space="0"/>
            </w:tcBorders>
            <w:vAlign w:val="center"/>
          </w:tcPr>
          <w:p>
            <w:pPr>
              <w:widowControl/>
              <w:spacing w:line="280" w:lineRule="exact"/>
              <w:jc w:val="center"/>
              <w:rPr>
                <w:rFonts w:ascii="仿宋_GB2312" w:hAnsi="宋体" w:eastAsia="仿宋_GB2312" w:cs="宋体"/>
                <w:b/>
                <w:bCs/>
                <w:kern w:val="0"/>
                <w:sz w:val="24"/>
              </w:rPr>
            </w:pPr>
            <w:r>
              <w:rPr>
                <w:rFonts w:hint="eastAsia" w:ascii="仿宋_GB2312" w:hAnsi="宋体" w:eastAsia="仿宋_GB2312" w:cs="宋体"/>
                <w:b/>
                <w:bCs/>
                <w:kern w:val="0"/>
                <w:sz w:val="24"/>
              </w:rPr>
              <w:t>财政拨款支出</w:t>
            </w:r>
          </w:p>
        </w:tc>
      </w:tr>
      <w:tr>
        <w:tblPrEx>
          <w:tblLayout w:type="fixed"/>
          <w:tblCellMar>
            <w:top w:w="0" w:type="dxa"/>
            <w:left w:w="108" w:type="dxa"/>
            <w:bottom w:w="0" w:type="dxa"/>
            <w:right w:w="108" w:type="dxa"/>
          </w:tblCellMar>
        </w:tblPrEx>
        <w:trPr>
          <w:gridAfter w:val="1"/>
          <w:wAfter w:w="1134" w:type="dxa"/>
          <w:trHeight w:val="766" w:hRule="atLeas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项    目</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功  能  分  类</w:t>
            </w:r>
          </w:p>
        </w:tc>
        <w:tc>
          <w:tcPr>
            <w:tcW w:w="900"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合 计</w:t>
            </w:r>
          </w:p>
        </w:tc>
        <w:tc>
          <w:tcPr>
            <w:tcW w:w="96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一般公共预算</w:t>
            </w:r>
          </w:p>
        </w:tc>
        <w:tc>
          <w:tcPr>
            <w:tcW w:w="102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kern w:val="0"/>
                <w:sz w:val="20"/>
                <w:szCs w:val="20"/>
              </w:rPr>
            </w:pPr>
            <w:r>
              <w:rPr>
                <w:rFonts w:hint="eastAsia" w:ascii="仿宋_GB2312" w:hAnsi="宋体" w:eastAsia="仿宋_GB2312" w:cs="宋体"/>
                <w:b/>
                <w:kern w:val="0"/>
                <w:sz w:val="20"/>
                <w:szCs w:val="20"/>
              </w:rPr>
              <w:t>国有资本经营预算</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财政拨款（补助）</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295.89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201 一般公共服务支出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一般公共预算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295.89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202 外交支出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xml:space="preserve"> 政府性基金预算</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203 国防支出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ind w:firstLine="90" w:firstLineChars="50"/>
              <w:jc w:val="left"/>
              <w:rPr>
                <w:rFonts w:ascii="仿宋_GB2312" w:hAnsi="宋体" w:eastAsia="仿宋_GB2312" w:cs="宋体"/>
                <w:kern w:val="0"/>
                <w:sz w:val="18"/>
                <w:szCs w:val="18"/>
              </w:rPr>
            </w:pPr>
            <w:r>
              <w:rPr>
                <w:rFonts w:hint="eastAsia" w:ascii="仿宋_GB2312" w:hAnsi="宋体" w:eastAsia="仿宋_GB2312" w:cs="宋体"/>
                <w:kern w:val="0"/>
                <w:sz w:val="18"/>
                <w:szCs w:val="18"/>
              </w:rPr>
              <w:t xml:space="preserve"> 国有资本经营预算</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204 公共安全支出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205 教育支出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206 科学技术支出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207 文化旅游体育与传媒支出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208 社会保障和就业支出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25.68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25.68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xml:space="preserve">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209 社会保险基金支出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210卫生健康支出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29.26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29.26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211 节能环保支出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212 城乡社区支出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213 农林水支出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240.95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240.95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214 交通运输支出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215 资源勘探工业信息等支出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216 商业服务业等支出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217 金融支出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219 援助其他地区支出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220 自然资源海洋气象等支出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221 住房保障支出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222 粮油物资储备支出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223 国有资本经营预算支出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224灾害防治及应急管理支出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227 预备费</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229 其他支出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230转移性支出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231 债务还本支出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232 债务付息支出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r>
              <w:rPr>
                <w:rFonts w:hint="eastAsia" w:ascii="仿宋_GB2312" w:hAnsi="宋体" w:eastAsia="仿宋_GB2312" w:cs="宋体"/>
                <w:kern w:val="0"/>
                <w:szCs w:val="21"/>
              </w:rPr>
              <w:t>　</w:t>
            </w: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r>
              <w:rPr>
                <w:rFonts w:hint="eastAsia" w:ascii="仿宋_GB2312" w:hAnsi="宋体" w:eastAsia="仿宋_GB2312" w:cs="宋体"/>
                <w:color w:val="000000"/>
                <w:kern w:val="0"/>
                <w:szCs w:val="21"/>
              </w:rPr>
              <w:t>　</w:t>
            </w: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233 债务发行费用支出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　</w:t>
            </w: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r>
              <w:rPr>
                <w:rFonts w:hint="eastAsia" w:ascii="仿宋_GB2312" w:hAnsi="宋体" w:eastAsia="仿宋_GB2312" w:cs="宋体"/>
                <w:kern w:val="0"/>
                <w:sz w:val="18"/>
                <w:szCs w:val="18"/>
              </w:rPr>
              <w:t>234 抗疫特别国债还本支出</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gridAfter w:val="1"/>
          <w:wAfter w:w="1134" w:type="dxa"/>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Cs w:val="21"/>
              </w:rPr>
            </w:pPr>
          </w:p>
        </w:tc>
        <w:tc>
          <w:tcPr>
            <w:tcW w:w="1134" w:type="dxa"/>
            <w:tcBorders>
              <w:top w:val="nil"/>
              <w:left w:val="nil"/>
              <w:bottom w:val="single" w:color="auto" w:sz="4" w:space="0"/>
              <w:right w:val="single" w:color="auto" w:sz="4" w:space="0"/>
            </w:tcBorders>
            <w:vAlign w:val="bottom"/>
          </w:tcPr>
          <w:p>
            <w:pPr>
              <w:widowControl/>
              <w:spacing w:line="280" w:lineRule="exact"/>
              <w:jc w:val="right"/>
              <w:rPr>
                <w:rFonts w:ascii="仿宋_GB2312" w:hAnsi="宋体" w:eastAsia="仿宋_GB2312" w:cs="宋体"/>
                <w:color w:val="000000"/>
                <w:kern w:val="0"/>
                <w:szCs w:val="21"/>
              </w:rPr>
            </w:pPr>
          </w:p>
        </w:tc>
        <w:tc>
          <w:tcPr>
            <w:tcW w:w="2388" w:type="dxa"/>
            <w:tcBorders>
              <w:top w:val="nil"/>
              <w:left w:val="nil"/>
              <w:bottom w:val="single" w:color="auto" w:sz="4" w:space="0"/>
              <w:right w:val="single" w:color="auto" w:sz="4" w:space="0"/>
            </w:tcBorders>
            <w:vAlign w:val="center"/>
          </w:tcPr>
          <w:p>
            <w:pPr>
              <w:widowControl/>
              <w:spacing w:line="280" w:lineRule="exact"/>
              <w:jc w:val="left"/>
              <w:rPr>
                <w:rFonts w:ascii="仿宋_GB2312" w:hAnsi="宋体" w:eastAsia="仿宋_GB2312" w:cs="宋体"/>
                <w:kern w:val="0"/>
                <w:sz w:val="18"/>
                <w:szCs w:val="18"/>
              </w:rPr>
            </w:pP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r>
      <w:tr>
        <w:tblPrEx>
          <w:tblLayout w:type="fixed"/>
          <w:tblCellMar>
            <w:top w:w="0" w:type="dxa"/>
            <w:left w:w="108" w:type="dxa"/>
            <w:bottom w:w="0" w:type="dxa"/>
            <w:right w:w="108" w:type="dxa"/>
          </w:tblCellMar>
        </w:tblPrEx>
        <w:trPr>
          <w:trHeight w:val="312" w:hRule="exact"/>
        </w:trPr>
        <w:tc>
          <w:tcPr>
            <w:tcW w:w="1908"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收  入  总  计</w:t>
            </w: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295.89</w:t>
            </w:r>
          </w:p>
        </w:tc>
        <w:tc>
          <w:tcPr>
            <w:tcW w:w="2388"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kern w:val="0"/>
                <w:sz w:val="18"/>
                <w:szCs w:val="18"/>
              </w:rPr>
            </w:pPr>
            <w:r>
              <w:rPr>
                <w:rFonts w:hint="eastAsia" w:ascii="仿宋_GB2312" w:hAnsi="宋体" w:eastAsia="仿宋_GB2312" w:cs="宋体"/>
                <w:kern w:val="0"/>
                <w:sz w:val="18"/>
                <w:szCs w:val="18"/>
              </w:rPr>
              <w:t>支  出  总  计</w:t>
            </w:r>
          </w:p>
        </w:tc>
        <w:tc>
          <w:tcPr>
            <w:tcW w:w="900"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kern w:val="0"/>
                <w:sz w:val="18"/>
                <w:szCs w:val="18"/>
              </w:rPr>
              <w:t>295.89</w:t>
            </w:r>
          </w:p>
        </w:tc>
        <w:tc>
          <w:tcPr>
            <w:tcW w:w="96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r>
              <w:rPr>
                <w:rFonts w:hint="eastAsia" w:ascii="仿宋_GB2312" w:hAnsi="宋体" w:eastAsia="仿宋_GB2312" w:cs="宋体"/>
                <w:color w:val="000000"/>
                <w:kern w:val="0"/>
                <w:sz w:val="18"/>
                <w:szCs w:val="18"/>
              </w:rPr>
              <w:t>295.89　</w:t>
            </w:r>
          </w:p>
        </w:tc>
        <w:tc>
          <w:tcPr>
            <w:tcW w:w="1021"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tcBorders>
              <w:top w:val="nil"/>
              <w:left w:val="nil"/>
              <w:bottom w:val="single" w:color="auto" w:sz="4" w:space="0"/>
              <w:right w:val="single" w:color="auto" w:sz="4" w:space="0"/>
            </w:tcBorders>
            <w:vAlign w:val="center"/>
          </w:tcPr>
          <w:p>
            <w:pPr>
              <w:widowControl/>
              <w:spacing w:line="280" w:lineRule="exact"/>
              <w:jc w:val="right"/>
              <w:rPr>
                <w:rFonts w:ascii="仿宋_GB2312" w:hAnsi="宋体" w:eastAsia="仿宋_GB2312" w:cs="宋体"/>
                <w:kern w:val="0"/>
                <w:sz w:val="18"/>
                <w:szCs w:val="18"/>
              </w:rPr>
            </w:pPr>
          </w:p>
        </w:tc>
        <w:tc>
          <w:tcPr>
            <w:tcW w:w="1134" w:type="dxa"/>
            <w:vAlign w:val="center"/>
          </w:tcPr>
          <w:p>
            <w:pPr>
              <w:widowControl/>
              <w:spacing w:line="280" w:lineRule="exact"/>
              <w:jc w:val="right"/>
              <w:rPr>
                <w:rFonts w:ascii="仿宋_GB2312" w:hAnsi="宋体" w:eastAsia="仿宋_GB2312" w:cs="宋体"/>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表五：</w:t>
      </w:r>
    </w:p>
    <w:tbl>
      <w:tblPr>
        <w:tblStyle w:val="8"/>
        <w:tblW w:w="9214" w:type="dxa"/>
        <w:tblInd w:w="-34" w:type="dxa"/>
        <w:tblLayout w:type="fixed"/>
        <w:tblCellMar>
          <w:top w:w="0" w:type="dxa"/>
          <w:left w:w="108" w:type="dxa"/>
          <w:bottom w:w="0" w:type="dxa"/>
          <w:right w:w="108" w:type="dxa"/>
        </w:tblCellMar>
      </w:tblPr>
      <w:tblGrid>
        <w:gridCol w:w="568"/>
        <w:gridCol w:w="492"/>
        <w:gridCol w:w="417"/>
        <w:gridCol w:w="2510"/>
        <w:gridCol w:w="660"/>
        <w:gridCol w:w="1024"/>
        <w:gridCol w:w="216"/>
        <w:gridCol w:w="1626"/>
        <w:gridCol w:w="1701"/>
      </w:tblGrid>
      <w:tr>
        <w:tblPrEx>
          <w:tblLayout w:type="fixed"/>
          <w:tblCellMar>
            <w:top w:w="0" w:type="dxa"/>
            <w:left w:w="108" w:type="dxa"/>
            <w:bottom w:w="0" w:type="dxa"/>
            <w:right w:w="108" w:type="dxa"/>
          </w:tblCellMar>
        </w:tblPrEx>
        <w:trPr>
          <w:trHeight w:val="450" w:hRule="atLeast"/>
        </w:trPr>
        <w:tc>
          <w:tcPr>
            <w:tcW w:w="9214" w:type="dxa"/>
            <w:gridSpan w:val="9"/>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一般公共预算支出情况表</w:t>
            </w:r>
          </w:p>
        </w:tc>
      </w:tr>
      <w:tr>
        <w:tblPrEx>
          <w:tblLayout w:type="fixed"/>
          <w:tblCellMar>
            <w:top w:w="0" w:type="dxa"/>
            <w:left w:w="108" w:type="dxa"/>
            <w:bottom w:w="0" w:type="dxa"/>
            <w:right w:w="108" w:type="dxa"/>
          </w:tblCellMar>
        </w:tblPrEx>
        <w:trPr>
          <w:trHeight w:val="285" w:hRule="atLeast"/>
        </w:trPr>
        <w:tc>
          <w:tcPr>
            <w:tcW w:w="3987" w:type="dxa"/>
            <w:gridSpan w:val="4"/>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农产品检验检测中心</w:t>
            </w:r>
          </w:p>
        </w:tc>
        <w:tc>
          <w:tcPr>
            <w:tcW w:w="660"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240"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3327" w:type="dxa"/>
            <w:gridSpan w:val="2"/>
            <w:tcBorders>
              <w:top w:val="nil"/>
              <w:left w:val="nil"/>
              <w:bottom w:val="nil"/>
              <w:right w:val="nil"/>
            </w:tcBorders>
            <w:vAlign w:val="center"/>
          </w:tcPr>
          <w:p>
            <w:pPr>
              <w:widowControl/>
              <w:jc w:val="right"/>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Layout w:type="fixed"/>
          <w:tblCellMar>
            <w:top w:w="0" w:type="dxa"/>
            <w:left w:w="108" w:type="dxa"/>
            <w:bottom w:w="0" w:type="dxa"/>
            <w:right w:w="108" w:type="dxa"/>
          </w:tblCellMar>
        </w:tblPrEx>
        <w:trPr>
          <w:trHeight w:val="405" w:hRule="atLeast"/>
        </w:trPr>
        <w:tc>
          <w:tcPr>
            <w:tcW w:w="3987" w:type="dxa"/>
            <w:gridSpan w:val="4"/>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项   目</w:t>
            </w:r>
          </w:p>
        </w:tc>
        <w:tc>
          <w:tcPr>
            <w:tcW w:w="5227"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一般公共预算支出</w:t>
            </w:r>
          </w:p>
        </w:tc>
      </w:tr>
      <w:tr>
        <w:tblPrEx>
          <w:tblLayout w:type="fixed"/>
          <w:tblCellMar>
            <w:top w:w="0" w:type="dxa"/>
            <w:left w:w="108" w:type="dxa"/>
            <w:bottom w:w="0" w:type="dxa"/>
            <w:right w:w="108" w:type="dxa"/>
          </w:tblCellMar>
        </w:tblPrEx>
        <w:trPr>
          <w:trHeight w:val="465" w:hRule="atLeast"/>
        </w:trPr>
        <w:tc>
          <w:tcPr>
            <w:tcW w:w="147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功能分类科目编码</w:t>
            </w:r>
          </w:p>
        </w:tc>
        <w:tc>
          <w:tcPr>
            <w:tcW w:w="2510"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功能分类科目名称</w:t>
            </w:r>
          </w:p>
        </w:tc>
        <w:tc>
          <w:tcPr>
            <w:tcW w:w="1684"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合  计</w:t>
            </w:r>
          </w:p>
        </w:tc>
        <w:tc>
          <w:tcPr>
            <w:tcW w:w="1842"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基本支出</w:t>
            </w:r>
          </w:p>
        </w:tc>
        <w:tc>
          <w:tcPr>
            <w:tcW w:w="1701"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项目支出</w:t>
            </w:r>
          </w:p>
        </w:tc>
      </w:tr>
      <w:tr>
        <w:tblPrEx>
          <w:tblLayout w:type="fixed"/>
          <w:tblCellMar>
            <w:top w:w="0" w:type="dxa"/>
            <w:left w:w="108" w:type="dxa"/>
            <w:bottom w:w="0" w:type="dxa"/>
            <w:right w:w="108" w:type="dxa"/>
          </w:tblCellMar>
        </w:tblPrEx>
        <w:trPr>
          <w:trHeight w:val="30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项</w:t>
            </w:r>
          </w:p>
        </w:tc>
        <w:tc>
          <w:tcPr>
            <w:tcW w:w="2510"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684"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842"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社会保障和就业支出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25.68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25.68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208</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05</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行政事业单位养老支出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25.68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25.68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208</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05</w:t>
            </w: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25.68</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25.68</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卫生健康支出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29.26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29.26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210</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11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行政事业单位医疗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29.26</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29.26</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02</w:t>
            </w:r>
          </w:p>
        </w:tc>
        <w:tc>
          <w:tcPr>
            <w:tcW w:w="2510" w:type="dxa"/>
            <w:tcBorders>
              <w:top w:val="nil"/>
              <w:left w:val="nil"/>
              <w:bottom w:val="single" w:color="auto" w:sz="4" w:space="0"/>
              <w:right w:val="single" w:color="auto" w:sz="4" w:space="0"/>
            </w:tcBorders>
            <w:vAlign w:val="center"/>
          </w:tcPr>
          <w:p>
            <w:pPr>
              <w:tabs>
                <w:tab w:val="left" w:pos="324"/>
              </w:tabs>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事业单位医疗</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21.57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21.57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03</w:t>
            </w:r>
          </w:p>
        </w:tc>
        <w:tc>
          <w:tcPr>
            <w:tcW w:w="2510" w:type="dxa"/>
            <w:tcBorders>
              <w:top w:val="nil"/>
              <w:left w:val="nil"/>
              <w:bottom w:val="single" w:color="auto" w:sz="4" w:space="0"/>
              <w:right w:val="single" w:color="auto" w:sz="4" w:space="0"/>
            </w:tcBorders>
            <w:vAlign w:val="center"/>
          </w:tcPr>
          <w:p>
            <w:pPr>
              <w:tabs>
                <w:tab w:val="left" w:pos="249"/>
              </w:tabs>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ab/>
            </w:r>
            <w:r>
              <w:rPr>
                <w:rFonts w:hint="eastAsia" w:ascii="仿宋_GB2312" w:hAnsi="宋体" w:eastAsia="仿宋_GB2312" w:cs="宋体"/>
                <w:color w:val="000000"/>
                <w:sz w:val="18"/>
                <w:szCs w:val="18"/>
              </w:rPr>
              <w:t>公务员医疗补助</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6.92</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6.92</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210</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99</w:t>
            </w:r>
          </w:p>
        </w:tc>
        <w:tc>
          <w:tcPr>
            <w:tcW w:w="2510" w:type="dxa"/>
            <w:tcBorders>
              <w:top w:val="nil"/>
              <w:left w:val="nil"/>
              <w:bottom w:val="single" w:color="auto" w:sz="4" w:space="0"/>
              <w:right w:val="single" w:color="auto" w:sz="4" w:space="0"/>
            </w:tcBorders>
            <w:vAlign w:val="center"/>
          </w:tcPr>
          <w:p>
            <w:pPr>
              <w:tabs>
                <w:tab w:val="left" w:pos="429"/>
              </w:tabs>
              <w:ind w:left="360" w:leftChars="0" w:hanging="360" w:hangingChars="200"/>
              <w:jc w:val="lef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其他行政事业单位医疗支出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0.77</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0.77</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213</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农林水支出</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240.95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2300.95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213</w:t>
            </w: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lang w:val="en-US" w:eastAsia="zh-CN"/>
              </w:rPr>
              <w:t>01</w:t>
            </w: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r>
              <w:rPr>
                <w:rFonts w:hint="eastAsia" w:ascii="仿宋" w:hAnsi="仿宋" w:eastAsia="仿宋" w:cs="仿宋"/>
                <w:i w:val="0"/>
                <w:color w:val="000000"/>
                <w:kern w:val="0"/>
                <w:sz w:val="21"/>
                <w:szCs w:val="21"/>
                <w:u w:val="none"/>
                <w:lang w:val="en-US" w:eastAsia="zh-CN" w:bidi="ar"/>
              </w:rPr>
              <w:t>农业农村</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240.95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lang w:val="en-US" w:eastAsia="zh-CN"/>
              </w:rPr>
              <w:t>230.95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04</w:t>
            </w:r>
          </w:p>
        </w:tc>
        <w:tc>
          <w:tcPr>
            <w:tcW w:w="2510" w:type="dxa"/>
            <w:tcBorders>
              <w:top w:val="nil"/>
              <w:left w:val="nil"/>
              <w:bottom w:val="single" w:color="auto" w:sz="4" w:space="0"/>
              <w:right w:val="single" w:color="auto" w:sz="4" w:space="0"/>
            </w:tcBorders>
            <w:vAlign w:val="center"/>
          </w:tcPr>
          <w:p>
            <w:pPr>
              <w:ind w:firstLine="180" w:firstLineChars="100"/>
              <w:jc w:val="both"/>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事业运行</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230.95</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230.95</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213</w:t>
            </w: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01</w:t>
            </w: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09</w:t>
            </w:r>
          </w:p>
        </w:tc>
        <w:tc>
          <w:tcPr>
            <w:tcW w:w="2510" w:type="dxa"/>
            <w:tcBorders>
              <w:top w:val="nil"/>
              <w:left w:val="nil"/>
              <w:bottom w:val="single" w:color="auto" w:sz="4" w:space="0"/>
              <w:right w:val="single" w:color="auto" w:sz="4" w:space="0"/>
            </w:tcBorders>
            <w:vAlign w:val="center"/>
          </w:tcPr>
          <w:p>
            <w:pPr>
              <w:jc w:val="both"/>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农产品质量安全</w:t>
            </w: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10</w:t>
            </w: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Cs/>
                <w:color w:val="000000"/>
                <w:kern w:val="0"/>
                <w:sz w:val="18"/>
                <w:szCs w:val="18"/>
              </w:rPr>
              <w:t>10</w:t>
            </w: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top"/>
          </w:tcPr>
          <w:p>
            <w:pPr>
              <w:widowControl/>
              <w:spacing w:line="280" w:lineRule="exact"/>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keepNext w:val="0"/>
              <w:keepLines w:val="0"/>
              <w:widowControl/>
              <w:suppressLineNumbers w:val="0"/>
              <w:jc w:val="left"/>
              <w:textAlignment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tabs>
                <w:tab w:val="left" w:pos="324"/>
              </w:tabs>
              <w:jc w:val="left"/>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tabs>
                <w:tab w:val="left" w:pos="249"/>
              </w:tabs>
              <w:jc w:val="left"/>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jc w:val="right"/>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450" w:hRule="atLeast"/>
        </w:trPr>
        <w:tc>
          <w:tcPr>
            <w:tcW w:w="568"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9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2510"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84"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295.89</w:t>
            </w:r>
          </w:p>
        </w:tc>
        <w:tc>
          <w:tcPr>
            <w:tcW w:w="1842"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285.89</w:t>
            </w:r>
          </w:p>
        </w:tc>
        <w:tc>
          <w:tcPr>
            <w:tcW w:w="170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w:t>
            </w:r>
          </w:p>
        </w:tc>
      </w:tr>
    </w:tbl>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表六：</w:t>
      </w:r>
    </w:p>
    <w:tbl>
      <w:tblPr>
        <w:tblStyle w:val="8"/>
        <w:tblW w:w="9400" w:type="dxa"/>
        <w:tblInd w:w="-148" w:type="dxa"/>
        <w:tblLayout w:type="fixed"/>
        <w:tblCellMar>
          <w:top w:w="0" w:type="dxa"/>
          <w:left w:w="108" w:type="dxa"/>
          <w:bottom w:w="0" w:type="dxa"/>
          <w:right w:w="108" w:type="dxa"/>
        </w:tblCellMar>
      </w:tblPr>
      <w:tblGrid>
        <w:gridCol w:w="762"/>
        <w:gridCol w:w="581"/>
        <w:gridCol w:w="2914"/>
        <w:gridCol w:w="1002"/>
        <w:gridCol w:w="711"/>
        <w:gridCol w:w="983"/>
        <w:gridCol w:w="730"/>
        <w:gridCol w:w="1717"/>
      </w:tblGrid>
      <w:tr>
        <w:tblPrEx>
          <w:tblLayout w:type="fixed"/>
          <w:tblCellMar>
            <w:top w:w="0" w:type="dxa"/>
            <w:left w:w="108" w:type="dxa"/>
            <w:bottom w:w="0" w:type="dxa"/>
            <w:right w:w="108" w:type="dxa"/>
          </w:tblCellMar>
        </w:tblPrEx>
        <w:trPr>
          <w:trHeight w:val="497" w:hRule="atLeast"/>
        </w:trPr>
        <w:tc>
          <w:tcPr>
            <w:tcW w:w="9400" w:type="dxa"/>
            <w:gridSpan w:val="8"/>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一般公共预算基本支出情况表</w:t>
            </w:r>
          </w:p>
        </w:tc>
      </w:tr>
      <w:tr>
        <w:tblPrEx>
          <w:tblLayout w:type="fixed"/>
          <w:tblCellMar>
            <w:top w:w="0" w:type="dxa"/>
            <w:left w:w="108" w:type="dxa"/>
            <w:bottom w:w="0" w:type="dxa"/>
            <w:right w:w="108" w:type="dxa"/>
          </w:tblCellMar>
        </w:tblPrEx>
        <w:trPr>
          <w:trHeight w:val="745" w:hRule="atLeast"/>
        </w:trPr>
        <w:tc>
          <w:tcPr>
            <w:tcW w:w="4257" w:type="dxa"/>
            <w:gridSpan w:val="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农产品检验检测中心</w:t>
            </w:r>
          </w:p>
        </w:tc>
        <w:tc>
          <w:tcPr>
            <w:tcW w:w="1002" w:type="dxa"/>
            <w:tcBorders>
              <w:top w:val="nil"/>
              <w:left w:val="nil"/>
              <w:bottom w:val="nil"/>
              <w:right w:val="nil"/>
            </w:tcBorders>
            <w:vAlign w:val="center"/>
          </w:tcPr>
          <w:p>
            <w:pPr>
              <w:widowControl/>
              <w:jc w:val="left"/>
              <w:rPr>
                <w:rFonts w:ascii="仿宋_GB2312" w:hAnsi="宋体" w:eastAsia="仿宋_GB2312" w:cs="宋体"/>
                <w:color w:val="000000"/>
                <w:kern w:val="0"/>
                <w:sz w:val="24"/>
              </w:rPr>
            </w:pPr>
          </w:p>
        </w:tc>
        <w:tc>
          <w:tcPr>
            <w:tcW w:w="1694" w:type="dxa"/>
            <w:gridSpan w:val="2"/>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447" w:type="dxa"/>
            <w:gridSpan w:val="2"/>
            <w:tcBorders>
              <w:top w:val="nil"/>
              <w:left w:val="nil"/>
              <w:bottom w:val="nil"/>
              <w:right w:val="nil"/>
            </w:tcBorders>
            <w:vAlign w:val="center"/>
          </w:tcPr>
          <w:p>
            <w:pPr>
              <w:widowControl/>
              <w:ind w:firstLine="720" w:firstLineChars="300"/>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单位：万元</w:t>
            </w:r>
          </w:p>
        </w:tc>
      </w:tr>
      <w:tr>
        <w:tblPrEx>
          <w:tblLayout w:type="fixed"/>
          <w:tblCellMar>
            <w:top w:w="0" w:type="dxa"/>
            <w:left w:w="108" w:type="dxa"/>
            <w:bottom w:w="0" w:type="dxa"/>
            <w:right w:w="108" w:type="dxa"/>
          </w:tblCellMar>
        </w:tblPrEx>
        <w:trPr>
          <w:trHeight w:val="347" w:hRule="atLeast"/>
        </w:trPr>
        <w:tc>
          <w:tcPr>
            <w:tcW w:w="4257" w:type="dxa"/>
            <w:gridSpan w:val="3"/>
            <w:tcBorders>
              <w:top w:val="single" w:color="auto" w:sz="4" w:space="0"/>
              <w:left w:val="single" w:color="auto" w:sz="4" w:space="0"/>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项目</w:t>
            </w:r>
          </w:p>
        </w:tc>
        <w:tc>
          <w:tcPr>
            <w:tcW w:w="5143" w:type="dxa"/>
            <w:gridSpan w:val="5"/>
            <w:tcBorders>
              <w:top w:val="single" w:color="auto" w:sz="4" w:space="0"/>
              <w:left w:val="nil"/>
              <w:bottom w:val="single" w:color="auto" w:sz="4" w:space="0"/>
              <w:right w:val="single" w:color="000000"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一般公共预算基本支出</w:t>
            </w:r>
          </w:p>
        </w:tc>
      </w:tr>
      <w:tr>
        <w:tblPrEx>
          <w:tblLayout w:type="fixed"/>
          <w:tblCellMar>
            <w:top w:w="0" w:type="dxa"/>
            <w:left w:w="108" w:type="dxa"/>
            <w:bottom w:w="0" w:type="dxa"/>
            <w:right w:w="108" w:type="dxa"/>
          </w:tblCellMar>
        </w:tblPrEx>
        <w:trPr>
          <w:trHeight w:val="673" w:hRule="atLeast"/>
        </w:trPr>
        <w:tc>
          <w:tcPr>
            <w:tcW w:w="1343" w:type="dxa"/>
            <w:gridSpan w:val="2"/>
            <w:tcBorders>
              <w:top w:val="single" w:color="auto" w:sz="4" w:space="0"/>
              <w:left w:val="single" w:color="auto" w:sz="4" w:space="0"/>
              <w:bottom w:val="single" w:color="auto" w:sz="4" w:space="0"/>
              <w:right w:val="nil"/>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经济分类科目编码</w:t>
            </w:r>
          </w:p>
        </w:tc>
        <w:tc>
          <w:tcPr>
            <w:tcW w:w="2914"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经济分类科目名称</w:t>
            </w:r>
          </w:p>
        </w:tc>
        <w:tc>
          <w:tcPr>
            <w:tcW w:w="171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合  计</w:t>
            </w:r>
          </w:p>
        </w:tc>
        <w:tc>
          <w:tcPr>
            <w:tcW w:w="1713" w:type="dxa"/>
            <w:gridSpan w:val="2"/>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人员经费</w:t>
            </w:r>
          </w:p>
        </w:tc>
        <w:tc>
          <w:tcPr>
            <w:tcW w:w="1717" w:type="dxa"/>
            <w:vMerge w:val="restart"/>
            <w:tcBorders>
              <w:top w:val="nil"/>
              <w:left w:val="single" w:color="auto" w:sz="4" w:space="0"/>
              <w:bottom w:val="single" w:color="000000" w:sz="4" w:space="0"/>
              <w:right w:val="single" w:color="auto" w:sz="4" w:space="0"/>
            </w:tcBorders>
            <w:vAlign w:val="center"/>
          </w:tcPr>
          <w:p>
            <w:pPr>
              <w:widowControl/>
              <w:jc w:val="center"/>
              <w:rPr>
                <w:rFonts w:ascii="仿宋_GB2312" w:hAnsi="宋体" w:eastAsia="仿宋_GB2312" w:cs="宋体"/>
                <w:b/>
                <w:bCs/>
                <w:color w:val="000000"/>
                <w:kern w:val="0"/>
                <w:szCs w:val="21"/>
              </w:rPr>
            </w:pPr>
            <w:r>
              <w:rPr>
                <w:rFonts w:hint="eastAsia" w:ascii="仿宋_GB2312" w:hAnsi="宋体" w:eastAsia="仿宋_GB2312" w:cs="宋体"/>
                <w:b/>
                <w:bCs/>
                <w:color w:val="000000"/>
                <w:kern w:val="0"/>
                <w:szCs w:val="21"/>
              </w:rPr>
              <w:t>公用经费</w:t>
            </w:r>
          </w:p>
        </w:tc>
      </w:tr>
      <w:tr>
        <w:tblPrEx>
          <w:tblLayout w:type="fixed"/>
          <w:tblCellMar>
            <w:top w:w="0" w:type="dxa"/>
            <w:left w:w="108" w:type="dxa"/>
            <w:bottom w:w="0" w:type="dxa"/>
            <w:right w:w="108" w:type="dxa"/>
          </w:tblCellMar>
        </w:tblPrEx>
        <w:trPr>
          <w:trHeight w:val="332" w:hRule="atLeast"/>
        </w:trPr>
        <w:tc>
          <w:tcPr>
            <w:tcW w:w="762"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类</w:t>
            </w:r>
          </w:p>
        </w:tc>
        <w:tc>
          <w:tcPr>
            <w:tcW w:w="581"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0"/>
                <w:szCs w:val="20"/>
              </w:rPr>
            </w:pPr>
            <w:r>
              <w:rPr>
                <w:rFonts w:hint="eastAsia" w:ascii="仿宋_GB2312" w:hAnsi="宋体" w:eastAsia="仿宋_GB2312" w:cs="宋体"/>
                <w:b/>
                <w:bCs/>
                <w:color w:val="000000"/>
                <w:kern w:val="0"/>
                <w:sz w:val="20"/>
                <w:szCs w:val="20"/>
              </w:rPr>
              <w:t>款</w:t>
            </w:r>
          </w:p>
        </w:tc>
        <w:tc>
          <w:tcPr>
            <w:tcW w:w="2914" w:type="dxa"/>
            <w:vMerge w:val="continue"/>
            <w:tcBorders>
              <w:top w:val="nil"/>
              <w:left w:val="single" w:color="auto" w:sz="4" w:space="0"/>
              <w:bottom w:val="single" w:color="000000" w:sz="4" w:space="0"/>
              <w:right w:val="single" w:color="auto" w:sz="4" w:space="0"/>
            </w:tcBorders>
            <w:vAlign w:val="center"/>
          </w:tcPr>
          <w:p>
            <w:pPr>
              <w:widowControl/>
              <w:jc w:val="left"/>
              <w:rPr>
                <w:rFonts w:ascii="仿宋_GB2312" w:hAnsi="宋体" w:eastAsia="仿宋_GB2312" w:cs="宋体"/>
                <w:b/>
                <w:bCs/>
                <w:color w:val="000000"/>
                <w:kern w:val="0"/>
                <w:sz w:val="20"/>
                <w:szCs w:val="20"/>
              </w:rPr>
            </w:pPr>
          </w:p>
        </w:tc>
        <w:tc>
          <w:tcPr>
            <w:tcW w:w="171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3" w:type="dxa"/>
            <w:gridSpan w:val="2"/>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c>
          <w:tcPr>
            <w:tcW w:w="1717" w:type="dxa"/>
            <w:vMerge w:val="continue"/>
            <w:tcBorders>
              <w:top w:val="nil"/>
              <w:left w:val="single" w:color="auto" w:sz="4" w:space="0"/>
              <w:bottom w:val="single" w:color="000000" w:sz="4" w:space="0"/>
              <w:right w:val="single" w:color="auto" w:sz="4" w:space="0"/>
            </w:tcBorders>
            <w:vAlign w:val="center"/>
          </w:tcPr>
          <w:p>
            <w:pPr>
              <w:widowControl/>
              <w:jc w:val="left"/>
              <w:rPr>
                <w:rFonts w:ascii="宋体" w:hAnsi="宋体" w:cs="宋体"/>
                <w:b/>
                <w:bCs/>
                <w:color w:val="000000"/>
                <w:kern w:val="0"/>
                <w:sz w:val="20"/>
                <w:szCs w:val="20"/>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91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工资福利支出</w:t>
            </w:r>
          </w:p>
        </w:tc>
        <w:tc>
          <w:tcPr>
            <w:tcW w:w="1713"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257.82</w:t>
            </w:r>
          </w:p>
        </w:tc>
        <w:tc>
          <w:tcPr>
            <w:tcW w:w="1713"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255.74</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01</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基本工资</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102.87</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102.87</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02</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津贴补贴</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1.7</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03</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奖金</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6.73</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6.73</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06</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伙食补助费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21.42</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21.42</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07</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基础性绩效工资</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31.93</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31.93</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07</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奖励性绩效工资</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18.97</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18.97</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13</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住房公积金</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19.26</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19.26</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08</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机关事业单位基本养老保险缴费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25.68</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25.68</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10</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职工基本医疗保险缴费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21.57</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21.57</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11</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公务员医疗补助缴费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6.92</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6.92</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301</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12</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其他社会保障缴费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0.77</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0.77</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p>
        </w:tc>
        <w:tc>
          <w:tcPr>
            <w:tcW w:w="291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lang w:eastAsia="zh-CN"/>
              </w:rPr>
            </w:pPr>
            <w:r>
              <w:rPr>
                <w:rFonts w:hint="eastAsia" w:ascii="仿宋_GB2312" w:hAnsi="宋体" w:eastAsia="仿宋_GB2312" w:cs="宋体"/>
                <w:color w:val="000000"/>
                <w:sz w:val="18"/>
                <w:szCs w:val="18"/>
                <w:lang w:eastAsia="zh-CN"/>
              </w:rPr>
              <w:t>商品和服务支出</w:t>
            </w:r>
          </w:p>
        </w:tc>
        <w:tc>
          <w:tcPr>
            <w:tcW w:w="1713"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25.99</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25.99</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01</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办公费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2.81</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2.81</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w:t>
            </w:r>
            <w:r>
              <w:rPr>
                <w:rFonts w:hint="eastAsia" w:ascii="仿宋_GB2312" w:hAnsi="宋体" w:eastAsia="仿宋_GB2312" w:cs="宋体"/>
                <w:color w:val="000000"/>
                <w:sz w:val="18"/>
                <w:szCs w:val="18"/>
              </w:rPr>
              <w:t>2</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印刷费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0.95</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0.95</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w:t>
            </w:r>
            <w:r>
              <w:rPr>
                <w:rFonts w:hint="eastAsia" w:ascii="仿宋_GB2312" w:hAnsi="宋体" w:eastAsia="仿宋_GB2312" w:cs="宋体"/>
                <w:color w:val="000000"/>
                <w:sz w:val="18"/>
                <w:szCs w:val="18"/>
              </w:rPr>
              <w:t>5</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水费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0.2</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w:t>
            </w:r>
            <w:r>
              <w:rPr>
                <w:rFonts w:hint="eastAsia" w:ascii="仿宋_GB2312" w:hAnsi="宋体" w:eastAsia="仿宋_GB2312" w:cs="宋体"/>
                <w:color w:val="000000"/>
                <w:sz w:val="18"/>
                <w:szCs w:val="18"/>
              </w:rPr>
              <w:t>6</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电费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0</w:t>
            </w:r>
            <w:r>
              <w:rPr>
                <w:rFonts w:hint="eastAsia" w:ascii="仿宋_GB2312" w:hAnsi="宋体" w:eastAsia="仿宋_GB2312" w:cs="宋体"/>
                <w:color w:val="000000"/>
                <w:sz w:val="18"/>
                <w:szCs w:val="18"/>
              </w:rPr>
              <w:t>7</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邮电费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0.08</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差旅费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4.36</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w:t>
            </w:r>
            <w:r>
              <w:rPr>
                <w:rFonts w:hint="eastAsia" w:ascii="仿宋_GB2312" w:hAnsi="宋体" w:eastAsia="仿宋_GB2312" w:cs="宋体"/>
                <w:color w:val="000000"/>
                <w:sz w:val="18"/>
                <w:szCs w:val="18"/>
              </w:rPr>
              <w:t>6</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培训费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0.44</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0.44</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w:t>
            </w:r>
            <w:r>
              <w:rPr>
                <w:rFonts w:hint="eastAsia" w:ascii="仿宋_GB2312" w:hAnsi="宋体" w:eastAsia="仿宋_GB2312" w:cs="宋体"/>
                <w:color w:val="000000"/>
                <w:sz w:val="18"/>
                <w:szCs w:val="18"/>
              </w:rPr>
              <w:t>7</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公务接待费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0.15</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0.15</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1</w:t>
            </w:r>
            <w:r>
              <w:rPr>
                <w:rFonts w:hint="eastAsia" w:ascii="仿宋_GB2312" w:hAnsi="宋体" w:eastAsia="仿宋_GB2312" w:cs="宋体"/>
                <w:color w:val="000000"/>
                <w:sz w:val="18"/>
                <w:szCs w:val="18"/>
              </w:rPr>
              <w:t>8</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专用材料费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0.8</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w:t>
            </w:r>
            <w:r>
              <w:rPr>
                <w:rFonts w:hint="eastAsia" w:ascii="仿宋_GB2312" w:hAnsi="宋体" w:eastAsia="仿宋_GB2312" w:cs="宋体"/>
                <w:color w:val="000000"/>
                <w:sz w:val="18"/>
                <w:szCs w:val="18"/>
              </w:rPr>
              <w:t>8</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工会经费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2.06</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2.06</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2</w:t>
            </w:r>
            <w:r>
              <w:rPr>
                <w:rFonts w:hint="eastAsia" w:ascii="仿宋_GB2312" w:hAnsi="宋体" w:eastAsia="仿宋_GB2312" w:cs="宋体"/>
                <w:color w:val="000000"/>
                <w:sz w:val="18"/>
                <w:szCs w:val="18"/>
              </w:rPr>
              <w:t>9</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sz w:val="18"/>
                <w:szCs w:val="18"/>
              </w:rPr>
              <w:t>福利费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4.73</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4.73</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31</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公务用车运行维护费</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302</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99</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商品和服务支出</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3.55</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3.55</w:t>
            </w: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hint="default" w:ascii="仿宋_GB2312" w:hAnsi="宋体" w:eastAsia="仿宋_GB2312" w:cs="宋体"/>
                <w:color w:val="000000"/>
                <w:sz w:val="18"/>
                <w:szCs w:val="18"/>
                <w:lang w:val="en-US" w:eastAsia="zh-CN"/>
              </w:rPr>
            </w:pPr>
            <w:r>
              <w:rPr>
                <w:rFonts w:hint="eastAsia" w:ascii="仿宋_GB2312" w:hAnsi="宋体" w:eastAsia="仿宋_GB2312" w:cs="宋体"/>
                <w:color w:val="000000"/>
                <w:sz w:val="18"/>
                <w:szCs w:val="18"/>
                <w:lang w:val="en-US" w:eastAsia="zh-CN"/>
              </w:rPr>
              <w:t>303</w:t>
            </w:r>
          </w:p>
        </w:tc>
        <w:tc>
          <w:tcPr>
            <w:tcW w:w="581"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sz w:val="18"/>
                <w:szCs w:val="18"/>
              </w:rPr>
            </w:pPr>
          </w:p>
        </w:tc>
        <w:tc>
          <w:tcPr>
            <w:tcW w:w="2914" w:type="dxa"/>
            <w:tcBorders>
              <w:top w:val="nil"/>
              <w:left w:val="nil"/>
              <w:bottom w:val="single" w:color="auto" w:sz="4" w:space="0"/>
              <w:right w:val="single" w:color="auto" w:sz="4" w:space="0"/>
            </w:tcBorders>
            <w:vAlign w:val="center"/>
          </w:tcPr>
          <w:p>
            <w:pPr>
              <w:jc w:val="center"/>
              <w:rPr>
                <w:rFonts w:hint="eastAsia"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w:t>
            </w:r>
            <w:r>
              <w:rPr>
                <w:rFonts w:hint="eastAsia" w:ascii="仿宋_GB2312" w:hAnsi="宋体" w:eastAsia="仿宋_GB2312" w:cs="宋体"/>
                <w:color w:val="000000"/>
                <w:kern w:val="0"/>
                <w:sz w:val="18"/>
                <w:szCs w:val="18"/>
                <w:lang w:eastAsia="zh-CN"/>
              </w:rPr>
              <w:t>的</w:t>
            </w:r>
            <w:r>
              <w:rPr>
                <w:rFonts w:hint="eastAsia" w:ascii="仿宋_GB2312" w:hAnsi="宋体" w:eastAsia="仿宋_GB2312" w:cs="宋体"/>
                <w:color w:val="000000"/>
                <w:kern w:val="0"/>
                <w:sz w:val="18"/>
                <w:szCs w:val="18"/>
              </w:rPr>
              <w:t>补助</w:t>
            </w:r>
          </w:p>
        </w:tc>
        <w:tc>
          <w:tcPr>
            <w:tcW w:w="1713"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2.08</w:t>
            </w:r>
          </w:p>
        </w:tc>
        <w:tc>
          <w:tcPr>
            <w:tcW w:w="1713" w:type="dxa"/>
            <w:gridSpan w:val="2"/>
            <w:tcBorders>
              <w:top w:val="nil"/>
              <w:left w:val="nil"/>
              <w:bottom w:val="single" w:color="auto" w:sz="4" w:space="0"/>
              <w:right w:val="single" w:color="auto" w:sz="4" w:space="0"/>
            </w:tcBorders>
            <w:vAlign w:val="center"/>
          </w:tcPr>
          <w:p>
            <w:pPr>
              <w:widowControl/>
              <w:jc w:val="center"/>
              <w:rPr>
                <w:rFonts w:hint="default" w:ascii="仿宋_GB2312" w:hAnsi="宋体" w:eastAsia="仿宋_GB2312" w:cs="宋体"/>
                <w:color w:val="000000"/>
                <w:kern w:val="0"/>
                <w:sz w:val="18"/>
                <w:szCs w:val="18"/>
                <w:lang w:val="en-US" w:eastAsia="zh-CN"/>
              </w:rPr>
            </w:pPr>
            <w:r>
              <w:rPr>
                <w:rFonts w:hint="eastAsia" w:ascii="仿宋_GB2312" w:hAnsi="宋体" w:eastAsia="仿宋_GB2312" w:cs="宋体"/>
                <w:color w:val="000000"/>
                <w:kern w:val="0"/>
                <w:sz w:val="18"/>
                <w:szCs w:val="18"/>
                <w:lang w:val="en-US" w:eastAsia="zh-CN"/>
              </w:rPr>
              <w:t>2.08</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303</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09</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奖励金</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1.18</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01"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303</w:t>
            </w: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sz w:val="18"/>
                <w:szCs w:val="18"/>
              </w:rPr>
            </w:pPr>
            <w:r>
              <w:rPr>
                <w:rFonts w:hint="eastAsia" w:ascii="仿宋_GB2312" w:hAnsi="宋体" w:eastAsia="仿宋_GB2312" w:cs="宋体"/>
                <w:color w:val="000000"/>
                <w:sz w:val="18"/>
                <w:szCs w:val="18"/>
              </w:rPr>
              <w:t>14</w:t>
            </w:r>
          </w:p>
        </w:tc>
        <w:tc>
          <w:tcPr>
            <w:tcW w:w="2914"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对个人和家庭补助支出</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0.9</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323" w:hRule="atLeast"/>
        </w:trPr>
        <w:tc>
          <w:tcPr>
            <w:tcW w:w="762" w:type="dxa"/>
            <w:tcBorders>
              <w:top w:val="nil"/>
              <w:left w:val="single" w:color="auto" w:sz="4" w:space="0"/>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581" w:type="dxa"/>
            <w:tcBorders>
              <w:top w:val="nil"/>
              <w:left w:val="nil"/>
              <w:bottom w:val="single" w:color="auto" w:sz="4" w:space="0"/>
              <w:right w:val="single" w:color="auto" w:sz="4" w:space="0"/>
            </w:tcBorders>
            <w:vAlign w:val="center"/>
          </w:tcPr>
          <w:p>
            <w:pPr>
              <w:jc w:val="center"/>
              <w:rPr>
                <w:rFonts w:ascii="仿宋_GB2312" w:hAnsi="宋体" w:eastAsia="仿宋_GB2312" w:cs="宋体"/>
                <w:color w:val="000000"/>
                <w:kern w:val="0"/>
                <w:sz w:val="18"/>
                <w:szCs w:val="18"/>
              </w:rPr>
            </w:pPr>
          </w:p>
        </w:tc>
        <w:tc>
          <w:tcPr>
            <w:tcW w:w="2914"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285.89</w:t>
            </w:r>
          </w:p>
        </w:tc>
        <w:tc>
          <w:tcPr>
            <w:tcW w:w="1713" w:type="dxa"/>
            <w:gridSpan w:val="2"/>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259.90</w:t>
            </w:r>
          </w:p>
        </w:tc>
        <w:tc>
          <w:tcPr>
            <w:tcW w:w="17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25.99</w:t>
            </w:r>
          </w:p>
        </w:tc>
      </w:tr>
    </w:tbl>
    <w:p>
      <w:pPr>
        <w:widowControl/>
        <w:jc w:val="left"/>
        <w:outlineLvl w:val="1"/>
        <w:rPr>
          <w:rFonts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表七：</w:t>
      </w:r>
    </w:p>
    <w:tbl>
      <w:tblPr>
        <w:tblStyle w:val="8"/>
        <w:tblW w:w="9997" w:type="dxa"/>
        <w:tblInd w:w="-360" w:type="dxa"/>
        <w:tblLayout w:type="fixed"/>
        <w:tblCellMar>
          <w:top w:w="0" w:type="dxa"/>
          <w:left w:w="108" w:type="dxa"/>
          <w:bottom w:w="0" w:type="dxa"/>
          <w:right w:w="108" w:type="dxa"/>
        </w:tblCellMar>
      </w:tblPr>
      <w:tblGrid>
        <w:gridCol w:w="8"/>
        <w:gridCol w:w="513"/>
        <w:gridCol w:w="58"/>
        <w:gridCol w:w="429"/>
        <w:gridCol w:w="37"/>
        <w:gridCol w:w="466"/>
        <w:gridCol w:w="1128"/>
        <w:gridCol w:w="1023"/>
        <w:gridCol w:w="8"/>
        <w:gridCol w:w="776"/>
        <w:gridCol w:w="8"/>
        <w:gridCol w:w="587"/>
        <w:gridCol w:w="8"/>
        <w:gridCol w:w="558"/>
        <w:gridCol w:w="3"/>
        <w:gridCol w:w="679"/>
        <w:gridCol w:w="3"/>
        <w:gridCol w:w="679"/>
        <w:gridCol w:w="3"/>
        <w:gridCol w:w="395"/>
        <w:gridCol w:w="207"/>
        <w:gridCol w:w="3"/>
        <w:gridCol w:w="435"/>
        <w:gridCol w:w="3"/>
        <w:gridCol w:w="602"/>
        <w:gridCol w:w="3"/>
        <w:gridCol w:w="437"/>
        <w:gridCol w:w="3"/>
        <w:gridCol w:w="437"/>
        <w:gridCol w:w="3"/>
        <w:gridCol w:w="409"/>
        <w:gridCol w:w="78"/>
        <w:gridCol w:w="3"/>
        <w:gridCol w:w="2"/>
        <w:gridCol w:w="3"/>
      </w:tblGrid>
      <w:tr>
        <w:tblPrEx>
          <w:tblLayout w:type="fixed"/>
          <w:tblCellMar>
            <w:top w:w="0" w:type="dxa"/>
            <w:left w:w="108" w:type="dxa"/>
            <w:bottom w:w="0" w:type="dxa"/>
            <w:right w:w="108" w:type="dxa"/>
          </w:tblCellMar>
        </w:tblPrEx>
        <w:trPr>
          <w:gridBefore w:val="1"/>
          <w:gridAfter w:val="4"/>
          <w:wBefore w:w="8" w:type="dxa"/>
          <w:wAfter w:w="86" w:type="dxa"/>
          <w:trHeight w:val="447" w:hRule="atLeast"/>
        </w:trPr>
        <w:tc>
          <w:tcPr>
            <w:tcW w:w="9903" w:type="dxa"/>
            <w:gridSpan w:val="30"/>
            <w:tcBorders>
              <w:top w:val="nil"/>
              <w:left w:val="nil"/>
              <w:bottom w:val="nil"/>
              <w:right w:val="nil"/>
            </w:tcBorders>
            <w:vAlign w:val="center"/>
          </w:tcPr>
          <w:p>
            <w:pPr>
              <w:widowControl/>
              <w:jc w:val="center"/>
              <w:rPr>
                <w:rFonts w:ascii="仿宋_GB2312" w:hAnsi="宋体" w:eastAsia="仿宋_GB2312" w:cs="宋体"/>
                <w:b/>
                <w:bCs/>
                <w:color w:val="000000"/>
                <w:kern w:val="0"/>
                <w:sz w:val="32"/>
                <w:szCs w:val="32"/>
              </w:rPr>
            </w:pPr>
            <w:r>
              <w:rPr>
                <w:rFonts w:hint="eastAsia" w:ascii="仿宋_GB2312" w:hAnsi="宋体" w:eastAsia="仿宋_GB2312" w:cs="宋体"/>
                <w:b/>
                <w:bCs/>
                <w:color w:val="000000"/>
                <w:kern w:val="0"/>
                <w:sz w:val="32"/>
                <w:szCs w:val="32"/>
              </w:rPr>
              <w:t>一般公共预算项目支出情况表</w:t>
            </w:r>
          </w:p>
        </w:tc>
      </w:tr>
      <w:tr>
        <w:tblPrEx>
          <w:tblLayout w:type="fixed"/>
          <w:tblCellMar>
            <w:top w:w="0" w:type="dxa"/>
            <w:left w:w="108" w:type="dxa"/>
            <w:bottom w:w="0" w:type="dxa"/>
            <w:right w:w="108" w:type="dxa"/>
          </w:tblCellMar>
        </w:tblPrEx>
        <w:trPr>
          <w:gridBefore w:val="1"/>
          <w:gridAfter w:val="4"/>
          <w:wBefore w:w="8" w:type="dxa"/>
          <w:wAfter w:w="86" w:type="dxa"/>
          <w:trHeight w:val="436" w:hRule="atLeast"/>
        </w:trPr>
        <w:tc>
          <w:tcPr>
            <w:tcW w:w="5599" w:type="dxa"/>
            <w:gridSpan w:val="13"/>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编制部门（单位）：昌吉州</w:t>
            </w:r>
            <w:r>
              <w:rPr>
                <w:rFonts w:hint="eastAsia" w:ascii="仿宋_GB2312" w:hAnsi="宋体" w:eastAsia="仿宋_GB2312"/>
                <w:kern w:val="0"/>
                <w:sz w:val="24"/>
              </w:rPr>
              <w:t>农产品检验检测中心</w:t>
            </w:r>
          </w:p>
        </w:tc>
        <w:tc>
          <w:tcPr>
            <w:tcW w:w="1762" w:type="dxa"/>
            <w:gridSpan w:val="6"/>
            <w:tcBorders>
              <w:top w:val="nil"/>
              <w:left w:val="nil"/>
              <w:bottom w:val="nil"/>
              <w:right w:val="nil"/>
            </w:tcBorders>
            <w:vAlign w:val="center"/>
          </w:tcPr>
          <w:p>
            <w:pPr>
              <w:widowControl/>
              <w:jc w:val="left"/>
              <w:rPr>
                <w:rFonts w:ascii="仿宋_GB2312" w:hAnsi="宋体" w:eastAsia="仿宋_GB2312" w:cs="宋体"/>
                <w:color w:val="000000"/>
                <w:kern w:val="0"/>
                <w:sz w:val="24"/>
              </w:rPr>
            </w:pPr>
            <w:r>
              <w:rPr>
                <w:rFonts w:hint="eastAsia" w:ascii="仿宋_GB2312" w:hAnsi="宋体" w:eastAsia="仿宋_GB2312" w:cs="宋体"/>
                <w:color w:val="000000"/>
                <w:kern w:val="0"/>
                <w:sz w:val="24"/>
              </w:rPr>
              <w:t xml:space="preserve">      </w:t>
            </w:r>
          </w:p>
        </w:tc>
        <w:tc>
          <w:tcPr>
            <w:tcW w:w="2542" w:type="dxa"/>
            <w:gridSpan w:val="11"/>
            <w:tcBorders>
              <w:top w:val="nil"/>
              <w:left w:val="nil"/>
              <w:bottom w:val="nil"/>
              <w:right w:val="nil"/>
            </w:tcBorders>
            <w:vAlign w:val="center"/>
          </w:tcPr>
          <w:p>
            <w:pPr>
              <w:widowControl/>
              <w:ind w:firstLine="960" w:firstLineChars="400"/>
              <w:rPr>
                <w:rFonts w:ascii="仿宋_GB2312" w:hAnsi="宋体" w:eastAsia="仿宋_GB2312" w:cs="宋体"/>
                <w:color w:val="000000"/>
                <w:kern w:val="0"/>
                <w:sz w:val="24"/>
              </w:rPr>
            </w:pPr>
            <w:r>
              <w:rPr>
                <w:rFonts w:hint="eastAsia" w:ascii="仿宋_GB2312" w:hAnsi="宋体" w:eastAsia="仿宋_GB2312" w:cs="宋体"/>
                <w:color w:val="000000"/>
                <w:kern w:val="0"/>
                <w:sz w:val="24"/>
              </w:rPr>
              <w:t>单位：万元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3"/>
          <w:wAfter w:w="8" w:type="dxa"/>
          <w:trHeight w:val="700" w:hRule="atLeast"/>
        </w:trPr>
        <w:tc>
          <w:tcPr>
            <w:tcW w:w="1511" w:type="dxa"/>
            <w:gridSpan w:val="6"/>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 目 编 码</w:t>
            </w:r>
          </w:p>
        </w:tc>
        <w:tc>
          <w:tcPr>
            <w:tcW w:w="1128" w:type="dxa"/>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科目</w:t>
            </w:r>
          </w:p>
        </w:tc>
        <w:tc>
          <w:tcPr>
            <w:tcW w:w="1023" w:type="dxa"/>
            <w:vMerge w:val="restart"/>
            <w:vAlign w:val="center"/>
          </w:tcPr>
          <w:p>
            <w:pPr>
              <w:jc w:val="center"/>
              <w:rPr>
                <w:rFonts w:ascii="Calibri" w:hAnsi="Calibri"/>
                <w:sz w:val="24"/>
              </w:rPr>
            </w:pPr>
            <w:r>
              <w:rPr>
                <w:rFonts w:hint="eastAsia" w:ascii="仿宋_GB2312" w:hAnsi="宋体" w:eastAsia="仿宋_GB2312"/>
                <w:b/>
                <w:kern w:val="0"/>
                <w:sz w:val="24"/>
              </w:rPr>
              <w:t>项目名称</w:t>
            </w:r>
          </w:p>
        </w:tc>
        <w:tc>
          <w:tcPr>
            <w:tcW w:w="784"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项目支出合计</w:t>
            </w:r>
          </w:p>
        </w:tc>
        <w:tc>
          <w:tcPr>
            <w:tcW w:w="59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工资福利支出</w:t>
            </w:r>
          </w:p>
        </w:tc>
        <w:tc>
          <w:tcPr>
            <w:tcW w:w="566"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商品和服务支出</w:t>
            </w:r>
          </w:p>
        </w:tc>
        <w:tc>
          <w:tcPr>
            <w:tcW w:w="68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对个人和家庭的补助</w:t>
            </w:r>
          </w:p>
        </w:tc>
        <w:tc>
          <w:tcPr>
            <w:tcW w:w="682"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债务利息及费用支出</w:t>
            </w:r>
          </w:p>
        </w:tc>
        <w:tc>
          <w:tcPr>
            <w:tcW w:w="605" w:type="dxa"/>
            <w:gridSpan w:val="3"/>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资本性支出（基本建设）</w:t>
            </w:r>
          </w:p>
        </w:tc>
        <w:tc>
          <w:tcPr>
            <w:tcW w:w="438"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资本性支出</w:t>
            </w:r>
          </w:p>
        </w:tc>
        <w:tc>
          <w:tcPr>
            <w:tcW w:w="605"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对企业补助（基本建设）</w:t>
            </w:r>
          </w:p>
        </w:tc>
        <w:tc>
          <w:tcPr>
            <w:tcW w:w="44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对企业补助</w:t>
            </w:r>
          </w:p>
        </w:tc>
        <w:tc>
          <w:tcPr>
            <w:tcW w:w="440" w:type="dxa"/>
            <w:gridSpan w:val="2"/>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对社会保障基金补助</w:t>
            </w:r>
          </w:p>
        </w:tc>
        <w:tc>
          <w:tcPr>
            <w:tcW w:w="490" w:type="dxa"/>
            <w:gridSpan w:val="3"/>
            <w:vMerge w:val="restart"/>
            <w:vAlign w:val="center"/>
          </w:tcPr>
          <w:p>
            <w:pPr>
              <w:widowControl/>
              <w:jc w:val="center"/>
              <w:outlineLvl w:val="1"/>
              <w:rPr>
                <w:rFonts w:ascii="仿宋_GB2312" w:hAnsi="宋体" w:eastAsia="仿宋_GB2312"/>
                <w:b/>
                <w:kern w:val="0"/>
                <w:sz w:val="18"/>
                <w:szCs w:val="18"/>
              </w:rPr>
            </w:pPr>
            <w:r>
              <w:rPr>
                <w:rFonts w:hint="eastAsia" w:ascii="仿宋_GB2312" w:hAnsi="宋体" w:eastAsia="仿宋_GB2312"/>
                <w:b/>
                <w:kern w:val="0"/>
                <w:sz w:val="18"/>
                <w:szCs w:val="18"/>
              </w:rPr>
              <w:t>其他支出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596" w:hRule="atLeast"/>
        </w:trPr>
        <w:tc>
          <w:tcPr>
            <w:tcW w:w="579" w:type="dxa"/>
            <w:gridSpan w:val="3"/>
            <w:tcBorders>
              <w:bottom w:val="single" w:color="auto" w:sz="4" w:space="0"/>
            </w:tcBorders>
            <w:vAlign w:val="center"/>
          </w:tcPr>
          <w:p>
            <w:pPr>
              <w:widowControl/>
              <w:jc w:val="left"/>
              <w:outlineLvl w:val="1"/>
              <w:rPr>
                <w:rFonts w:hint="eastAsia" w:ascii="仿宋" w:hAnsi="仿宋" w:eastAsia="仿宋" w:cs="仿宋"/>
                <w:b/>
                <w:kern w:val="0"/>
                <w:sz w:val="18"/>
                <w:szCs w:val="18"/>
              </w:rPr>
            </w:pPr>
            <w:r>
              <w:rPr>
                <w:rFonts w:hint="eastAsia" w:ascii="仿宋_GB2312" w:hAnsi="宋体" w:eastAsia="仿宋_GB2312"/>
                <w:b/>
                <w:kern w:val="0"/>
                <w:sz w:val="18"/>
                <w:szCs w:val="18"/>
              </w:rPr>
              <w:t>类</w:t>
            </w:r>
          </w:p>
        </w:tc>
        <w:tc>
          <w:tcPr>
            <w:tcW w:w="466" w:type="dxa"/>
            <w:gridSpan w:val="2"/>
            <w:tcBorders>
              <w:bottom w:val="single" w:color="auto" w:sz="4" w:space="0"/>
            </w:tcBorders>
            <w:vAlign w:val="center"/>
          </w:tcPr>
          <w:p>
            <w:pPr>
              <w:widowControl/>
              <w:jc w:val="left"/>
              <w:outlineLvl w:val="1"/>
              <w:rPr>
                <w:rFonts w:hint="eastAsia" w:ascii="仿宋" w:hAnsi="仿宋" w:eastAsia="仿宋" w:cs="仿宋"/>
                <w:b/>
                <w:kern w:val="0"/>
                <w:sz w:val="18"/>
                <w:szCs w:val="18"/>
              </w:rPr>
            </w:pPr>
            <w:r>
              <w:rPr>
                <w:rFonts w:hint="eastAsia" w:ascii="仿宋_GB2312" w:hAnsi="宋体" w:eastAsia="仿宋_GB2312"/>
                <w:b/>
                <w:kern w:val="0"/>
                <w:sz w:val="18"/>
                <w:szCs w:val="18"/>
              </w:rPr>
              <w:t>款</w:t>
            </w:r>
          </w:p>
        </w:tc>
        <w:tc>
          <w:tcPr>
            <w:tcW w:w="466" w:type="dxa"/>
            <w:tcBorders>
              <w:bottom w:val="single" w:color="auto" w:sz="4" w:space="0"/>
            </w:tcBorders>
            <w:vAlign w:val="center"/>
          </w:tcPr>
          <w:p>
            <w:pPr>
              <w:widowControl/>
              <w:jc w:val="left"/>
              <w:outlineLvl w:val="1"/>
              <w:rPr>
                <w:rFonts w:hint="eastAsia" w:ascii="仿宋" w:hAnsi="仿宋" w:eastAsia="仿宋" w:cs="仿宋"/>
                <w:b/>
                <w:kern w:val="0"/>
                <w:sz w:val="18"/>
                <w:szCs w:val="18"/>
              </w:rPr>
            </w:pPr>
            <w:r>
              <w:rPr>
                <w:rFonts w:hint="eastAsia" w:ascii="仿宋_GB2312" w:hAnsi="宋体" w:eastAsia="仿宋_GB2312"/>
                <w:b/>
                <w:kern w:val="0"/>
                <w:sz w:val="18"/>
                <w:szCs w:val="18"/>
              </w:rPr>
              <w:t>项</w:t>
            </w:r>
          </w:p>
        </w:tc>
        <w:tc>
          <w:tcPr>
            <w:tcW w:w="1128" w:type="dxa"/>
            <w:vMerge w:val="continue"/>
            <w:tcBorders>
              <w:bottom w:val="single" w:color="auto" w:sz="4" w:space="0"/>
            </w:tcBorders>
            <w:vAlign w:val="center"/>
          </w:tcPr>
          <w:p>
            <w:pPr>
              <w:widowControl/>
              <w:jc w:val="left"/>
              <w:outlineLvl w:val="1"/>
              <w:rPr>
                <w:rFonts w:hint="eastAsia" w:ascii="仿宋" w:hAnsi="仿宋" w:eastAsia="仿宋" w:cs="仿宋"/>
                <w:b/>
                <w:kern w:val="0"/>
                <w:sz w:val="18"/>
                <w:szCs w:val="18"/>
              </w:rPr>
            </w:pPr>
          </w:p>
        </w:tc>
        <w:tc>
          <w:tcPr>
            <w:tcW w:w="1023" w:type="dxa"/>
            <w:vMerge w:val="continue"/>
            <w:tcBorders>
              <w:bottom w:val="single" w:color="auto" w:sz="4" w:space="0"/>
            </w:tcBorders>
            <w:vAlign w:val="top"/>
          </w:tcPr>
          <w:p>
            <w:pPr>
              <w:widowControl/>
              <w:jc w:val="left"/>
              <w:outlineLvl w:val="1"/>
              <w:rPr>
                <w:rFonts w:hint="eastAsia" w:ascii="仿宋" w:hAnsi="仿宋" w:eastAsia="仿宋" w:cs="仿宋"/>
                <w:b/>
                <w:kern w:val="0"/>
                <w:sz w:val="18"/>
                <w:szCs w:val="18"/>
              </w:rPr>
            </w:pPr>
          </w:p>
        </w:tc>
        <w:tc>
          <w:tcPr>
            <w:tcW w:w="784" w:type="dxa"/>
            <w:gridSpan w:val="2"/>
            <w:vMerge w:val="continue"/>
            <w:tcBorders>
              <w:bottom w:val="single" w:color="auto" w:sz="4" w:space="0"/>
            </w:tcBorders>
            <w:vAlign w:val="top"/>
          </w:tcPr>
          <w:p>
            <w:pPr>
              <w:widowControl/>
              <w:jc w:val="left"/>
              <w:outlineLvl w:val="1"/>
              <w:rPr>
                <w:rFonts w:hint="eastAsia" w:ascii="仿宋" w:hAnsi="仿宋" w:eastAsia="仿宋" w:cs="仿宋"/>
                <w:b/>
                <w:kern w:val="0"/>
                <w:sz w:val="18"/>
                <w:szCs w:val="18"/>
              </w:rPr>
            </w:pPr>
          </w:p>
        </w:tc>
        <w:tc>
          <w:tcPr>
            <w:tcW w:w="595" w:type="dxa"/>
            <w:gridSpan w:val="2"/>
            <w:vMerge w:val="continue"/>
            <w:tcBorders>
              <w:bottom w:val="single" w:color="auto" w:sz="4" w:space="0"/>
            </w:tcBorders>
            <w:vAlign w:val="top"/>
          </w:tcPr>
          <w:p>
            <w:pPr>
              <w:widowControl/>
              <w:jc w:val="left"/>
              <w:outlineLvl w:val="1"/>
              <w:rPr>
                <w:rFonts w:hint="eastAsia" w:ascii="仿宋" w:hAnsi="仿宋" w:eastAsia="仿宋" w:cs="仿宋"/>
                <w:b/>
                <w:kern w:val="0"/>
                <w:sz w:val="18"/>
                <w:szCs w:val="18"/>
              </w:rPr>
            </w:pPr>
          </w:p>
        </w:tc>
        <w:tc>
          <w:tcPr>
            <w:tcW w:w="566" w:type="dxa"/>
            <w:gridSpan w:val="2"/>
            <w:vMerge w:val="continue"/>
            <w:tcBorders>
              <w:bottom w:val="single" w:color="auto" w:sz="4" w:space="0"/>
            </w:tcBorders>
            <w:vAlign w:val="top"/>
          </w:tcPr>
          <w:p>
            <w:pPr>
              <w:widowControl/>
              <w:jc w:val="left"/>
              <w:outlineLvl w:val="1"/>
              <w:rPr>
                <w:rFonts w:hint="eastAsia" w:ascii="仿宋" w:hAnsi="仿宋" w:eastAsia="仿宋" w:cs="仿宋"/>
                <w:b/>
                <w:kern w:val="0"/>
                <w:sz w:val="18"/>
                <w:szCs w:val="18"/>
              </w:rPr>
            </w:pPr>
          </w:p>
        </w:tc>
        <w:tc>
          <w:tcPr>
            <w:tcW w:w="682" w:type="dxa"/>
            <w:gridSpan w:val="2"/>
            <w:vMerge w:val="continue"/>
            <w:tcBorders>
              <w:bottom w:val="single" w:color="auto" w:sz="4" w:space="0"/>
            </w:tcBorders>
            <w:vAlign w:val="top"/>
          </w:tcPr>
          <w:p>
            <w:pPr>
              <w:widowControl/>
              <w:jc w:val="left"/>
              <w:outlineLvl w:val="1"/>
              <w:rPr>
                <w:rFonts w:hint="eastAsia" w:ascii="仿宋" w:hAnsi="仿宋" w:eastAsia="仿宋" w:cs="仿宋"/>
                <w:b/>
                <w:kern w:val="0"/>
                <w:sz w:val="18"/>
                <w:szCs w:val="18"/>
              </w:rPr>
            </w:pPr>
          </w:p>
        </w:tc>
        <w:tc>
          <w:tcPr>
            <w:tcW w:w="682" w:type="dxa"/>
            <w:gridSpan w:val="2"/>
            <w:vMerge w:val="continue"/>
            <w:tcBorders>
              <w:bottom w:val="single" w:color="auto" w:sz="4" w:space="0"/>
            </w:tcBorders>
            <w:vAlign w:val="top"/>
          </w:tcPr>
          <w:p>
            <w:pPr>
              <w:widowControl/>
              <w:jc w:val="left"/>
              <w:outlineLvl w:val="1"/>
              <w:rPr>
                <w:rFonts w:hint="eastAsia" w:ascii="仿宋" w:hAnsi="仿宋" w:eastAsia="仿宋" w:cs="仿宋"/>
                <w:b/>
                <w:kern w:val="0"/>
                <w:sz w:val="18"/>
                <w:szCs w:val="18"/>
              </w:rPr>
            </w:pPr>
          </w:p>
        </w:tc>
        <w:tc>
          <w:tcPr>
            <w:tcW w:w="605" w:type="dxa"/>
            <w:gridSpan w:val="3"/>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38"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605"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40"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40" w:type="dxa"/>
            <w:gridSpan w:val="2"/>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490" w:type="dxa"/>
            <w:gridSpan w:val="3"/>
            <w:vMerge w:val="continue"/>
            <w:tcBorders>
              <w:bottom w:val="single" w:color="auto" w:sz="4" w:space="0"/>
            </w:tcBorders>
            <w:vAlign w:val="top"/>
          </w:tcPr>
          <w:p>
            <w:pPr>
              <w:widowControl/>
              <w:jc w:val="left"/>
              <w:outlineLvl w:val="1"/>
              <w:rPr>
                <w:rFonts w:ascii="仿宋_GB2312" w:hAnsi="宋体" w:eastAsia="仿宋_GB2312"/>
                <w:b/>
                <w:kern w:val="0"/>
                <w:sz w:val="18"/>
                <w:szCs w:val="18"/>
              </w:rPr>
            </w:pPr>
          </w:p>
        </w:tc>
        <w:tc>
          <w:tcPr>
            <w:tcW w:w="3" w:type="dxa"/>
            <w:tcBorders>
              <w:bottom w:val="single" w:color="auto" w:sz="4" w:space="0"/>
            </w:tcBorders>
            <w:vAlign w:val="center"/>
          </w:tcPr>
          <w:p>
            <w:pPr>
              <w:widowControl/>
              <w:jc w:val="left"/>
              <w:outlineLvl w:val="1"/>
            </w:pPr>
            <w:r>
              <w:rPr>
                <w:rFonts w:hint="eastAsia" w:ascii="仿宋_GB2312" w:hAnsi="宋体" w:eastAsia="仿宋_GB2312"/>
                <w:b/>
                <w:kern w:val="0"/>
                <w:sz w:val="18"/>
                <w:szCs w:val="18"/>
              </w:rPr>
              <w:t>类</w:t>
            </w:r>
          </w:p>
        </w:tc>
        <w:tc>
          <w:tcPr>
            <w:tcW w:w="2" w:type="dxa"/>
            <w:tcBorders>
              <w:bottom w:val="single" w:color="auto" w:sz="4" w:space="0"/>
            </w:tcBorders>
            <w:vAlign w:val="center"/>
          </w:tcPr>
          <w:p>
            <w:pPr>
              <w:widowControl/>
              <w:jc w:val="left"/>
              <w:outlineLvl w:val="1"/>
            </w:pPr>
            <w:r>
              <w:rPr>
                <w:rFonts w:hint="eastAsia" w:ascii="仿宋_GB2312" w:hAnsi="宋体" w:eastAsia="仿宋_GB2312"/>
                <w:b/>
                <w:kern w:val="0"/>
                <w:sz w:val="18"/>
                <w:szCs w:val="18"/>
              </w:rPr>
              <w:t>款</w:t>
            </w:r>
          </w:p>
        </w:tc>
        <w:tc>
          <w:tcPr>
            <w:tcW w:w="3" w:type="dxa"/>
            <w:tcBorders>
              <w:bottom w:val="single" w:color="auto" w:sz="4" w:space="0"/>
            </w:tcBorders>
            <w:vAlign w:val="center"/>
          </w:tcPr>
          <w:p>
            <w:pPr>
              <w:widowControl/>
              <w:jc w:val="left"/>
              <w:outlineLvl w:val="1"/>
            </w:pPr>
            <w:r>
              <w:rPr>
                <w:rFonts w:hint="eastAsia" w:ascii="仿宋_GB2312" w:hAnsi="宋体" w:eastAsia="仿宋_GB2312"/>
                <w:b/>
                <w:kern w:val="0"/>
                <w:sz w:val="18"/>
                <w:szCs w:val="18"/>
              </w:rPr>
              <w:t>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top"/>
          </w:tcPr>
          <w:p>
            <w:pPr>
              <w:widowControl/>
              <w:spacing w:line="280" w:lineRule="exact"/>
              <w:jc w:val="center"/>
              <w:rPr>
                <w:rFonts w:hint="eastAsia" w:ascii="仿宋" w:hAnsi="仿宋" w:eastAsia="仿宋" w:cs="仿宋"/>
                <w:kern w:val="0"/>
                <w:sz w:val="18"/>
                <w:szCs w:val="18"/>
              </w:rPr>
            </w:pPr>
            <w:r>
              <w:rPr>
                <w:rFonts w:hint="eastAsia" w:ascii="仿宋" w:hAnsi="仿宋" w:eastAsia="仿宋" w:cs="仿宋"/>
                <w:bCs/>
                <w:color w:val="000000"/>
                <w:kern w:val="0"/>
                <w:sz w:val="18"/>
                <w:szCs w:val="18"/>
                <w:lang w:val="en-US" w:eastAsia="zh-CN"/>
              </w:rPr>
              <w:t>213</w:t>
            </w:r>
          </w:p>
        </w:tc>
        <w:tc>
          <w:tcPr>
            <w:tcW w:w="487" w:type="dxa"/>
            <w:gridSpan w:val="2"/>
            <w:vAlign w:val="top"/>
          </w:tcPr>
          <w:p>
            <w:pPr>
              <w:widowControl/>
              <w:spacing w:line="280" w:lineRule="exact"/>
              <w:jc w:val="center"/>
              <w:rPr>
                <w:rFonts w:hint="eastAsia" w:ascii="仿宋" w:hAnsi="仿宋" w:eastAsia="仿宋" w:cs="仿宋"/>
                <w:kern w:val="0"/>
                <w:sz w:val="18"/>
                <w:szCs w:val="18"/>
              </w:rPr>
            </w:pPr>
          </w:p>
        </w:tc>
        <w:tc>
          <w:tcPr>
            <w:tcW w:w="503" w:type="dxa"/>
            <w:gridSpan w:val="2"/>
            <w:vAlign w:val="top"/>
          </w:tcPr>
          <w:p>
            <w:pPr>
              <w:widowControl/>
              <w:spacing w:line="280" w:lineRule="exact"/>
              <w:jc w:val="center"/>
              <w:rPr>
                <w:rFonts w:hint="eastAsia" w:ascii="仿宋" w:hAnsi="仿宋" w:eastAsia="仿宋" w:cs="仿宋"/>
                <w:kern w:val="0"/>
                <w:sz w:val="18"/>
                <w:szCs w:val="18"/>
              </w:rPr>
            </w:pPr>
          </w:p>
        </w:tc>
        <w:tc>
          <w:tcPr>
            <w:tcW w:w="1128" w:type="dxa"/>
            <w:vAlign w:val="center"/>
          </w:tcPr>
          <w:p>
            <w:pPr>
              <w:keepNext w:val="0"/>
              <w:keepLines w:val="0"/>
              <w:widowControl/>
              <w:suppressLineNumbers w:val="0"/>
              <w:jc w:val="left"/>
              <w:textAlignment w:val="center"/>
              <w:rPr>
                <w:rFonts w:hint="eastAsia" w:ascii="仿宋" w:hAnsi="仿宋" w:eastAsia="仿宋" w:cs="仿宋"/>
                <w:kern w:val="0"/>
                <w:sz w:val="18"/>
                <w:szCs w:val="18"/>
              </w:rPr>
            </w:pPr>
            <w:r>
              <w:rPr>
                <w:rFonts w:hint="eastAsia" w:ascii="仿宋" w:hAnsi="仿宋" w:eastAsia="仿宋" w:cs="仿宋"/>
                <w:i w:val="0"/>
                <w:color w:val="000000"/>
                <w:kern w:val="0"/>
                <w:sz w:val="18"/>
                <w:szCs w:val="18"/>
                <w:u w:val="none"/>
                <w:lang w:val="en-US" w:eastAsia="zh-CN" w:bidi="ar"/>
              </w:rPr>
              <w:t>农林水支出</w:t>
            </w:r>
          </w:p>
        </w:tc>
        <w:tc>
          <w:tcPr>
            <w:tcW w:w="1031" w:type="dxa"/>
            <w:gridSpan w:val="2"/>
            <w:vAlign w:val="center"/>
          </w:tcPr>
          <w:p>
            <w:pPr>
              <w:widowControl/>
              <w:jc w:val="center"/>
              <w:outlineLvl w:val="1"/>
              <w:rPr>
                <w:rFonts w:hint="eastAsia" w:ascii="仿宋" w:hAnsi="仿宋" w:eastAsia="仿宋" w:cs="仿宋"/>
                <w:kern w:val="0"/>
                <w:sz w:val="18"/>
                <w:szCs w:val="18"/>
              </w:rPr>
            </w:pPr>
          </w:p>
        </w:tc>
        <w:tc>
          <w:tcPr>
            <w:tcW w:w="784"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10</w:t>
            </w:r>
          </w:p>
        </w:tc>
        <w:tc>
          <w:tcPr>
            <w:tcW w:w="595" w:type="dxa"/>
            <w:gridSpan w:val="2"/>
            <w:vAlign w:val="center"/>
          </w:tcPr>
          <w:p>
            <w:pPr>
              <w:widowControl/>
              <w:jc w:val="center"/>
              <w:outlineLvl w:val="1"/>
              <w:rPr>
                <w:rFonts w:hint="eastAsia" w:ascii="仿宋" w:hAnsi="仿宋" w:eastAsia="仿宋" w:cs="仿宋"/>
                <w:kern w:val="0"/>
                <w:sz w:val="18"/>
                <w:szCs w:val="18"/>
              </w:rPr>
            </w:pPr>
          </w:p>
        </w:tc>
        <w:tc>
          <w:tcPr>
            <w:tcW w:w="561"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10</w:t>
            </w:r>
          </w:p>
        </w:tc>
        <w:tc>
          <w:tcPr>
            <w:tcW w:w="682" w:type="dxa"/>
            <w:gridSpan w:val="2"/>
            <w:vAlign w:val="center"/>
          </w:tcPr>
          <w:p>
            <w:pPr>
              <w:widowControl/>
              <w:jc w:val="center"/>
              <w:outlineLvl w:val="1"/>
              <w:rPr>
                <w:rFonts w:hint="eastAsia" w:ascii="仿宋" w:hAnsi="仿宋" w:eastAsia="仿宋" w:cs="仿宋"/>
                <w:kern w:val="0"/>
                <w:sz w:val="18"/>
                <w:szCs w:val="18"/>
              </w:rPr>
            </w:pPr>
          </w:p>
        </w:tc>
        <w:tc>
          <w:tcPr>
            <w:tcW w:w="682" w:type="dxa"/>
            <w:gridSpan w:val="2"/>
            <w:vAlign w:val="center"/>
          </w:tcPr>
          <w:p>
            <w:pPr>
              <w:widowControl/>
              <w:jc w:val="center"/>
              <w:outlineLvl w:val="1"/>
              <w:rPr>
                <w:rFonts w:hint="eastAsia" w:ascii="仿宋" w:hAnsi="仿宋" w:eastAsia="仿宋" w:cs="仿宋"/>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67" w:hRule="atLeast"/>
        </w:trPr>
        <w:tc>
          <w:tcPr>
            <w:tcW w:w="521" w:type="dxa"/>
            <w:gridSpan w:val="2"/>
            <w:vAlign w:val="top"/>
          </w:tcPr>
          <w:p>
            <w:pPr>
              <w:widowControl/>
              <w:spacing w:line="280" w:lineRule="exact"/>
              <w:jc w:val="center"/>
              <w:rPr>
                <w:rFonts w:hint="eastAsia" w:ascii="仿宋" w:hAnsi="仿宋" w:eastAsia="仿宋" w:cs="仿宋"/>
                <w:kern w:val="0"/>
                <w:sz w:val="18"/>
                <w:szCs w:val="18"/>
              </w:rPr>
            </w:pPr>
            <w:r>
              <w:rPr>
                <w:rFonts w:hint="eastAsia" w:ascii="仿宋" w:hAnsi="仿宋" w:eastAsia="仿宋" w:cs="仿宋"/>
                <w:bCs/>
                <w:color w:val="000000"/>
                <w:kern w:val="0"/>
                <w:sz w:val="18"/>
                <w:szCs w:val="18"/>
                <w:lang w:val="en-US" w:eastAsia="zh-CN"/>
              </w:rPr>
              <w:t>213</w:t>
            </w:r>
          </w:p>
        </w:tc>
        <w:tc>
          <w:tcPr>
            <w:tcW w:w="487" w:type="dxa"/>
            <w:gridSpan w:val="2"/>
            <w:vAlign w:val="top"/>
          </w:tcPr>
          <w:p>
            <w:pPr>
              <w:widowControl/>
              <w:spacing w:line="280" w:lineRule="exact"/>
              <w:jc w:val="center"/>
              <w:rPr>
                <w:rFonts w:hint="eastAsia" w:ascii="仿宋" w:hAnsi="仿宋" w:eastAsia="仿宋" w:cs="仿宋"/>
                <w:kern w:val="0"/>
                <w:sz w:val="18"/>
                <w:szCs w:val="18"/>
              </w:rPr>
            </w:pPr>
            <w:r>
              <w:rPr>
                <w:rFonts w:hint="eastAsia" w:ascii="仿宋" w:hAnsi="仿宋" w:eastAsia="仿宋" w:cs="仿宋"/>
                <w:bCs/>
                <w:color w:val="000000"/>
                <w:kern w:val="0"/>
                <w:sz w:val="18"/>
                <w:szCs w:val="18"/>
                <w:lang w:val="en-US" w:eastAsia="zh-CN"/>
              </w:rPr>
              <w:t>01</w:t>
            </w:r>
          </w:p>
        </w:tc>
        <w:tc>
          <w:tcPr>
            <w:tcW w:w="503" w:type="dxa"/>
            <w:gridSpan w:val="2"/>
            <w:vAlign w:val="top"/>
          </w:tcPr>
          <w:p>
            <w:pPr>
              <w:widowControl/>
              <w:spacing w:line="280" w:lineRule="exact"/>
              <w:jc w:val="center"/>
              <w:rPr>
                <w:rFonts w:hint="eastAsia" w:ascii="仿宋" w:hAnsi="仿宋" w:eastAsia="仿宋" w:cs="仿宋"/>
                <w:kern w:val="0"/>
                <w:sz w:val="18"/>
                <w:szCs w:val="18"/>
              </w:rPr>
            </w:pPr>
          </w:p>
        </w:tc>
        <w:tc>
          <w:tcPr>
            <w:tcW w:w="1128" w:type="dxa"/>
            <w:vAlign w:val="center"/>
          </w:tcPr>
          <w:p>
            <w:pPr>
              <w:keepNext w:val="0"/>
              <w:keepLines w:val="0"/>
              <w:widowControl/>
              <w:suppressLineNumbers w:val="0"/>
              <w:jc w:val="left"/>
              <w:textAlignment w:val="center"/>
              <w:rPr>
                <w:rFonts w:hint="eastAsia" w:ascii="仿宋" w:hAnsi="仿宋" w:eastAsia="仿宋" w:cs="仿宋"/>
                <w:kern w:val="0"/>
                <w:sz w:val="18"/>
                <w:szCs w:val="18"/>
              </w:rPr>
            </w:pPr>
            <w:r>
              <w:rPr>
                <w:rFonts w:hint="eastAsia" w:ascii="仿宋" w:hAnsi="仿宋" w:eastAsia="仿宋" w:cs="仿宋"/>
                <w:i w:val="0"/>
                <w:color w:val="000000"/>
                <w:kern w:val="0"/>
                <w:sz w:val="18"/>
                <w:szCs w:val="18"/>
                <w:u w:val="none"/>
                <w:lang w:val="en-US" w:eastAsia="zh-CN" w:bidi="ar"/>
              </w:rPr>
              <w:t>农业农村</w:t>
            </w:r>
          </w:p>
        </w:tc>
        <w:tc>
          <w:tcPr>
            <w:tcW w:w="1031" w:type="dxa"/>
            <w:gridSpan w:val="2"/>
            <w:vAlign w:val="center"/>
          </w:tcPr>
          <w:p>
            <w:pPr>
              <w:widowControl/>
              <w:jc w:val="center"/>
              <w:outlineLvl w:val="1"/>
              <w:rPr>
                <w:rFonts w:hint="eastAsia" w:ascii="仿宋" w:hAnsi="仿宋" w:eastAsia="仿宋" w:cs="仿宋"/>
                <w:kern w:val="0"/>
                <w:sz w:val="18"/>
                <w:szCs w:val="18"/>
              </w:rPr>
            </w:pPr>
          </w:p>
        </w:tc>
        <w:tc>
          <w:tcPr>
            <w:tcW w:w="784"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10</w:t>
            </w:r>
          </w:p>
        </w:tc>
        <w:tc>
          <w:tcPr>
            <w:tcW w:w="595" w:type="dxa"/>
            <w:gridSpan w:val="2"/>
            <w:vAlign w:val="center"/>
          </w:tcPr>
          <w:p>
            <w:pPr>
              <w:widowControl/>
              <w:jc w:val="center"/>
              <w:outlineLvl w:val="1"/>
              <w:rPr>
                <w:rFonts w:hint="eastAsia" w:ascii="仿宋" w:hAnsi="仿宋" w:eastAsia="仿宋" w:cs="仿宋"/>
                <w:kern w:val="0"/>
                <w:sz w:val="18"/>
                <w:szCs w:val="18"/>
              </w:rPr>
            </w:pPr>
          </w:p>
        </w:tc>
        <w:tc>
          <w:tcPr>
            <w:tcW w:w="561"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10</w:t>
            </w:r>
          </w:p>
        </w:tc>
        <w:tc>
          <w:tcPr>
            <w:tcW w:w="682" w:type="dxa"/>
            <w:gridSpan w:val="2"/>
            <w:vAlign w:val="center"/>
          </w:tcPr>
          <w:p>
            <w:pPr>
              <w:widowControl/>
              <w:jc w:val="center"/>
              <w:outlineLvl w:val="1"/>
              <w:rPr>
                <w:rFonts w:hint="eastAsia" w:ascii="仿宋" w:hAnsi="仿宋" w:eastAsia="仿宋" w:cs="仿宋"/>
                <w:kern w:val="0"/>
                <w:sz w:val="18"/>
                <w:szCs w:val="18"/>
              </w:rPr>
            </w:pPr>
          </w:p>
        </w:tc>
        <w:tc>
          <w:tcPr>
            <w:tcW w:w="682" w:type="dxa"/>
            <w:gridSpan w:val="2"/>
            <w:vAlign w:val="center"/>
          </w:tcPr>
          <w:p>
            <w:pPr>
              <w:widowControl/>
              <w:jc w:val="center"/>
              <w:outlineLvl w:val="1"/>
              <w:rPr>
                <w:rFonts w:hint="eastAsia" w:ascii="仿宋" w:hAnsi="仿宋" w:eastAsia="仿宋" w:cs="仿宋"/>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28" w:hRule="atLeast"/>
        </w:trPr>
        <w:tc>
          <w:tcPr>
            <w:tcW w:w="521"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213</w:t>
            </w:r>
          </w:p>
        </w:tc>
        <w:tc>
          <w:tcPr>
            <w:tcW w:w="487"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01</w:t>
            </w:r>
          </w:p>
        </w:tc>
        <w:tc>
          <w:tcPr>
            <w:tcW w:w="503"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09</w:t>
            </w:r>
          </w:p>
        </w:tc>
        <w:tc>
          <w:tcPr>
            <w:tcW w:w="1128" w:type="dxa"/>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农产品质量安全</w:t>
            </w:r>
          </w:p>
        </w:tc>
        <w:tc>
          <w:tcPr>
            <w:tcW w:w="1031"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自治州种植业产品质量安全监督抽查</w:t>
            </w:r>
          </w:p>
        </w:tc>
        <w:tc>
          <w:tcPr>
            <w:tcW w:w="784"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10</w:t>
            </w:r>
          </w:p>
        </w:tc>
        <w:tc>
          <w:tcPr>
            <w:tcW w:w="595" w:type="dxa"/>
            <w:gridSpan w:val="2"/>
            <w:vAlign w:val="center"/>
          </w:tcPr>
          <w:p>
            <w:pPr>
              <w:widowControl/>
              <w:jc w:val="center"/>
              <w:outlineLvl w:val="1"/>
              <w:rPr>
                <w:rFonts w:hint="eastAsia" w:ascii="仿宋" w:hAnsi="仿宋" w:eastAsia="仿宋" w:cs="仿宋"/>
                <w:kern w:val="0"/>
                <w:sz w:val="18"/>
                <w:szCs w:val="18"/>
              </w:rPr>
            </w:pPr>
          </w:p>
        </w:tc>
        <w:tc>
          <w:tcPr>
            <w:tcW w:w="561" w:type="dxa"/>
            <w:gridSpan w:val="2"/>
            <w:vAlign w:val="center"/>
          </w:tcPr>
          <w:p>
            <w:pPr>
              <w:widowControl/>
              <w:jc w:val="center"/>
              <w:outlineLvl w:val="1"/>
              <w:rPr>
                <w:rFonts w:hint="eastAsia" w:ascii="仿宋" w:hAnsi="仿宋" w:eastAsia="仿宋" w:cs="仿宋"/>
                <w:kern w:val="0"/>
                <w:sz w:val="18"/>
                <w:szCs w:val="18"/>
              </w:rPr>
            </w:pPr>
            <w:r>
              <w:rPr>
                <w:rFonts w:hint="eastAsia" w:ascii="仿宋" w:hAnsi="仿宋" w:eastAsia="仿宋" w:cs="仿宋"/>
                <w:kern w:val="0"/>
                <w:sz w:val="18"/>
                <w:szCs w:val="18"/>
              </w:rPr>
              <w:t>10</w:t>
            </w:r>
          </w:p>
        </w:tc>
        <w:tc>
          <w:tcPr>
            <w:tcW w:w="682" w:type="dxa"/>
            <w:gridSpan w:val="2"/>
            <w:vAlign w:val="center"/>
          </w:tcPr>
          <w:p>
            <w:pPr>
              <w:widowControl/>
              <w:jc w:val="center"/>
              <w:outlineLvl w:val="1"/>
              <w:rPr>
                <w:rFonts w:hint="eastAsia" w:ascii="仿宋" w:hAnsi="仿宋" w:eastAsia="仿宋" w:cs="仿宋"/>
                <w:kern w:val="0"/>
                <w:sz w:val="18"/>
                <w:szCs w:val="18"/>
              </w:rPr>
            </w:pPr>
          </w:p>
        </w:tc>
        <w:tc>
          <w:tcPr>
            <w:tcW w:w="682" w:type="dxa"/>
            <w:gridSpan w:val="2"/>
            <w:vAlign w:val="center"/>
          </w:tcPr>
          <w:p>
            <w:pPr>
              <w:widowControl/>
              <w:jc w:val="center"/>
              <w:outlineLvl w:val="1"/>
              <w:rPr>
                <w:rFonts w:hint="eastAsia" w:ascii="仿宋" w:hAnsi="仿宋" w:eastAsia="仿宋" w:cs="仿宋"/>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1"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p>
        </w:tc>
        <w:tc>
          <w:tcPr>
            <w:tcW w:w="784" w:type="dxa"/>
            <w:gridSpan w:val="2"/>
            <w:vAlign w:val="center"/>
          </w:tcPr>
          <w:p>
            <w:pPr>
              <w:widowControl/>
              <w:jc w:val="center"/>
              <w:outlineLvl w:val="1"/>
              <w:rPr>
                <w:rFonts w:ascii="仿宋_GB2312" w:hAnsi="宋体" w:eastAsia="仿宋_GB2312"/>
                <w:kern w:val="0"/>
                <w:sz w:val="18"/>
                <w:szCs w:val="18"/>
              </w:rPr>
            </w:pP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521" w:type="dxa"/>
            <w:gridSpan w:val="2"/>
            <w:vAlign w:val="center"/>
          </w:tcPr>
          <w:p>
            <w:pPr>
              <w:widowControl/>
              <w:jc w:val="center"/>
              <w:outlineLvl w:val="1"/>
              <w:rPr>
                <w:rFonts w:ascii="仿宋_GB2312" w:hAnsi="宋体" w:eastAsia="仿宋_GB2312"/>
                <w:kern w:val="0"/>
                <w:sz w:val="18"/>
                <w:szCs w:val="18"/>
              </w:rPr>
            </w:pPr>
          </w:p>
        </w:tc>
        <w:tc>
          <w:tcPr>
            <w:tcW w:w="487" w:type="dxa"/>
            <w:gridSpan w:val="2"/>
            <w:vAlign w:val="center"/>
          </w:tcPr>
          <w:p>
            <w:pPr>
              <w:widowControl/>
              <w:jc w:val="center"/>
              <w:outlineLvl w:val="1"/>
              <w:rPr>
                <w:rFonts w:ascii="仿宋_GB2312" w:hAnsi="宋体" w:eastAsia="仿宋_GB2312"/>
                <w:kern w:val="0"/>
                <w:sz w:val="18"/>
                <w:szCs w:val="18"/>
              </w:rPr>
            </w:pPr>
          </w:p>
        </w:tc>
        <w:tc>
          <w:tcPr>
            <w:tcW w:w="503" w:type="dxa"/>
            <w:gridSpan w:val="2"/>
            <w:vAlign w:val="center"/>
          </w:tcPr>
          <w:p>
            <w:pPr>
              <w:widowControl/>
              <w:jc w:val="center"/>
              <w:outlineLvl w:val="1"/>
              <w:rPr>
                <w:rFonts w:ascii="仿宋_GB2312" w:hAnsi="宋体" w:eastAsia="仿宋_GB2312"/>
                <w:kern w:val="0"/>
                <w:sz w:val="18"/>
                <w:szCs w:val="18"/>
              </w:rPr>
            </w:pPr>
          </w:p>
        </w:tc>
        <w:tc>
          <w:tcPr>
            <w:tcW w:w="1128" w:type="dxa"/>
            <w:vAlign w:val="center"/>
          </w:tcPr>
          <w:p>
            <w:pPr>
              <w:widowControl/>
              <w:jc w:val="center"/>
              <w:outlineLvl w:val="1"/>
              <w:rPr>
                <w:rFonts w:ascii="仿宋_GB2312" w:hAnsi="宋体" w:eastAsia="仿宋_GB2312"/>
                <w:kern w:val="0"/>
                <w:sz w:val="18"/>
                <w:szCs w:val="18"/>
              </w:rPr>
            </w:pPr>
          </w:p>
        </w:tc>
        <w:tc>
          <w:tcPr>
            <w:tcW w:w="103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b/>
                <w:bCs/>
                <w:kern w:val="0"/>
                <w:sz w:val="18"/>
                <w:szCs w:val="18"/>
              </w:rPr>
              <w:t>合 计</w:t>
            </w:r>
          </w:p>
        </w:tc>
        <w:tc>
          <w:tcPr>
            <w:tcW w:w="784"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595" w:type="dxa"/>
            <w:gridSpan w:val="2"/>
            <w:vAlign w:val="center"/>
          </w:tcPr>
          <w:p>
            <w:pPr>
              <w:widowControl/>
              <w:jc w:val="center"/>
              <w:outlineLvl w:val="1"/>
              <w:rPr>
                <w:rFonts w:ascii="仿宋_GB2312" w:hAnsi="宋体" w:eastAsia="仿宋_GB2312"/>
                <w:kern w:val="0"/>
                <w:sz w:val="18"/>
                <w:szCs w:val="18"/>
              </w:rPr>
            </w:pPr>
          </w:p>
        </w:tc>
        <w:tc>
          <w:tcPr>
            <w:tcW w:w="561" w:type="dxa"/>
            <w:gridSpan w:val="2"/>
            <w:vAlign w:val="center"/>
          </w:tcPr>
          <w:p>
            <w:pPr>
              <w:widowControl/>
              <w:jc w:val="center"/>
              <w:outlineLvl w:val="1"/>
              <w:rPr>
                <w:rFonts w:ascii="仿宋_GB2312" w:hAnsi="宋体" w:eastAsia="仿宋_GB2312"/>
                <w:kern w:val="0"/>
                <w:sz w:val="18"/>
                <w:szCs w:val="18"/>
              </w:rPr>
            </w:pPr>
            <w:r>
              <w:rPr>
                <w:rFonts w:hint="eastAsia" w:ascii="仿宋_GB2312" w:hAnsi="宋体" w:eastAsia="仿宋_GB2312"/>
                <w:kern w:val="0"/>
                <w:sz w:val="18"/>
                <w:szCs w:val="18"/>
              </w:rPr>
              <w:t>10</w:t>
            </w:r>
          </w:p>
        </w:tc>
        <w:tc>
          <w:tcPr>
            <w:tcW w:w="682" w:type="dxa"/>
            <w:gridSpan w:val="2"/>
            <w:vAlign w:val="center"/>
          </w:tcPr>
          <w:p>
            <w:pPr>
              <w:widowControl/>
              <w:jc w:val="center"/>
              <w:outlineLvl w:val="1"/>
              <w:rPr>
                <w:rFonts w:ascii="仿宋_GB2312" w:hAnsi="宋体" w:eastAsia="仿宋_GB2312"/>
                <w:kern w:val="0"/>
                <w:sz w:val="18"/>
                <w:szCs w:val="18"/>
              </w:rPr>
            </w:pPr>
          </w:p>
        </w:tc>
        <w:tc>
          <w:tcPr>
            <w:tcW w:w="682" w:type="dxa"/>
            <w:gridSpan w:val="2"/>
            <w:vAlign w:val="center"/>
          </w:tcPr>
          <w:p>
            <w:pPr>
              <w:widowControl/>
              <w:jc w:val="center"/>
              <w:outlineLvl w:val="1"/>
              <w:rPr>
                <w:rFonts w:ascii="仿宋_GB2312" w:hAnsi="宋体" w:eastAsia="仿宋_GB2312"/>
                <w:kern w:val="0"/>
                <w:sz w:val="18"/>
                <w:szCs w:val="18"/>
              </w:rPr>
            </w:pPr>
          </w:p>
        </w:tc>
        <w:tc>
          <w:tcPr>
            <w:tcW w:w="605" w:type="dxa"/>
            <w:gridSpan w:val="3"/>
            <w:vAlign w:val="center"/>
          </w:tcPr>
          <w:p>
            <w:pPr>
              <w:widowControl/>
              <w:jc w:val="center"/>
              <w:outlineLvl w:val="1"/>
              <w:rPr>
                <w:rFonts w:ascii="仿宋_GB2312" w:hAnsi="宋体" w:eastAsia="仿宋_GB2312"/>
                <w:kern w:val="0"/>
                <w:sz w:val="18"/>
                <w:szCs w:val="18"/>
              </w:rPr>
            </w:pPr>
          </w:p>
        </w:tc>
        <w:tc>
          <w:tcPr>
            <w:tcW w:w="438" w:type="dxa"/>
            <w:gridSpan w:val="2"/>
            <w:vAlign w:val="center"/>
          </w:tcPr>
          <w:p>
            <w:pPr>
              <w:widowControl/>
              <w:jc w:val="center"/>
              <w:outlineLvl w:val="1"/>
              <w:rPr>
                <w:rFonts w:ascii="仿宋_GB2312" w:hAnsi="宋体" w:eastAsia="仿宋_GB2312"/>
                <w:kern w:val="0"/>
                <w:sz w:val="18"/>
                <w:szCs w:val="18"/>
              </w:rPr>
            </w:pPr>
          </w:p>
        </w:tc>
        <w:tc>
          <w:tcPr>
            <w:tcW w:w="605"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40" w:type="dxa"/>
            <w:gridSpan w:val="2"/>
            <w:vAlign w:val="center"/>
          </w:tcPr>
          <w:p>
            <w:pPr>
              <w:widowControl/>
              <w:jc w:val="center"/>
              <w:outlineLvl w:val="1"/>
              <w:rPr>
                <w:rFonts w:ascii="仿宋_GB2312" w:hAnsi="宋体" w:eastAsia="仿宋_GB2312"/>
                <w:kern w:val="0"/>
                <w:sz w:val="18"/>
                <w:szCs w:val="18"/>
              </w:rPr>
            </w:pPr>
          </w:p>
        </w:tc>
        <w:tc>
          <w:tcPr>
            <w:tcW w:w="495" w:type="dxa"/>
            <w:gridSpan w:val="5"/>
            <w:vAlign w:val="center"/>
          </w:tcPr>
          <w:p>
            <w:pPr>
              <w:widowControl/>
              <w:jc w:val="center"/>
              <w:outlineLvl w:val="1"/>
              <w:rPr>
                <w:rFonts w:ascii="仿宋_GB2312" w:hAnsi="宋体" w:eastAsia="仿宋_GB2312"/>
                <w:kern w:val="0"/>
                <w:sz w:val="18"/>
                <w:szCs w:val="18"/>
              </w:rPr>
            </w:pPr>
          </w:p>
        </w:tc>
      </w:tr>
    </w:tbl>
    <w:p>
      <w:pPr>
        <w:widowControl/>
        <w:jc w:val="left"/>
        <w:outlineLvl w:val="1"/>
        <w:rPr>
          <w:rFonts w:hint="eastAsia" w:ascii="仿宋_GB2312" w:hAnsi="宋体" w:eastAsia="仿宋_GB2312"/>
          <w:b/>
          <w:kern w:val="0"/>
          <w:sz w:val="32"/>
          <w:szCs w:val="32"/>
        </w:rPr>
      </w:pPr>
    </w:p>
    <w:p>
      <w:pPr>
        <w:widowControl/>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表八：</w:t>
      </w:r>
    </w:p>
    <w:p>
      <w:pPr>
        <w:widowControl/>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一般公共预算“三公”经费支出情况表</w:t>
      </w:r>
    </w:p>
    <w:p>
      <w:pPr>
        <w:widowControl/>
        <w:jc w:val="center"/>
        <w:outlineLvl w:val="1"/>
        <w:rPr>
          <w:rFonts w:ascii="仿宋_GB2312" w:hAnsi="宋体" w:eastAsia="仿宋_GB2312"/>
          <w:b/>
          <w:kern w:val="0"/>
          <w:sz w:val="32"/>
          <w:szCs w:val="32"/>
        </w:rPr>
      </w:pPr>
    </w:p>
    <w:p>
      <w:pPr>
        <w:widowControl/>
        <w:jc w:val="left"/>
        <w:outlineLvl w:val="1"/>
        <w:rPr>
          <w:rFonts w:ascii="仿宋_GB2312" w:hAnsi="宋体" w:eastAsia="仿宋_GB2312"/>
          <w:kern w:val="0"/>
          <w:sz w:val="24"/>
        </w:rPr>
      </w:pPr>
      <w:r>
        <w:rPr>
          <w:rFonts w:hint="eastAsia" w:ascii="仿宋_GB2312" w:hAnsi="宋体" w:eastAsia="仿宋_GB2312"/>
          <w:kern w:val="0"/>
          <w:sz w:val="24"/>
        </w:rPr>
        <w:t>编制部门（单位）： 昌吉州农产品检验检测中心                     单位：万元</w:t>
      </w:r>
    </w:p>
    <w:tbl>
      <w:tblPr>
        <w:tblStyle w:val="8"/>
        <w:tblW w:w="9240" w:type="dxa"/>
        <w:tblInd w:w="-173" w:type="dxa"/>
        <w:tblLayout w:type="fixed"/>
        <w:tblCellMar>
          <w:top w:w="0" w:type="dxa"/>
          <w:left w:w="108" w:type="dxa"/>
          <w:bottom w:w="0" w:type="dxa"/>
          <w:right w:w="108" w:type="dxa"/>
        </w:tblCellMar>
      </w:tblPr>
      <w:tblGrid>
        <w:gridCol w:w="1575"/>
        <w:gridCol w:w="1417"/>
        <w:gridCol w:w="1559"/>
        <w:gridCol w:w="1418"/>
        <w:gridCol w:w="1559"/>
        <w:gridCol w:w="1712"/>
      </w:tblGrid>
      <w:tr>
        <w:tblPrEx>
          <w:tblLayout w:type="fixed"/>
          <w:tblCellMar>
            <w:top w:w="0" w:type="dxa"/>
            <w:left w:w="108" w:type="dxa"/>
            <w:bottom w:w="0" w:type="dxa"/>
            <w:right w:w="108" w:type="dxa"/>
          </w:tblCellMar>
        </w:tblPrEx>
        <w:trPr>
          <w:trHeight w:val="546" w:hRule="atLeast"/>
        </w:trPr>
        <w:tc>
          <w:tcPr>
            <w:tcW w:w="1575"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7"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因公出国（境）费</w:t>
            </w:r>
          </w:p>
        </w:tc>
        <w:tc>
          <w:tcPr>
            <w:tcW w:w="4536" w:type="dxa"/>
            <w:gridSpan w:val="3"/>
            <w:tcBorders>
              <w:top w:val="single" w:color="auto" w:sz="4" w:space="0"/>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公务用车购置及运行费</w:t>
            </w:r>
          </w:p>
        </w:tc>
        <w:tc>
          <w:tcPr>
            <w:tcW w:w="1712" w:type="dxa"/>
            <w:vMerge w:val="restart"/>
            <w:tcBorders>
              <w:top w:val="single" w:color="auto" w:sz="4" w:space="0"/>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公务接待费</w:t>
            </w:r>
          </w:p>
        </w:tc>
      </w:tr>
      <w:tr>
        <w:tblPrEx>
          <w:tblLayout w:type="fixed"/>
          <w:tblCellMar>
            <w:top w:w="0" w:type="dxa"/>
            <w:left w:w="108" w:type="dxa"/>
            <w:bottom w:w="0" w:type="dxa"/>
            <w:right w:w="108" w:type="dxa"/>
          </w:tblCellMar>
        </w:tblPrEx>
        <w:trPr>
          <w:trHeight w:val="810" w:hRule="atLeast"/>
        </w:trPr>
        <w:tc>
          <w:tcPr>
            <w:tcW w:w="1575"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p>
        </w:tc>
        <w:tc>
          <w:tcPr>
            <w:tcW w:w="1417" w:type="dxa"/>
            <w:tcBorders>
              <w:top w:val="single" w:color="auto" w:sz="4" w:space="0"/>
              <w:left w:val="single" w:color="auto" w:sz="4" w:space="0"/>
              <w:bottom w:val="single" w:color="auto" w:sz="4" w:space="0"/>
              <w:right w:val="single" w:color="auto" w:sz="4" w:space="0"/>
            </w:tcBorders>
            <w:vAlign w:val="center"/>
          </w:tcPr>
          <w:p>
            <w:pPr>
              <w:widowControl/>
              <w:jc w:val="left"/>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合计</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合  计</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公务用车购置费</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b/>
                <w:bCs/>
                <w:color w:val="000000"/>
                <w:kern w:val="0"/>
                <w:sz w:val="22"/>
                <w:szCs w:val="22"/>
              </w:rPr>
            </w:pPr>
            <w:r>
              <w:rPr>
                <w:rFonts w:hint="eastAsia" w:ascii="仿宋_GB2312" w:hAnsi="宋体" w:eastAsia="仿宋_GB2312" w:cs="宋体"/>
                <w:b/>
                <w:bCs/>
                <w:color w:val="000000"/>
                <w:kern w:val="0"/>
                <w:sz w:val="22"/>
                <w:szCs w:val="22"/>
              </w:rPr>
              <w:t>公务用车运行费</w:t>
            </w:r>
          </w:p>
        </w:tc>
        <w:tc>
          <w:tcPr>
            <w:tcW w:w="171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ascii="宋体" w:hAnsi="宋体" w:cs="宋体"/>
                <w:b/>
                <w:bCs/>
                <w:color w:val="000000"/>
                <w:kern w:val="0"/>
                <w:sz w:val="22"/>
                <w:szCs w:val="22"/>
              </w:rPr>
            </w:pPr>
          </w:p>
        </w:tc>
      </w:tr>
      <w:tr>
        <w:tblPrEx>
          <w:tblLayout w:type="fixed"/>
          <w:tblCellMar>
            <w:top w:w="0" w:type="dxa"/>
            <w:left w:w="108" w:type="dxa"/>
            <w:bottom w:w="0" w:type="dxa"/>
            <w:right w:w="108" w:type="dxa"/>
          </w:tblCellMar>
        </w:tblPrEx>
        <w:trPr>
          <w:trHeight w:val="592"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3.51</w:t>
            </w: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3.36</w:t>
            </w: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0.15</w:t>
            </w:r>
          </w:p>
        </w:tc>
      </w:tr>
      <w:tr>
        <w:tblPrEx>
          <w:tblLayout w:type="fixed"/>
          <w:tblCellMar>
            <w:top w:w="0" w:type="dxa"/>
            <w:left w:w="108" w:type="dxa"/>
            <w:bottom w:w="0" w:type="dxa"/>
            <w:right w:w="108" w:type="dxa"/>
          </w:tblCellMar>
        </w:tblPrEx>
        <w:trPr>
          <w:trHeight w:val="558"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55"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6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83" w:hRule="atLeast"/>
        </w:trPr>
        <w:tc>
          <w:tcPr>
            <w:tcW w:w="1575" w:type="dxa"/>
            <w:tcBorders>
              <w:top w:val="nil"/>
              <w:left w:val="single" w:color="auto" w:sz="4" w:space="0"/>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7"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418"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c>
          <w:tcPr>
            <w:tcW w:w="1712" w:type="dxa"/>
            <w:tcBorders>
              <w:top w:val="nil"/>
              <w:left w:val="nil"/>
              <w:bottom w:val="single" w:color="auto" w:sz="4" w:space="0"/>
              <w:right w:val="single" w:color="auto" w:sz="4" w:space="0"/>
            </w:tcBorders>
            <w:vAlign w:val="center"/>
          </w:tcPr>
          <w:p>
            <w:pPr>
              <w:widowControl/>
              <w:jc w:val="center"/>
              <w:rPr>
                <w:rFonts w:ascii="仿宋_GB2312" w:hAnsi="宋体" w:eastAsia="仿宋_GB2312" w:cs="宋体"/>
                <w:color w:val="000000"/>
                <w:kern w:val="0"/>
                <w:sz w:val="18"/>
                <w:szCs w:val="18"/>
              </w:rPr>
            </w:pPr>
          </w:p>
        </w:tc>
      </w:tr>
    </w:tbl>
    <w:p>
      <w:pPr>
        <w:widowControl/>
        <w:outlineLvl w:val="1"/>
        <w:rPr>
          <w:rFonts w:hint="eastAsia"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outlineLvl w:val="1"/>
        <w:rPr>
          <w:rFonts w:ascii="仿宋_GB2312" w:hAnsi="宋体" w:eastAsia="仿宋_GB2312"/>
          <w:kern w:val="0"/>
          <w:sz w:val="32"/>
          <w:szCs w:val="32"/>
        </w:rPr>
      </w:pPr>
    </w:p>
    <w:p>
      <w:pPr>
        <w:widowControl/>
        <w:spacing w:line="360" w:lineRule="exact"/>
        <w:jc w:val="left"/>
        <w:outlineLvl w:val="1"/>
        <w:rPr>
          <w:rFonts w:ascii="仿宋_GB2312" w:hAnsi="宋体" w:eastAsia="仿宋_GB2312"/>
          <w:b/>
          <w:kern w:val="0"/>
          <w:sz w:val="32"/>
          <w:szCs w:val="32"/>
        </w:rPr>
      </w:pPr>
    </w:p>
    <w:p>
      <w:pPr>
        <w:widowControl/>
        <w:spacing w:line="360" w:lineRule="exact"/>
        <w:jc w:val="left"/>
        <w:outlineLvl w:val="1"/>
        <w:rPr>
          <w:rFonts w:ascii="仿宋_GB2312" w:hAnsi="宋体" w:eastAsia="仿宋_GB2312"/>
          <w:b/>
          <w:kern w:val="0"/>
          <w:sz w:val="32"/>
          <w:szCs w:val="32"/>
        </w:rPr>
      </w:pPr>
      <w:r>
        <w:rPr>
          <w:rFonts w:hint="eastAsia" w:ascii="仿宋_GB2312" w:hAnsi="宋体" w:eastAsia="仿宋_GB2312"/>
          <w:b/>
          <w:kern w:val="0"/>
          <w:sz w:val="32"/>
          <w:szCs w:val="32"/>
        </w:rPr>
        <w:t>表九：</w:t>
      </w:r>
    </w:p>
    <w:p>
      <w:pPr>
        <w:widowControl/>
        <w:spacing w:line="360" w:lineRule="exact"/>
        <w:jc w:val="center"/>
        <w:outlineLvl w:val="1"/>
        <w:rPr>
          <w:rFonts w:ascii="仿宋_GB2312" w:hAnsi="宋体" w:eastAsia="仿宋_GB2312"/>
          <w:b/>
          <w:kern w:val="0"/>
          <w:sz w:val="32"/>
          <w:szCs w:val="32"/>
        </w:rPr>
      </w:pPr>
      <w:r>
        <w:rPr>
          <w:rFonts w:hint="eastAsia" w:ascii="仿宋_GB2312" w:hAnsi="宋体" w:eastAsia="仿宋_GB2312"/>
          <w:b/>
          <w:kern w:val="0"/>
          <w:sz w:val="32"/>
          <w:szCs w:val="32"/>
        </w:rPr>
        <w:t>政府性基金预算支出情况表</w:t>
      </w:r>
    </w:p>
    <w:p>
      <w:pPr>
        <w:widowControl/>
        <w:spacing w:line="280" w:lineRule="exact"/>
        <w:outlineLvl w:val="1"/>
        <w:rPr>
          <w:rFonts w:ascii="仿宋_GB2312" w:hAnsi="宋体" w:eastAsia="仿宋_GB2312"/>
          <w:kern w:val="0"/>
          <w:sz w:val="24"/>
        </w:rPr>
      </w:pPr>
      <w:r>
        <w:rPr>
          <w:rFonts w:hint="eastAsia" w:ascii="仿宋_GB2312" w:hAnsi="宋体" w:eastAsia="仿宋_GB2312"/>
          <w:kern w:val="0"/>
          <w:sz w:val="24"/>
        </w:rPr>
        <w:t>编制部门（单位）：昌吉州农产品检验检测中心                      单位：万元</w:t>
      </w:r>
    </w:p>
    <w:tbl>
      <w:tblPr>
        <w:tblStyle w:val="8"/>
        <w:tblW w:w="9214" w:type="dxa"/>
        <w:tblInd w:w="-34" w:type="dxa"/>
        <w:tblLayout w:type="fixed"/>
        <w:tblCellMar>
          <w:top w:w="0" w:type="dxa"/>
          <w:left w:w="108" w:type="dxa"/>
          <w:bottom w:w="0" w:type="dxa"/>
          <w:right w:w="108" w:type="dxa"/>
        </w:tblCellMar>
      </w:tblPr>
      <w:tblGrid>
        <w:gridCol w:w="585"/>
        <w:gridCol w:w="457"/>
        <w:gridCol w:w="699"/>
        <w:gridCol w:w="2544"/>
        <w:gridCol w:w="1669"/>
        <w:gridCol w:w="1701"/>
        <w:gridCol w:w="1559"/>
      </w:tblGrid>
      <w:tr>
        <w:tblPrEx>
          <w:tblLayout w:type="fixed"/>
          <w:tblCellMar>
            <w:top w:w="0" w:type="dxa"/>
            <w:left w:w="108" w:type="dxa"/>
            <w:bottom w:w="0" w:type="dxa"/>
            <w:right w:w="108" w:type="dxa"/>
          </w:tblCellMar>
        </w:tblPrEx>
        <w:trPr>
          <w:trHeight w:val="465" w:hRule="atLeast"/>
        </w:trPr>
        <w:tc>
          <w:tcPr>
            <w:tcW w:w="4285" w:type="dxa"/>
            <w:gridSpan w:val="4"/>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  目</w:t>
            </w:r>
          </w:p>
        </w:tc>
        <w:tc>
          <w:tcPr>
            <w:tcW w:w="4929" w:type="dxa"/>
            <w:gridSpan w:val="3"/>
            <w:tcBorders>
              <w:top w:val="single" w:color="auto" w:sz="4" w:space="0"/>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政府性基金预算支出</w:t>
            </w:r>
          </w:p>
        </w:tc>
      </w:tr>
      <w:tr>
        <w:tblPrEx>
          <w:tblLayout w:type="fixed"/>
          <w:tblCellMar>
            <w:top w:w="0" w:type="dxa"/>
            <w:left w:w="108" w:type="dxa"/>
            <w:bottom w:w="0" w:type="dxa"/>
            <w:right w:w="108" w:type="dxa"/>
          </w:tblCellMar>
        </w:tblPrEx>
        <w:trPr>
          <w:trHeight w:val="360" w:hRule="atLeast"/>
        </w:trPr>
        <w:tc>
          <w:tcPr>
            <w:tcW w:w="1741" w:type="dxa"/>
            <w:gridSpan w:val="3"/>
            <w:tcBorders>
              <w:top w:val="single" w:color="auto" w:sz="4" w:space="0"/>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r>
              <w:rPr>
                <w:rFonts w:hint="eastAsia" w:ascii="仿宋_GB2312" w:hAnsi="宋体" w:eastAsia="仿宋_GB2312" w:cs="宋体"/>
                <w:b/>
                <w:bCs/>
                <w:color w:val="000000"/>
                <w:kern w:val="0"/>
                <w:sz w:val="18"/>
                <w:szCs w:val="18"/>
              </w:rPr>
              <w:t>功能分类科目编码</w:t>
            </w:r>
          </w:p>
        </w:tc>
        <w:tc>
          <w:tcPr>
            <w:tcW w:w="2544"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功能分类科目名称</w:t>
            </w:r>
          </w:p>
        </w:tc>
        <w:tc>
          <w:tcPr>
            <w:tcW w:w="166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合 计</w:t>
            </w:r>
          </w:p>
        </w:tc>
        <w:tc>
          <w:tcPr>
            <w:tcW w:w="1701"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基本支出</w:t>
            </w:r>
          </w:p>
        </w:tc>
        <w:tc>
          <w:tcPr>
            <w:tcW w:w="1559" w:type="dxa"/>
            <w:vMerge w:val="restart"/>
            <w:tcBorders>
              <w:top w:val="nil"/>
              <w:left w:val="single" w:color="auto" w:sz="4" w:space="0"/>
              <w:bottom w:val="single" w:color="000000"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项目支出</w:t>
            </w:r>
          </w:p>
        </w:tc>
      </w:tr>
      <w:tr>
        <w:tblPrEx>
          <w:tblLayout w:type="fixed"/>
          <w:tblCellMar>
            <w:top w:w="0" w:type="dxa"/>
            <w:left w:w="108" w:type="dxa"/>
            <w:bottom w:w="0" w:type="dxa"/>
            <w:right w:w="108" w:type="dxa"/>
          </w:tblCellMar>
        </w:tblPrEx>
        <w:trPr>
          <w:trHeight w:val="315"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类</w:t>
            </w: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款</w:t>
            </w: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24"/>
              </w:rPr>
            </w:pPr>
            <w:r>
              <w:rPr>
                <w:rFonts w:hint="eastAsia" w:ascii="仿宋_GB2312" w:hAnsi="宋体" w:eastAsia="仿宋_GB2312" w:cs="宋体"/>
                <w:b/>
                <w:bCs/>
                <w:color w:val="000000"/>
                <w:kern w:val="0"/>
                <w:sz w:val="24"/>
              </w:rPr>
              <w:t>项</w:t>
            </w:r>
          </w:p>
        </w:tc>
        <w:tc>
          <w:tcPr>
            <w:tcW w:w="2544"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66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701"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c>
          <w:tcPr>
            <w:tcW w:w="1559" w:type="dxa"/>
            <w:vMerge w:val="continue"/>
            <w:tcBorders>
              <w:top w:val="nil"/>
              <w:left w:val="single" w:color="auto" w:sz="4" w:space="0"/>
              <w:bottom w:val="single" w:color="000000" w:sz="4" w:space="0"/>
              <w:right w:val="single" w:color="auto" w:sz="4" w:space="0"/>
            </w:tcBorders>
            <w:vAlign w:val="center"/>
          </w:tcPr>
          <w:p>
            <w:pPr>
              <w:widowControl/>
              <w:spacing w:line="280" w:lineRule="exact"/>
              <w:jc w:val="left"/>
              <w:rPr>
                <w:rFonts w:ascii="仿宋_GB2312" w:hAnsi="宋体" w:eastAsia="仿宋_GB2312" w:cs="宋体"/>
                <w:b/>
                <w:bCs/>
                <w:color w:val="000000"/>
                <w:kern w:val="0"/>
                <w:sz w:val="24"/>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b/>
                <w:bCs/>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r>
      <w:tr>
        <w:tblPrEx>
          <w:tblLayout w:type="fixed"/>
          <w:tblCellMar>
            <w:top w:w="0" w:type="dxa"/>
            <w:left w:w="108" w:type="dxa"/>
            <w:bottom w:w="0" w:type="dxa"/>
            <w:right w:w="108" w:type="dxa"/>
          </w:tblCellMar>
        </w:tblPrEx>
        <w:trPr>
          <w:trHeight w:val="510" w:hRule="atLeast"/>
        </w:trPr>
        <w:tc>
          <w:tcPr>
            <w:tcW w:w="585" w:type="dxa"/>
            <w:tcBorders>
              <w:top w:val="nil"/>
              <w:left w:val="single" w:color="auto" w:sz="4" w:space="0"/>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457"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69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p>
        </w:tc>
        <w:tc>
          <w:tcPr>
            <w:tcW w:w="2544"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b/>
                <w:bCs/>
                <w:color w:val="000000"/>
                <w:kern w:val="0"/>
                <w:sz w:val="18"/>
                <w:szCs w:val="18"/>
              </w:rPr>
              <w:t>合  计</w:t>
            </w:r>
          </w:p>
        </w:tc>
        <w:tc>
          <w:tcPr>
            <w:tcW w:w="166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701"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c>
          <w:tcPr>
            <w:tcW w:w="1559" w:type="dxa"/>
            <w:tcBorders>
              <w:top w:val="nil"/>
              <w:left w:val="nil"/>
              <w:bottom w:val="single" w:color="auto" w:sz="4" w:space="0"/>
              <w:right w:val="single" w:color="auto" w:sz="4" w:space="0"/>
            </w:tcBorders>
            <w:vAlign w:val="center"/>
          </w:tcPr>
          <w:p>
            <w:pPr>
              <w:widowControl/>
              <w:spacing w:line="280" w:lineRule="exact"/>
              <w:jc w:val="center"/>
              <w:rPr>
                <w:rFonts w:ascii="仿宋_GB2312" w:hAnsi="宋体" w:eastAsia="仿宋_GB2312" w:cs="宋体"/>
                <w:color w:val="000000"/>
                <w:kern w:val="0"/>
                <w:sz w:val="18"/>
                <w:szCs w:val="18"/>
              </w:rPr>
            </w:pPr>
            <w:r>
              <w:rPr>
                <w:rFonts w:hint="eastAsia" w:ascii="仿宋_GB2312" w:hAnsi="宋体" w:eastAsia="仿宋_GB2312" w:cs="宋体"/>
                <w:color w:val="000000"/>
                <w:kern w:val="0"/>
                <w:sz w:val="18"/>
                <w:szCs w:val="18"/>
              </w:rPr>
              <w:t>0</w:t>
            </w:r>
          </w:p>
        </w:tc>
      </w:tr>
    </w:tbl>
    <w:p>
      <w:pPr>
        <w:widowControl/>
        <w:spacing w:line="280" w:lineRule="exact"/>
        <w:outlineLvl w:val="1"/>
        <w:rPr>
          <w:rFonts w:ascii="仿宋_GB2312" w:hAnsi="宋体" w:eastAsia="仿宋_GB2312"/>
          <w:b/>
          <w:kern w:val="0"/>
          <w:sz w:val="28"/>
          <w:szCs w:val="32"/>
        </w:rPr>
      </w:pPr>
      <w:r>
        <w:rPr>
          <w:rFonts w:hint="eastAsia" w:ascii="仿宋_GB2312" w:hAnsi="宋体" w:eastAsia="仿宋_GB2312"/>
          <w:b/>
          <w:kern w:val="0"/>
          <w:sz w:val="28"/>
          <w:szCs w:val="32"/>
        </w:rPr>
        <w:t>备注：我单位无政府性基金预算，此表为空表。</w:t>
      </w:r>
    </w:p>
    <w:p>
      <w:pPr>
        <w:widowControl/>
        <w:spacing w:line="280" w:lineRule="exact"/>
        <w:jc w:val="left"/>
        <w:outlineLvl w:val="1"/>
        <w:rPr>
          <w:rFonts w:ascii="仿宋_GB2312" w:hAnsi="宋体" w:eastAsia="仿宋_GB2312"/>
          <w:kern w:val="0"/>
          <w:sz w:val="32"/>
          <w:szCs w:val="32"/>
        </w:rPr>
        <w:sectPr>
          <w:footerReference r:id="rId3" w:type="even"/>
          <w:pgSz w:w="11906" w:h="16838"/>
          <w:pgMar w:top="2098" w:right="1418" w:bottom="1928" w:left="1588" w:header="851" w:footer="992" w:gutter="0"/>
          <w:pgNumType w:start="1"/>
          <w:cols w:space="720" w:num="1"/>
          <w:docGrid w:linePitch="312" w:charSpace="0"/>
        </w:sectPr>
      </w:pPr>
    </w:p>
    <w:p>
      <w:pPr>
        <w:spacing w:line="560" w:lineRule="exact"/>
        <w:jc w:val="center"/>
        <w:rPr>
          <w:rFonts w:ascii="黑体" w:hAnsi="黑体" w:eastAsia="黑体"/>
          <w:kern w:val="0"/>
          <w:sz w:val="32"/>
          <w:szCs w:val="32"/>
        </w:rPr>
      </w:pPr>
      <w:r>
        <w:rPr>
          <w:rFonts w:hint="eastAsia" w:ascii="黑体" w:hAnsi="黑体" w:eastAsia="黑体"/>
          <w:kern w:val="0"/>
          <w:sz w:val="32"/>
          <w:szCs w:val="32"/>
        </w:rPr>
        <w:t>第三部分  2021年昌吉州农产品检验检测中心预算情况</w:t>
      </w:r>
      <w:r>
        <w:rPr>
          <w:rFonts w:hint="eastAsia" w:ascii="黑体" w:hAnsi="黑体" w:eastAsia="黑体"/>
          <w:kern w:val="0"/>
          <w:sz w:val="32"/>
          <w:szCs w:val="32"/>
          <w:lang w:val="en-US" w:eastAsia="zh-CN"/>
        </w:rPr>
        <w:t xml:space="preserve">   </w:t>
      </w:r>
      <w:r>
        <w:rPr>
          <w:rFonts w:hint="eastAsia" w:ascii="黑体" w:hAnsi="黑体" w:eastAsia="黑体"/>
          <w:kern w:val="0"/>
          <w:sz w:val="32"/>
          <w:szCs w:val="32"/>
        </w:rPr>
        <w:t>说明</w:t>
      </w:r>
    </w:p>
    <w:p>
      <w:pPr>
        <w:spacing w:line="560" w:lineRule="exact"/>
        <w:jc w:val="center"/>
        <w:rPr>
          <w:rFonts w:ascii="黑体" w:hAnsi="黑体" w:eastAsia="黑体"/>
          <w:kern w:val="0"/>
          <w:sz w:val="32"/>
          <w:szCs w:val="32"/>
        </w:rPr>
      </w:pPr>
    </w:p>
    <w:p>
      <w:pPr>
        <w:spacing w:line="560" w:lineRule="exact"/>
        <w:ind w:firstLine="640" w:firstLineChars="200"/>
        <w:rPr>
          <w:rFonts w:ascii="黑体" w:hAnsi="宋体" w:eastAsia="黑体" w:cs="宋体"/>
          <w:kern w:val="0"/>
          <w:sz w:val="32"/>
          <w:szCs w:val="32"/>
        </w:rPr>
      </w:pPr>
      <w:r>
        <w:rPr>
          <w:rFonts w:hint="eastAsia" w:ascii="黑体" w:hAnsi="黑体" w:eastAsia="黑体" w:cs="宋体"/>
          <w:bCs/>
          <w:kern w:val="0"/>
          <w:sz w:val="32"/>
          <w:szCs w:val="32"/>
        </w:rPr>
        <w:t>一、</w:t>
      </w:r>
      <w:r>
        <w:rPr>
          <w:rFonts w:hint="eastAsia" w:ascii="黑体" w:hAnsi="宋体" w:eastAsia="黑体" w:cs="宋体"/>
          <w:kern w:val="0"/>
          <w:sz w:val="32"/>
          <w:szCs w:val="32"/>
        </w:rPr>
        <w:t>关于</w:t>
      </w:r>
      <w:r>
        <w:rPr>
          <w:rFonts w:hint="eastAsia" w:ascii="黑体" w:hAnsi="黑体" w:eastAsia="黑体"/>
          <w:kern w:val="0"/>
          <w:sz w:val="32"/>
          <w:szCs w:val="32"/>
        </w:rPr>
        <w:t>昌吉州农产品检验检测中心2021</w:t>
      </w:r>
      <w:r>
        <w:rPr>
          <w:rFonts w:hint="eastAsia" w:ascii="黑体" w:hAnsi="宋体" w:eastAsia="黑体" w:cs="宋体"/>
          <w:kern w:val="0"/>
          <w:sz w:val="32"/>
          <w:szCs w:val="32"/>
        </w:rPr>
        <w:t>年收支预算情况的总体说明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按照全口径预算的原则，昌吉州农产品检验检测中心2021年所有收入和支出均纳入部门预算管理。收支总预算295.89万元。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收入预算包括：一般公共预算。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支出预算包括：社会保障和就业支出、医疗卫生健康支出、农林水支出。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二、关于</w:t>
      </w:r>
      <w:r>
        <w:rPr>
          <w:rFonts w:hint="eastAsia" w:ascii="黑体" w:hAnsi="黑体" w:eastAsia="黑体"/>
          <w:kern w:val="0"/>
          <w:sz w:val="32"/>
          <w:szCs w:val="32"/>
        </w:rPr>
        <w:t>昌吉州农产品检验检测中心2021</w:t>
      </w:r>
      <w:r>
        <w:rPr>
          <w:rFonts w:hint="eastAsia" w:ascii="黑体" w:hAnsi="宋体" w:eastAsia="黑体" w:cs="宋体"/>
          <w:kern w:val="0"/>
          <w:sz w:val="32"/>
          <w:szCs w:val="32"/>
        </w:rPr>
        <w:t>年收入预算情况说明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昌吉州农产品检验检测中心收入预算295.89万元，其中：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一般公共预算295.89万元，占100%，</w:t>
      </w:r>
      <w:r>
        <w:rPr>
          <w:rFonts w:hint="eastAsia" w:ascii="仿宋_GB2312" w:hAnsi="宋体" w:eastAsia="仿宋_GB2312" w:cs="宋体"/>
          <w:kern w:val="0"/>
          <w:sz w:val="32"/>
          <w:szCs w:val="32"/>
          <w:lang w:eastAsia="zh-CN"/>
        </w:rPr>
        <w:t>比上年预算数增加</w:t>
      </w:r>
      <w:r>
        <w:rPr>
          <w:rFonts w:hint="eastAsia" w:ascii="仿宋_GB2312" w:hAnsi="宋体" w:eastAsia="仿宋_GB2312" w:cs="宋体"/>
          <w:kern w:val="0"/>
          <w:sz w:val="32"/>
          <w:szCs w:val="32"/>
        </w:rPr>
        <w:t xml:space="preserve"> 9.5万元，主要原因是</w:t>
      </w:r>
      <w:r>
        <w:rPr>
          <w:rFonts w:hint="eastAsia" w:ascii="仿宋_GB2312" w:hAnsi="宋体" w:eastAsia="仿宋_GB2312" w:cs="宋体"/>
          <w:kern w:val="0"/>
          <w:sz w:val="32"/>
          <w:szCs w:val="32"/>
          <w:lang w:eastAsia="zh-CN"/>
        </w:rPr>
        <w:t>调标增资，人员经费及公用经费比上年预算数增加。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政府性基金预算未安排。</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国有资本经营预算未安排。</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三、关于</w:t>
      </w:r>
      <w:r>
        <w:rPr>
          <w:rFonts w:hint="eastAsia" w:ascii="黑体" w:hAnsi="黑体" w:eastAsia="黑体"/>
          <w:kern w:val="0"/>
          <w:sz w:val="32"/>
          <w:szCs w:val="32"/>
        </w:rPr>
        <w:t>昌吉州农产品检验检测中心2021</w:t>
      </w:r>
      <w:r>
        <w:rPr>
          <w:rFonts w:hint="eastAsia" w:ascii="黑体" w:hAnsi="宋体" w:eastAsia="黑体" w:cs="宋体"/>
          <w:kern w:val="0"/>
          <w:sz w:val="32"/>
          <w:szCs w:val="32"/>
        </w:rPr>
        <w:t>年支出预算情况说明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昌吉州农产品检验检测中心2021年支出预算295.89万元，其中：</w:t>
      </w:r>
    </w:p>
    <w:p>
      <w:pPr>
        <w:spacing w:line="560" w:lineRule="exact"/>
        <w:ind w:firstLine="640" w:firstLineChars="200"/>
        <w:rPr>
          <w:rFonts w:hint="eastAsia" w:ascii="仿宋_GB2312" w:hAnsi="宋体" w:eastAsia="仿宋_GB2312" w:cs="宋体"/>
          <w:kern w:val="0"/>
          <w:sz w:val="32"/>
          <w:szCs w:val="32"/>
          <w:lang w:eastAsia="zh-CN"/>
        </w:rPr>
      </w:pPr>
      <w:r>
        <w:rPr>
          <w:rFonts w:hint="eastAsia" w:ascii="仿宋_GB2312" w:hAnsi="宋体" w:eastAsia="仿宋_GB2312" w:cs="宋体"/>
          <w:kern w:val="0"/>
          <w:sz w:val="32"/>
          <w:szCs w:val="32"/>
        </w:rPr>
        <w:t>基本支出285.89万元，占96.62%，</w:t>
      </w:r>
      <w:r>
        <w:rPr>
          <w:rFonts w:hint="eastAsia" w:ascii="仿宋_GB2312" w:hAnsi="宋体" w:eastAsia="仿宋_GB2312" w:cs="宋体"/>
          <w:kern w:val="0"/>
          <w:sz w:val="32"/>
          <w:szCs w:val="32"/>
          <w:lang w:eastAsia="zh-CN"/>
        </w:rPr>
        <w:t>比上年预算数增加</w:t>
      </w:r>
      <w:r>
        <w:rPr>
          <w:rFonts w:hint="eastAsia" w:ascii="仿宋_GB2312" w:hAnsi="宋体" w:eastAsia="仿宋_GB2312" w:cs="宋体"/>
          <w:kern w:val="0"/>
          <w:sz w:val="32"/>
          <w:szCs w:val="32"/>
        </w:rPr>
        <w:t>9.2万元，主要原因是</w:t>
      </w:r>
      <w:r>
        <w:rPr>
          <w:rFonts w:hint="eastAsia" w:ascii="仿宋_GB2312" w:hAnsi="宋体" w:eastAsia="仿宋_GB2312" w:cs="宋体"/>
          <w:kern w:val="0"/>
          <w:sz w:val="32"/>
          <w:szCs w:val="32"/>
          <w:lang w:eastAsia="zh-CN"/>
        </w:rPr>
        <w:t>调标增资，人员经费及公用经费比上年预算数增加。</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项目支出10万元，占3.38%，</w:t>
      </w:r>
      <w:r>
        <w:rPr>
          <w:rFonts w:hint="eastAsia" w:ascii="仿宋_GB2312" w:hAnsi="宋体" w:eastAsia="仿宋_GB2312" w:cs="宋体"/>
          <w:kern w:val="0"/>
          <w:sz w:val="32"/>
          <w:szCs w:val="32"/>
          <w:lang w:eastAsia="zh-CN"/>
        </w:rPr>
        <w:t>比上年预算数增加</w:t>
      </w:r>
      <w:r>
        <w:rPr>
          <w:rFonts w:hint="eastAsia" w:ascii="仿宋_GB2312" w:hAnsi="宋体" w:eastAsia="仿宋_GB2312" w:cs="宋体"/>
          <w:kern w:val="0"/>
          <w:sz w:val="32"/>
          <w:szCs w:val="32"/>
        </w:rPr>
        <w:t>0万元，主要原因是</w:t>
      </w:r>
      <w:r>
        <w:rPr>
          <w:rFonts w:hint="eastAsia" w:ascii="仿宋" w:hAnsi="仿宋" w:eastAsia="仿宋" w:cs="仿宋"/>
          <w:color w:val="000000"/>
          <w:kern w:val="0"/>
          <w:sz w:val="32"/>
          <w:szCs w:val="32"/>
          <w:lang w:bidi="ar"/>
        </w:rPr>
        <w:t>种植业产品质量安全监督抽查</w:t>
      </w:r>
      <w:r>
        <w:rPr>
          <w:rFonts w:hint="eastAsia" w:ascii="仿宋" w:hAnsi="仿宋" w:eastAsia="仿宋" w:cs="仿宋"/>
          <w:color w:val="000000"/>
          <w:kern w:val="0"/>
          <w:sz w:val="32"/>
          <w:szCs w:val="32"/>
          <w:lang w:eastAsia="zh-CN" w:bidi="ar"/>
        </w:rPr>
        <w:t>工作任务</w:t>
      </w:r>
      <w:r>
        <w:rPr>
          <w:rFonts w:hint="eastAsia" w:ascii="仿宋_GB2312" w:hAnsi="宋体" w:eastAsia="仿宋_GB2312" w:cs="宋体"/>
          <w:kern w:val="0"/>
          <w:sz w:val="32"/>
          <w:szCs w:val="32"/>
        </w:rPr>
        <w:t>无变化</w:t>
      </w:r>
      <w:r>
        <w:rPr>
          <w:rFonts w:hint="eastAsia" w:ascii="仿宋_GB2312" w:hAnsi="宋体" w:eastAsia="仿宋_GB2312" w:cs="宋体"/>
          <w:kern w:val="0"/>
          <w:sz w:val="32"/>
          <w:szCs w:val="32"/>
          <w:lang w:eastAsia="zh-CN"/>
        </w:rPr>
        <w:t>，项目预算与上年持平</w:t>
      </w:r>
      <w:r>
        <w:rPr>
          <w:rFonts w:hint="eastAsia" w:ascii="仿宋_GB2312" w:hAnsi="宋体" w:eastAsia="仿宋_GB2312" w:cs="宋体"/>
          <w:kern w:val="0"/>
          <w:sz w:val="32"/>
          <w:szCs w:val="32"/>
        </w:rPr>
        <w:t>。</w:t>
      </w:r>
    </w:p>
    <w:p>
      <w:pPr>
        <w:spacing w:line="560" w:lineRule="exact"/>
        <w:ind w:firstLine="640" w:firstLineChars="200"/>
        <w:rPr>
          <w:rFonts w:ascii="黑体" w:hAnsi="黑体" w:eastAsia="黑体" w:cs="宋体"/>
          <w:bCs/>
          <w:kern w:val="0"/>
          <w:sz w:val="32"/>
          <w:szCs w:val="32"/>
        </w:rPr>
      </w:pPr>
      <w:r>
        <w:rPr>
          <w:rFonts w:hint="eastAsia" w:ascii="黑体" w:hAnsi="黑体" w:eastAsia="黑体" w:cs="宋体"/>
          <w:bCs/>
          <w:kern w:val="0"/>
          <w:sz w:val="32"/>
          <w:szCs w:val="32"/>
        </w:rPr>
        <w:t>四、关于</w:t>
      </w:r>
      <w:r>
        <w:rPr>
          <w:rFonts w:hint="eastAsia" w:ascii="黑体" w:hAnsi="黑体" w:eastAsia="黑体"/>
          <w:kern w:val="0"/>
          <w:sz w:val="32"/>
          <w:szCs w:val="32"/>
        </w:rPr>
        <w:t>昌吉州农产品检验检测中心2021</w:t>
      </w:r>
      <w:r>
        <w:rPr>
          <w:rFonts w:hint="eastAsia" w:ascii="黑体" w:hAnsi="宋体" w:eastAsia="黑体" w:cs="宋体"/>
          <w:kern w:val="0"/>
          <w:sz w:val="32"/>
          <w:szCs w:val="32"/>
        </w:rPr>
        <w:t>年</w:t>
      </w:r>
      <w:r>
        <w:rPr>
          <w:rFonts w:hint="eastAsia" w:ascii="黑体" w:hAnsi="黑体" w:eastAsia="黑体" w:cs="宋体"/>
          <w:bCs/>
          <w:kern w:val="0"/>
          <w:sz w:val="32"/>
          <w:szCs w:val="32"/>
        </w:rPr>
        <w:t>财政拨款收支预算情况的总体说明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2021年财政拨款收支总预算295.89万元。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收入全部为一般公共预算拨款，无政府性基金预算和国有资本经营预算拨款。</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收入预算包括：一般公共预算拨款295.89万元。</w:t>
      </w:r>
    </w:p>
    <w:p>
      <w:pPr>
        <w:spacing w:line="560" w:lineRule="exact"/>
        <w:ind w:firstLine="616" w:firstLineChars="200"/>
        <w:rPr>
          <w:rFonts w:ascii="仿宋_GB2312" w:hAnsi="宋体" w:eastAsia="仿宋_GB2312" w:cs="宋体"/>
          <w:spacing w:val="-6"/>
          <w:kern w:val="0"/>
          <w:sz w:val="32"/>
          <w:szCs w:val="32"/>
        </w:rPr>
      </w:pPr>
      <w:r>
        <w:rPr>
          <w:rFonts w:hint="eastAsia" w:ascii="仿宋_GB2312" w:hAnsi="宋体" w:eastAsia="仿宋_GB2312" w:cs="宋体"/>
          <w:spacing w:val="-6"/>
          <w:kern w:val="0"/>
          <w:sz w:val="32"/>
          <w:szCs w:val="32"/>
        </w:rPr>
        <w:t>一般公共预算支出包括：社会保障和就业支出25.68万元，主要用于机关事业单位基本养老保险缴费支出</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卫生健康支出29.26万元，主要用于医疗及其他社保类缴费</w:t>
      </w:r>
      <w:r>
        <w:rPr>
          <w:rFonts w:hint="eastAsia" w:ascii="仿宋_GB2312" w:hAnsi="宋体" w:eastAsia="仿宋_GB2312" w:cs="宋体"/>
          <w:spacing w:val="-6"/>
          <w:kern w:val="0"/>
          <w:sz w:val="32"/>
          <w:szCs w:val="32"/>
          <w:lang w:eastAsia="zh-CN"/>
        </w:rPr>
        <w:t>；</w:t>
      </w:r>
      <w:r>
        <w:rPr>
          <w:rFonts w:hint="eastAsia" w:ascii="仿宋_GB2312" w:hAnsi="宋体" w:eastAsia="仿宋_GB2312" w:cs="宋体"/>
          <w:spacing w:val="-6"/>
          <w:kern w:val="0"/>
          <w:sz w:val="32"/>
          <w:szCs w:val="32"/>
        </w:rPr>
        <w:t>农林水支出240.95万元，主要用于工资福利支出和各项公用经费开支保障单位工作正常运行，项目支出自治州种植业产品质量安全监督抽查。</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五、关于</w:t>
      </w:r>
      <w:r>
        <w:rPr>
          <w:rFonts w:hint="eastAsia" w:ascii="黑体" w:hAnsi="黑体" w:eastAsia="黑体"/>
          <w:kern w:val="0"/>
          <w:sz w:val="32"/>
          <w:szCs w:val="32"/>
        </w:rPr>
        <w:t>昌吉州农产品检验检测中心2021</w:t>
      </w:r>
      <w:r>
        <w:rPr>
          <w:rFonts w:hint="eastAsia" w:ascii="黑体" w:hAnsi="宋体" w:eastAsia="黑体" w:cs="宋体"/>
          <w:kern w:val="0"/>
          <w:sz w:val="32"/>
          <w:szCs w:val="32"/>
        </w:rPr>
        <w:t>年一般公共预算当年拨款情况说明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（一）一般公共预算当年拨款规模变化情况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昌吉州农产品检验检测中心2021年一般公共预算拨款合计295.89万元，其中：基本支出285.89万元，比上年预算增加9.2万元，增长3.33%。主要原因是</w:t>
      </w:r>
      <w:r>
        <w:rPr>
          <w:rFonts w:hint="eastAsia" w:ascii="仿宋_GB2312" w:hAnsi="宋体" w:eastAsia="仿宋_GB2312" w:cs="宋体"/>
          <w:kern w:val="0"/>
          <w:sz w:val="32"/>
          <w:szCs w:val="32"/>
          <w:lang w:eastAsia="zh-CN"/>
        </w:rPr>
        <w:t>调标增资，人员经费及公用经费比上年预算数增加。</w:t>
      </w:r>
      <w:r>
        <w:rPr>
          <w:rFonts w:hint="eastAsia" w:ascii="仿宋_GB2312" w:hAnsi="宋体" w:eastAsia="仿宋_GB2312" w:cs="宋体"/>
          <w:kern w:val="0"/>
          <w:sz w:val="32"/>
          <w:szCs w:val="32"/>
        </w:rPr>
        <w:t>项目支出10万元，比上年预算</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0%。主要原因是</w:t>
      </w:r>
      <w:r>
        <w:rPr>
          <w:rFonts w:hint="eastAsia" w:ascii="仿宋" w:hAnsi="仿宋" w:eastAsia="仿宋" w:cs="仿宋"/>
          <w:color w:val="000000"/>
          <w:kern w:val="0"/>
          <w:sz w:val="32"/>
          <w:szCs w:val="32"/>
          <w:lang w:bidi="ar"/>
        </w:rPr>
        <w:t>种植业产品质量安全监督抽查</w:t>
      </w:r>
      <w:r>
        <w:rPr>
          <w:rFonts w:hint="eastAsia" w:ascii="仿宋" w:hAnsi="仿宋" w:eastAsia="仿宋" w:cs="仿宋"/>
          <w:color w:val="000000"/>
          <w:kern w:val="0"/>
          <w:sz w:val="32"/>
          <w:szCs w:val="32"/>
          <w:lang w:eastAsia="zh-CN" w:bidi="ar"/>
        </w:rPr>
        <w:t>工作任务</w:t>
      </w:r>
      <w:r>
        <w:rPr>
          <w:rFonts w:hint="eastAsia" w:ascii="仿宋_GB2312" w:hAnsi="宋体" w:eastAsia="仿宋_GB2312" w:cs="宋体"/>
          <w:kern w:val="0"/>
          <w:sz w:val="32"/>
          <w:szCs w:val="32"/>
        </w:rPr>
        <w:t>无变化</w:t>
      </w:r>
      <w:r>
        <w:rPr>
          <w:rFonts w:hint="eastAsia" w:ascii="仿宋_GB2312" w:hAnsi="宋体" w:eastAsia="仿宋_GB2312" w:cs="宋体"/>
          <w:kern w:val="0"/>
          <w:sz w:val="32"/>
          <w:szCs w:val="32"/>
          <w:lang w:eastAsia="zh-CN"/>
        </w:rPr>
        <w:t>，项目预算与上年持平</w:t>
      </w:r>
      <w:r>
        <w:rPr>
          <w:rFonts w:hint="eastAsia" w:ascii="仿宋_GB2312" w:hAnsi="宋体" w:eastAsia="仿宋_GB2312" w:cs="宋体"/>
          <w:kern w:val="0"/>
          <w:sz w:val="32"/>
          <w:szCs w:val="32"/>
        </w:rPr>
        <w:t>。</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（二）一般公共预算当年拨款结构情况</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1.</w:t>
      </w:r>
      <w:r>
        <w:rPr>
          <w:rFonts w:hint="eastAsia" w:ascii="仿宋_GB2312" w:hAnsi="宋体" w:eastAsia="仿宋_GB2312" w:cs="宋体"/>
          <w:spacing w:val="-6"/>
          <w:kern w:val="0"/>
          <w:sz w:val="32"/>
          <w:szCs w:val="32"/>
        </w:rPr>
        <w:t>社会保障和就业支出25.68万元，</w:t>
      </w:r>
      <w:r>
        <w:rPr>
          <w:rFonts w:hint="eastAsia" w:ascii="仿宋_GB2312" w:eastAsia="仿宋_GB2312"/>
          <w:sz w:val="32"/>
          <w:szCs w:val="32"/>
        </w:rPr>
        <w:t>占7.62%；</w:t>
      </w:r>
    </w:p>
    <w:p>
      <w:pPr>
        <w:spacing w:line="560" w:lineRule="exact"/>
        <w:ind w:firstLine="640" w:firstLineChars="200"/>
        <w:rPr>
          <w:rFonts w:ascii="仿宋_GB2312" w:eastAsia="仿宋_GB2312"/>
          <w:sz w:val="32"/>
          <w:szCs w:val="32"/>
        </w:rPr>
      </w:pPr>
      <w:r>
        <w:rPr>
          <w:rFonts w:hint="eastAsia" w:ascii="仿宋_GB2312" w:hAnsi="宋体" w:eastAsia="仿宋_GB2312" w:cs="宋体"/>
          <w:kern w:val="0"/>
          <w:sz w:val="32"/>
          <w:szCs w:val="32"/>
        </w:rPr>
        <w:t>2.</w:t>
      </w:r>
      <w:r>
        <w:rPr>
          <w:rFonts w:hint="eastAsia" w:ascii="仿宋_GB2312" w:hAnsi="宋体" w:eastAsia="仿宋_GB2312" w:cs="宋体"/>
          <w:spacing w:val="-6"/>
          <w:kern w:val="0"/>
          <w:sz w:val="32"/>
          <w:szCs w:val="32"/>
        </w:rPr>
        <w:t>卫生健康支出29.26万元，</w:t>
      </w:r>
      <w:r>
        <w:rPr>
          <w:rFonts w:hint="eastAsia" w:ascii="仿宋_GB2312" w:eastAsia="仿宋_GB2312"/>
          <w:sz w:val="32"/>
          <w:szCs w:val="32"/>
        </w:rPr>
        <w:t>占13.06%；</w:t>
      </w:r>
    </w:p>
    <w:p>
      <w:pPr>
        <w:spacing w:line="560" w:lineRule="exact"/>
        <w:ind w:firstLine="640" w:firstLineChars="200"/>
        <w:rPr>
          <w:rFonts w:ascii="仿宋_GB2312" w:hAnsi="宋体" w:eastAsia="仿宋_GB2312" w:cs="宋体"/>
          <w:kern w:val="0"/>
          <w:sz w:val="32"/>
          <w:szCs w:val="32"/>
        </w:rPr>
      </w:pPr>
      <w:r>
        <w:rPr>
          <w:rFonts w:hint="eastAsia" w:ascii="仿宋_GB2312" w:eastAsia="仿宋_GB2312"/>
          <w:sz w:val="32"/>
          <w:szCs w:val="32"/>
        </w:rPr>
        <w:t>3.</w:t>
      </w:r>
      <w:r>
        <w:rPr>
          <w:rFonts w:hint="eastAsia" w:ascii="仿宋_GB2312" w:hAnsi="宋体" w:eastAsia="仿宋_GB2312" w:cs="宋体"/>
          <w:spacing w:val="-6"/>
          <w:kern w:val="0"/>
          <w:sz w:val="32"/>
          <w:szCs w:val="32"/>
        </w:rPr>
        <w:t xml:space="preserve"> 农林水支出240.95万元，</w:t>
      </w:r>
      <w:r>
        <w:rPr>
          <w:rFonts w:hint="eastAsia" w:ascii="仿宋_GB2312" w:eastAsia="仿宋_GB2312"/>
          <w:sz w:val="32"/>
          <w:szCs w:val="32"/>
        </w:rPr>
        <w:t>占79.32%。</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（三）一般公共预算当年拨款具体使用情况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1..社会保障和就业支出</w:t>
      </w:r>
      <w:r>
        <w:rPr>
          <w:rFonts w:hint="eastAsia" w:ascii="仿宋_GB2312" w:hAnsi="宋体" w:eastAsia="仿宋_GB2312" w:cs="宋体"/>
          <w:kern w:val="0"/>
          <w:sz w:val="32"/>
          <w:szCs w:val="32"/>
          <w:lang w:eastAsia="zh-CN"/>
        </w:rPr>
        <w:t>（208）</w:t>
      </w:r>
      <w:r>
        <w:rPr>
          <w:rFonts w:hint="eastAsia" w:ascii="仿宋_GB2312" w:hAnsi="宋体" w:eastAsia="仿宋_GB2312" w:cs="宋体"/>
          <w:kern w:val="0"/>
          <w:sz w:val="32"/>
          <w:szCs w:val="32"/>
        </w:rPr>
        <w:t>行政事业单位养老支出</w:t>
      </w:r>
      <w:r>
        <w:rPr>
          <w:rFonts w:hint="eastAsia" w:ascii="仿宋_GB2312" w:hAnsi="宋体" w:eastAsia="仿宋_GB2312" w:cs="宋体"/>
          <w:kern w:val="0"/>
          <w:sz w:val="32"/>
          <w:szCs w:val="32"/>
          <w:lang w:eastAsia="zh-CN"/>
        </w:rPr>
        <w:t>（05）</w:t>
      </w:r>
      <w:r>
        <w:rPr>
          <w:rFonts w:hint="eastAsia" w:ascii="仿宋_GB2312" w:hAnsi="宋体" w:eastAsia="仿宋_GB2312" w:cs="宋体"/>
          <w:kern w:val="0"/>
          <w:sz w:val="32"/>
          <w:szCs w:val="32"/>
        </w:rPr>
        <w:t>机关事业单位基本养老保险缴费支出（</w:t>
      </w:r>
      <w:r>
        <w:rPr>
          <w:rFonts w:hint="eastAsia" w:ascii="仿宋_GB2312" w:hAnsi="宋体" w:eastAsia="仿宋_GB2312" w:cs="宋体"/>
          <w:kern w:val="0"/>
          <w:sz w:val="32"/>
          <w:szCs w:val="32"/>
          <w:lang w:eastAsia="zh-CN"/>
        </w:rPr>
        <w:t>05</w:t>
      </w:r>
      <w:r>
        <w:rPr>
          <w:rFonts w:hint="eastAsia" w:ascii="仿宋_GB2312" w:hAnsi="宋体" w:eastAsia="仿宋_GB2312" w:cs="宋体"/>
          <w:kern w:val="0"/>
          <w:sz w:val="32"/>
          <w:szCs w:val="32"/>
        </w:rPr>
        <w:t>）：2021年预算数为25.68万元，比上年预算数增加25.68万元，增加100%，主要原因是：上年预算未将养老保险缴费、医疗保险等按款项明细划分；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2</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（210）</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（11）</w:t>
      </w:r>
      <w:r>
        <w:rPr>
          <w:rFonts w:hint="eastAsia" w:ascii="仿宋_GB2312" w:hAnsi="宋体" w:eastAsia="仿宋_GB2312" w:cs="宋体"/>
          <w:kern w:val="0"/>
          <w:sz w:val="32"/>
          <w:szCs w:val="32"/>
        </w:rPr>
        <w:t>事业单位医疗（</w:t>
      </w:r>
      <w:r>
        <w:rPr>
          <w:rFonts w:hint="eastAsia" w:ascii="仿宋_GB2312" w:hAnsi="宋体" w:eastAsia="仿宋_GB2312" w:cs="宋体"/>
          <w:kern w:val="0"/>
          <w:sz w:val="32"/>
          <w:szCs w:val="32"/>
          <w:lang w:eastAsia="zh-CN"/>
        </w:rPr>
        <w:t>02</w:t>
      </w:r>
      <w:r>
        <w:rPr>
          <w:rFonts w:hint="eastAsia" w:ascii="仿宋_GB2312" w:hAnsi="宋体" w:eastAsia="仿宋_GB2312" w:cs="宋体"/>
          <w:kern w:val="0"/>
          <w:sz w:val="32"/>
          <w:szCs w:val="32"/>
        </w:rPr>
        <w:t>）：2021年预算数为21.57万元，比上年预算数增加21.57万元，增加100%，主要原因是：上年预算未将养老保险缴费、医疗保险等按款项明细划分；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3</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（210）</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（11）</w:t>
      </w:r>
      <w:r>
        <w:rPr>
          <w:rFonts w:hint="eastAsia" w:ascii="仿宋_GB2312" w:hAnsi="宋体" w:eastAsia="仿宋_GB2312" w:cs="宋体"/>
          <w:kern w:val="0"/>
          <w:sz w:val="32"/>
          <w:szCs w:val="32"/>
        </w:rPr>
        <w:t>公务员医疗补助（</w:t>
      </w:r>
      <w:r>
        <w:rPr>
          <w:rFonts w:hint="eastAsia" w:ascii="仿宋_GB2312" w:hAnsi="宋体" w:eastAsia="仿宋_GB2312" w:cs="宋体"/>
          <w:kern w:val="0"/>
          <w:sz w:val="32"/>
          <w:szCs w:val="32"/>
          <w:lang w:eastAsia="zh-CN"/>
        </w:rPr>
        <w:t>03</w:t>
      </w:r>
      <w:r>
        <w:rPr>
          <w:rFonts w:hint="eastAsia" w:ascii="仿宋_GB2312" w:hAnsi="宋体" w:eastAsia="仿宋_GB2312" w:cs="宋体"/>
          <w:kern w:val="0"/>
          <w:sz w:val="32"/>
          <w:szCs w:val="32"/>
        </w:rPr>
        <w:t>）：2021年预算数为6.92万元，比上年预算数增加6.92万元，增加100%，主要原因是：上年预算未将养老保险缴费、医疗保险等按款项明细划分；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4</w:t>
      </w:r>
      <w:r>
        <w:rPr>
          <w:rFonts w:hint="eastAsia" w:ascii="仿宋_GB2312" w:hAnsi="宋体" w:eastAsia="仿宋_GB2312" w:cs="宋体"/>
          <w:kern w:val="0"/>
          <w:sz w:val="32"/>
          <w:szCs w:val="32"/>
        </w:rPr>
        <w:t>.卫生健康支出</w:t>
      </w:r>
      <w:r>
        <w:rPr>
          <w:rFonts w:hint="eastAsia" w:ascii="仿宋_GB2312" w:hAnsi="宋体" w:eastAsia="仿宋_GB2312" w:cs="宋体"/>
          <w:kern w:val="0"/>
          <w:sz w:val="32"/>
          <w:szCs w:val="32"/>
          <w:lang w:eastAsia="zh-CN"/>
        </w:rPr>
        <w:t>（210）</w:t>
      </w:r>
      <w:r>
        <w:rPr>
          <w:rFonts w:hint="eastAsia" w:ascii="仿宋_GB2312" w:hAnsi="宋体" w:eastAsia="仿宋_GB2312" w:cs="宋体"/>
          <w:kern w:val="0"/>
          <w:sz w:val="32"/>
          <w:szCs w:val="32"/>
        </w:rPr>
        <w:t>行政事业单位医疗</w:t>
      </w:r>
      <w:r>
        <w:rPr>
          <w:rFonts w:hint="eastAsia" w:ascii="仿宋_GB2312" w:hAnsi="宋体" w:eastAsia="仿宋_GB2312" w:cs="宋体"/>
          <w:kern w:val="0"/>
          <w:sz w:val="32"/>
          <w:szCs w:val="32"/>
          <w:lang w:eastAsia="zh-CN"/>
        </w:rPr>
        <w:t>（11）</w:t>
      </w:r>
      <w:r>
        <w:rPr>
          <w:rFonts w:hint="eastAsia" w:ascii="仿宋_GB2312" w:hAnsi="宋体" w:eastAsia="仿宋_GB2312" w:cs="宋体"/>
          <w:kern w:val="0"/>
          <w:sz w:val="32"/>
          <w:szCs w:val="32"/>
        </w:rPr>
        <w:t>其他行政事业单位医疗支出（</w:t>
      </w:r>
      <w:r>
        <w:rPr>
          <w:rFonts w:hint="eastAsia" w:ascii="仿宋_GB2312" w:hAnsi="宋体" w:eastAsia="仿宋_GB2312" w:cs="宋体"/>
          <w:kern w:val="0"/>
          <w:sz w:val="32"/>
          <w:szCs w:val="32"/>
          <w:lang w:eastAsia="zh-CN"/>
        </w:rPr>
        <w:t>99</w:t>
      </w:r>
      <w:r>
        <w:rPr>
          <w:rFonts w:hint="eastAsia" w:ascii="仿宋_GB2312" w:hAnsi="宋体" w:eastAsia="仿宋_GB2312" w:cs="宋体"/>
          <w:kern w:val="0"/>
          <w:sz w:val="32"/>
          <w:szCs w:val="32"/>
        </w:rPr>
        <w:t>）：2021年预算数为0.77万元，比上年预算数增加0.77万元，增加100%，主要原因是：上年预算未将养老保险缴费、医疗保险等按款项明细划分；</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5</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eastAsia="zh-CN"/>
        </w:rPr>
        <w:t>（213）</w:t>
      </w:r>
      <w:r>
        <w:rPr>
          <w:rFonts w:hint="eastAsia" w:ascii="仿宋_GB2312" w:hAnsi="宋体" w:eastAsia="仿宋_GB2312" w:cs="宋体"/>
          <w:kern w:val="0"/>
          <w:sz w:val="32"/>
          <w:szCs w:val="32"/>
        </w:rPr>
        <w:t>农业农村</w:t>
      </w:r>
      <w:r>
        <w:rPr>
          <w:rFonts w:hint="eastAsia" w:ascii="仿宋_GB2312" w:hAnsi="宋体" w:eastAsia="仿宋_GB2312" w:cs="宋体"/>
          <w:kern w:val="0"/>
          <w:sz w:val="32"/>
          <w:szCs w:val="32"/>
          <w:lang w:eastAsia="zh-CN"/>
        </w:rPr>
        <w:t>（01）</w:t>
      </w:r>
      <w:r>
        <w:rPr>
          <w:rFonts w:hint="eastAsia" w:ascii="仿宋_GB2312" w:hAnsi="宋体" w:eastAsia="仿宋_GB2312" w:cs="宋体"/>
          <w:kern w:val="0"/>
          <w:sz w:val="32"/>
          <w:szCs w:val="32"/>
        </w:rPr>
        <w:t>事业运行（</w:t>
      </w:r>
      <w:r>
        <w:rPr>
          <w:rFonts w:hint="eastAsia" w:ascii="仿宋_GB2312" w:hAnsi="宋体" w:eastAsia="仿宋_GB2312" w:cs="宋体"/>
          <w:kern w:val="0"/>
          <w:sz w:val="32"/>
          <w:szCs w:val="32"/>
          <w:lang w:eastAsia="zh-CN"/>
        </w:rPr>
        <w:t>04</w:t>
      </w:r>
      <w:r>
        <w:rPr>
          <w:rFonts w:hint="eastAsia" w:ascii="仿宋_GB2312" w:hAnsi="宋体" w:eastAsia="仿宋_GB2312" w:cs="宋体"/>
          <w:kern w:val="0"/>
          <w:sz w:val="32"/>
          <w:szCs w:val="32"/>
        </w:rPr>
        <w:t>）：2021年预算数为</w:t>
      </w:r>
      <w:r>
        <w:rPr>
          <w:rFonts w:hint="eastAsia" w:ascii="仿宋_GB2312" w:hAnsi="宋体" w:eastAsia="仿宋_GB2312" w:cs="宋体"/>
          <w:color w:val="000000" w:themeColor="text1"/>
          <w:kern w:val="0"/>
          <w:sz w:val="32"/>
          <w:szCs w:val="32"/>
          <w14:textFill>
            <w14:solidFill>
              <w14:schemeClr w14:val="tx1"/>
            </w14:solidFill>
          </w14:textFill>
        </w:rPr>
        <w:t>230.95</w:t>
      </w:r>
      <w:r>
        <w:rPr>
          <w:rFonts w:hint="eastAsia" w:ascii="仿宋_GB2312" w:hAnsi="宋体" w:eastAsia="仿宋_GB2312" w:cs="宋体"/>
          <w:kern w:val="0"/>
          <w:sz w:val="32"/>
          <w:szCs w:val="32"/>
        </w:rPr>
        <w:t>万元，比上年预算数减少45.74万元，下降16.53%，主要原因是：上年预算未将养老保险缴费、医疗保险等按款项明细划分；</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lang w:val="en-US" w:eastAsia="zh-CN"/>
        </w:rPr>
        <w:t>6.</w:t>
      </w:r>
      <w:r>
        <w:rPr>
          <w:rFonts w:hint="eastAsia" w:ascii="仿宋_GB2312" w:hAnsi="宋体" w:eastAsia="仿宋_GB2312" w:cs="宋体"/>
          <w:kern w:val="0"/>
          <w:sz w:val="32"/>
          <w:szCs w:val="32"/>
        </w:rPr>
        <w:t>农林水支出</w:t>
      </w:r>
      <w:r>
        <w:rPr>
          <w:rFonts w:hint="eastAsia" w:ascii="仿宋_GB2312" w:hAnsi="宋体" w:eastAsia="仿宋_GB2312" w:cs="宋体"/>
          <w:kern w:val="0"/>
          <w:sz w:val="32"/>
          <w:szCs w:val="32"/>
          <w:lang w:eastAsia="zh-CN"/>
        </w:rPr>
        <w:t>（213）</w:t>
      </w:r>
      <w:r>
        <w:rPr>
          <w:rFonts w:hint="eastAsia" w:ascii="仿宋_GB2312" w:hAnsi="宋体" w:eastAsia="仿宋_GB2312" w:cs="宋体"/>
          <w:kern w:val="0"/>
          <w:sz w:val="32"/>
          <w:szCs w:val="32"/>
        </w:rPr>
        <w:t>农业农村</w:t>
      </w:r>
      <w:r>
        <w:rPr>
          <w:rFonts w:hint="eastAsia" w:ascii="仿宋_GB2312" w:hAnsi="宋体" w:eastAsia="仿宋_GB2312" w:cs="宋体"/>
          <w:kern w:val="0"/>
          <w:sz w:val="32"/>
          <w:szCs w:val="32"/>
          <w:lang w:eastAsia="zh-CN"/>
        </w:rPr>
        <w:t>（01）</w:t>
      </w:r>
      <w:r>
        <w:rPr>
          <w:rFonts w:hint="eastAsia" w:ascii="仿宋_GB2312" w:hAnsi="宋体" w:eastAsia="仿宋_GB2312" w:cs="宋体"/>
          <w:kern w:val="0"/>
          <w:sz w:val="32"/>
          <w:szCs w:val="32"/>
        </w:rPr>
        <w:t>农产品质量安全（</w:t>
      </w:r>
      <w:r>
        <w:rPr>
          <w:rFonts w:hint="eastAsia" w:ascii="仿宋_GB2312" w:hAnsi="宋体" w:eastAsia="仿宋_GB2312" w:cs="宋体"/>
          <w:kern w:val="0"/>
          <w:sz w:val="32"/>
          <w:szCs w:val="32"/>
          <w:lang w:eastAsia="zh-CN"/>
        </w:rPr>
        <w:t>09</w:t>
      </w:r>
      <w:r>
        <w:rPr>
          <w:rFonts w:hint="eastAsia" w:ascii="仿宋_GB2312" w:hAnsi="宋体" w:eastAsia="仿宋_GB2312" w:cs="宋体"/>
          <w:kern w:val="0"/>
          <w:sz w:val="32"/>
          <w:szCs w:val="32"/>
        </w:rPr>
        <w:t>）：2021年预算数为10万元，比上年预算数</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0万元，</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0%，主要原因是</w:t>
      </w:r>
      <w:r>
        <w:rPr>
          <w:rFonts w:hint="eastAsia" w:ascii="仿宋" w:hAnsi="仿宋" w:eastAsia="仿宋" w:cs="仿宋"/>
          <w:color w:val="000000"/>
          <w:kern w:val="0"/>
          <w:sz w:val="32"/>
          <w:szCs w:val="32"/>
          <w:lang w:bidi="ar"/>
        </w:rPr>
        <w:t>种植业产品质量安全监督抽查</w:t>
      </w:r>
      <w:r>
        <w:rPr>
          <w:rFonts w:hint="eastAsia" w:ascii="仿宋" w:hAnsi="仿宋" w:eastAsia="仿宋" w:cs="仿宋"/>
          <w:color w:val="000000"/>
          <w:kern w:val="0"/>
          <w:sz w:val="32"/>
          <w:szCs w:val="32"/>
          <w:lang w:eastAsia="zh-CN" w:bidi="ar"/>
        </w:rPr>
        <w:t>工作任务</w:t>
      </w:r>
      <w:r>
        <w:rPr>
          <w:rFonts w:hint="eastAsia" w:ascii="仿宋_GB2312" w:hAnsi="宋体" w:eastAsia="仿宋_GB2312" w:cs="宋体"/>
          <w:kern w:val="0"/>
          <w:sz w:val="32"/>
          <w:szCs w:val="32"/>
        </w:rPr>
        <w:t>无变化</w:t>
      </w:r>
      <w:r>
        <w:rPr>
          <w:rFonts w:hint="eastAsia" w:ascii="仿宋_GB2312" w:hAnsi="宋体" w:eastAsia="仿宋_GB2312" w:cs="宋体"/>
          <w:kern w:val="0"/>
          <w:sz w:val="32"/>
          <w:szCs w:val="32"/>
          <w:lang w:eastAsia="zh-CN"/>
        </w:rPr>
        <w:t>，项目预算与上年持平</w:t>
      </w:r>
      <w:r>
        <w:rPr>
          <w:rFonts w:hint="eastAsia" w:ascii="仿宋_GB2312" w:hAnsi="宋体" w:eastAsia="仿宋_GB2312" w:cs="宋体"/>
          <w:kern w:val="0"/>
          <w:sz w:val="32"/>
          <w:szCs w:val="32"/>
        </w:rPr>
        <w:t>。</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六、关于</w:t>
      </w:r>
      <w:r>
        <w:rPr>
          <w:rFonts w:hint="eastAsia" w:ascii="黑体" w:hAnsi="黑体" w:eastAsia="黑体"/>
          <w:kern w:val="0"/>
          <w:sz w:val="32"/>
          <w:szCs w:val="32"/>
        </w:rPr>
        <w:t>昌吉州农产品检验检测中心2021</w:t>
      </w:r>
      <w:r>
        <w:rPr>
          <w:rFonts w:hint="eastAsia" w:ascii="黑体" w:hAnsi="宋体" w:eastAsia="黑体" w:cs="宋体"/>
          <w:kern w:val="0"/>
          <w:sz w:val="32"/>
          <w:szCs w:val="32"/>
        </w:rPr>
        <w:t>年一般公共预算基本支出情况说明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昌吉州农产品检验检测中心2021年一般公共预算基本支出285.89万元</w:t>
      </w:r>
      <w:r>
        <w:rPr>
          <w:rFonts w:hint="eastAsia" w:ascii="仿宋_GB2312" w:hAnsi="宋体" w:eastAsia="仿宋_GB2312" w:cs="宋体"/>
          <w:kern w:val="0"/>
          <w:sz w:val="32"/>
          <w:szCs w:val="32"/>
          <w:lang w:val="en-US" w:eastAsia="zh-CN"/>
        </w:rPr>
        <w:t>,</w:t>
      </w:r>
      <w:r>
        <w:rPr>
          <w:rFonts w:hint="eastAsia" w:ascii="仿宋_GB2312" w:hAnsi="宋体" w:eastAsia="仿宋_GB2312" w:cs="宋体"/>
          <w:kern w:val="0"/>
          <w:sz w:val="32"/>
          <w:szCs w:val="32"/>
        </w:rPr>
        <w:t>其中：</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人员经费259.90万元，主要包括：基本工资、津贴补贴、奖金、伙食补助元、基础性绩效工资、奖励性绩效工资、机关事业单位基本养老保险缴费、职工基本医疗保险缴费、公务员医疗补助缴费、其他社会保障缴费、住房公积金、奖励金、其他对个人和家庭的补助。</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公用经费25.99万元，主要包括：办公费、印刷费、水费、电费、邮电费、差旅费、培训费、公务接待费、专用材料费、工会经费、福利费、公务用车运行维护费、其他商品和服务支出。</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七、关于昌吉州农产品检验检测中心2021年一般公共预算项目支出情况说明</w:t>
      </w:r>
    </w:p>
    <w:p>
      <w:pPr>
        <w:widowControl/>
        <w:spacing w:line="580" w:lineRule="exact"/>
        <w:ind w:firstLine="640"/>
        <w:jc w:val="left"/>
        <w:rPr>
          <w:rFonts w:ascii="仿宋_GB2312" w:hAnsi="黑体" w:eastAsia="仿宋_GB2312"/>
          <w:b/>
          <w:bCs/>
          <w:sz w:val="32"/>
          <w:szCs w:val="32"/>
        </w:rPr>
      </w:pPr>
      <w:r>
        <w:rPr>
          <w:rFonts w:hint="eastAsia" w:ascii="仿宋_GB2312" w:hAnsi="黑体" w:eastAsia="仿宋_GB2312"/>
          <w:b/>
          <w:bCs/>
          <w:sz w:val="32"/>
          <w:szCs w:val="32"/>
        </w:rPr>
        <w:t>项目</w:t>
      </w:r>
      <w:r>
        <w:rPr>
          <w:rFonts w:ascii="仿宋_GB2312" w:hAnsi="黑体" w:eastAsia="仿宋_GB2312"/>
          <w:b/>
          <w:bCs/>
          <w:sz w:val="32"/>
          <w:szCs w:val="32"/>
        </w:rPr>
        <w:t>名称</w:t>
      </w:r>
      <w:r>
        <w:rPr>
          <w:rFonts w:hint="eastAsia" w:ascii="仿宋_GB2312" w:hAnsi="黑体" w:eastAsia="仿宋_GB2312"/>
          <w:b/>
          <w:bCs/>
          <w:sz w:val="32"/>
          <w:szCs w:val="32"/>
        </w:rPr>
        <w:t>：昌吉州农产品质量安全监督抽查和专项抽查</w:t>
      </w:r>
    </w:p>
    <w:p>
      <w:pPr>
        <w:widowControl/>
        <w:spacing w:line="580" w:lineRule="exact"/>
        <w:ind w:left="638" w:leftChars="304"/>
        <w:jc w:val="left"/>
        <w:rPr>
          <w:rFonts w:hint="eastAsia" w:ascii="仿宋_GB2312" w:hAnsi="黑体" w:eastAsia="仿宋_GB2312"/>
          <w:sz w:val="32"/>
          <w:szCs w:val="32"/>
        </w:rPr>
      </w:pPr>
      <w:r>
        <w:rPr>
          <w:rFonts w:ascii="仿宋_GB2312" w:hAnsi="黑体" w:eastAsia="仿宋_GB2312"/>
          <w:sz w:val="32"/>
          <w:szCs w:val="32"/>
        </w:rPr>
        <w:t>设立的政策依据</w:t>
      </w:r>
      <w:r>
        <w:rPr>
          <w:rFonts w:hint="eastAsia" w:ascii="仿宋_GB2312" w:hAnsi="黑体" w:eastAsia="仿宋_GB2312"/>
          <w:sz w:val="32"/>
          <w:szCs w:val="32"/>
        </w:rPr>
        <w:t>：《自治区实施[中华人民共和国农产品</w:t>
      </w:r>
    </w:p>
    <w:p>
      <w:pPr>
        <w:widowControl/>
        <w:spacing w:line="580" w:lineRule="exact"/>
        <w:jc w:val="left"/>
        <w:rPr>
          <w:rFonts w:ascii="仿宋_GB2312" w:hAnsi="黑体" w:eastAsia="仿宋_GB2312"/>
          <w:sz w:val="32"/>
          <w:szCs w:val="32"/>
        </w:rPr>
      </w:pPr>
      <w:r>
        <w:rPr>
          <w:rFonts w:hint="eastAsia" w:ascii="仿宋_GB2312" w:hAnsi="黑体" w:eastAsia="仿宋_GB2312"/>
          <w:sz w:val="32"/>
          <w:szCs w:val="32"/>
        </w:rPr>
        <w:t>质量安全法]办法》、自治区人民政府《关于农产品质量安全工作的意见》（新政发〔2013〕1号）、《农业部农产品质量安全监测管理办法》</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预算安排规模</w:t>
      </w:r>
      <w:r>
        <w:rPr>
          <w:rFonts w:hint="eastAsia" w:ascii="仿宋_GB2312" w:hAnsi="黑体" w:eastAsia="仿宋_GB2312"/>
          <w:sz w:val="32"/>
          <w:szCs w:val="32"/>
        </w:rPr>
        <w:t>：</w:t>
      </w:r>
      <w:r>
        <w:rPr>
          <w:rFonts w:hint="eastAsia" w:ascii="仿宋_GB2312" w:hAnsi="黑体" w:eastAsia="仿宋_GB2312"/>
          <w:b w:val="0"/>
          <w:bCs w:val="0"/>
          <w:sz w:val="32"/>
          <w:szCs w:val="32"/>
        </w:rPr>
        <w:t>昌吉州农产品质量安全监督抽查和专项抽查</w:t>
      </w:r>
      <w:r>
        <w:rPr>
          <w:rFonts w:hint="eastAsia" w:ascii="仿宋_GB2312" w:hAnsi="宋体" w:eastAsia="仿宋_GB2312" w:cs="宋体"/>
          <w:b w:val="0"/>
          <w:bCs w:val="0"/>
          <w:kern w:val="0"/>
          <w:sz w:val="32"/>
          <w:szCs w:val="32"/>
        </w:rPr>
        <w:t>10万元</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项目承担单位</w:t>
      </w:r>
      <w:r>
        <w:rPr>
          <w:rFonts w:hint="eastAsia" w:ascii="仿宋_GB2312" w:hAnsi="黑体" w:eastAsia="仿宋_GB2312"/>
          <w:sz w:val="32"/>
          <w:szCs w:val="32"/>
        </w:rPr>
        <w:t>：</w:t>
      </w:r>
      <w:r>
        <w:rPr>
          <w:rFonts w:hint="eastAsia" w:ascii="仿宋_GB2312" w:hAnsi="宋体" w:eastAsia="仿宋_GB2312" w:cs="宋体"/>
          <w:kern w:val="0"/>
          <w:sz w:val="32"/>
          <w:szCs w:val="32"/>
        </w:rPr>
        <w:t>昌吉州农产品检验检测中心</w:t>
      </w:r>
    </w:p>
    <w:p>
      <w:pPr>
        <w:widowControl/>
        <w:spacing w:line="580" w:lineRule="exact"/>
        <w:ind w:firstLine="640"/>
        <w:jc w:val="left"/>
        <w:rPr>
          <w:rFonts w:ascii="仿宋_GB2312" w:hAnsi="黑体" w:eastAsia="仿宋_GB2312"/>
          <w:sz w:val="32"/>
          <w:szCs w:val="32"/>
        </w:rPr>
      </w:pPr>
      <w:r>
        <w:rPr>
          <w:rFonts w:ascii="仿宋_GB2312" w:hAnsi="黑体" w:eastAsia="仿宋_GB2312"/>
          <w:sz w:val="32"/>
          <w:szCs w:val="32"/>
        </w:rPr>
        <w:t>资金分配情况</w:t>
      </w:r>
      <w:r>
        <w:rPr>
          <w:rFonts w:hint="eastAsia" w:ascii="仿宋_GB2312" w:hAnsi="黑体" w:eastAsia="仿宋_GB2312"/>
          <w:sz w:val="32"/>
          <w:szCs w:val="32"/>
        </w:rPr>
        <w:t>：资金足额到位</w:t>
      </w:r>
    </w:p>
    <w:p>
      <w:pPr>
        <w:spacing w:line="560" w:lineRule="exact"/>
        <w:ind w:firstLine="640" w:firstLineChars="200"/>
        <w:rPr>
          <w:rFonts w:ascii="仿宋_GB2312" w:hAnsi="宋体" w:eastAsia="仿宋_GB2312" w:cs="宋体"/>
          <w:kern w:val="0"/>
          <w:sz w:val="32"/>
          <w:szCs w:val="32"/>
        </w:rPr>
      </w:pPr>
      <w:r>
        <w:rPr>
          <w:rFonts w:ascii="仿宋_GB2312" w:hAnsi="黑体" w:eastAsia="仿宋_GB2312"/>
          <w:sz w:val="32"/>
          <w:szCs w:val="32"/>
        </w:rPr>
        <w:t>资金执行时间</w:t>
      </w:r>
      <w:r>
        <w:rPr>
          <w:rFonts w:hint="eastAsia" w:ascii="仿宋_GB2312" w:hAnsi="黑体" w:eastAsia="仿宋_GB2312"/>
          <w:sz w:val="32"/>
          <w:szCs w:val="32"/>
        </w:rPr>
        <w:t>：2021年</w:t>
      </w:r>
      <w:r>
        <w:rPr>
          <w:rFonts w:hint="eastAsia" w:ascii="仿宋_GB2312" w:hAnsi="黑体" w:eastAsia="仿宋_GB2312"/>
          <w:sz w:val="32"/>
          <w:szCs w:val="32"/>
          <w:lang w:val="en-US" w:eastAsia="zh-CN"/>
        </w:rPr>
        <w:t>1月1日</w:t>
      </w:r>
      <w:r>
        <w:rPr>
          <w:rFonts w:hint="eastAsia" w:ascii="仿宋_GB2312" w:hAnsi="黑体" w:eastAsia="仿宋_GB2312"/>
          <w:sz w:val="32"/>
          <w:szCs w:val="32"/>
        </w:rPr>
        <w:t>-</w:t>
      </w:r>
      <w:r>
        <w:rPr>
          <w:rFonts w:hint="eastAsia" w:ascii="仿宋_GB2312" w:hAnsi="黑体" w:eastAsia="仿宋_GB2312"/>
          <w:sz w:val="32"/>
          <w:szCs w:val="32"/>
          <w:lang w:eastAsia="zh-CN"/>
        </w:rPr>
        <w:t>2022年</w:t>
      </w:r>
      <w:r>
        <w:rPr>
          <w:rFonts w:hint="eastAsia" w:ascii="仿宋_GB2312" w:hAnsi="黑体" w:eastAsia="仿宋_GB2312"/>
          <w:sz w:val="32"/>
          <w:szCs w:val="32"/>
        </w:rPr>
        <w:t>12月</w:t>
      </w:r>
      <w:r>
        <w:rPr>
          <w:rFonts w:hint="eastAsia" w:ascii="仿宋_GB2312" w:hAnsi="黑体" w:eastAsia="仿宋_GB2312"/>
          <w:sz w:val="32"/>
          <w:szCs w:val="32"/>
          <w:lang w:eastAsia="zh-CN"/>
        </w:rPr>
        <w:t>31日</w:t>
      </w:r>
      <w:bookmarkStart w:id="0" w:name="_GoBack"/>
      <w:bookmarkEnd w:id="0"/>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八、关于昌吉州农产品检验检测中心2021年一般公共预算“三公”经费预算情况说明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昌吉州农产品检验检测中心2021年一般公共预算“三公”经费数为3.51万元，其中：因公出国（境）费0万元，公务用车购置0万元，公务用车运行费3.36万元，公务接待费0.15万元。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2021年一般公共预算“三公”经费比上年减少0.4万元，其中：因公出国（境）费</w:t>
      </w:r>
      <w:r>
        <w:rPr>
          <w:rFonts w:hint="eastAsia" w:ascii="仿宋_GB2312" w:hAnsi="宋体" w:eastAsia="仿宋_GB2312" w:cs="宋体"/>
          <w:kern w:val="0"/>
          <w:sz w:val="32"/>
          <w:szCs w:val="32"/>
          <w:lang w:eastAsia="zh-CN"/>
        </w:rPr>
        <w:t>增加</w:t>
      </w:r>
      <w:r>
        <w:rPr>
          <w:rFonts w:hint="eastAsia" w:ascii="仿宋_GB2312" w:hAnsi="宋体" w:eastAsia="仿宋_GB2312" w:cs="宋体"/>
          <w:kern w:val="0"/>
          <w:sz w:val="32"/>
          <w:szCs w:val="32"/>
        </w:rPr>
        <w:t>0万元，主要原因是未安排预算；公务用车购置费为0万元，主要原因是未安排预算。公务用车运行费减少0.39万元，主要原因是主要原因是严格执行区州八项规定压减公务用车运行维护费；公务接待费减少0.01万元，主要原因是严格执行区州八项规定压减公务接待费。</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九、关于昌吉州农产品检验检测中心2021年政府性基金预算拨款情况说明</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昌吉州农产品检验检测中心2021年没有使用政府性基金预算拨款安排的支出，政府性基金预算支出情况表为空表。</w:t>
      </w:r>
    </w:p>
    <w:p>
      <w:pPr>
        <w:spacing w:line="560" w:lineRule="exact"/>
        <w:ind w:firstLine="640" w:firstLineChars="200"/>
        <w:rPr>
          <w:rFonts w:ascii="黑体" w:hAnsi="宋体" w:eastAsia="黑体" w:cs="宋体"/>
          <w:kern w:val="0"/>
          <w:sz w:val="32"/>
          <w:szCs w:val="32"/>
        </w:rPr>
      </w:pPr>
      <w:r>
        <w:rPr>
          <w:rFonts w:hint="eastAsia" w:ascii="黑体" w:hAnsi="宋体" w:eastAsia="黑体" w:cs="宋体"/>
          <w:kern w:val="0"/>
          <w:sz w:val="32"/>
          <w:szCs w:val="32"/>
        </w:rPr>
        <w:t>十、其他重要事项的情况说明</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（一）机关运行经费情况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2021年，昌吉州农产品检验检测中心的机关运行经费财政拨款预算25.99万元，比上年预算增加</w:t>
      </w:r>
      <w:r>
        <w:rPr>
          <w:rFonts w:hint="eastAsia" w:ascii="仿宋_GB2312" w:hAnsi="宋体" w:eastAsia="仿宋_GB2312" w:cs="宋体"/>
          <w:kern w:val="0"/>
          <w:sz w:val="32"/>
          <w:szCs w:val="32"/>
          <w:lang w:val="en-US" w:eastAsia="zh-CN"/>
        </w:rPr>
        <w:t>0.</w:t>
      </w:r>
      <w:r>
        <w:rPr>
          <w:rFonts w:hint="eastAsia" w:ascii="仿宋_GB2312" w:hAnsi="宋体" w:eastAsia="仿宋_GB2312" w:cs="宋体"/>
          <w:kern w:val="0"/>
          <w:sz w:val="32"/>
          <w:szCs w:val="32"/>
        </w:rPr>
        <w:t>万元，</w:t>
      </w:r>
      <w:r>
        <w:rPr>
          <w:rFonts w:hint="eastAsia" w:ascii="仿宋_GB2312" w:hAnsi="宋体" w:eastAsia="仿宋_GB2312" w:cs="宋体"/>
          <w:kern w:val="0"/>
          <w:sz w:val="32"/>
          <w:szCs w:val="32"/>
          <w:lang w:eastAsia="zh-CN"/>
        </w:rPr>
        <w:t>增长</w:t>
      </w:r>
      <w:r>
        <w:rPr>
          <w:rFonts w:hint="eastAsia" w:ascii="仿宋_GB2312" w:hAnsi="宋体" w:eastAsia="仿宋_GB2312" w:cs="宋体"/>
          <w:kern w:val="0"/>
          <w:sz w:val="32"/>
          <w:szCs w:val="32"/>
        </w:rPr>
        <w:t>1.05%。主要原因是其他商品和服务支出增加。</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（二）政府采购情况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2021年，昌吉州农产品检验检测中心政府采购预算348.74万元，其中：政府采购货物预算282.90万元，政府采购工程预算40万元，政府采购服务预算25.84万元。</w:t>
      </w:r>
    </w:p>
    <w:p>
      <w:pPr>
        <w:spacing w:line="560" w:lineRule="exact"/>
        <w:ind w:firstLine="640" w:firstLineChars="200"/>
        <w:rPr>
          <w:rFonts w:ascii="仿宋_GB2312" w:hAnsi="宋体" w:eastAsia="仿宋_GB2312" w:cs="宋体"/>
          <w:kern w:val="0"/>
          <w:sz w:val="32"/>
          <w:szCs w:val="32"/>
        </w:rPr>
      </w:pPr>
      <w:r>
        <w:rPr>
          <w:rFonts w:hint="eastAsia" w:ascii="仿宋_GB2312" w:hAnsi="仿宋_GB2312" w:eastAsia="仿宋_GB2312"/>
          <w:sz w:val="32"/>
        </w:rPr>
        <w:t>2021年度本部门（单位）面向中小企业预留政府采购项目预算金额0万元，其中：面向小微企业预留政府采购项目预算金额0万元。</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（三）国有资产占用使用情况</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截至2020年底，昌吉州农产品检验检测中心占用使用国有资产总体情况为</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1.房屋1064.2平方米，价值153.03万元。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2.车辆1辆，价值22.51万元；其中：一般公务用车1辆，价值22.51万元；执法执勤用车0辆，价值0万元；其他车辆0辆，价值0万元。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3.办公家具价值19.61万元。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4.其他资产价值1838.41万元。</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单位价值50万元以上大型设备6台（套），单位价值100万元以上大型设备5台（套）。</w:t>
      </w:r>
    </w:p>
    <w:p>
      <w:pPr>
        <w:spacing w:line="560" w:lineRule="exact"/>
        <w:ind w:firstLine="640" w:firstLineChars="200"/>
        <w:rPr>
          <w:rFonts w:ascii="仿宋_GB2312" w:hAnsi="宋体" w:eastAsia="仿宋_GB2312" w:cs="宋体"/>
          <w:kern w:val="0"/>
          <w:sz w:val="32"/>
          <w:szCs w:val="32"/>
        </w:rPr>
      </w:pPr>
      <w:r>
        <w:rPr>
          <w:rFonts w:hint="eastAsia" w:ascii="仿宋_GB2312" w:hAnsi="宋体" w:eastAsia="仿宋_GB2312" w:cs="宋体"/>
          <w:kern w:val="0"/>
          <w:sz w:val="32"/>
          <w:szCs w:val="32"/>
        </w:rPr>
        <w:t>2021年昌吉州农产品检验检测中心部门预算未安排购置车辆经费，安排购置50万元以上大型设备0台（套），单位价值100万元以上大型设备1台（套）。</w:t>
      </w:r>
    </w:p>
    <w:p>
      <w:pPr>
        <w:spacing w:line="560" w:lineRule="exact"/>
        <w:ind w:firstLine="643" w:firstLineChars="200"/>
        <w:rPr>
          <w:rFonts w:ascii="楷体_GB2312" w:hAnsi="宋体" w:eastAsia="楷体_GB2312" w:cs="宋体"/>
          <w:b/>
          <w:kern w:val="0"/>
          <w:sz w:val="32"/>
          <w:szCs w:val="32"/>
        </w:rPr>
      </w:pPr>
      <w:r>
        <w:rPr>
          <w:rFonts w:hint="eastAsia" w:ascii="楷体_GB2312" w:hAnsi="宋体" w:eastAsia="楷体_GB2312" w:cs="宋体"/>
          <w:b/>
          <w:kern w:val="0"/>
          <w:sz w:val="32"/>
          <w:szCs w:val="32"/>
        </w:rPr>
        <w:t>（四）预算绩效情况</w:t>
      </w:r>
    </w:p>
    <w:p>
      <w:pPr>
        <w:spacing w:line="560" w:lineRule="exact"/>
        <w:ind w:firstLine="640" w:firstLineChars="200"/>
        <w:rPr>
          <w:rFonts w:hint="eastAsia" w:ascii="仿宋_GB2312" w:hAnsi="宋体" w:eastAsia="仿宋_GB2312" w:cs="宋体"/>
          <w:kern w:val="0"/>
          <w:sz w:val="32"/>
          <w:szCs w:val="32"/>
        </w:rPr>
      </w:pPr>
      <w:r>
        <w:rPr>
          <w:rFonts w:hint="eastAsia" w:ascii="仿宋_GB2312" w:hAnsi="宋体" w:eastAsia="仿宋_GB2312" w:cs="宋体"/>
          <w:kern w:val="0"/>
          <w:sz w:val="32"/>
          <w:szCs w:val="32"/>
        </w:rPr>
        <w:t>2021年度，本年度实行绩效管理的一般公共预算项目   1个，涉及预算金额10万元。具体情况见下表：</w:t>
      </w: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p>
      <w:pPr>
        <w:spacing w:line="560" w:lineRule="exact"/>
        <w:ind w:firstLine="640" w:firstLineChars="200"/>
        <w:rPr>
          <w:rFonts w:hint="eastAsia" w:ascii="仿宋_GB2312" w:hAnsi="宋体" w:eastAsia="仿宋_GB2312" w:cs="宋体"/>
          <w:kern w:val="0"/>
          <w:sz w:val="32"/>
          <w:szCs w:val="32"/>
        </w:rPr>
      </w:pPr>
    </w:p>
    <w:tbl>
      <w:tblPr>
        <w:tblStyle w:val="8"/>
        <w:tblpPr w:leftFromText="180" w:rightFromText="180" w:vertAnchor="text" w:horzAnchor="page" w:tblpX="2085" w:tblpY="9"/>
        <w:tblOverlap w:val="never"/>
        <w:tblW w:w="8720" w:type="dxa"/>
        <w:tblInd w:w="0" w:type="dxa"/>
        <w:tblLayout w:type="fixed"/>
        <w:tblCellMar>
          <w:top w:w="0" w:type="dxa"/>
          <w:left w:w="0" w:type="dxa"/>
          <w:bottom w:w="0" w:type="dxa"/>
          <w:right w:w="0" w:type="dxa"/>
        </w:tblCellMar>
      </w:tblPr>
      <w:tblGrid>
        <w:gridCol w:w="948"/>
        <w:gridCol w:w="1436"/>
        <w:gridCol w:w="1209"/>
        <w:gridCol w:w="1460"/>
        <w:gridCol w:w="1026"/>
        <w:gridCol w:w="1463"/>
        <w:gridCol w:w="1178"/>
      </w:tblGrid>
      <w:tr>
        <w:tblPrEx>
          <w:tblLayout w:type="fixed"/>
          <w:tblCellMar>
            <w:top w:w="0" w:type="dxa"/>
            <w:left w:w="0" w:type="dxa"/>
            <w:bottom w:w="0" w:type="dxa"/>
            <w:right w:w="0" w:type="dxa"/>
          </w:tblCellMar>
        </w:tblPrEx>
        <w:trPr>
          <w:trHeight w:val="449" w:hRule="atLeast"/>
        </w:trPr>
        <w:tc>
          <w:tcPr>
            <w:tcW w:w="8720" w:type="dxa"/>
            <w:gridSpan w:val="7"/>
            <w:tcBorders>
              <w:top w:val="nil"/>
              <w:left w:val="nil"/>
              <w:bottom w:val="nil"/>
              <w:right w:val="nil"/>
            </w:tcBorders>
            <w:tcMar>
              <w:top w:w="12" w:type="dxa"/>
              <w:left w:w="12" w:type="dxa"/>
              <w:right w:w="12" w:type="dxa"/>
            </w:tcMar>
            <w:vAlign w:val="bottom"/>
          </w:tcPr>
          <w:p>
            <w:pPr>
              <w:widowControl/>
              <w:spacing w:line="480" w:lineRule="exact"/>
              <w:ind w:firstLine="1285" w:firstLineChars="400"/>
              <w:textAlignment w:val="bottom"/>
              <w:rPr>
                <w:rFonts w:ascii="仿宋_GB2312" w:hAnsi="宋体" w:eastAsia="仿宋_GB2312" w:cs="仿宋_GB2312"/>
                <w:b/>
                <w:color w:val="000000"/>
                <w:sz w:val="32"/>
                <w:szCs w:val="32"/>
              </w:rPr>
            </w:pPr>
            <w:r>
              <w:rPr>
                <w:rFonts w:hint="eastAsia" w:ascii="仿宋_GB2312" w:hAnsi="宋体" w:eastAsia="仿宋_GB2312" w:cs="仿宋_GB2312"/>
                <w:b/>
                <w:color w:val="000000"/>
                <w:kern w:val="0"/>
                <w:sz w:val="32"/>
                <w:szCs w:val="32"/>
                <w:lang w:bidi="ar"/>
              </w:rPr>
              <w:t>项  目  支  出  绩  效  目  标  表</w:t>
            </w:r>
          </w:p>
        </w:tc>
      </w:tr>
      <w:tr>
        <w:tblPrEx>
          <w:tblLayout w:type="fixed"/>
          <w:tblCellMar>
            <w:top w:w="0" w:type="dxa"/>
            <w:left w:w="0" w:type="dxa"/>
            <w:bottom w:w="0" w:type="dxa"/>
            <w:right w:w="0" w:type="dxa"/>
          </w:tblCellMar>
        </w:tblPrEx>
        <w:trPr>
          <w:trHeight w:val="90" w:hRule="atLeast"/>
        </w:trPr>
        <w:tc>
          <w:tcPr>
            <w:tcW w:w="8720" w:type="dxa"/>
            <w:gridSpan w:val="7"/>
            <w:tcBorders>
              <w:top w:val="nil"/>
              <w:left w:val="nil"/>
              <w:bottom w:val="nil"/>
              <w:right w:val="nil"/>
            </w:tcBorders>
            <w:tcMar>
              <w:top w:w="12" w:type="dxa"/>
              <w:left w:w="12" w:type="dxa"/>
              <w:right w:w="12" w:type="dxa"/>
            </w:tcMar>
            <w:vAlign w:val="bottom"/>
          </w:tcPr>
          <w:p>
            <w:pPr>
              <w:widowControl/>
              <w:spacing w:line="480" w:lineRule="exact"/>
              <w:jc w:val="center"/>
              <w:textAlignment w:val="bottom"/>
              <w:rPr>
                <w:rFonts w:ascii="宋体" w:hAnsi="宋体" w:cs="宋体"/>
                <w:color w:val="000000"/>
                <w:sz w:val="22"/>
                <w:szCs w:val="22"/>
              </w:rPr>
            </w:pPr>
            <w:r>
              <w:rPr>
                <w:rFonts w:hint="eastAsia" w:ascii="宋体" w:hAnsi="宋体" w:cs="宋体"/>
                <w:color w:val="000000"/>
                <w:kern w:val="0"/>
                <w:sz w:val="22"/>
                <w:szCs w:val="22"/>
                <w:lang w:bidi="ar"/>
              </w:rPr>
              <w:t>（2021年）</w:t>
            </w:r>
          </w:p>
        </w:tc>
      </w:tr>
      <w:tr>
        <w:tblPrEx>
          <w:tblLayout w:type="fixed"/>
          <w:tblCellMar>
            <w:top w:w="0" w:type="dxa"/>
            <w:left w:w="0" w:type="dxa"/>
            <w:bottom w:w="0" w:type="dxa"/>
            <w:right w:w="0" w:type="dxa"/>
          </w:tblCellMar>
        </w:tblPrEx>
        <w:trPr>
          <w:trHeight w:val="98" w:hRule="atLeast"/>
        </w:trPr>
        <w:tc>
          <w:tcPr>
            <w:tcW w:w="9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预算单位</w:t>
            </w:r>
          </w:p>
        </w:tc>
        <w:tc>
          <w:tcPr>
            <w:tcW w:w="4105" w:type="dxa"/>
            <w:gridSpan w:val="3"/>
            <w:tcBorders>
              <w:top w:val="single" w:color="000000" w:sz="4" w:space="0"/>
              <w:left w:val="single" w:color="000000" w:sz="4" w:space="0"/>
              <w:bottom w:val="single" w:color="000000" w:sz="4" w:space="0"/>
              <w:right w:val="nil"/>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昌吉州农产品检验检测中心</w:t>
            </w:r>
          </w:p>
        </w:tc>
        <w:tc>
          <w:tcPr>
            <w:tcW w:w="10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项目名称</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自治州种植业产品质量安全监督抽查</w:t>
            </w:r>
          </w:p>
        </w:tc>
      </w:tr>
      <w:tr>
        <w:tblPrEx>
          <w:tblLayout w:type="fixed"/>
          <w:tblCellMar>
            <w:top w:w="0" w:type="dxa"/>
            <w:left w:w="0" w:type="dxa"/>
            <w:bottom w:w="0" w:type="dxa"/>
            <w:right w:w="0" w:type="dxa"/>
          </w:tblCellMar>
        </w:tblPrEx>
        <w:trPr>
          <w:trHeight w:val="98" w:hRule="atLeast"/>
        </w:trPr>
        <w:tc>
          <w:tcPr>
            <w:tcW w:w="9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项目资金（万元）</w:t>
            </w:r>
          </w:p>
        </w:tc>
        <w:tc>
          <w:tcPr>
            <w:tcW w:w="14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年度资金总额：</w:t>
            </w:r>
          </w:p>
        </w:tc>
        <w:tc>
          <w:tcPr>
            <w:tcW w:w="1209"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60"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其中：财政拨款</w:t>
            </w:r>
          </w:p>
        </w:tc>
        <w:tc>
          <w:tcPr>
            <w:tcW w:w="102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w:t>
            </w:r>
          </w:p>
        </w:tc>
        <w:tc>
          <w:tcPr>
            <w:tcW w:w="1463"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其他资金</w:t>
            </w:r>
          </w:p>
        </w:tc>
        <w:tc>
          <w:tcPr>
            <w:tcW w:w="1178" w:type="dxa"/>
            <w:tcBorders>
              <w:top w:val="nil"/>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0</w:t>
            </w:r>
          </w:p>
        </w:tc>
      </w:tr>
      <w:tr>
        <w:tblPrEx>
          <w:tblLayout w:type="fixed"/>
          <w:tblCellMar>
            <w:top w:w="0" w:type="dxa"/>
            <w:left w:w="0" w:type="dxa"/>
            <w:bottom w:w="0" w:type="dxa"/>
            <w:right w:w="0" w:type="dxa"/>
          </w:tblCellMar>
        </w:tblPrEx>
        <w:trPr>
          <w:trHeight w:val="146" w:hRule="atLeast"/>
        </w:trPr>
        <w:tc>
          <w:tcPr>
            <w:tcW w:w="9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项目总体目标</w:t>
            </w:r>
          </w:p>
        </w:tc>
        <w:tc>
          <w:tcPr>
            <w:tcW w:w="7772" w:type="dxa"/>
            <w:gridSpan w:val="6"/>
            <w:tcBorders>
              <w:top w:val="single" w:color="000000" w:sz="4" w:space="0"/>
              <w:left w:val="single" w:color="000000" w:sz="4" w:space="0"/>
              <w:bottom w:val="single" w:color="000000" w:sz="4" w:space="0"/>
              <w:right w:val="single" w:color="000000" w:sz="4" w:space="0"/>
            </w:tcBorders>
            <w:tcMar>
              <w:top w:w="12" w:type="dxa"/>
              <w:left w:w="12" w:type="dxa"/>
              <w:right w:w="12" w:type="dxa"/>
            </w:tcMar>
          </w:tcPr>
          <w:p>
            <w:pPr>
              <w:spacing w:line="480" w:lineRule="exact"/>
              <w:jc w:val="left"/>
              <w:rPr>
                <w:rFonts w:ascii="宋体" w:hAnsi="宋体" w:cs="宋体"/>
                <w:color w:val="000000"/>
                <w:sz w:val="18"/>
                <w:szCs w:val="18"/>
              </w:rPr>
            </w:pPr>
            <w:r>
              <w:rPr>
                <w:rFonts w:hint="eastAsia" w:ascii="宋体" w:hAnsi="宋体" w:cs="宋体"/>
                <w:color w:val="000000"/>
                <w:sz w:val="18"/>
                <w:szCs w:val="18"/>
              </w:rPr>
              <w:t>本单位职能：为农产品质量安全提供检验检测服务保障、种子质量的检验检测、农产品的检验检测、农药质量的检验检测、委托检验、技术咨询、技术服务工作。完成全州五县二市一区蔬菜、水果、食用菌等种植业产品监督抽查80批次。</w:t>
            </w:r>
          </w:p>
        </w:tc>
      </w:tr>
      <w:tr>
        <w:tblPrEx>
          <w:tblLayout w:type="fixed"/>
          <w:tblCellMar>
            <w:top w:w="0" w:type="dxa"/>
            <w:left w:w="0" w:type="dxa"/>
            <w:bottom w:w="0" w:type="dxa"/>
            <w:right w:w="0" w:type="dxa"/>
          </w:tblCellMar>
        </w:tblPrEx>
        <w:trPr>
          <w:trHeight w:val="90" w:hRule="atLeast"/>
        </w:trPr>
        <w:tc>
          <w:tcPr>
            <w:tcW w:w="9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一级指标</w:t>
            </w:r>
          </w:p>
        </w:tc>
        <w:tc>
          <w:tcPr>
            <w:tcW w:w="14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二级指标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三级指标</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b/>
                <w:color w:val="000000"/>
                <w:sz w:val="18"/>
                <w:szCs w:val="18"/>
              </w:rPr>
            </w:pPr>
            <w:r>
              <w:rPr>
                <w:rFonts w:hint="eastAsia" w:ascii="宋体" w:hAnsi="宋体" w:cs="宋体"/>
                <w:b/>
                <w:color w:val="000000"/>
                <w:kern w:val="0"/>
                <w:sz w:val="18"/>
                <w:szCs w:val="18"/>
                <w:lang w:bidi="ar"/>
              </w:rPr>
              <w:t>指标值（包含数字及文字描述）</w:t>
            </w:r>
          </w:p>
        </w:tc>
      </w:tr>
      <w:tr>
        <w:tblPrEx>
          <w:tblLayout w:type="fixed"/>
          <w:tblCellMar>
            <w:top w:w="0" w:type="dxa"/>
            <w:left w:w="0" w:type="dxa"/>
            <w:bottom w:w="0" w:type="dxa"/>
            <w:right w:w="0" w:type="dxa"/>
          </w:tblCellMar>
        </w:tblPrEx>
        <w:trPr>
          <w:trHeight w:val="90" w:hRule="atLeast"/>
        </w:trPr>
        <w:tc>
          <w:tcPr>
            <w:tcW w:w="948"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产出指标</w:t>
            </w:r>
          </w:p>
        </w:tc>
        <w:tc>
          <w:tcPr>
            <w:tcW w:w="143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数量指标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1096"/>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监督抽查（批次）</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796"/>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检验报告数量（份）</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≥80</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质量指标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检测数据准确度（%）</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≥99.8%</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检测人员持证上岗率（%）</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≥100</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检验报告准确率（%）</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≥99.5%</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时效指标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分析报告及时率（%）</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≥95%</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监督抽查检测结果出具时间（工作日天）</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≦15</w:t>
            </w:r>
          </w:p>
        </w:tc>
      </w:tr>
      <w:tr>
        <w:tblPrEx>
          <w:tblLayout w:type="fixed"/>
          <w:tblCellMar>
            <w:top w:w="0" w:type="dxa"/>
            <w:left w:w="0" w:type="dxa"/>
            <w:bottom w:w="0" w:type="dxa"/>
            <w:right w:w="0" w:type="dxa"/>
          </w:tblCellMar>
        </w:tblPrEx>
        <w:trPr>
          <w:trHeight w:val="98"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成本指标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蔬菜、水果、食用菌等种植业产品预算定额标准（元/批次）</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≦1200</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监督抽查总成本（万元）</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≦10万元</w:t>
            </w:r>
          </w:p>
        </w:tc>
      </w:tr>
      <w:tr>
        <w:tblPrEx>
          <w:tblLayout w:type="fixed"/>
          <w:tblCellMar>
            <w:top w:w="0" w:type="dxa"/>
            <w:left w:w="0" w:type="dxa"/>
            <w:bottom w:w="0" w:type="dxa"/>
            <w:right w:w="0" w:type="dxa"/>
          </w:tblCellMar>
        </w:tblPrEx>
        <w:trPr>
          <w:trHeight w:val="98"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社会效益指标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服务执法监管将不合格样品报告及时移交执法部门，用作执法依据，提高执法监管能力</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提高</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restart"/>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生态效益指标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w:t>
            </w:r>
          </w:p>
        </w:tc>
      </w:tr>
      <w:tr>
        <w:tblPrEx>
          <w:tblLayout w:type="fixed"/>
          <w:tblCellMar>
            <w:top w:w="0" w:type="dxa"/>
            <w:left w:w="0" w:type="dxa"/>
            <w:bottom w:w="0" w:type="dxa"/>
            <w:right w:w="0" w:type="dxa"/>
          </w:tblCellMar>
        </w:tblPrEx>
        <w:trPr>
          <w:trHeight w:val="90" w:hRule="atLeast"/>
        </w:trPr>
        <w:tc>
          <w:tcPr>
            <w:tcW w:w="948" w:type="dxa"/>
            <w:vMerge w:val="continue"/>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p>
        </w:tc>
        <w:tc>
          <w:tcPr>
            <w:tcW w:w="14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可持续影响指标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确保全州不发生重大农产品质量安全事件</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rPr>
              <w:t>持续</w:t>
            </w:r>
          </w:p>
        </w:tc>
      </w:tr>
      <w:tr>
        <w:tblPrEx>
          <w:tblLayout w:type="fixed"/>
          <w:tblCellMar>
            <w:top w:w="0" w:type="dxa"/>
            <w:left w:w="0" w:type="dxa"/>
            <w:bottom w:w="0" w:type="dxa"/>
            <w:right w:w="0" w:type="dxa"/>
          </w:tblCellMar>
        </w:tblPrEx>
        <w:trPr>
          <w:trHeight w:val="90" w:hRule="atLeast"/>
        </w:trPr>
        <w:tc>
          <w:tcPr>
            <w:tcW w:w="948"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1436" w:type="dxa"/>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widowControl/>
              <w:spacing w:line="480" w:lineRule="exact"/>
              <w:jc w:val="center"/>
              <w:textAlignment w:val="center"/>
              <w:rPr>
                <w:rFonts w:ascii="宋体" w:hAnsi="宋体" w:cs="宋体"/>
                <w:color w:val="000000"/>
                <w:sz w:val="18"/>
                <w:szCs w:val="18"/>
              </w:rPr>
            </w:pPr>
            <w:r>
              <w:rPr>
                <w:rFonts w:hint="eastAsia" w:ascii="宋体" w:hAnsi="宋体" w:cs="宋体"/>
                <w:color w:val="000000"/>
                <w:kern w:val="0"/>
                <w:sz w:val="18"/>
                <w:szCs w:val="18"/>
                <w:lang w:bidi="ar"/>
              </w:rPr>
              <w:t>满意度指标</w:t>
            </w:r>
          </w:p>
        </w:tc>
        <w:tc>
          <w:tcPr>
            <w:tcW w:w="3695" w:type="dxa"/>
            <w:gridSpan w:val="3"/>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spacing w:line="480" w:lineRule="exact"/>
              <w:jc w:val="center"/>
              <w:rPr>
                <w:rFonts w:ascii="宋体" w:hAnsi="宋体" w:cs="宋体"/>
                <w:color w:val="000000"/>
                <w:sz w:val="18"/>
                <w:szCs w:val="18"/>
              </w:rPr>
            </w:pPr>
            <w:r>
              <w:rPr>
                <w:rFonts w:hint="eastAsia" w:ascii="宋体" w:hAnsi="宋体" w:cs="宋体"/>
                <w:color w:val="000000"/>
                <w:sz w:val="18"/>
                <w:szCs w:val="18"/>
              </w:rPr>
              <w:t>服务群体满意度</w:t>
            </w:r>
          </w:p>
        </w:tc>
        <w:tc>
          <w:tcPr>
            <w:tcW w:w="2641" w:type="dxa"/>
            <w:gridSpan w:val="2"/>
            <w:tcBorders>
              <w:top w:val="single" w:color="000000" w:sz="4" w:space="0"/>
              <w:left w:val="single" w:color="000000" w:sz="4" w:space="0"/>
              <w:bottom w:val="single" w:color="000000" w:sz="4" w:space="0"/>
              <w:right w:val="single" w:color="000000" w:sz="4" w:space="0"/>
            </w:tcBorders>
            <w:tcMar>
              <w:top w:w="12" w:type="dxa"/>
              <w:left w:w="12" w:type="dxa"/>
              <w:right w:w="12" w:type="dxa"/>
            </w:tcMar>
            <w:vAlign w:val="center"/>
          </w:tcPr>
          <w:p>
            <w:pPr>
              <w:tabs>
                <w:tab w:val="left" w:pos="582"/>
              </w:tabs>
              <w:spacing w:line="480" w:lineRule="exact"/>
              <w:jc w:val="left"/>
              <w:rPr>
                <w:rFonts w:ascii="宋体" w:hAnsi="宋体" w:cs="宋体"/>
                <w:color w:val="000000"/>
                <w:sz w:val="18"/>
                <w:szCs w:val="18"/>
              </w:rPr>
            </w:pPr>
            <w:r>
              <w:rPr>
                <w:rFonts w:hint="eastAsia" w:ascii="宋体" w:hAnsi="宋体" w:cs="宋体"/>
                <w:color w:val="000000"/>
                <w:sz w:val="18"/>
                <w:szCs w:val="18"/>
              </w:rPr>
              <w:tab/>
            </w:r>
            <w:r>
              <w:rPr>
                <w:rFonts w:hint="eastAsia" w:ascii="宋体" w:hAnsi="宋体" w:cs="宋体"/>
                <w:color w:val="000000"/>
                <w:sz w:val="18"/>
                <w:szCs w:val="18"/>
              </w:rPr>
              <w:t xml:space="preserve">      ≥95%</w:t>
            </w:r>
          </w:p>
        </w:tc>
      </w:tr>
    </w:tbl>
    <w:p>
      <w:pPr>
        <w:widowControl/>
        <w:spacing w:line="480" w:lineRule="exact"/>
        <w:rPr>
          <w:rFonts w:hint="eastAsia" w:ascii="仿宋_GB2312" w:hAnsi="宋体" w:eastAsia="仿宋_GB2312" w:cs="宋体"/>
          <w:kern w:val="0"/>
          <w:sz w:val="32"/>
          <w:szCs w:val="32"/>
          <w:lang w:val="en-US" w:eastAsia="zh-CN"/>
        </w:rPr>
        <w:sectPr>
          <w:pgSz w:w="11906" w:h="16838"/>
          <w:pgMar w:top="1440" w:right="1800" w:bottom="1440" w:left="1800" w:header="851" w:footer="992" w:gutter="0"/>
          <w:pgNumType w:fmt="numberInDash" w:start="24"/>
          <w:cols w:space="720" w:num="1"/>
          <w:docGrid w:type="lines" w:linePitch="312" w:charSpace="0"/>
        </w:sectPr>
      </w:pPr>
    </w:p>
    <w:p>
      <w:pPr>
        <w:widowControl/>
        <w:spacing w:line="480" w:lineRule="exact"/>
        <w:ind w:firstLine="321" w:firstLineChars="100"/>
        <w:jc w:val="left"/>
        <w:rPr>
          <w:rFonts w:ascii="楷体_GB2312" w:hAnsi="宋体" w:eastAsia="楷体_GB2312" w:cs="宋体"/>
          <w:b/>
          <w:kern w:val="0"/>
          <w:sz w:val="32"/>
          <w:szCs w:val="32"/>
        </w:rPr>
      </w:pPr>
      <w:r>
        <w:rPr>
          <w:rFonts w:hint="eastAsia" w:ascii="楷体_GB2312" w:hAnsi="宋体" w:eastAsia="楷体_GB2312" w:cs="宋体"/>
          <w:b/>
          <w:kern w:val="0"/>
          <w:sz w:val="32"/>
          <w:szCs w:val="32"/>
        </w:rPr>
        <w:t>（五）其他需说明的事项</w:t>
      </w:r>
    </w:p>
    <w:p>
      <w:pPr>
        <w:widowControl/>
        <w:spacing w:line="520" w:lineRule="exact"/>
        <w:ind w:firstLine="640" w:firstLineChars="200"/>
        <w:jc w:val="left"/>
        <w:rPr>
          <w:rFonts w:ascii="仿宋_GB2312" w:hAnsi="宋体" w:eastAsia="仿宋_GB2312" w:cs="宋体"/>
          <w:kern w:val="0"/>
          <w:sz w:val="32"/>
          <w:szCs w:val="32"/>
        </w:rPr>
      </w:pPr>
      <w:r>
        <w:rPr>
          <w:rFonts w:hint="eastAsia" w:ascii="仿宋_GB2312" w:hAnsi="宋体" w:eastAsia="仿宋_GB2312" w:cs="宋体"/>
          <w:kern w:val="0"/>
          <w:sz w:val="32"/>
          <w:szCs w:val="32"/>
        </w:rPr>
        <w:t>无其他需要说明的事项。</w:t>
      </w:r>
    </w:p>
    <w:p>
      <w:pPr>
        <w:widowControl/>
        <w:spacing w:line="520" w:lineRule="exact"/>
        <w:jc w:val="left"/>
        <w:rPr>
          <w:rFonts w:ascii="仿宋_GB2312" w:hAnsi="宋体" w:eastAsia="仿宋_GB2312" w:cs="宋体"/>
          <w:kern w:val="0"/>
          <w:sz w:val="32"/>
          <w:szCs w:val="32"/>
        </w:rPr>
      </w:pPr>
    </w:p>
    <w:p>
      <w:pPr>
        <w:widowControl/>
        <w:spacing w:before="156" w:beforeLines="50" w:line="520" w:lineRule="exact"/>
        <w:jc w:val="center"/>
        <w:outlineLvl w:val="1"/>
        <w:rPr>
          <w:rFonts w:ascii="黑体" w:hAnsi="黑体" w:eastAsia="黑体"/>
          <w:kern w:val="0"/>
          <w:sz w:val="32"/>
          <w:szCs w:val="32"/>
        </w:rPr>
      </w:pPr>
      <w:r>
        <w:rPr>
          <w:rFonts w:hint="eastAsia" w:ascii="黑体" w:hAnsi="黑体" w:eastAsia="黑体"/>
          <w:kern w:val="0"/>
          <w:sz w:val="32"/>
          <w:szCs w:val="32"/>
        </w:rPr>
        <w:t>第四部分  名词解释</w:t>
      </w:r>
    </w:p>
    <w:p>
      <w:pPr>
        <w:widowControl/>
        <w:spacing w:before="156" w:beforeLines="50" w:line="520" w:lineRule="exact"/>
        <w:jc w:val="center"/>
        <w:outlineLvl w:val="1"/>
        <w:rPr>
          <w:rFonts w:ascii="黑体" w:hAnsi="黑体" w:eastAsia="黑体"/>
          <w:kern w:val="0"/>
          <w:sz w:val="32"/>
          <w:szCs w:val="32"/>
        </w:rPr>
      </w:pPr>
    </w:p>
    <w:p>
      <w:pPr>
        <w:widowControl/>
        <w:spacing w:line="520" w:lineRule="exact"/>
        <w:ind w:firstLine="640"/>
        <w:jc w:val="left"/>
        <w:rPr>
          <w:rFonts w:ascii="黑体" w:hAnsi="宋体" w:eastAsia="黑体" w:cs="宋体"/>
          <w:kern w:val="0"/>
          <w:sz w:val="32"/>
          <w:szCs w:val="32"/>
        </w:rPr>
      </w:pPr>
      <w:r>
        <w:rPr>
          <w:rFonts w:hint="eastAsia" w:ascii="黑体" w:hAnsi="宋体" w:eastAsia="黑体" w:cs="宋体"/>
          <w:kern w:val="0"/>
          <w:sz w:val="32"/>
          <w:szCs w:val="32"/>
        </w:rPr>
        <w:t>名词解释：</w:t>
      </w:r>
    </w:p>
    <w:p>
      <w:pPr>
        <w:spacing w:line="520" w:lineRule="exact"/>
        <w:ind w:firstLine="642"/>
        <w:rPr>
          <w:rFonts w:ascii="仿宋_GB2312" w:eastAsia="仿宋_GB2312"/>
          <w:sz w:val="32"/>
          <w:szCs w:val="32"/>
        </w:rPr>
      </w:pPr>
      <w:r>
        <w:rPr>
          <w:rFonts w:hint="eastAsia" w:ascii="黑体" w:hAnsi="黑体" w:eastAsia="黑体"/>
          <w:sz w:val="32"/>
          <w:szCs w:val="32"/>
        </w:rPr>
        <w:t>一、财政拨款：</w:t>
      </w:r>
      <w:r>
        <w:rPr>
          <w:rFonts w:hint="eastAsia" w:ascii="仿宋_GB2312" w:eastAsia="仿宋_GB2312"/>
          <w:sz w:val="32"/>
          <w:szCs w:val="32"/>
        </w:rPr>
        <w:t>指由一般公共预算、政府性基金预算安排的财政拨款数。</w:t>
      </w:r>
    </w:p>
    <w:p>
      <w:pPr>
        <w:spacing w:line="520" w:lineRule="exact"/>
        <w:ind w:firstLine="642"/>
        <w:rPr>
          <w:rFonts w:ascii="仿宋_GB2312" w:eastAsia="仿宋_GB2312"/>
          <w:sz w:val="32"/>
          <w:szCs w:val="32"/>
        </w:rPr>
      </w:pPr>
      <w:r>
        <w:rPr>
          <w:rFonts w:hint="eastAsia" w:ascii="黑体" w:hAnsi="黑体" w:eastAsia="黑体"/>
          <w:sz w:val="32"/>
          <w:szCs w:val="32"/>
        </w:rPr>
        <w:t>二、一般公共预算：</w:t>
      </w:r>
      <w:r>
        <w:rPr>
          <w:rFonts w:hint="eastAsia" w:ascii="仿宋_GB2312" w:eastAsia="仿宋_GB2312"/>
          <w:spacing w:val="-6"/>
          <w:sz w:val="32"/>
          <w:szCs w:val="32"/>
        </w:rPr>
        <w:t>包括公共财政拨款（补助）资金、专项收入。</w:t>
      </w:r>
    </w:p>
    <w:p>
      <w:pPr>
        <w:spacing w:line="520" w:lineRule="exact"/>
        <w:ind w:firstLine="642"/>
        <w:rPr>
          <w:rFonts w:ascii="仿宋_GB2312" w:eastAsia="仿宋_GB2312"/>
          <w:sz w:val="32"/>
          <w:szCs w:val="32"/>
        </w:rPr>
      </w:pPr>
      <w:r>
        <w:rPr>
          <w:rFonts w:hint="eastAsia" w:ascii="黑体" w:hAnsi="黑体" w:eastAsia="黑体"/>
          <w:sz w:val="32"/>
          <w:szCs w:val="32"/>
        </w:rPr>
        <w:t>三、财政专户管理资金：</w:t>
      </w:r>
      <w:r>
        <w:rPr>
          <w:rFonts w:hint="eastAsia" w:ascii="仿宋_GB2312" w:eastAsia="仿宋_GB2312"/>
          <w:sz w:val="32"/>
          <w:szCs w:val="32"/>
        </w:rPr>
        <w:t>包括专户管理行政事业性收费（主要是教育收费）、其他非税收入。</w:t>
      </w:r>
    </w:p>
    <w:p>
      <w:pPr>
        <w:spacing w:line="520" w:lineRule="exact"/>
        <w:ind w:firstLine="642"/>
        <w:rPr>
          <w:rFonts w:ascii="仿宋_GB2312" w:eastAsia="仿宋_GB2312"/>
          <w:sz w:val="32"/>
          <w:szCs w:val="32"/>
        </w:rPr>
      </w:pPr>
      <w:r>
        <w:rPr>
          <w:rFonts w:hint="eastAsia" w:ascii="黑体" w:hAnsi="黑体" w:eastAsia="黑体"/>
          <w:sz w:val="32"/>
          <w:szCs w:val="32"/>
        </w:rPr>
        <w:t>四、其他资金：</w:t>
      </w:r>
      <w:r>
        <w:rPr>
          <w:rFonts w:hint="eastAsia" w:ascii="仿宋_GB2312" w:eastAsia="仿宋_GB2312"/>
          <w:sz w:val="32"/>
          <w:szCs w:val="32"/>
        </w:rPr>
        <w:t>包括事业收入、事业经营收入、其他收入等。</w:t>
      </w:r>
    </w:p>
    <w:p>
      <w:pPr>
        <w:spacing w:line="520" w:lineRule="exact"/>
        <w:ind w:firstLine="642"/>
        <w:rPr>
          <w:rFonts w:ascii="仿宋_GB2312" w:eastAsia="仿宋_GB2312"/>
          <w:sz w:val="32"/>
          <w:szCs w:val="32"/>
        </w:rPr>
      </w:pPr>
      <w:r>
        <w:rPr>
          <w:rFonts w:hint="eastAsia" w:ascii="黑体" w:hAnsi="黑体" w:eastAsia="黑体"/>
          <w:sz w:val="32"/>
          <w:szCs w:val="32"/>
        </w:rPr>
        <w:t>五、基本支出：</w:t>
      </w:r>
      <w:r>
        <w:rPr>
          <w:rFonts w:hint="eastAsia" w:ascii="仿宋_GB2312" w:eastAsia="仿宋_GB2312"/>
          <w:sz w:val="32"/>
          <w:szCs w:val="32"/>
        </w:rPr>
        <w:t>包括人员经费、商品和服务支出（定额）。其中，人员经费包括工资福利支出、对个人和家庭的补助。</w:t>
      </w:r>
    </w:p>
    <w:p>
      <w:pPr>
        <w:spacing w:line="520" w:lineRule="exact"/>
        <w:ind w:firstLine="642"/>
        <w:rPr>
          <w:rFonts w:ascii="仿宋_GB2312" w:eastAsia="仿宋_GB2312"/>
          <w:sz w:val="32"/>
          <w:szCs w:val="32"/>
        </w:rPr>
      </w:pPr>
      <w:r>
        <w:rPr>
          <w:rFonts w:hint="eastAsia" w:ascii="黑体" w:hAnsi="黑体" w:eastAsia="黑体"/>
          <w:sz w:val="32"/>
          <w:szCs w:val="32"/>
        </w:rPr>
        <w:t>六、项目支出：</w:t>
      </w:r>
      <w:r>
        <w:rPr>
          <w:rFonts w:hint="eastAsia" w:ascii="仿宋_GB2312" w:eastAsia="仿宋_GB2312"/>
          <w:sz w:val="32"/>
          <w:szCs w:val="32"/>
        </w:rPr>
        <w:t>部门（单位）支出预算的组成部分，是州本级部门（单位）为完成其特定的行政任务或事业发展目标，在基本支出预算之外编制的年度项目支出计划。</w:t>
      </w:r>
    </w:p>
    <w:p>
      <w:pPr>
        <w:spacing w:line="520" w:lineRule="exact"/>
        <w:ind w:firstLine="642"/>
        <w:rPr>
          <w:rFonts w:ascii="仿宋_GB2312" w:eastAsia="仿宋_GB2312"/>
          <w:sz w:val="32"/>
          <w:szCs w:val="32"/>
        </w:rPr>
      </w:pPr>
      <w:r>
        <w:rPr>
          <w:rFonts w:hint="eastAsia" w:ascii="黑体" w:hAnsi="黑体" w:eastAsia="黑体"/>
          <w:sz w:val="32"/>
          <w:szCs w:val="32"/>
        </w:rPr>
        <w:t>七、“三公”经费：</w:t>
      </w:r>
      <w:r>
        <w:rPr>
          <w:rFonts w:hint="eastAsia" w:ascii="仿宋_GB2312" w:eastAsia="仿宋_GB2312"/>
          <w:sz w:val="32"/>
          <w:szCs w:val="32"/>
        </w:rPr>
        <w:t>指州本级部门（单位）用一般公共预算财政拨款安排的因公出国（境）费、公务用车购置及运行费和公务接待费。其中，因公出国（境）费指单位公务出国（境）的住宿费、旅费、伙食补助费、杂费、培训费等支出；公务用车购置及运行费指单位公务用车购置费及租用费、燃料费、维修费、过路过桥费、保险费、安全奖励费用等支出；公务接待费指单位按规定开支的各类公务接待（含外宾接待）支出。</w:t>
      </w:r>
    </w:p>
    <w:p>
      <w:pPr>
        <w:spacing w:line="520" w:lineRule="exact"/>
        <w:ind w:firstLine="642"/>
        <w:rPr>
          <w:rFonts w:ascii="仿宋_GB2312" w:eastAsia="仿宋_GB2312"/>
          <w:sz w:val="32"/>
          <w:szCs w:val="32"/>
        </w:rPr>
      </w:pPr>
      <w:r>
        <w:rPr>
          <w:rFonts w:hint="eastAsia" w:ascii="黑体" w:hAnsi="黑体" w:eastAsia="黑体"/>
          <w:sz w:val="32"/>
          <w:szCs w:val="32"/>
        </w:rPr>
        <w:t>八、机关运行经费：</w:t>
      </w:r>
      <w:r>
        <w:rPr>
          <w:rFonts w:hint="eastAsia" w:ascii="仿宋_GB2312" w:eastAsia="仿宋_GB2312"/>
          <w:sz w:val="32"/>
          <w:szCs w:val="32"/>
        </w:rPr>
        <w:t>指各部门（单位）的公用经费，包括办公及印刷费、邮电费、差旅费、会议费、福利费、日常维修费、专用材料及一般设备购置费、办公用房水电费、办公用房取暖费、办公用房物业管理费、公务用车运行维护费及其他费用。</w:t>
      </w: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昌吉州农产品检验检测中心</w:t>
      </w:r>
    </w:p>
    <w:p>
      <w:pPr>
        <w:widowControl/>
        <w:spacing w:line="520" w:lineRule="exact"/>
        <w:jc w:val="left"/>
        <w:rPr>
          <w:rFonts w:ascii="仿宋_GB2312" w:hAnsi="宋体" w:eastAsia="仿宋_GB2312" w:cs="宋体"/>
          <w:kern w:val="0"/>
          <w:sz w:val="32"/>
          <w:szCs w:val="32"/>
        </w:rPr>
      </w:pPr>
      <w:r>
        <w:rPr>
          <w:rFonts w:hint="eastAsia" w:ascii="仿宋_GB2312" w:hAnsi="宋体" w:eastAsia="仿宋_GB2312" w:cs="宋体"/>
          <w:kern w:val="0"/>
          <w:sz w:val="32"/>
          <w:szCs w:val="32"/>
        </w:rPr>
        <w:t xml:space="preserve">                                2021</w:t>
      </w:r>
      <w:r>
        <w:rPr>
          <w:rFonts w:ascii="仿宋_GB2312" w:hAnsi="宋体" w:eastAsia="仿宋_GB2312" w:cs="宋体"/>
          <w:kern w:val="0"/>
          <w:sz w:val="32"/>
          <w:szCs w:val="32"/>
        </w:rPr>
        <w:t>年</w:t>
      </w:r>
      <w:r>
        <w:rPr>
          <w:rFonts w:hint="eastAsia" w:ascii="仿宋_GB2312" w:hAnsi="宋体" w:eastAsia="仿宋_GB2312" w:cs="宋体"/>
          <w:kern w:val="0"/>
          <w:sz w:val="32"/>
          <w:szCs w:val="32"/>
        </w:rPr>
        <w:t>2</w:t>
      </w:r>
      <w:r>
        <w:rPr>
          <w:rFonts w:ascii="仿宋_GB2312" w:hAnsi="宋体" w:eastAsia="仿宋_GB2312" w:cs="宋体"/>
          <w:kern w:val="0"/>
          <w:sz w:val="32"/>
          <w:szCs w:val="32"/>
        </w:rPr>
        <w:t>月</w:t>
      </w:r>
      <w:r>
        <w:rPr>
          <w:rFonts w:hint="eastAsia" w:ascii="仿宋_GB2312" w:hAnsi="宋体" w:eastAsia="仿宋_GB2312" w:cs="宋体"/>
          <w:kern w:val="0"/>
          <w:sz w:val="32"/>
          <w:szCs w:val="32"/>
        </w:rPr>
        <w:t>2</w:t>
      </w:r>
      <w:r>
        <w:rPr>
          <w:rFonts w:ascii="仿宋_GB2312" w:hAnsi="宋体" w:eastAsia="仿宋_GB2312" w:cs="宋体"/>
          <w:kern w:val="0"/>
          <w:sz w:val="32"/>
          <w:szCs w:val="32"/>
        </w:rPr>
        <w:t>日</w:t>
      </w:r>
    </w:p>
    <w:p>
      <w:pPr/>
    </w:p>
    <w:sectPr>
      <w:footerReference r:id="rId4" w:type="default"/>
      <w:pgSz w:w="11906" w:h="16838"/>
      <w:pgMar w:top="1440" w:right="1800" w:bottom="1440" w:left="1800" w:header="851" w:footer="992" w:gutter="0"/>
      <w:pgNumType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0000000000000000000"/>
    <w:charset w:val="86"/>
    <w:family w:val="auto"/>
    <w:pitch w:val="default"/>
    <w:sig w:usb0="00000000" w:usb1="00000000" w:usb2="00000000" w:usb3="00000000" w:csb0="00000000" w:csb1="00000000"/>
  </w:font>
  <w:font w:name="Wingdings">
    <w:altName w:val="Wingdings"/>
    <w:panose1 w:val="05000000000000000000"/>
    <w:charset w:val="00"/>
    <w:family w:val="auto"/>
    <w:pitch w:val="default"/>
    <w:sig w:usb0="00000000" w:usb1="00000000" w:usb2="00000000" w:usb3="00000000" w:csb0="80000000" w:csb1="00000000"/>
  </w:font>
  <w:font w:name="Arial">
    <w:altName w:val="Arial"/>
    <w:panose1 w:val="020B0604020202020204"/>
    <w:charset w:val="00"/>
    <w:family w:val="swiss"/>
    <w:pitch w:val="default"/>
    <w:sig w:usb0="E0002AFF" w:usb1="C0007843" w:usb2="00000009" w:usb3="00000000" w:csb0="400001FF" w:csb1="FFFF0000"/>
  </w:font>
  <w:font w:name="黑体">
    <w:altName w:val="黑体"/>
    <w:panose1 w:val="02010609060101010101"/>
    <w:charset w:val="00"/>
    <w:family w:val="auto"/>
    <w:pitch w:val="default"/>
    <w:sig w:usb0="800002BF" w:usb1="38CF7CFA" w:usb2="00000016" w:usb3="00000000" w:csb0="00040001" w:csb1="00000000"/>
  </w:font>
  <w:font w:name="Courier New">
    <w:altName w:val="Courier New"/>
    <w:panose1 w:val="02070309020205020404"/>
    <w:charset w:val="00"/>
    <w:family w:val="modern"/>
    <w:pitch w:val="default"/>
    <w:sig w:usb0="E0002AFF" w:usb1="C0007843" w:usb2="00000009" w:usb3="00000000" w:csb0="400001FF" w:csb1="FFFF0000"/>
  </w:font>
  <w:font w:name="Symbol">
    <w:altName w:val="Symbol"/>
    <w:panose1 w:val="05050102010706020507"/>
    <w:charset w:val="00"/>
    <w:family w:val="roman"/>
    <w:pitch w:val="default"/>
    <w:sig w:usb0="00000000" w:usb1="00000000" w:usb2="00000000" w:usb3="00000000" w:csb0="80000000" w:csb1="00000000"/>
  </w:font>
  <w:font w:name="Cambria">
    <w:panose1 w:val="02040503050406030204"/>
    <w:charset w:val="00"/>
    <w:family w:val="roman"/>
    <w:pitch w:val="default"/>
    <w:sig w:usb0="00000000" w:usb1="00000000" w:usb2="00000000" w:usb3="00000000" w:csb0="0000019F" w:csb1="00000000"/>
  </w:font>
  <w:font w:name="Calibri">
    <w:panose1 w:val="020F0502020204030204"/>
    <w:charset w:val="00"/>
    <w:family w:val="swiss"/>
    <w:pitch w:val="default"/>
    <w:sig w:usb0="00000000" w:usb1="00000000" w:usb2="00000001" w:usb3="00000000" w:csb0="0000019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00000000" w:usb1="00000000" w:usb2="00000016" w:usb3="00000000" w:csb0="00040001"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00000000" w:usb1="00000000" w:usb2="00000016" w:usb3="00000000" w:csb0="0004001F" w:csb1="00000000"/>
  </w:font>
  <w:font w:name="楷体_GB2312">
    <w:altName w:val="楷体"/>
    <w:panose1 w:val="00000000000000000000"/>
    <w:charset w:val="86"/>
    <w:family w:val="modern"/>
    <w:pitch w:val="default"/>
    <w:sig w:usb0="00000000" w:usb1="00000000" w:usb2="00000010" w:usb3="00000000" w:csb0="00040000" w:csb1="00000000"/>
  </w:font>
  <w:font w:name="楷体">
    <w:panose1 w:val="02010609060101010101"/>
    <w:charset w:val="86"/>
    <w:family w:val="auto"/>
    <w:pitch w:val="default"/>
    <w:sig w:usb0="00000000" w:usb1="0000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rPr>
        <w:rFonts w:ascii="宋体" w:hAnsi="宋体" w:eastAsia="宋体"/>
        <w:sz w:val="28"/>
        <w:szCs w:val="28"/>
      </w:rPr>
    </w:pPr>
    <w:r>
      <w:rPr>
        <w:rFonts w:ascii="宋体" w:hAnsi="宋体" w:eastAsia="宋体"/>
        <w:sz w:val="28"/>
        <w:szCs w:val="28"/>
      </w:rPr>
      <w:fldChar w:fldCharType="begin"/>
    </w:r>
    <w:r>
      <w:rPr>
        <w:rFonts w:ascii="宋体" w:hAnsi="宋体" w:eastAsia="宋体"/>
        <w:sz w:val="28"/>
        <w:szCs w:val="28"/>
      </w:rPr>
      <w:instrText xml:space="preserve">PAGE   \* MERGEFORMAT</w:instrText>
    </w:r>
    <w:r>
      <w:rPr>
        <w:rFonts w:ascii="宋体" w:hAnsi="宋体" w:eastAsia="宋体"/>
        <w:sz w:val="28"/>
        <w:szCs w:val="28"/>
      </w:rPr>
      <w:fldChar w:fldCharType="separate"/>
    </w:r>
    <w:r>
      <w:rPr>
        <w:rFonts w:ascii="宋体" w:hAnsi="宋体" w:eastAsia="宋体"/>
        <w:sz w:val="28"/>
        <w:szCs w:val="28"/>
        <w:lang w:val="zh-CN"/>
      </w:rPr>
      <w:t>-</w:t>
    </w:r>
    <w:r>
      <w:rPr>
        <w:rFonts w:ascii="宋体" w:hAnsi="宋体" w:eastAsia="宋体"/>
        <w:sz w:val="28"/>
        <w:szCs w:val="28"/>
      </w:rPr>
      <w:t xml:space="preserve"> 9 -</w:t>
    </w:r>
    <w:r>
      <w:rPr>
        <w:rFonts w:ascii="宋体" w:hAnsi="宋体" w:eastAsia="宋体"/>
        <w:sz w:val="28"/>
        <w:szCs w:val="28"/>
      </w:rPr>
      <w:fldChar w:fldCharType="end"/>
    </w:r>
  </w:p>
  <w:p>
    <w:pPr>
      <w:pStyle w:val="4"/>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unhideWhenUsed/>
    <w:qFormat/>
    <w:uiPriority w:val="1"/>
  </w:style>
  <w:style w:type="table" w:default="1" w:styleId="8">
    <w:name w:val="Normal Table"/>
    <w:unhideWhenUsed/>
    <w:qFormat/>
    <w:uiPriority w:val="99"/>
    <w:tblPr>
      <w:tblLayout w:type="fixed"/>
      <w:tblCellMar>
        <w:top w:w="0" w:type="dxa"/>
        <w:left w:w="108" w:type="dxa"/>
        <w:bottom w:w="0" w:type="dxa"/>
        <w:right w:w="108" w:type="dxa"/>
      </w:tblCellMar>
    </w:tblPr>
  </w:style>
  <w:style w:type="paragraph" w:styleId="2">
    <w:name w:val="Body Text"/>
    <w:basedOn w:val="1"/>
    <w:qFormat/>
    <w:uiPriority w:val="0"/>
    <w:pPr>
      <w:widowControl/>
      <w:spacing w:before="100" w:beforeAutospacing="1" w:after="100" w:afterAutospacing="1"/>
      <w:jc w:val="left"/>
    </w:pPr>
    <w:rPr>
      <w:rFonts w:ascii="宋体" w:hAnsi="宋体" w:cs="宋体"/>
      <w:kern w:val="0"/>
      <w:sz w:val="24"/>
    </w:rPr>
  </w:style>
  <w:style w:type="paragraph" w:styleId="3">
    <w:name w:val="Balloon Text"/>
    <w:basedOn w:val="1"/>
    <w:link w:val="11"/>
    <w:semiHidden/>
    <w:qFormat/>
    <w:uiPriority w:val="0"/>
    <w:rPr>
      <w:rFonts w:asciiTheme="minorHAnsi" w:hAnsiTheme="minorHAnsi" w:eastAsiaTheme="minorEastAsia" w:cstheme="minorBidi"/>
      <w:sz w:val="18"/>
      <w:szCs w:val="18"/>
    </w:rPr>
  </w:style>
  <w:style w:type="paragraph" w:styleId="4">
    <w:name w:val="footer"/>
    <w:basedOn w:val="1"/>
    <w:link w:val="10"/>
    <w:qFormat/>
    <w:uiPriority w:val="99"/>
    <w:pPr>
      <w:tabs>
        <w:tab w:val="center" w:pos="4153"/>
        <w:tab w:val="right" w:pos="8306"/>
      </w:tabs>
      <w:snapToGrid w:val="0"/>
      <w:jc w:val="left"/>
    </w:pPr>
    <w:rPr>
      <w:rFonts w:eastAsia="黑体" w:asciiTheme="minorHAnsi" w:hAnsiTheme="minorHAnsi" w:cstheme="minorBidi"/>
      <w:sz w:val="18"/>
      <w:szCs w:val="18"/>
    </w:rPr>
  </w:style>
  <w:style w:type="paragraph" w:styleId="5">
    <w:name w:val="header"/>
    <w:basedOn w:val="1"/>
    <w:link w:val="12"/>
    <w:qFormat/>
    <w:uiPriority w:val="0"/>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6">
    <w:name w:val="Body Text Indent 3"/>
    <w:basedOn w:val="1"/>
    <w:link w:val="9"/>
    <w:qFormat/>
    <w:uiPriority w:val="0"/>
    <w:pPr>
      <w:pBdr>
        <w:top w:val="single" w:color="auto" w:sz="12" w:space="1"/>
        <w:bottom w:val="single" w:color="auto" w:sz="12" w:space="1"/>
      </w:pBdr>
      <w:spacing w:line="600" w:lineRule="exact"/>
      <w:ind w:left="1280" w:hanging="1280" w:hangingChars="400"/>
    </w:pPr>
    <w:rPr>
      <w:rFonts w:eastAsia="仿宋_GB2312" w:asciiTheme="minorHAnsi" w:hAnsiTheme="minorHAnsi" w:cstheme="minorBidi"/>
      <w:sz w:val="32"/>
    </w:rPr>
  </w:style>
  <w:style w:type="character" w:customStyle="1" w:styleId="9">
    <w:name w:val="正文文本缩进 3 Char"/>
    <w:link w:val="6"/>
    <w:qFormat/>
    <w:uiPriority w:val="0"/>
    <w:rPr>
      <w:rFonts w:eastAsia="仿宋_GB2312"/>
      <w:sz w:val="32"/>
      <w:szCs w:val="24"/>
    </w:rPr>
  </w:style>
  <w:style w:type="character" w:customStyle="1" w:styleId="10">
    <w:name w:val="页脚 Char"/>
    <w:link w:val="4"/>
    <w:qFormat/>
    <w:uiPriority w:val="99"/>
    <w:rPr>
      <w:rFonts w:eastAsia="黑体"/>
      <w:sz w:val="18"/>
      <w:szCs w:val="18"/>
    </w:rPr>
  </w:style>
  <w:style w:type="character" w:customStyle="1" w:styleId="11">
    <w:name w:val="批注框文本 Char"/>
    <w:link w:val="3"/>
    <w:semiHidden/>
    <w:qFormat/>
    <w:uiPriority w:val="0"/>
    <w:rPr>
      <w:sz w:val="18"/>
      <w:szCs w:val="18"/>
    </w:rPr>
  </w:style>
  <w:style w:type="character" w:customStyle="1" w:styleId="12">
    <w:name w:val="页眉 Char"/>
    <w:link w:val="5"/>
    <w:qFormat/>
    <w:uiPriority w:val="0"/>
    <w:rPr>
      <w:sz w:val="18"/>
      <w:szCs w:val="18"/>
    </w:rPr>
  </w:style>
  <w:style w:type="character" w:customStyle="1" w:styleId="13">
    <w:name w:val="页眉 Char1"/>
    <w:basedOn w:val="7"/>
    <w:semiHidden/>
    <w:qFormat/>
    <w:uiPriority w:val="99"/>
    <w:rPr>
      <w:rFonts w:ascii="Times New Roman" w:hAnsi="Times New Roman" w:eastAsia="宋体" w:cs="Times New Roman"/>
      <w:sz w:val="18"/>
      <w:szCs w:val="18"/>
    </w:rPr>
  </w:style>
  <w:style w:type="character" w:customStyle="1" w:styleId="14">
    <w:name w:val="正文文本缩进 3 Char1"/>
    <w:basedOn w:val="7"/>
    <w:semiHidden/>
    <w:qFormat/>
    <w:uiPriority w:val="99"/>
    <w:rPr>
      <w:rFonts w:ascii="Times New Roman" w:hAnsi="Times New Roman" w:eastAsia="宋体" w:cs="Times New Roman"/>
      <w:sz w:val="16"/>
      <w:szCs w:val="16"/>
    </w:rPr>
  </w:style>
  <w:style w:type="character" w:customStyle="1" w:styleId="15">
    <w:name w:val="页脚 Char1"/>
    <w:basedOn w:val="7"/>
    <w:semiHidden/>
    <w:qFormat/>
    <w:uiPriority w:val="99"/>
    <w:rPr>
      <w:rFonts w:ascii="Times New Roman" w:hAnsi="Times New Roman" w:eastAsia="宋体" w:cs="Times New Roman"/>
      <w:sz w:val="18"/>
      <w:szCs w:val="18"/>
    </w:rPr>
  </w:style>
  <w:style w:type="character" w:customStyle="1" w:styleId="16">
    <w:name w:val="批注框文本 Char1"/>
    <w:basedOn w:val="7"/>
    <w:semiHidden/>
    <w:qFormat/>
    <w:uiPriority w:val="99"/>
    <w:rPr>
      <w:rFonts w:ascii="Times New Roman" w:hAnsi="Times New Roman" w:eastAsia="宋体" w:cs="Times New Roman"/>
      <w:sz w:val="18"/>
      <w:szCs w:val="18"/>
    </w:rPr>
  </w:style>
  <w:style w:type="paragraph" w:customStyle="1" w:styleId="17">
    <w:name w:val="正文首行缩进1"/>
    <w:basedOn w:val="2"/>
    <w:qFormat/>
    <w:uiPriority w:val="0"/>
    <w:pPr>
      <w:ind w:firstLine="200" w:firstLineChars="200"/>
    </w:p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Lenovo</Company>
  <Pages>23</Pages>
  <Words>6883</Words>
  <Characters>8291</Characters>
  <Lines>75</Lines>
  <Paragraphs>21</Paragraphs>
  <TotalTime>0</TotalTime>
  <ScaleCrop>false</ScaleCrop>
  <LinksUpToDate>false</LinksUpToDate>
  <CharactersWithSpaces>8926</CharactersWithSpaces>
  <Application>WPS Office_0.0.0.0_F1E327BC-269C-435d-A152-05C5408002CA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2021-02-07T10:26:00Z</dcterms:created>
  <dc:creator>闫超</dc:creator>
  <cp:lastModifiedBy>李晓驹的 iPad</cp:lastModifiedBy>
  <cp:lastPrinted>2021-02-07T21:18:00Z</cp:lastPrinted>
  <dcterms:modified xsi:type="dcterms:W3CDTF">2022-04-06T13:38:44Z</dcterms:modified>
  <cp:revision>24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2052-11.22.1</vt:lpwstr>
  </property>
  <property fmtid="{D5CDD505-2E9C-101B-9397-08002B2CF9AE}" pid="3" name="ICV">
    <vt:lpwstr>70C0DA1A0C7A4654B40747FF673CF9B5</vt:lpwstr>
  </property>
</Properties>
</file>