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昌吉州产品质量检验所2021年部门预算公开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昌吉州产品质量检验所概况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w:t>
      </w:r>
      <w:r>
        <w:rPr>
          <w:rFonts w:hint="eastAsia" w:ascii="仿宋_GB2312" w:hAnsi="宋体" w:eastAsia="仿宋_GB2312"/>
          <w:kern w:val="0"/>
          <w:sz w:val="32"/>
          <w:szCs w:val="32"/>
          <w:lang w:val="en-US" w:eastAsia="zh-CN"/>
        </w:rPr>
        <w:t>部门（单位）</w:t>
      </w:r>
      <w:r>
        <w:rPr>
          <w:rFonts w:hint="eastAsia" w:ascii="仿宋_GB2312" w:hAnsi="宋体" w:eastAsia="仿宋_GB2312"/>
          <w:kern w:val="0"/>
          <w:sz w:val="32"/>
          <w:szCs w:val="32"/>
        </w:rPr>
        <w:t>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一、关于昌吉州产品质量检验所2021年收支预算情况的总体说明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二、关于昌吉州产品质量检验所2021年收入预算情况说明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三、关于昌吉州产品质量检验所2021年支出预算情况说明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昌吉州产品质量检验所2021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五、关于昌吉州产品质量检验所2021年一般公共预算当年拨款情况说明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六、关于昌吉州产品质量检验所2021年一般公共预算基本支出情况说明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七、关于昌吉州产品质量检验所2021年一般公共预算项目支出情况说明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八、关于昌吉州产品质量检验所2021年一般公共预算“三公”经费预算情况说明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九、关于昌吉州产品质量检验所2021年政府性基金预算拨款情况说明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昌吉州产品质量检验所单位概况</w:t>
      </w:r>
    </w:p>
    <w:p>
      <w:pPr>
        <w:widowControl/>
        <w:spacing w:line="480" w:lineRule="exact"/>
        <w:jc w:val="center"/>
        <w:outlineLvl w:val="1"/>
        <w:rPr>
          <w:rFonts w:ascii="黑体" w:hAnsi="黑体" w:eastAsia="黑体"/>
          <w:kern w:val="0"/>
          <w:sz w:val="32"/>
          <w:szCs w:val="32"/>
        </w:rPr>
      </w:pP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540" w:lineRule="exact"/>
        <w:ind w:firstLine="624" w:firstLineChars="200"/>
        <w:rPr>
          <w:rFonts w:ascii="仿宋_GB2312" w:hAnsi="宋体" w:eastAsia="仿宋_GB2312" w:cs="宋体"/>
          <w:bCs/>
          <w:kern w:val="0"/>
          <w:sz w:val="32"/>
          <w:szCs w:val="32"/>
        </w:rPr>
      </w:pPr>
      <w:r>
        <w:rPr>
          <w:rStyle w:val="11"/>
          <w:rFonts w:hint="eastAsia" w:ascii="仿宋" w:hAnsi="仿宋" w:eastAsia="仿宋" w:cs="仿宋"/>
          <w:b w:val="0"/>
          <w:bCs w:val="0"/>
          <w:spacing w:val="-4"/>
          <w:sz w:val="32"/>
          <w:szCs w:val="32"/>
        </w:rPr>
        <w:t>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w:t>
      </w:r>
    </w:p>
    <w:p>
      <w:pPr>
        <w:widowControl/>
        <w:spacing w:line="48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48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昌吉州产品质量检验所</w:t>
      </w:r>
      <w:r>
        <w:rPr>
          <w:rFonts w:hint="eastAsia" w:ascii="仿宋_GB2312" w:hAnsi="黑体" w:eastAsia="仿宋_GB2312" w:cs="宋体"/>
          <w:bCs/>
          <w:kern w:val="0"/>
          <w:sz w:val="32"/>
          <w:szCs w:val="32"/>
        </w:rPr>
        <w:t>无下属预算单位，下设6个处室，分别是：</w:t>
      </w:r>
      <w:r>
        <w:rPr>
          <w:rStyle w:val="11"/>
          <w:rFonts w:hint="eastAsia" w:ascii="仿宋" w:hAnsi="仿宋" w:eastAsia="仿宋"/>
          <w:b w:val="0"/>
          <w:spacing w:val="-4"/>
          <w:sz w:val="32"/>
          <w:szCs w:val="32"/>
        </w:rPr>
        <w:t>行政办公室，总工办，业务办公室，轻工机电部，化工建材部，市场开发部</w:t>
      </w:r>
      <w:r>
        <w:rPr>
          <w:rFonts w:hint="eastAsia" w:ascii="仿宋_GB2312" w:hAnsi="宋体" w:eastAsia="仿宋_GB2312" w:cs="宋体"/>
          <w:kern w:val="0"/>
          <w:sz w:val="32"/>
          <w:szCs w:val="32"/>
        </w:rPr>
        <w:t>。</w:t>
      </w:r>
    </w:p>
    <w:p>
      <w:pPr>
        <w:widowControl/>
        <w:spacing w:line="4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昌吉州产品质量检验所编制数57，实有人数82人，其中：在职54人，增加6人； 退休28人，增加1人；离休0人，增加0人。</w:t>
      </w: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昌吉州产品质量检验所                      单位：万元</w:t>
      </w:r>
    </w:p>
    <w:tbl>
      <w:tblPr>
        <w:tblStyle w:val="9"/>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noWrap/>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915.03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764.84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915.03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287" w:hRule="exact"/>
        </w:trPr>
        <w:tc>
          <w:tcPr>
            <w:tcW w:w="2425"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70.11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80.08</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r>
              <w:rPr>
                <w:rFonts w:hint="eastAsia" w:ascii="仿宋_GB2312" w:hAnsi="宋体" w:eastAsia="仿宋_GB2312" w:cs="宋体"/>
                <w:color w:val="FF0000"/>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noWrap/>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noWrap/>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noWrap/>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915.03</w:t>
            </w:r>
          </w:p>
        </w:tc>
        <w:tc>
          <w:tcPr>
            <w:tcW w:w="3260" w:type="dxa"/>
            <w:tcBorders>
              <w:top w:val="nil"/>
              <w:left w:val="nil"/>
              <w:bottom w:val="single" w:color="auto" w:sz="4" w:space="0"/>
              <w:right w:val="nil"/>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noWrap/>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915.03</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编制部门（单位）：昌吉州产品质量检验所                          单位：万元</w:t>
      </w:r>
    </w:p>
    <w:tbl>
      <w:tblPr>
        <w:tblStyle w:val="9"/>
        <w:tblW w:w="9741" w:type="dxa"/>
        <w:tblInd w:w="-450" w:type="dxa"/>
        <w:tblLayout w:type="fixed"/>
        <w:tblCellMar>
          <w:top w:w="0" w:type="dxa"/>
          <w:left w:w="108" w:type="dxa"/>
          <w:bottom w:w="0" w:type="dxa"/>
          <w:right w:w="108" w:type="dxa"/>
        </w:tblCellMar>
      </w:tblPr>
      <w:tblGrid>
        <w:gridCol w:w="558"/>
        <w:gridCol w:w="426"/>
        <w:gridCol w:w="567"/>
        <w:gridCol w:w="1845"/>
        <w:gridCol w:w="1018"/>
        <w:gridCol w:w="850"/>
        <w:gridCol w:w="709"/>
        <w:gridCol w:w="795"/>
        <w:gridCol w:w="921"/>
        <w:gridCol w:w="660"/>
        <w:gridCol w:w="708"/>
        <w:gridCol w:w="684"/>
      </w:tblGrid>
      <w:tr>
        <w:tblPrEx>
          <w:tblLayout w:type="fixed"/>
          <w:tblCellMar>
            <w:top w:w="0" w:type="dxa"/>
            <w:left w:w="108" w:type="dxa"/>
            <w:bottom w:w="0" w:type="dxa"/>
            <w:right w:w="108" w:type="dxa"/>
          </w:tblCellMar>
        </w:tblPrEx>
        <w:trPr>
          <w:trHeight w:val="510" w:hRule="atLeast"/>
        </w:trPr>
        <w:tc>
          <w:tcPr>
            <w:tcW w:w="155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4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1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0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870"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4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1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0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w:t>
            </w:r>
          </w:p>
        </w:tc>
        <w:tc>
          <w:tcPr>
            <w:tcW w:w="426"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p>
        </w:tc>
        <w:tc>
          <w:tcPr>
            <w:tcW w:w="1845" w:type="dxa"/>
            <w:tcBorders>
              <w:top w:val="nil"/>
              <w:left w:val="nil"/>
              <w:bottom w:val="single" w:color="auto" w:sz="4" w:space="0"/>
              <w:right w:val="single" w:color="auto" w:sz="4" w:space="0"/>
            </w:tcBorders>
            <w:shd w:val="clear" w:color="auto" w:fill="auto"/>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一般公共服务支出</w:t>
            </w:r>
          </w:p>
        </w:tc>
        <w:tc>
          <w:tcPr>
            <w:tcW w:w="1018"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w:t>
            </w:r>
            <w:r>
              <w:rPr>
                <w:rFonts w:hint="eastAsia" w:ascii="仿宋_GB2312" w:hAnsi="宋体" w:eastAsia="仿宋_GB2312" w:cs="宋体"/>
                <w:kern w:val="0"/>
                <w:sz w:val="18"/>
                <w:szCs w:val="18"/>
              </w:rPr>
              <w:t>.84</w:t>
            </w:r>
          </w:p>
        </w:tc>
        <w:tc>
          <w:tcPr>
            <w:tcW w:w="850"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w:t>
            </w:r>
            <w:r>
              <w:rPr>
                <w:rFonts w:hint="eastAsia" w:ascii="仿宋_GB2312" w:hAnsi="宋体" w:eastAsia="仿宋_GB2312" w:cs="宋体"/>
                <w:kern w:val="0"/>
                <w:sz w:val="18"/>
                <w:szCs w:val="18"/>
              </w:rPr>
              <w:t>.84</w:t>
            </w:r>
          </w:p>
        </w:tc>
        <w:tc>
          <w:tcPr>
            <w:tcW w:w="709" w:type="dxa"/>
            <w:tcBorders>
              <w:top w:val="nil"/>
              <w:left w:val="nil"/>
              <w:bottom w:val="single" w:color="auto" w:sz="4" w:space="0"/>
              <w:right w:val="single" w:color="auto" w:sz="4" w:space="0"/>
            </w:tcBorders>
            <w:shd w:val="clear" w:color="000000" w:fill="FFFFFF"/>
            <w:noWrap/>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shd w:val="clear" w:color="000000" w:fill="FFFFFF"/>
            <w:noWrap/>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201</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38</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市场监督管理事务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764.84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764.84</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201</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38</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50</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事业运行</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644.84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644.84</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201</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38</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99</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其他市场监督管理事务</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120</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120</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社会保障和就业支出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行政事业单位养老支出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208</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05</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机关事业单位基本养老保险缴费支出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70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卫生健康支出</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80.08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80.08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行政事业单位医疗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80.08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80.08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210</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02</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事业单位医疗</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59.08</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59.08</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03</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公务员医疗补助</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18.96</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18.96</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210</w:t>
            </w:r>
          </w:p>
        </w:tc>
        <w:tc>
          <w:tcPr>
            <w:tcW w:w="426"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11</w:t>
            </w:r>
          </w:p>
        </w:tc>
        <w:tc>
          <w:tcPr>
            <w:tcW w:w="56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sz w:val="18"/>
                <w:szCs w:val="18"/>
              </w:rPr>
            </w:pPr>
            <w:r>
              <w:rPr>
                <w:rFonts w:hint="eastAsia" w:ascii="仿宋_GB2312" w:hAnsi="宋体" w:eastAsia="仿宋_GB2312" w:cs="宋体"/>
                <w:kern w:val="0"/>
                <w:sz w:val="18"/>
                <w:szCs w:val="18"/>
              </w:rPr>
              <w:t>99</w:t>
            </w:r>
          </w:p>
        </w:tc>
        <w:tc>
          <w:tcPr>
            <w:tcW w:w="184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其他行政事业单位社保缴费</w:t>
            </w:r>
          </w:p>
        </w:tc>
        <w:tc>
          <w:tcPr>
            <w:tcW w:w="10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2.04</w:t>
            </w:r>
          </w:p>
        </w:tc>
        <w:tc>
          <w:tcPr>
            <w:tcW w:w="85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kern w:val="0"/>
                <w:sz w:val="18"/>
                <w:szCs w:val="18"/>
              </w:rPr>
              <w:t>2.04</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65" w:hRule="atLeast"/>
        </w:trPr>
        <w:tc>
          <w:tcPr>
            <w:tcW w:w="55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6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4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1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915.03</w:t>
            </w:r>
          </w:p>
        </w:tc>
        <w:tc>
          <w:tcPr>
            <w:tcW w:w="85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915.03</w:t>
            </w:r>
          </w:p>
        </w:tc>
        <w:tc>
          <w:tcPr>
            <w:tcW w:w="7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5"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0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编制部门（单位）：昌吉州产品质量检验所                           单位：万元</w:t>
      </w:r>
    </w:p>
    <w:tbl>
      <w:tblPr>
        <w:tblStyle w:val="9"/>
        <w:tblW w:w="9420" w:type="dxa"/>
        <w:tblInd w:w="-240" w:type="dxa"/>
        <w:tblLayout w:type="fixed"/>
        <w:tblCellMar>
          <w:top w:w="0" w:type="dxa"/>
          <w:left w:w="108" w:type="dxa"/>
          <w:bottom w:w="0" w:type="dxa"/>
          <w:right w:w="108" w:type="dxa"/>
        </w:tblCellMar>
      </w:tblPr>
      <w:tblGrid>
        <w:gridCol w:w="472"/>
        <w:gridCol w:w="329"/>
        <w:gridCol w:w="400"/>
        <w:gridCol w:w="2604"/>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rPr>
              <w:t>2</w:t>
            </w:r>
            <w:r>
              <w:rPr>
                <w:rFonts w:hint="eastAsia" w:ascii="仿宋_GB2312" w:hAnsi="宋体" w:eastAsia="仿宋_GB2312" w:cs="宋体"/>
                <w:kern w:val="0"/>
                <w:sz w:val="16"/>
                <w:szCs w:val="16"/>
                <w:lang w:val="en-US" w:eastAsia="zh-CN"/>
              </w:rPr>
              <w:t>0</w:t>
            </w:r>
            <w:r>
              <w:rPr>
                <w:rFonts w:hint="eastAsia" w:ascii="仿宋_GB2312" w:hAnsi="宋体" w:eastAsia="仿宋_GB2312" w:cs="宋体"/>
                <w:kern w:val="0"/>
                <w:sz w:val="16"/>
                <w:szCs w:val="16"/>
              </w:rPr>
              <w:t>1</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一般公共服务支出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w:t>
            </w:r>
            <w:r>
              <w:rPr>
                <w:rFonts w:hint="eastAsia" w:ascii="仿宋_GB2312" w:hAnsi="宋体" w:eastAsia="仿宋_GB2312" w:cs="宋体"/>
                <w:kern w:val="0"/>
                <w:sz w:val="18"/>
                <w:szCs w:val="18"/>
              </w:rPr>
              <w:t>.84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764.84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lang w:val="en-US" w:eastAsia="zh-CN"/>
              </w:rPr>
              <w:t>201</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764.84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764.84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lang w:val="en-US" w:eastAsia="zh-CN"/>
              </w:rPr>
              <w:t>201</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50</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事业运行</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644.84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644.84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lang w:val="en-US" w:eastAsia="zh-CN"/>
              </w:rPr>
              <w:t>201</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99</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其他市场监督管理事务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120</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120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rPr>
              <w:t>208</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社会保障和就业支出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lang w:val="en-US" w:eastAsia="zh-CN"/>
              </w:rPr>
              <w:t>208</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行政事业单位养老支出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6"/>
                <w:szCs w:val="16"/>
              </w:rPr>
            </w:pPr>
            <w:r>
              <w:rPr>
                <w:rFonts w:hint="eastAsia" w:ascii="仿宋_GB2312" w:hAnsi="宋体" w:eastAsia="仿宋_GB2312" w:cs="宋体"/>
                <w:kern w:val="0"/>
                <w:sz w:val="16"/>
                <w:szCs w:val="16"/>
                <w:lang w:val="en-US" w:eastAsia="zh-CN"/>
              </w:rPr>
              <w:t>208</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机关事业单位基本养老保险缴费支出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70.11</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6"/>
                <w:szCs w:val="16"/>
              </w:rPr>
            </w:pPr>
            <w:r>
              <w:rPr>
                <w:rFonts w:hint="eastAsia" w:ascii="仿宋_GB2312" w:hAnsi="宋体" w:eastAsia="仿宋_GB2312" w:cs="宋体"/>
                <w:kern w:val="0"/>
                <w:sz w:val="16"/>
                <w:szCs w:val="16"/>
              </w:rPr>
              <w:t>210</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卫生健康支出</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80.08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80.08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6"/>
                <w:szCs w:val="16"/>
              </w:rPr>
            </w:pPr>
            <w:r>
              <w:rPr>
                <w:rFonts w:hint="eastAsia" w:ascii="仿宋_GB2312" w:hAnsi="宋体" w:eastAsia="仿宋_GB2312" w:cs="宋体"/>
                <w:color w:val="000000"/>
                <w:sz w:val="16"/>
                <w:szCs w:val="16"/>
                <w:lang w:val="en-US" w:eastAsia="zh-CN"/>
              </w:rPr>
              <w:t>210</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行政事业单位医疗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80.08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80.08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6"/>
                <w:szCs w:val="16"/>
              </w:rPr>
            </w:pPr>
            <w:r>
              <w:rPr>
                <w:rFonts w:hint="eastAsia" w:ascii="仿宋_GB2312" w:hAnsi="宋体" w:eastAsia="仿宋_GB2312" w:cs="宋体"/>
                <w:color w:val="000000"/>
                <w:sz w:val="16"/>
                <w:szCs w:val="16"/>
                <w:lang w:val="en-US" w:eastAsia="zh-CN"/>
              </w:rPr>
              <w:t>210</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02</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事业单位医疗</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59.08</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59.08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6"/>
                <w:szCs w:val="16"/>
              </w:rPr>
            </w:pPr>
            <w:r>
              <w:rPr>
                <w:rFonts w:hint="eastAsia" w:ascii="仿宋_GB2312" w:hAnsi="宋体" w:eastAsia="仿宋_GB2312" w:cs="宋体"/>
                <w:kern w:val="0"/>
                <w:sz w:val="16"/>
                <w:szCs w:val="16"/>
              </w:rPr>
              <w:t>210</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03</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公务员医疗补助</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18.96</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18.96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6"/>
                <w:szCs w:val="16"/>
              </w:rPr>
            </w:pPr>
            <w:r>
              <w:rPr>
                <w:rFonts w:hint="eastAsia" w:ascii="仿宋_GB2312" w:hAnsi="宋体" w:eastAsia="仿宋_GB2312" w:cs="宋体"/>
                <w:kern w:val="0"/>
                <w:sz w:val="16"/>
                <w:szCs w:val="16"/>
              </w:rPr>
              <w:t>210</w:t>
            </w:r>
          </w:p>
        </w:tc>
        <w:tc>
          <w:tcPr>
            <w:tcW w:w="329"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11</w:t>
            </w:r>
          </w:p>
        </w:tc>
        <w:tc>
          <w:tcPr>
            <w:tcW w:w="40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99</w:t>
            </w: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其他行政事业单位社保缴费</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kern w:val="0"/>
                <w:sz w:val="18"/>
                <w:szCs w:val="18"/>
              </w:rPr>
              <w:t>2.04</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2.04</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val="0"/>
                <w:bCs w:val="0"/>
                <w:color w:val="000000"/>
                <w:kern w:val="0"/>
                <w:sz w:val="18"/>
                <w:szCs w:val="18"/>
                <w:lang w:val="en-US" w:eastAsia="zh-CN"/>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32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472"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329"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6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915.03</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795.03</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120</w:t>
            </w:r>
          </w:p>
        </w:tc>
      </w:tr>
    </w:tbl>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 xml:space="preserve">产品质量检验所   </w:t>
      </w:r>
      <w:r>
        <w:rPr>
          <w:rFonts w:hint="eastAsia" w:ascii="仿宋_GB2312" w:hAnsi="宋体" w:eastAsia="仿宋_GB2312"/>
          <w:kern w:val="0"/>
          <w:szCs w:val="21"/>
        </w:rPr>
        <w:t xml:space="preserve">                              单位：万元</w:t>
      </w:r>
    </w:p>
    <w:tbl>
      <w:tblPr>
        <w:tblStyle w:val="9"/>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noWrap/>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915.03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764.84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764.84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915.03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70.11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70.11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80.08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80.08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FF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noWrap/>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noWrap/>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915.03</w:t>
            </w:r>
          </w:p>
        </w:tc>
        <w:tc>
          <w:tcPr>
            <w:tcW w:w="2388"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915.03</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915.03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9"/>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 xml:space="preserve">产品质量检验所   </w:t>
            </w:r>
          </w:p>
        </w:tc>
        <w:tc>
          <w:tcPr>
            <w:tcW w:w="660"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noWrap/>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rPr>
              <w:t>2</w:t>
            </w:r>
            <w:r>
              <w:rPr>
                <w:rFonts w:hint="eastAsia" w:ascii="仿宋_GB2312" w:hAnsi="宋体" w:eastAsia="仿宋_GB2312" w:cs="宋体"/>
                <w:kern w:val="0"/>
                <w:sz w:val="16"/>
                <w:szCs w:val="16"/>
                <w:lang w:val="en-US" w:eastAsia="zh-CN"/>
              </w:rPr>
              <w:t>0</w:t>
            </w:r>
            <w:r>
              <w:rPr>
                <w:rFonts w:hint="eastAsia" w:ascii="仿宋_GB2312" w:hAnsi="宋体" w:eastAsia="仿宋_GB2312" w:cs="宋体"/>
                <w:kern w:val="0"/>
                <w:sz w:val="16"/>
                <w:szCs w:val="16"/>
              </w:rPr>
              <w:t>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一般公共服务支出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w:t>
            </w:r>
            <w:r>
              <w:rPr>
                <w:rFonts w:hint="eastAsia" w:ascii="仿宋_GB2312" w:hAnsi="宋体" w:eastAsia="仿宋_GB2312" w:cs="宋体"/>
                <w:kern w:val="0"/>
                <w:sz w:val="18"/>
                <w:szCs w:val="18"/>
              </w:rPr>
              <w:t>.84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市场监督管理事务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764.84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764.84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50</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事业运行</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644.84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644.84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lang w:val="en-US" w:eastAsia="zh-CN"/>
              </w:rPr>
              <w:t>201</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38</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其他市场监督管理事务</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120</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120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社会保障和就业支出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行政事业单位养老支出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6"/>
                <w:szCs w:val="16"/>
                <w:lang w:val="en-US" w:eastAsia="zh-CN"/>
              </w:rPr>
              <w:t>208</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05</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70.11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卫生健康支出</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80.08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80.08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6"/>
                <w:szCs w:val="16"/>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行政事业单位医疗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80.08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80.08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6"/>
                <w:szCs w:val="16"/>
                <w:lang w:val="en-US" w:eastAsia="zh-CN"/>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02</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事业单位医疗</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59.08</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59.08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03</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18.96</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18.96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6"/>
                <w:szCs w:val="16"/>
              </w:rPr>
              <w:t>210</w:t>
            </w:r>
          </w:p>
        </w:tc>
        <w:tc>
          <w:tcPr>
            <w:tcW w:w="492"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11</w:t>
            </w:r>
          </w:p>
        </w:tc>
        <w:tc>
          <w:tcPr>
            <w:tcW w:w="417"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99</w:t>
            </w:r>
          </w:p>
        </w:tc>
        <w:tc>
          <w:tcPr>
            <w:tcW w:w="251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其他行政事业单位社保缴费</w:t>
            </w:r>
          </w:p>
        </w:tc>
        <w:tc>
          <w:tcPr>
            <w:tcW w:w="1684"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kern w:val="0"/>
                <w:sz w:val="18"/>
                <w:szCs w:val="18"/>
              </w:rPr>
              <w:t>2.04</w:t>
            </w:r>
          </w:p>
        </w:tc>
        <w:tc>
          <w:tcPr>
            <w:tcW w:w="1842"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2.04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val="0"/>
                <w:bCs w:val="0"/>
                <w:color w:val="000000"/>
                <w:kern w:val="0"/>
                <w:sz w:val="18"/>
                <w:szCs w:val="18"/>
                <w:lang w:val="en-US" w:eastAsia="zh-CN"/>
              </w:rPr>
              <w:t>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915.03</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795.03</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120</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9"/>
        <w:tblW w:w="9328" w:type="dxa"/>
        <w:tblInd w:w="-148" w:type="dxa"/>
        <w:tblLayout w:type="fixed"/>
        <w:tblCellMar>
          <w:top w:w="0" w:type="dxa"/>
          <w:left w:w="108" w:type="dxa"/>
          <w:bottom w:w="0" w:type="dxa"/>
          <w:right w:w="108" w:type="dxa"/>
        </w:tblCellMar>
      </w:tblPr>
      <w:tblGrid>
        <w:gridCol w:w="757"/>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328" w:type="dxa"/>
            <w:gridSpan w:val="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225"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 xml:space="preserve">产品质量检验所   </w:t>
            </w:r>
          </w:p>
        </w:tc>
        <w:tc>
          <w:tcPr>
            <w:tcW w:w="995" w:type="dxa"/>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90" w:hRule="atLeast"/>
        </w:trPr>
        <w:tc>
          <w:tcPr>
            <w:tcW w:w="4225"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334"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工资福利支出</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715.76</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715.76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基本工资</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272.72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272.72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津贴补贴</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奖金</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18.85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18.85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伙食补助费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69.3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69.3</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绩效工资</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146.62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146.62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08</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机关事业单位基本医疗</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70.11</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职工基本医疗保险缴费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59.08</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59.08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公务员医疗补助缴费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18.96</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18.96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其他社会保障缴费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2.04</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301</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13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住房公积金</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52.58</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52.58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商品和服务支出</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73.63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73.63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办公费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02</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印刷费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咨询费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05</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水费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电费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邮电费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物业管理费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差旅费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13</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维修（护）费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公务接待费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0.35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18</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专用材料费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26</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劳务费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27</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委托业务费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工会经费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5.45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福利费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12.55</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12.55</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31</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公务用车运行维护费</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0.93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0.93</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其他交通费用</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0.42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0.42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302</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其他</w:t>
            </w:r>
            <w:r>
              <w:rPr>
                <w:rFonts w:hint="eastAsia" w:ascii="仿宋_GB2312" w:hAnsi="宋体" w:eastAsia="仿宋_GB2312" w:cs="宋体"/>
                <w:kern w:val="0"/>
                <w:sz w:val="18"/>
                <w:szCs w:val="18"/>
              </w:rPr>
              <w:t>商品和服务支出</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9.72</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9.72</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303</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对个人和家庭的补助</w:t>
            </w:r>
            <w:bookmarkStart w:id="0" w:name="_GoBack"/>
            <w:bookmarkEnd w:id="0"/>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5.64</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5.64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303</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09</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奖励金</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2.84</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303</w:t>
            </w: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14</w:t>
            </w: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对个人和家庭的补助</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0</w:t>
            </w: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57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89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02" w:hRule="atLeast"/>
        </w:trPr>
        <w:tc>
          <w:tcPr>
            <w:tcW w:w="757"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5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p>
        </w:tc>
        <w:tc>
          <w:tcPr>
            <w:tcW w:w="289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b/>
                <w:bCs/>
                <w:color w:val="000000"/>
                <w:kern w:val="0"/>
                <w:szCs w:val="21"/>
              </w:rPr>
              <w:t>合  计</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795.03</w:t>
            </w:r>
          </w:p>
        </w:tc>
        <w:tc>
          <w:tcPr>
            <w:tcW w:w="1701" w:type="dxa"/>
            <w:gridSpan w:val="2"/>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721.4</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73.63</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9"/>
        <w:tblW w:w="9540" w:type="dxa"/>
        <w:tblInd w:w="-360" w:type="dxa"/>
        <w:tblLayout w:type="fixed"/>
        <w:tblCellMar>
          <w:top w:w="0" w:type="dxa"/>
          <w:left w:w="108" w:type="dxa"/>
          <w:bottom w:w="0" w:type="dxa"/>
          <w:right w:w="108" w:type="dxa"/>
        </w:tblCellMar>
      </w:tblPr>
      <w:tblGrid>
        <w:gridCol w:w="8"/>
        <w:gridCol w:w="407"/>
        <w:gridCol w:w="379"/>
        <w:gridCol w:w="397"/>
        <w:gridCol w:w="851"/>
        <w:gridCol w:w="1456"/>
        <w:gridCol w:w="750"/>
        <w:gridCol w:w="110"/>
        <w:gridCol w:w="459"/>
        <w:gridCol w:w="536"/>
        <w:gridCol w:w="652"/>
        <w:gridCol w:w="652"/>
        <w:gridCol w:w="378"/>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8"/>
            <w:tcBorders>
              <w:top w:val="nil"/>
              <w:left w:val="nil"/>
              <w:bottom w:val="nil"/>
              <w:right w:val="nil"/>
            </w:tcBorders>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350" w:type="dxa"/>
            <w:gridSpan w:val="7"/>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编制部门（单位）：昌吉州产品质量检验所</w:t>
            </w:r>
          </w:p>
        </w:tc>
        <w:tc>
          <w:tcPr>
            <w:tcW w:w="995" w:type="dxa"/>
            <w:gridSpan w:val="2"/>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415" w:type="dxa"/>
            <w:gridSpan w:val="2"/>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79"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both"/>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p>
        </w:tc>
        <w:tc>
          <w:tcPr>
            <w:tcW w:w="397" w:type="dxa"/>
            <w:vAlign w:val="top"/>
          </w:tcPr>
          <w:p>
            <w:pPr>
              <w:widowControl/>
              <w:jc w:val="center"/>
              <w:outlineLvl w:val="1"/>
              <w:rPr>
                <w:rFonts w:ascii="仿宋_GB2312" w:hAnsi="宋体" w:eastAsia="仿宋_GB2312"/>
                <w:kern w:val="0"/>
                <w:sz w:val="18"/>
                <w:szCs w:val="18"/>
              </w:rPr>
            </w:pP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一般公共服务支出</w:t>
            </w:r>
          </w:p>
        </w:tc>
        <w:tc>
          <w:tcPr>
            <w:tcW w:w="1456" w:type="dxa"/>
            <w:vAlign w:val="top"/>
          </w:tcPr>
          <w:p>
            <w:pPr>
              <w:widowControl/>
              <w:jc w:val="both"/>
              <w:outlineLvl w:val="1"/>
              <w:rPr>
                <w:rFonts w:ascii="仿宋_GB2312" w:hAnsi="宋体" w:eastAsia="仿宋_GB2312"/>
                <w:kern w:val="0"/>
                <w:sz w:val="18"/>
                <w:szCs w:val="18"/>
              </w:rPr>
            </w:pPr>
          </w:p>
        </w:tc>
        <w:tc>
          <w:tcPr>
            <w:tcW w:w="750" w:type="dxa"/>
            <w:vAlign w:val="top"/>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both"/>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38</w:t>
            </w:r>
          </w:p>
        </w:tc>
        <w:tc>
          <w:tcPr>
            <w:tcW w:w="397" w:type="dxa"/>
            <w:vAlign w:val="top"/>
          </w:tcPr>
          <w:p>
            <w:pPr>
              <w:widowControl/>
              <w:jc w:val="center"/>
              <w:outlineLvl w:val="1"/>
              <w:rPr>
                <w:rFonts w:ascii="仿宋_GB2312" w:hAnsi="宋体" w:eastAsia="仿宋_GB2312"/>
                <w:kern w:val="0"/>
                <w:sz w:val="18"/>
                <w:szCs w:val="18"/>
              </w:rPr>
            </w:pP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市场监督管理事务</w:t>
            </w:r>
          </w:p>
        </w:tc>
        <w:tc>
          <w:tcPr>
            <w:tcW w:w="1456" w:type="dxa"/>
            <w:vAlign w:val="top"/>
          </w:tcPr>
          <w:p>
            <w:pPr>
              <w:widowControl/>
              <w:jc w:val="both"/>
              <w:outlineLvl w:val="1"/>
              <w:rPr>
                <w:rFonts w:ascii="仿宋_GB2312" w:hAnsi="宋体" w:eastAsia="仿宋_GB2312"/>
                <w:kern w:val="0"/>
                <w:sz w:val="18"/>
                <w:szCs w:val="18"/>
              </w:rPr>
            </w:pPr>
          </w:p>
        </w:tc>
        <w:tc>
          <w:tcPr>
            <w:tcW w:w="750" w:type="dxa"/>
            <w:vAlign w:val="top"/>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both"/>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38</w:t>
            </w:r>
          </w:p>
        </w:tc>
        <w:tc>
          <w:tcPr>
            <w:tcW w:w="397"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99</w:t>
            </w: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其他市场监督管理事务</w:t>
            </w:r>
          </w:p>
        </w:tc>
        <w:tc>
          <w:tcPr>
            <w:tcW w:w="1456" w:type="dxa"/>
            <w:vAlign w:val="top"/>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州质检所产品质量检验业务补助经费</w:t>
            </w:r>
          </w:p>
        </w:tc>
        <w:tc>
          <w:tcPr>
            <w:tcW w:w="750" w:type="dxa"/>
            <w:vAlign w:val="top"/>
          </w:tcPr>
          <w:p>
            <w:pPr>
              <w:widowControl/>
              <w:jc w:val="center"/>
              <w:outlineLvl w:val="1"/>
              <w:rPr>
                <w:rFonts w:hint="eastAsia" w:ascii="仿宋_GB2312" w:hAnsi="宋体" w:eastAsia="仿宋_GB2312"/>
                <w:kern w:val="0"/>
                <w:sz w:val="18"/>
                <w:szCs w:val="18"/>
                <w:lang w:val="en-US" w:eastAsia="zh-CN"/>
              </w:rPr>
            </w:pPr>
          </w:p>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90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both"/>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p>
        </w:tc>
        <w:tc>
          <w:tcPr>
            <w:tcW w:w="397" w:type="dxa"/>
            <w:vAlign w:val="top"/>
          </w:tcPr>
          <w:p>
            <w:pPr>
              <w:widowControl/>
              <w:jc w:val="center"/>
              <w:outlineLvl w:val="1"/>
              <w:rPr>
                <w:rFonts w:ascii="仿宋_GB2312" w:hAnsi="宋体" w:eastAsia="仿宋_GB2312"/>
                <w:kern w:val="0"/>
                <w:sz w:val="18"/>
                <w:szCs w:val="18"/>
              </w:rPr>
            </w:pP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一般公共服务支出</w:t>
            </w:r>
          </w:p>
        </w:tc>
        <w:tc>
          <w:tcPr>
            <w:tcW w:w="1456" w:type="dxa"/>
            <w:vAlign w:val="top"/>
          </w:tcPr>
          <w:p>
            <w:pPr>
              <w:widowControl/>
              <w:jc w:val="center"/>
              <w:outlineLvl w:val="1"/>
              <w:rPr>
                <w:rFonts w:ascii="仿宋_GB2312" w:hAnsi="宋体" w:eastAsia="仿宋_GB2312"/>
                <w:kern w:val="0"/>
                <w:sz w:val="18"/>
                <w:szCs w:val="18"/>
              </w:rPr>
            </w:pPr>
          </w:p>
        </w:tc>
        <w:tc>
          <w:tcPr>
            <w:tcW w:w="750" w:type="dxa"/>
            <w:vAlign w:val="top"/>
          </w:tcPr>
          <w:p>
            <w:pPr>
              <w:widowControl/>
              <w:jc w:val="right"/>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38</w:t>
            </w:r>
          </w:p>
        </w:tc>
        <w:tc>
          <w:tcPr>
            <w:tcW w:w="397" w:type="dxa"/>
            <w:vAlign w:val="top"/>
          </w:tcPr>
          <w:p>
            <w:pPr>
              <w:widowControl/>
              <w:jc w:val="center"/>
              <w:outlineLvl w:val="1"/>
              <w:rPr>
                <w:rFonts w:ascii="仿宋_GB2312" w:hAnsi="宋体" w:eastAsia="仿宋_GB2312"/>
                <w:kern w:val="0"/>
                <w:sz w:val="18"/>
                <w:szCs w:val="18"/>
              </w:rPr>
            </w:pP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市场监督管理事务</w:t>
            </w:r>
          </w:p>
        </w:tc>
        <w:tc>
          <w:tcPr>
            <w:tcW w:w="1456" w:type="dxa"/>
            <w:vAlign w:val="top"/>
          </w:tcPr>
          <w:p>
            <w:pPr>
              <w:widowControl/>
              <w:jc w:val="center"/>
              <w:outlineLvl w:val="1"/>
              <w:rPr>
                <w:rFonts w:ascii="仿宋_GB2312" w:hAnsi="宋体" w:eastAsia="仿宋_GB2312"/>
                <w:kern w:val="0"/>
                <w:sz w:val="18"/>
                <w:szCs w:val="18"/>
              </w:rPr>
            </w:pPr>
          </w:p>
        </w:tc>
        <w:tc>
          <w:tcPr>
            <w:tcW w:w="750" w:type="dxa"/>
            <w:vAlign w:val="top"/>
          </w:tcPr>
          <w:p>
            <w:pPr>
              <w:widowControl/>
              <w:jc w:val="right"/>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201</w:t>
            </w:r>
          </w:p>
        </w:tc>
        <w:tc>
          <w:tcPr>
            <w:tcW w:w="379"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38</w:t>
            </w:r>
          </w:p>
        </w:tc>
        <w:tc>
          <w:tcPr>
            <w:tcW w:w="397"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99</w:t>
            </w:r>
          </w:p>
        </w:tc>
        <w:tc>
          <w:tcPr>
            <w:tcW w:w="851" w:type="dxa"/>
            <w:vAlign w:val="top"/>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6"/>
                <w:szCs w:val="16"/>
                <w:lang w:val="en-US" w:eastAsia="zh-CN"/>
              </w:rPr>
              <w:t>其他市场监督管理事务</w:t>
            </w:r>
          </w:p>
        </w:tc>
        <w:tc>
          <w:tcPr>
            <w:tcW w:w="1456" w:type="dxa"/>
            <w:vAlign w:val="top"/>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州质检所检验检测专用设备购置费</w:t>
            </w:r>
          </w:p>
        </w:tc>
        <w:tc>
          <w:tcPr>
            <w:tcW w:w="750" w:type="dxa"/>
            <w:vAlign w:val="top"/>
          </w:tcPr>
          <w:p>
            <w:pPr>
              <w:widowControl/>
              <w:jc w:val="right"/>
              <w:outlineLvl w:val="1"/>
              <w:rPr>
                <w:rFonts w:hint="eastAsia" w:ascii="仿宋_GB2312" w:hAnsi="宋体" w:eastAsia="仿宋_GB2312"/>
                <w:kern w:val="0"/>
                <w:sz w:val="16"/>
                <w:szCs w:val="16"/>
                <w:lang w:val="en-US" w:eastAsia="zh-CN"/>
              </w:rPr>
            </w:pPr>
          </w:p>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hint="default" w:ascii="仿宋_GB2312" w:hAnsi="宋体" w:eastAsia="仿宋_GB2312"/>
                <w:kern w:val="0"/>
                <w:sz w:val="18"/>
                <w:szCs w:val="18"/>
                <w:lang w:val="en-US" w:eastAsia="zh-CN"/>
              </w:rPr>
            </w:pPr>
            <w:r>
              <w:rPr>
                <w:rFonts w:hint="eastAsia" w:ascii="仿宋_GB2312" w:hAnsi="宋体" w:eastAsia="仿宋_GB2312"/>
                <w:kern w:val="0"/>
                <w:sz w:val="18"/>
                <w:szCs w:val="18"/>
                <w:lang w:val="en-US" w:eastAsia="zh-CN"/>
              </w:rPr>
              <w:t>30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p>
        </w:tc>
        <w:tc>
          <w:tcPr>
            <w:tcW w:w="750" w:type="dxa"/>
            <w:vAlign w:val="center"/>
          </w:tcPr>
          <w:p>
            <w:pPr>
              <w:widowControl/>
              <w:jc w:val="center"/>
              <w:outlineLvl w:val="1"/>
              <w:rPr>
                <w:rFonts w:ascii="仿宋_GB2312" w:hAnsi="宋体" w:eastAsia="仿宋_GB2312"/>
                <w:kern w:val="0"/>
                <w:sz w:val="18"/>
                <w:szCs w:val="18"/>
              </w:rPr>
            </w:pP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415" w:type="dxa"/>
            <w:gridSpan w:val="2"/>
            <w:vAlign w:val="center"/>
          </w:tcPr>
          <w:p>
            <w:pPr>
              <w:widowControl/>
              <w:jc w:val="center"/>
              <w:outlineLvl w:val="1"/>
              <w:rPr>
                <w:rFonts w:ascii="仿宋_GB2312" w:hAnsi="宋体" w:eastAsia="仿宋_GB2312"/>
                <w:kern w:val="0"/>
                <w:sz w:val="18"/>
                <w:szCs w:val="18"/>
              </w:rPr>
            </w:pPr>
          </w:p>
        </w:tc>
        <w:tc>
          <w:tcPr>
            <w:tcW w:w="379" w:type="dxa"/>
            <w:vAlign w:val="center"/>
          </w:tcPr>
          <w:p>
            <w:pPr>
              <w:widowControl/>
              <w:jc w:val="center"/>
              <w:outlineLvl w:val="1"/>
              <w:rPr>
                <w:rFonts w:ascii="仿宋_GB2312" w:hAnsi="宋体" w:eastAsia="仿宋_GB2312"/>
                <w:kern w:val="0"/>
                <w:sz w:val="18"/>
                <w:szCs w:val="18"/>
              </w:rPr>
            </w:pPr>
          </w:p>
        </w:tc>
        <w:tc>
          <w:tcPr>
            <w:tcW w:w="397" w:type="dxa"/>
            <w:vAlign w:val="center"/>
          </w:tcPr>
          <w:p>
            <w:pPr>
              <w:widowControl/>
              <w:jc w:val="center"/>
              <w:outlineLvl w:val="1"/>
              <w:rPr>
                <w:rFonts w:ascii="仿宋_GB2312" w:hAnsi="宋体" w:eastAsia="仿宋_GB2312"/>
                <w:kern w:val="0"/>
                <w:sz w:val="18"/>
                <w:szCs w:val="18"/>
              </w:rPr>
            </w:pPr>
          </w:p>
        </w:tc>
        <w:tc>
          <w:tcPr>
            <w:tcW w:w="851" w:type="dxa"/>
            <w:vAlign w:val="center"/>
          </w:tcPr>
          <w:p>
            <w:pPr>
              <w:widowControl/>
              <w:jc w:val="center"/>
              <w:outlineLvl w:val="1"/>
              <w:rPr>
                <w:rFonts w:ascii="仿宋_GB2312" w:hAnsi="宋体" w:eastAsia="仿宋_GB2312"/>
                <w:kern w:val="0"/>
                <w:sz w:val="18"/>
                <w:szCs w:val="18"/>
              </w:rPr>
            </w:pPr>
          </w:p>
        </w:tc>
        <w:tc>
          <w:tcPr>
            <w:tcW w:w="145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50"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120</w:t>
            </w:r>
          </w:p>
        </w:tc>
        <w:tc>
          <w:tcPr>
            <w:tcW w:w="569" w:type="dxa"/>
            <w:gridSpan w:val="2"/>
            <w:vAlign w:val="center"/>
          </w:tcPr>
          <w:p>
            <w:pPr>
              <w:widowControl/>
              <w:jc w:val="center"/>
              <w:outlineLvl w:val="1"/>
              <w:rPr>
                <w:rFonts w:ascii="仿宋_GB2312" w:hAnsi="宋体" w:eastAsia="仿宋_GB2312"/>
                <w:kern w:val="0"/>
                <w:sz w:val="18"/>
                <w:szCs w:val="18"/>
              </w:rPr>
            </w:pPr>
          </w:p>
        </w:tc>
        <w:tc>
          <w:tcPr>
            <w:tcW w:w="536" w:type="dxa"/>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120</w:t>
            </w:r>
          </w:p>
        </w:tc>
        <w:tc>
          <w:tcPr>
            <w:tcW w:w="652" w:type="dxa"/>
            <w:vAlign w:val="center"/>
          </w:tcPr>
          <w:p>
            <w:pPr>
              <w:widowControl/>
              <w:jc w:val="center"/>
              <w:outlineLvl w:val="1"/>
              <w:rPr>
                <w:rFonts w:ascii="仿宋_GB2312" w:hAnsi="宋体" w:eastAsia="仿宋_GB2312"/>
                <w:kern w:val="0"/>
                <w:sz w:val="18"/>
                <w:szCs w:val="18"/>
              </w:rPr>
            </w:pPr>
          </w:p>
        </w:tc>
        <w:tc>
          <w:tcPr>
            <w:tcW w:w="652" w:type="dxa"/>
            <w:vAlign w:val="center"/>
          </w:tcPr>
          <w:p>
            <w:pPr>
              <w:widowControl/>
              <w:jc w:val="center"/>
              <w:outlineLvl w:val="1"/>
              <w:rPr>
                <w:rFonts w:ascii="仿宋_GB2312" w:hAnsi="宋体" w:eastAsia="仿宋_GB2312"/>
                <w:kern w:val="0"/>
                <w:sz w:val="18"/>
                <w:szCs w:val="18"/>
              </w:rPr>
            </w:pPr>
          </w:p>
        </w:tc>
        <w:tc>
          <w:tcPr>
            <w:tcW w:w="578" w:type="dxa"/>
            <w:gridSpan w:val="2"/>
            <w:vAlign w:val="center"/>
          </w:tcPr>
          <w:p>
            <w:pPr>
              <w:widowControl/>
              <w:jc w:val="center"/>
              <w:outlineLvl w:val="1"/>
              <w:rPr>
                <w:rFonts w:ascii="仿宋_GB2312" w:hAnsi="宋体" w:eastAsia="仿宋_GB2312"/>
                <w:kern w:val="0"/>
                <w:sz w:val="18"/>
                <w:szCs w:val="18"/>
              </w:rPr>
            </w:pPr>
          </w:p>
        </w:tc>
        <w:tc>
          <w:tcPr>
            <w:tcW w:w="419" w:type="dxa"/>
            <w:vAlign w:val="center"/>
          </w:tcPr>
          <w:p>
            <w:pPr>
              <w:widowControl/>
              <w:jc w:val="center"/>
              <w:outlineLvl w:val="1"/>
              <w:rPr>
                <w:rFonts w:ascii="仿宋_GB2312" w:hAnsi="宋体" w:eastAsia="仿宋_GB2312"/>
                <w:kern w:val="0"/>
                <w:sz w:val="18"/>
                <w:szCs w:val="18"/>
              </w:rPr>
            </w:pPr>
          </w:p>
        </w:tc>
        <w:tc>
          <w:tcPr>
            <w:tcW w:w="578"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20" w:type="dxa"/>
            <w:vAlign w:val="center"/>
          </w:tcPr>
          <w:p>
            <w:pPr>
              <w:widowControl/>
              <w:jc w:val="center"/>
              <w:outlineLvl w:val="1"/>
              <w:rPr>
                <w:rFonts w:ascii="仿宋_GB2312" w:hAnsi="宋体" w:eastAsia="仿宋_GB2312"/>
                <w:kern w:val="0"/>
                <w:sz w:val="18"/>
                <w:szCs w:val="18"/>
              </w:rPr>
            </w:pPr>
          </w:p>
        </w:tc>
        <w:tc>
          <w:tcPr>
            <w:tcW w:w="468" w:type="dxa"/>
            <w:gridSpan w:val="2"/>
            <w:vAlign w:val="center"/>
          </w:tcPr>
          <w:p>
            <w:pPr>
              <w:widowControl/>
              <w:jc w:val="center"/>
              <w:outlineLvl w:val="1"/>
              <w:rPr>
                <w:rFonts w:ascii="仿宋_GB2312" w:hAnsi="宋体" w:eastAsia="仿宋_GB2312"/>
                <w:kern w:val="0"/>
                <w:sz w:val="18"/>
                <w:szCs w:val="18"/>
              </w:rPr>
            </w:pPr>
          </w:p>
        </w:tc>
      </w:tr>
    </w:tbl>
    <w:p>
      <w:pPr>
        <w:widowControl/>
        <w:jc w:val="left"/>
        <w:outlineLvl w:val="1"/>
        <w:rPr>
          <w:rFonts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昌吉州产品质量检验所                          单位：万元</w:t>
      </w:r>
    </w:p>
    <w:tbl>
      <w:tblPr>
        <w:tblStyle w:val="9"/>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1.28</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0.93</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0.93</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0.35</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编制部门（单位）：昌吉州产品质量检验所                          单位：万元</w:t>
      </w:r>
    </w:p>
    <w:tbl>
      <w:tblPr>
        <w:tblStyle w:val="9"/>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noWrap/>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2021年昌吉州产品质量检验所预算情况说明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按照全口径预算的原则，昌吉州产品质量检验所2021年所有收入和支出均纳入部门（单位）预算管理。收支总预算915.03万元。</w:t>
      </w:r>
    </w:p>
    <w:p>
      <w:pPr>
        <w:spacing w:line="560" w:lineRule="exact"/>
        <w:ind w:firstLine="640" w:firstLineChars="200"/>
        <w:rPr>
          <w:rFonts w:ascii="仿宋_GB2312" w:hAnsi="宋体" w:eastAsia="仿宋_GB2312" w:cs="宋体"/>
          <w:color w:val="FF0000"/>
          <w:kern w:val="0"/>
          <w:sz w:val="32"/>
          <w:szCs w:val="32"/>
        </w:rPr>
      </w:pPr>
      <w:r>
        <w:rPr>
          <w:rFonts w:hint="eastAsia" w:ascii="仿宋_GB2312" w:hAnsi="宋体" w:eastAsia="仿宋_GB2312" w:cs="宋体"/>
          <w:kern w:val="0"/>
          <w:sz w:val="32"/>
          <w:szCs w:val="32"/>
        </w:rPr>
        <w:t>收入预算包括：一般公共预算915.03万元。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支出预算包括：一般公共服务支出764.84万元、社会保障和就业支出70.11万元、医疗卫生健康支出80.08万元。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昌吉州产品质量检验所收入预算915.03万元，其中：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一般公共预算915.03万元，占100%，比上年预算增加134.66万元，主要原因是我单位新调入干部职工6人，项目支出较往年增加；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昌吉州产品质量检验所2021年支出预算915.03万元，其中：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基本支出795.03万元，占86.89%，比上年预算增加76.66万元，主要原因是我单位新调入干部职工6人。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项目支出120万元，占13.11%，比上年增加58万元，主要原因是质检所产品质量检验经费金额增加，增加了专用设备购置费项目支出。</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2021年财政拨款收支总预算915.03万元。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收入预算包括：一般公共预算拨款915.03万元。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一般公共服务支出764.84万元，主要用于我单位全年开展检验业务工作时产生的成本费用，干部职工外出抽检时产生的差旅费，检验工作中消耗的水费、电费、检验药品费、检验中的其他耗材费，以及其他保障我所能够正常开展业务工作产生的费用。</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社会保障和就业支出70.11万元，主要用于我单位缴纳干部职工社会保险费等。</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卫生健康支出80.08万元，主要用于我单位缴纳干部职工的医疗保险费等。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2021年一般公共预算拨款合计915.03万元，其中：基本支出795.03万元，比上年预算增加76.66万元，增长10%。主要原因是：我单位新调入干部职工6人。项目支出120万元，比上年预算增加58万元，增长48.33%。主要原因是：质检所产品质量检验经费金额增加，增加了专用设备购置费项目支出。</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1.一般公共服务支出764.84万元，占83.59%。</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2.社会保障和就业支出70.11万元，占7.66%。</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3.卫生健康支出80.08万元，占8.75%。</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ascii="仿宋_GB2312" w:hAnsi="宋体" w:eastAsia="仿宋_GB2312" w:cs="宋体"/>
          <w:kern w:val="0"/>
          <w:sz w:val="32"/>
          <w:szCs w:val="32"/>
        </w:rPr>
        <w:t>一般公共服务（类）财政事务（款）</w:t>
      </w:r>
      <w:r>
        <w:rPr>
          <w:rFonts w:hint="eastAsia" w:ascii="仿宋_GB2312" w:hAnsi="宋体" w:eastAsia="仿宋_GB2312" w:cs="宋体"/>
          <w:kern w:val="0"/>
          <w:sz w:val="32"/>
          <w:szCs w:val="32"/>
        </w:rPr>
        <w:t>事业</w:t>
      </w:r>
      <w:r>
        <w:rPr>
          <w:rFonts w:ascii="仿宋_GB2312" w:hAnsi="宋体" w:eastAsia="仿宋_GB2312" w:cs="宋体"/>
          <w:kern w:val="0"/>
          <w:sz w:val="32"/>
          <w:szCs w:val="32"/>
        </w:rPr>
        <w:t>运行（项）:</w:t>
      </w:r>
      <w:r>
        <w:rPr>
          <w:rFonts w:hint="eastAsia" w:ascii="仿宋_GB2312" w:hAnsi="宋体" w:eastAsia="仿宋_GB2312" w:cs="宋体"/>
          <w:kern w:val="0"/>
          <w:sz w:val="32"/>
          <w:szCs w:val="32"/>
        </w:rPr>
        <w:t>2021</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915.03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比上年预算数增加134.66万元，增长14.72%，主要原因是：单位新调入干部职工6人，项目支出较往年增加。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昌吉州产品质量检验所2021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昌吉州产品质量检验所2021年一般公共预算基本支出795.03万元，其中：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721.4万元，主要包括：基本工资、津贴补贴、奖金、伙食补助费、绩效工资、机关事业单位基本养老保险缴费、职业年金缴费、职工基本医疗保险缴费、公务员医疗补助缴费、其他社会保障缴费、住房公积金、医疗费、其他工资福利支出、退休费、奖励金、其他对个人和家庭的补助等。</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73.63万元，主要包括：办公费、印刷费、水费、电费、邮电费、取暖费、物业管理费、差旅费、维修（护）费、租赁费、培训费、公务接待费、专用材料费、劳务费、委托业务费、工会经费、福利费、公务用车运行维护费、其他交通费用、其他商品和服务支出、办公设备购置等。</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w:t>
      </w:r>
      <w:r>
        <w:rPr>
          <w:rFonts w:hint="eastAsia" w:ascii="黑体" w:hAnsi="黑体" w:eastAsia="黑体"/>
          <w:kern w:val="0"/>
          <w:sz w:val="32"/>
          <w:szCs w:val="32"/>
        </w:rPr>
        <w:t>产品质量检验所</w:t>
      </w:r>
      <w:r>
        <w:rPr>
          <w:rFonts w:hint="eastAsia" w:ascii="黑体" w:hAnsi="宋体" w:eastAsia="黑体" w:cs="宋体"/>
          <w:kern w:val="0"/>
          <w:sz w:val="32"/>
          <w:szCs w:val="32"/>
        </w:rPr>
        <w:t>2021年一般公共预算项目支出情况说明</w:t>
      </w:r>
    </w:p>
    <w:p>
      <w:pPr>
        <w:spacing w:line="560" w:lineRule="exact"/>
        <w:ind w:firstLine="640" w:firstLineChars="200"/>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 w:hAnsi="仿宋" w:eastAsia="仿宋" w:cs="仿宋"/>
          <w:kern w:val="0"/>
          <w:sz w:val="30"/>
          <w:szCs w:val="30"/>
        </w:rPr>
        <w:t>州质检所产品质量检验补助经费</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kern w:val="0"/>
          <w:sz w:val="30"/>
          <w:szCs w:val="30"/>
        </w:rPr>
        <w:t>财税[2017]20号 《财政部 国家发展改革委关于清理规范一批行政事业性收费有关政策的通知》</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：90万元</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：昌吉回族自治州产品质量检验所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spacing w:val="-6"/>
          <w:kern w:val="0"/>
          <w:sz w:val="32"/>
          <w:szCs w:val="32"/>
        </w:rPr>
        <w:t>主要用于我单位全年开展检验业务工作时产生的成本费用，干部职工外出抽检时产生的差旅费，检验工作中消耗的水费、电费、检验药品费、检验中的其他耗材费，以及其他保障我所能够正常开展业务工作产生的费用。</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：2021年1月-2021年12月</w:t>
      </w:r>
    </w:p>
    <w:p>
      <w:pPr>
        <w:spacing w:line="560" w:lineRule="exact"/>
        <w:ind w:firstLine="640" w:firstLineChars="200"/>
        <w:rPr>
          <w:rFonts w:ascii="仿宋_GB2312" w:hAnsi="宋体" w:eastAsia="仿宋_GB2312" w:cs="宋体"/>
          <w:kern w:val="0"/>
          <w:sz w:val="32"/>
          <w:szCs w:val="32"/>
        </w:rPr>
      </w:pPr>
    </w:p>
    <w:p>
      <w:pPr>
        <w:spacing w:line="560" w:lineRule="exact"/>
        <w:ind w:firstLine="640" w:firstLineChars="200"/>
        <w:rPr>
          <w:rFonts w:ascii="仿宋_GB2312" w:hAnsi="宋体" w:eastAsia="仿宋_GB2312" w:cs="宋体"/>
          <w:kern w:val="0"/>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：州质检所</w:t>
      </w:r>
      <w:r>
        <w:rPr>
          <w:rFonts w:hint="eastAsia" w:ascii="仿宋" w:hAnsi="仿宋" w:eastAsia="仿宋" w:cs="仿宋"/>
          <w:kern w:val="0"/>
          <w:sz w:val="30"/>
          <w:szCs w:val="30"/>
        </w:rPr>
        <w:t>检验检测专用设备购置费</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 w:hAnsi="仿宋" w:eastAsia="仿宋" w:cs="仿宋"/>
          <w:kern w:val="0"/>
          <w:sz w:val="30"/>
          <w:szCs w:val="30"/>
        </w:rPr>
        <w:t>财税[2017]20号 《财政部 国家发展改革委关于清理规范一批行政事业性收费有关政策的通知》</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：30万元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：昌吉回族自治州产品质量检验所</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 w:hAnsi="仿宋" w:eastAsia="仿宋" w:cs="仿宋"/>
          <w:kern w:val="0"/>
          <w:sz w:val="30"/>
          <w:szCs w:val="30"/>
        </w:rPr>
        <w:t>购置专业的检验检测设备，为我所更新换代设备。购买符合最新检验检测标准的专业检测设备。</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：2021年1月-2021年12月</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w:t>
      </w:r>
      <w:r>
        <w:rPr>
          <w:rFonts w:hint="eastAsia" w:ascii="黑体" w:hAnsi="黑体" w:eastAsia="黑体"/>
          <w:kern w:val="0"/>
          <w:sz w:val="32"/>
          <w:szCs w:val="32"/>
        </w:rPr>
        <w:t>产品质量检验所</w:t>
      </w:r>
      <w:r>
        <w:rPr>
          <w:rFonts w:hint="eastAsia" w:ascii="黑体" w:hAnsi="宋体" w:eastAsia="黑体" w:cs="宋体"/>
          <w:kern w:val="0"/>
          <w:sz w:val="32"/>
          <w:szCs w:val="32"/>
        </w:rPr>
        <w:t>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昌吉州产品质量检验所2021年一般公共预算“三公”经费数为1.28万元，其中：因公出国（境）费0万元，公务用车购置0万元，公务用车运行费0.93万元，公务接待费0.35万元。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减少3.57万元，其中：因公出国（境）费减少0万元，主要原因是我单位无因公出国（境）费；公务用车购置费为0万元，未安排预算。公务用车运行费减少3.52万元，主要原因是“三公”经费逐年减少；公务接待费减少0.05万元，主要原因是“三公”经费逐年减少。</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w:t>
      </w:r>
      <w:r>
        <w:rPr>
          <w:rFonts w:hint="eastAsia" w:ascii="黑体" w:hAnsi="黑体" w:eastAsia="黑体"/>
          <w:kern w:val="0"/>
          <w:sz w:val="32"/>
          <w:szCs w:val="32"/>
        </w:rPr>
        <w:t>产品质量检验所</w:t>
      </w:r>
      <w:r>
        <w:rPr>
          <w:rFonts w:hint="eastAsia" w:ascii="黑体" w:hAnsi="宋体" w:eastAsia="黑体" w:cs="宋体"/>
          <w:kern w:val="0"/>
          <w:sz w:val="32"/>
          <w:szCs w:val="32"/>
        </w:rPr>
        <w:t>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昌吉州产品质量检验所2021年没有使用政府性基金预算拨款安排的支出，政府性基金预算支出情况表为空表。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2021年，昌吉州产品质量检验所的机关运行经费财政拨款预算73.63万元，比上年预算增加15.03万元，增长20.41%。主要原因是我单位新调入干部职工6人，相应费用增加。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2021年，昌吉州产品质量检验所政府采购预算109.78万元，其中：政府采购货物预算90.45万元，政府采购工程预算0万元，政府采购服务预算19.33万元。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截至2020年底，昌吉州产品质量检验所占用使用国有资产总体情况为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2.车辆3辆，价值35.37万元；其中：一般公务用车3辆，价值35.37万元；执法执勤用车0辆，价值0万元；其他车辆0辆，价值0万元。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3.办公家具价值26.21万元。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4.其他资产价值1097.93万元。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单位价值50万元以上大型设备1台（套），单位价值100万元以上大型设备0台（套）。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2021年昌吉州产品质量检验所部门预算未安排购置车辆经费，安排购置50万元以上大型设备0台（套），单位价值100万元以上大型设备0台（套）。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2021年度，本年度实行绩效管理的一般公共预算项目2   个，涉及预算金额120万元。具体情况见下表（按项目分别填报）：</w:t>
      </w:r>
    </w:p>
    <w:tbl>
      <w:tblPr>
        <w:tblStyle w:val="9"/>
        <w:tblW w:w="8815" w:type="dxa"/>
        <w:tblInd w:w="0" w:type="dxa"/>
        <w:tblLayout w:type="fixed"/>
        <w:tblCellMar>
          <w:top w:w="0" w:type="dxa"/>
          <w:left w:w="0" w:type="dxa"/>
          <w:bottom w:w="0" w:type="dxa"/>
          <w:right w:w="0" w:type="dxa"/>
        </w:tblCellMar>
      </w:tblPr>
      <w:tblGrid>
        <w:gridCol w:w="960"/>
        <w:gridCol w:w="1452"/>
        <w:gridCol w:w="1224"/>
        <w:gridCol w:w="1476"/>
        <w:gridCol w:w="1039"/>
        <w:gridCol w:w="1481"/>
        <w:gridCol w:w="1183"/>
      </w:tblGrid>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hint="eastAsia"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昌吉州产品质量检验所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sz w:val="18"/>
                <w:szCs w:val="18"/>
              </w:rPr>
              <w:t>州质检所产品质量检验补助经费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主要职能：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                                                                                                                                                                                          项目目标：专项业务补助费主要是用于我所全年开展检验业务工作时产生的成本费用，干部职工外出抽检时产生的差旅费，检验工作中消耗的水费、电费、检验药品费、检验中的其他耗材费，以及其他保障我所能够正常开展业务工作产生的费用。</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农资产品检验批次数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轻工产品检验批次数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车用汽油、柴油质量检验批次数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≥90批次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建材类产品检验批次数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≥50批次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电工及材料产品检验批次数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≥35批次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冶金产品及金属制品检验批次数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≥35批次</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抽查产品占全州抽检企业的覆盖率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完成该项目所需时间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农资产品检验成本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18万元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轻工产品检验成本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车用汽油、柴油质量检验成本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32万元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建材类产品检验成本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17万元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电工及材料产品检验成本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5万元</w:t>
            </w:r>
          </w:p>
        </w:tc>
      </w:tr>
      <w:tr>
        <w:tblPrEx>
          <w:tblLayout w:type="fixed"/>
          <w:tblCellMar>
            <w:top w:w="0" w:type="dxa"/>
            <w:left w:w="0" w:type="dxa"/>
            <w:bottom w:w="0" w:type="dxa"/>
            <w:right w:w="0" w:type="dxa"/>
          </w:tblCellMar>
        </w:tblPrEx>
        <w:trPr>
          <w:trHeight w:val="440" w:hRule="atLeast"/>
        </w:trPr>
        <w:tc>
          <w:tcPr>
            <w:tcW w:w="960"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冶金产品及金属制品检验成本</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9万元</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提高受帮扶的社会企业生产工艺，帮助修订改善企业标准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提高制造经营企业的经营能力</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提升全州流通领域产品质量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持续提升</w:t>
            </w:r>
          </w:p>
        </w:tc>
      </w:tr>
      <w:tr>
        <w:tblPrEx>
          <w:tblLayout w:type="fixed"/>
          <w:tblCellMar>
            <w:top w:w="0" w:type="dxa"/>
            <w:left w:w="0" w:type="dxa"/>
            <w:bottom w:w="0" w:type="dxa"/>
            <w:right w:w="0" w:type="dxa"/>
          </w:tblCellMar>
        </w:tblPrEx>
        <w:trPr>
          <w:trHeight w:val="407"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仿宋_GB2312" w:hAnsi="宋体" w:eastAsia="仿宋_GB2312" w:cs="仿宋_GB2312"/>
                <w:b/>
                <w:color w:val="000000"/>
                <w:kern w:val="0"/>
                <w:sz w:val="32"/>
                <w:szCs w:val="32"/>
                <w:lang w:bidi="ar"/>
              </w:rPr>
            </w:pPr>
          </w:p>
          <w:p>
            <w:pPr>
              <w:widowControl/>
              <w:spacing w:line="480" w:lineRule="exact"/>
              <w:jc w:val="center"/>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380" w:hRule="atLeast"/>
        </w:trPr>
        <w:tc>
          <w:tcPr>
            <w:tcW w:w="8815" w:type="dxa"/>
            <w:gridSpan w:val="7"/>
            <w:tcBorders>
              <w:top w:val="nil"/>
              <w:left w:val="nil"/>
              <w:bottom w:val="nil"/>
              <w:right w:val="nil"/>
            </w:tcBorders>
            <w:noWrap/>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5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52"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昌吉州产品质量检验所</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5"/>
                <w:szCs w:val="15"/>
                <w:lang w:bidi="ar"/>
              </w:rPr>
              <w:t>州质检所检验检测专用设备购置费</w:t>
            </w:r>
          </w:p>
        </w:tc>
      </w:tr>
      <w:tr>
        <w:tblPrEx>
          <w:tblLayout w:type="fixed"/>
          <w:tblCellMar>
            <w:top w:w="0" w:type="dxa"/>
            <w:left w:w="0" w:type="dxa"/>
            <w:bottom w:w="0" w:type="dxa"/>
            <w:right w:w="0" w:type="dxa"/>
          </w:tblCellMar>
        </w:tblPrEx>
        <w:trPr>
          <w:trHeight w:val="54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24"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7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3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w:t>
            </w:r>
          </w:p>
        </w:tc>
        <w:tc>
          <w:tcPr>
            <w:tcW w:w="1481"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8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10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855"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主要职能： 昌吉回族州产品质量检验所隶属于昌吉州市场监督管理局，属于全额拨款的公益一类事业单位。依法承担产（商）品、食品的质量监督检验；依法承担消协及消费者产（商）品、食品质量投诉和质量仲裁检验；依法承担生产许可证、3C等发证检验；研究开发检验技术、检验方法、标准制修订、技术培训、技术咨询等服务；依法承担公民、法人及其他组织的各项委托检验。                                                                                        项目目标：州质检所检验检测专用设备购置费主要是用于我单位全年购置专用检验检测设备，保障我单位的检验检测设备符合最新检测标准，保证我所能够为企业提供高质量、高水平的检验检测工作作保障。</w:t>
            </w:r>
          </w:p>
        </w:tc>
      </w:tr>
      <w:tr>
        <w:tblPrEx>
          <w:tblLayout w:type="fixed"/>
          <w:tblCellMar>
            <w:top w:w="0" w:type="dxa"/>
            <w:left w:w="0" w:type="dxa"/>
            <w:bottom w:w="0" w:type="dxa"/>
            <w:right w:w="0" w:type="dxa"/>
          </w:tblCellMar>
        </w:tblPrEx>
        <w:trPr>
          <w:trHeight w:val="480" w:hRule="atLeast"/>
        </w:trPr>
        <w:tc>
          <w:tcPr>
            <w:tcW w:w="9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52"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64" w:type="dxa"/>
            <w:gridSpan w:val="2"/>
            <w:tcBorders>
              <w:top w:val="single" w:color="000000" w:sz="4" w:space="0"/>
              <w:left w:val="single" w:color="000000" w:sz="4" w:space="0"/>
              <w:bottom w:val="single" w:color="000000" w:sz="4" w:space="0"/>
              <w:right w:val="single" w:color="000000" w:sz="4" w:space="0"/>
            </w:tcBorders>
            <w:noWrap/>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52" w:type="dxa"/>
            <w:vMerge w:val="restart"/>
            <w:tcBorders>
              <w:top w:val="single" w:color="000000" w:sz="4" w:space="0"/>
              <w:left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产品质量监督检验批次数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400批次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产品质量委托检验批次数</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400批次</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购置化工建材类、轻工机电类专用检测设备种类</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4种</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抽查产品占全州抽检企业的覆盖率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781"/>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购置化工建材类、轻工机电类专用检测设备质量合格率</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项目所需时间</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2021年1月-12月</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州质检所检验检测专用设备购置费</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30万元</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效益指标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经济效益指标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提高受帮扶的社会企业生产工艺，帮助修订改善企业标准</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提高企业经营能力</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提升全州流通领域产品质量</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持续提升</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r>
        <w:tblPrEx>
          <w:tblLayout w:type="fixed"/>
          <w:tblCellMar>
            <w:top w:w="0" w:type="dxa"/>
            <w:left w:w="0" w:type="dxa"/>
            <w:bottom w:w="0" w:type="dxa"/>
            <w:right w:w="0" w:type="dxa"/>
          </w:tblCellMar>
        </w:tblPrEx>
        <w:trPr>
          <w:trHeight w:val="440" w:hRule="atLeast"/>
        </w:trPr>
        <w:tc>
          <w:tcPr>
            <w:tcW w:w="960"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52"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受益群众满意度</w:t>
            </w: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440" w:hRule="atLeast"/>
        </w:trPr>
        <w:tc>
          <w:tcPr>
            <w:tcW w:w="960"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52"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739"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2664"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r>
    </w:tbl>
    <w:p>
      <w:pPr>
        <w:widowControl/>
        <w:spacing w:line="480" w:lineRule="exact"/>
        <w:rPr>
          <w:rFonts w:ascii="仿宋_GB2312" w:hAnsi="宋体" w:eastAsia="仿宋_GB2312" w:cs="宋体"/>
          <w:kern w:val="0"/>
          <w:sz w:val="32"/>
          <w:szCs w:val="32"/>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昌吉回族自治州产品质量检验所</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r>
        <w:rPr>
          <w:rFonts w:hint="eastAsia" w:ascii="仿宋_GB2312" w:hAnsi="宋体" w:eastAsia="仿宋_GB2312" w:cs="宋体"/>
          <w:kern w:val="0"/>
          <w:sz w:val="32"/>
          <w:szCs w:val="32"/>
        </w:rPr>
        <w:t xml:space="preserve">               </w:t>
      </w:r>
    </w:p>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57575"/>
    <w:rsid w:val="000275B1"/>
    <w:rsid w:val="00031E76"/>
    <w:rsid w:val="000C6FBF"/>
    <w:rsid w:val="000D531A"/>
    <w:rsid w:val="000F3B60"/>
    <w:rsid w:val="0011450F"/>
    <w:rsid w:val="0016115B"/>
    <w:rsid w:val="001747C9"/>
    <w:rsid w:val="001D2696"/>
    <w:rsid w:val="00223EA5"/>
    <w:rsid w:val="00261065"/>
    <w:rsid w:val="002E7530"/>
    <w:rsid w:val="00321E8A"/>
    <w:rsid w:val="003679D2"/>
    <w:rsid w:val="00452A86"/>
    <w:rsid w:val="004C28F9"/>
    <w:rsid w:val="005320EE"/>
    <w:rsid w:val="005602EA"/>
    <w:rsid w:val="00567073"/>
    <w:rsid w:val="0059125F"/>
    <w:rsid w:val="006E145A"/>
    <w:rsid w:val="00701A36"/>
    <w:rsid w:val="00760458"/>
    <w:rsid w:val="007853EC"/>
    <w:rsid w:val="007D7119"/>
    <w:rsid w:val="007E5ACA"/>
    <w:rsid w:val="008910BE"/>
    <w:rsid w:val="008A4B03"/>
    <w:rsid w:val="008E4F9E"/>
    <w:rsid w:val="0090179B"/>
    <w:rsid w:val="00944B81"/>
    <w:rsid w:val="00951A65"/>
    <w:rsid w:val="00977253"/>
    <w:rsid w:val="00997CE4"/>
    <w:rsid w:val="009B654C"/>
    <w:rsid w:val="009B6FA3"/>
    <w:rsid w:val="00A13D75"/>
    <w:rsid w:val="00A57575"/>
    <w:rsid w:val="00AB1984"/>
    <w:rsid w:val="00B94A73"/>
    <w:rsid w:val="00BC3303"/>
    <w:rsid w:val="00D85033"/>
    <w:rsid w:val="00DA2829"/>
    <w:rsid w:val="00E51C21"/>
    <w:rsid w:val="00EA06E7"/>
    <w:rsid w:val="00F105A9"/>
    <w:rsid w:val="01E42469"/>
    <w:rsid w:val="038A0916"/>
    <w:rsid w:val="03E3302F"/>
    <w:rsid w:val="06C603A2"/>
    <w:rsid w:val="06FD4C81"/>
    <w:rsid w:val="0707220F"/>
    <w:rsid w:val="07CB6DDC"/>
    <w:rsid w:val="095D7B45"/>
    <w:rsid w:val="0AE75C4E"/>
    <w:rsid w:val="0C3169D2"/>
    <w:rsid w:val="0E7B70AB"/>
    <w:rsid w:val="0E9A5CA3"/>
    <w:rsid w:val="0EED6867"/>
    <w:rsid w:val="0F37286A"/>
    <w:rsid w:val="11B35F18"/>
    <w:rsid w:val="13203E4D"/>
    <w:rsid w:val="14483731"/>
    <w:rsid w:val="15FB3815"/>
    <w:rsid w:val="171120C4"/>
    <w:rsid w:val="17387ED1"/>
    <w:rsid w:val="17DD3840"/>
    <w:rsid w:val="188E0BA2"/>
    <w:rsid w:val="18DF5238"/>
    <w:rsid w:val="18ED676C"/>
    <w:rsid w:val="195E06C4"/>
    <w:rsid w:val="19CE5530"/>
    <w:rsid w:val="1AB11B53"/>
    <w:rsid w:val="1BF23E2C"/>
    <w:rsid w:val="1C7D2170"/>
    <w:rsid w:val="1D140FEE"/>
    <w:rsid w:val="1DAE50F4"/>
    <w:rsid w:val="1F921F7B"/>
    <w:rsid w:val="1FBD7090"/>
    <w:rsid w:val="20725601"/>
    <w:rsid w:val="21195A4F"/>
    <w:rsid w:val="217C11D4"/>
    <w:rsid w:val="220C6190"/>
    <w:rsid w:val="22151469"/>
    <w:rsid w:val="22685136"/>
    <w:rsid w:val="22E41AE3"/>
    <w:rsid w:val="23AF2AB8"/>
    <w:rsid w:val="24204481"/>
    <w:rsid w:val="24962D50"/>
    <w:rsid w:val="26744B87"/>
    <w:rsid w:val="26CB2946"/>
    <w:rsid w:val="26E426D3"/>
    <w:rsid w:val="277E1DDD"/>
    <w:rsid w:val="27DF2556"/>
    <w:rsid w:val="282C56FD"/>
    <w:rsid w:val="29D1249B"/>
    <w:rsid w:val="2C2309D9"/>
    <w:rsid w:val="2C8D5AF8"/>
    <w:rsid w:val="2DEC7783"/>
    <w:rsid w:val="2E0B4F35"/>
    <w:rsid w:val="2E2A21A5"/>
    <w:rsid w:val="2E2B7E2B"/>
    <w:rsid w:val="2ED974AD"/>
    <w:rsid w:val="2FF46FAA"/>
    <w:rsid w:val="31347BA2"/>
    <w:rsid w:val="322A71E8"/>
    <w:rsid w:val="352B1CF0"/>
    <w:rsid w:val="35F94B5E"/>
    <w:rsid w:val="364068FC"/>
    <w:rsid w:val="370040AE"/>
    <w:rsid w:val="38866B5A"/>
    <w:rsid w:val="39816D24"/>
    <w:rsid w:val="39A4306A"/>
    <w:rsid w:val="3B4C3B90"/>
    <w:rsid w:val="3BA42E8C"/>
    <w:rsid w:val="3D0666DA"/>
    <w:rsid w:val="3EBC6C30"/>
    <w:rsid w:val="3EDC69A6"/>
    <w:rsid w:val="3F6315E4"/>
    <w:rsid w:val="3F681443"/>
    <w:rsid w:val="3F76766E"/>
    <w:rsid w:val="3FDC0F1C"/>
    <w:rsid w:val="40062A64"/>
    <w:rsid w:val="403E36ED"/>
    <w:rsid w:val="40FD4FB3"/>
    <w:rsid w:val="41B14592"/>
    <w:rsid w:val="42425E39"/>
    <w:rsid w:val="42BD0A93"/>
    <w:rsid w:val="43326DE8"/>
    <w:rsid w:val="43583601"/>
    <w:rsid w:val="475C3EA6"/>
    <w:rsid w:val="477872E8"/>
    <w:rsid w:val="481C53C9"/>
    <w:rsid w:val="4A8917EB"/>
    <w:rsid w:val="4AD726FA"/>
    <w:rsid w:val="4B3F34A5"/>
    <w:rsid w:val="4C482A4F"/>
    <w:rsid w:val="4D212194"/>
    <w:rsid w:val="4D292769"/>
    <w:rsid w:val="4EDB3E96"/>
    <w:rsid w:val="50214044"/>
    <w:rsid w:val="50DB0835"/>
    <w:rsid w:val="53851B03"/>
    <w:rsid w:val="53C72FD6"/>
    <w:rsid w:val="54A46662"/>
    <w:rsid w:val="5509657E"/>
    <w:rsid w:val="5564731B"/>
    <w:rsid w:val="5615680B"/>
    <w:rsid w:val="57320F52"/>
    <w:rsid w:val="575B1859"/>
    <w:rsid w:val="589B6CCE"/>
    <w:rsid w:val="59426187"/>
    <w:rsid w:val="59442BA7"/>
    <w:rsid w:val="59A42388"/>
    <w:rsid w:val="5A850E8A"/>
    <w:rsid w:val="5AB22B38"/>
    <w:rsid w:val="5BEB4360"/>
    <w:rsid w:val="5C5C73D2"/>
    <w:rsid w:val="5D8A15B8"/>
    <w:rsid w:val="5DA4227D"/>
    <w:rsid w:val="5E162100"/>
    <w:rsid w:val="5E1A5278"/>
    <w:rsid w:val="5E3B312D"/>
    <w:rsid w:val="5EA5342B"/>
    <w:rsid w:val="5F423F33"/>
    <w:rsid w:val="60122FF9"/>
    <w:rsid w:val="60473BF5"/>
    <w:rsid w:val="61EC528A"/>
    <w:rsid w:val="62532AB0"/>
    <w:rsid w:val="62CF7BD5"/>
    <w:rsid w:val="63C90A5C"/>
    <w:rsid w:val="64C31A44"/>
    <w:rsid w:val="64DC3961"/>
    <w:rsid w:val="65B56B67"/>
    <w:rsid w:val="65BF4309"/>
    <w:rsid w:val="672273D1"/>
    <w:rsid w:val="68960AEA"/>
    <w:rsid w:val="6AA470F3"/>
    <w:rsid w:val="6AB406B3"/>
    <w:rsid w:val="6B364FD4"/>
    <w:rsid w:val="6D290221"/>
    <w:rsid w:val="6DBA1D9D"/>
    <w:rsid w:val="6E3F3654"/>
    <w:rsid w:val="6FA2579B"/>
    <w:rsid w:val="6FA860EE"/>
    <w:rsid w:val="6FD76FCF"/>
    <w:rsid w:val="70476759"/>
    <w:rsid w:val="71772B2D"/>
    <w:rsid w:val="717F1614"/>
    <w:rsid w:val="72335FF7"/>
    <w:rsid w:val="72B70A46"/>
    <w:rsid w:val="72D21504"/>
    <w:rsid w:val="73103523"/>
    <w:rsid w:val="74AB7964"/>
    <w:rsid w:val="756A7879"/>
    <w:rsid w:val="768228E6"/>
    <w:rsid w:val="77C3141B"/>
    <w:rsid w:val="787323C6"/>
    <w:rsid w:val="78744547"/>
    <w:rsid w:val="78E4153C"/>
    <w:rsid w:val="79221974"/>
    <w:rsid w:val="797F0CFB"/>
    <w:rsid w:val="79B0730C"/>
    <w:rsid w:val="7A2B00FF"/>
    <w:rsid w:val="7A3D4E96"/>
    <w:rsid w:val="7B454FEB"/>
    <w:rsid w:val="7D060432"/>
    <w:rsid w:val="7D5B4C01"/>
    <w:rsid w:val="7DAA2726"/>
    <w:rsid w:val="7EFA6873"/>
    <w:rsid w:val="7EFB6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Layout w:type="fixed"/>
      <w:tblCellMar>
        <w:top w:w="0" w:type="dxa"/>
        <w:left w:w="108" w:type="dxa"/>
        <w:bottom w:w="0" w:type="dxa"/>
        <w:right w:w="108" w:type="dxa"/>
      </w:tblCellMar>
    </w:tblPr>
  </w:style>
  <w:style w:type="paragraph" w:styleId="2">
    <w:name w:val="Body Text First Indent 2"/>
    <w:basedOn w:val="3"/>
    <w:next w:val="3"/>
    <w:qFormat/>
    <w:uiPriority w:val="0"/>
    <w:pPr>
      <w:ind w:firstLine="420" w:firstLineChars="200"/>
    </w:pPr>
  </w:style>
  <w:style w:type="paragraph" w:styleId="3">
    <w:name w:val="Body Text Indent"/>
    <w:basedOn w:val="1"/>
    <w:next w:val="4"/>
    <w:qFormat/>
    <w:uiPriority w:val="0"/>
    <w:pPr>
      <w:ind w:firstLine="600" w:firstLineChars="200"/>
    </w:pPr>
    <w:rPr>
      <w:b/>
      <w:bCs/>
      <w:sz w:val="30"/>
    </w:rPr>
  </w:style>
  <w:style w:type="paragraph" w:styleId="4">
    <w:name w:val="Normal (Web)"/>
    <w:basedOn w:val="1"/>
    <w:next w:val="1"/>
    <w:qFormat/>
    <w:uiPriority w:val="0"/>
    <w:pPr>
      <w:spacing w:before="100" w:beforeAutospacing="1" w:after="100" w:afterAutospacing="1"/>
      <w:ind w:left="0" w:right="0"/>
      <w:jc w:val="left"/>
    </w:pPr>
    <w:rPr>
      <w:kern w:val="0"/>
      <w:sz w:val="24"/>
      <w:lang w:val="en-US" w:eastAsia="zh-CN" w:bidi="ar"/>
    </w:rPr>
  </w:style>
  <w:style w:type="paragraph" w:styleId="5">
    <w:name w:val="Balloon Text"/>
    <w:basedOn w:val="1"/>
    <w:link w:val="14"/>
    <w:semiHidden/>
    <w:qFormat/>
    <w:uiPriority w:val="0"/>
    <w:rPr>
      <w:rFonts w:asciiTheme="minorHAnsi" w:hAnsiTheme="minorHAnsi" w:eastAsiaTheme="minorEastAsia" w:cstheme="minorBidi"/>
      <w:sz w:val="18"/>
      <w:szCs w:val="18"/>
    </w:rPr>
  </w:style>
  <w:style w:type="paragraph" w:styleId="6">
    <w:name w:val="footer"/>
    <w:basedOn w:val="1"/>
    <w:link w:val="13"/>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7">
    <w:name w:val="header"/>
    <w:basedOn w:val="1"/>
    <w:link w:val="15"/>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Body Text Indent 3"/>
    <w:basedOn w:val="1"/>
    <w:link w:val="12"/>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styleId="11">
    <w:name w:val="Strong"/>
    <w:basedOn w:val="10"/>
    <w:qFormat/>
    <w:uiPriority w:val="0"/>
    <w:rPr>
      <w:rFonts w:cs="Times New Roman"/>
      <w:b/>
      <w:bCs/>
    </w:rPr>
  </w:style>
  <w:style w:type="character" w:customStyle="1" w:styleId="12">
    <w:name w:val="正文文本缩进 3 Char"/>
    <w:link w:val="8"/>
    <w:qFormat/>
    <w:uiPriority w:val="0"/>
    <w:rPr>
      <w:rFonts w:eastAsia="仿宋_GB2312"/>
      <w:sz w:val="32"/>
      <w:szCs w:val="24"/>
    </w:rPr>
  </w:style>
  <w:style w:type="character" w:customStyle="1" w:styleId="13">
    <w:name w:val="页脚 Char"/>
    <w:link w:val="6"/>
    <w:qFormat/>
    <w:uiPriority w:val="99"/>
    <w:rPr>
      <w:rFonts w:eastAsia="黑体"/>
      <w:sz w:val="18"/>
      <w:szCs w:val="18"/>
    </w:rPr>
  </w:style>
  <w:style w:type="character" w:customStyle="1" w:styleId="14">
    <w:name w:val="批注框文本 Char"/>
    <w:link w:val="5"/>
    <w:semiHidden/>
    <w:qFormat/>
    <w:uiPriority w:val="0"/>
    <w:rPr>
      <w:sz w:val="18"/>
      <w:szCs w:val="18"/>
    </w:rPr>
  </w:style>
  <w:style w:type="character" w:customStyle="1" w:styleId="15">
    <w:name w:val="页眉 Char"/>
    <w:link w:val="7"/>
    <w:qFormat/>
    <w:uiPriority w:val="0"/>
    <w:rPr>
      <w:sz w:val="18"/>
      <w:szCs w:val="18"/>
    </w:rPr>
  </w:style>
  <w:style w:type="character" w:customStyle="1" w:styleId="16">
    <w:name w:val="页眉 Char1"/>
    <w:basedOn w:val="10"/>
    <w:semiHidden/>
    <w:qFormat/>
    <w:uiPriority w:val="99"/>
    <w:rPr>
      <w:rFonts w:ascii="Times New Roman" w:hAnsi="Times New Roman" w:eastAsia="宋体" w:cs="Times New Roman"/>
      <w:sz w:val="18"/>
      <w:szCs w:val="18"/>
    </w:rPr>
  </w:style>
  <w:style w:type="character" w:customStyle="1" w:styleId="17">
    <w:name w:val="正文文本缩进 3 Char1"/>
    <w:basedOn w:val="10"/>
    <w:semiHidden/>
    <w:qFormat/>
    <w:uiPriority w:val="99"/>
    <w:rPr>
      <w:rFonts w:ascii="Times New Roman" w:hAnsi="Times New Roman" w:eastAsia="宋体" w:cs="Times New Roman"/>
      <w:sz w:val="16"/>
      <w:szCs w:val="16"/>
    </w:rPr>
  </w:style>
  <w:style w:type="character" w:customStyle="1" w:styleId="18">
    <w:name w:val="页脚 Char1"/>
    <w:basedOn w:val="10"/>
    <w:semiHidden/>
    <w:qFormat/>
    <w:uiPriority w:val="99"/>
    <w:rPr>
      <w:rFonts w:ascii="Times New Roman" w:hAnsi="Times New Roman" w:eastAsia="宋体" w:cs="Times New Roman"/>
      <w:sz w:val="18"/>
      <w:szCs w:val="18"/>
    </w:rPr>
  </w:style>
  <w:style w:type="character" w:customStyle="1" w:styleId="19">
    <w:name w:val="批注框文本 Char1"/>
    <w:basedOn w:val="10"/>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02DD1F-88B6-476F-9C5D-1981DC4457CB}">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25</Pages>
  <Words>1785</Words>
  <Characters>10177</Characters>
  <Lines>84</Lines>
  <Paragraphs>23</Paragraphs>
  <TotalTime>5</TotalTime>
  <ScaleCrop>false</ScaleCrop>
  <LinksUpToDate>false</LinksUpToDate>
  <CharactersWithSpaces>11939</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2021-02-07T02:26:00Z</dcterms:created>
  <dc:creator>闫超</dc:creator>
  <cp:lastModifiedBy>Administrator</cp:lastModifiedBy>
  <cp:lastPrinted>2021-02-07T13:18:00Z</cp:lastPrinted>
  <dcterms:modified xsi:type="dcterms:W3CDTF">2022-04-07T04:41:25Z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