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3</w:t>
      </w:r>
      <w:r>
        <w:rPr>
          <w:rFonts w:hint="eastAsia" w:ascii="黑体" w:hAnsi="黑体" w:eastAsia="黑体"/>
          <w:sz w:val="32"/>
          <w:szCs w:val="32"/>
        </w:rPr>
        <w:t>：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hint="eastAsia" w:ascii="方正小标宋_GBK" w:hAnsi="宋体" w:eastAsia="方正小标宋_GBK"/>
          <w:kern w:val="0"/>
          <w:sz w:val="44"/>
          <w:szCs w:val="44"/>
          <w:lang w:val="en-US" w:eastAsia="zh-CN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  <w:lang w:val="en-US" w:eastAsia="zh-CN"/>
        </w:rPr>
        <w:t>昌吉州农牧机械化技术推广站2022年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黑体" w:hAnsi="黑体" w:eastAsia="黑体"/>
          <w:kern w:val="0"/>
          <w:sz w:val="36"/>
          <w:szCs w:val="32"/>
        </w:rPr>
        <w:sectPr>
          <w:footerReference r:id="rId3" w:type="default"/>
          <w:pgSz w:w="11906" w:h="16838"/>
          <w:pgMar w:top="2098" w:right="1418" w:bottom="1928" w:left="1588" w:header="851" w:footer="992" w:gutter="0"/>
          <w:pgNumType w:fmt="numberInDash" w:start="53"/>
          <w:cols w:space="720" w:num="1"/>
          <w:docGrid w:linePitch="312" w:charSpace="0"/>
        </w:sect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部门预算公开</w:t>
      </w:r>
    </w:p>
    <w:p>
      <w:pPr>
        <w:spacing w:line="560" w:lineRule="exact"/>
        <w:jc w:val="center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目 录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 xml:space="preserve">第一部分  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val="en-US" w:eastAsia="zh-CN"/>
        </w:rPr>
        <w:t>昌吉州农牧机械化技术推广站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部门概况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一、主要职能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二、机构设置及人员情况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第二部分  2022年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  <w:t>昌吉州农牧机械化技术推广站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部门预算公开表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一、部门收支总体情况表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二、部门收入总体情况表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三、部门支出总体情况表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四、财政拨款收支总体情况表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五、一般公共预算支出情况表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六、一般公共预算基本支出情况表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七、一般公共预算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项目支出情况表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八、一般公共预算“三公”经费支出情况表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九、政府性基金预算支出情况表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第三部分  2022年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  <w:t>昌吉州农牧机械化技术推广站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部门预算情况说明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一、关于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昌吉州农牧机械化技术推广站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部门2022年收支预算情况的总体说明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二、关于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昌吉州农牧机械化技术推广站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部门2022年收入预算情况说明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三、关于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昌吉州农牧机械化技术推广站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部门2022年支出预算情况说明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昌吉州农牧机械化技术推广站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部门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五、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昌吉州农牧机械化技术推广站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部门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年一般公共预算当年拨款情况说明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六、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昌吉州农牧机械化技术推广站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部门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七、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昌吉州农牧机械化技术推广站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部门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年一般公共预算项目支出情况说明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八、关于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昌吉州农牧机械化技术推广站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部门2022年一般公共预算“三公”经费预算情况说明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九、关于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昌吉州农牧机械化技术推广站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部门2022年政府性基金预算拨款情况说明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第四部分  名词解释</w:t>
      </w: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  <w:sectPr>
          <w:footerReference r:id="rId4" w:type="default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</w:p>
    <w:p>
      <w:pPr>
        <w:widowControl/>
        <w:spacing w:line="5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第一部分   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昌吉州农牧机械化技术推广站</w:t>
      </w:r>
      <w:r>
        <w:rPr>
          <w:rFonts w:hint="eastAsia" w:ascii="黑体" w:hAnsi="黑体" w:eastAsia="黑体"/>
          <w:kern w:val="0"/>
          <w:sz w:val="32"/>
          <w:szCs w:val="32"/>
        </w:rPr>
        <w:t>部门概况</w:t>
      </w:r>
    </w:p>
    <w:p>
      <w:pPr>
        <w:widowControl/>
        <w:spacing w:line="540" w:lineRule="exact"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40" w:lineRule="exact"/>
        <w:ind w:firstLine="643" w:firstLineChars="200"/>
        <w:jc w:val="left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一、主要职能</w:t>
      </w:r>
    </w:p>
    <w:p>
      <w:pPr>
        <w:widowControl/>
        <w:spacing w:line="540" w:lineRule="exact"/>
        <w:jc w:val="left"/>
        <w:rPr>
          <w:rFonts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 xml:space="preserve">   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昌吉州农牧机械化技术推广站主要职能是推广先进农机技术，提高农业机械化水平。包括农机技术推广管理；农机技术推广机构与队伍建设指导、业务指导；农牧机械化新技术、新机具试验、示范、推广；农机技术培训；农机信息服务等职能。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 xml:space="preserve"> </w:t>
      </w:r>
    </w:p>
    <w:p>
      <w:pPr>
        <w:widowControl/>
        <w:spacing w:line="540" w:lineRule="exact"/>
        <w:ind w:firstLine="643" w:firstLineChars="200"/>
        <w:jc w:val="left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54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val="en-US" w:eastAsia="zh-CN"/>
        </w:rPr>
        <w:t>昌吉州农牧机械化技术推广站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单位无下属预算单位，下设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个科室，分别是：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推广科、市场开发办、培训科、办公室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widowControl/>
        <w:spacing w:line="54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val="en-US" w:eastAsia="zh-CN"/>
        </w:rPr>
        <w:t>昌吉州农牧机械化技术推广站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单位编制数</w:t>
      </w:r>
      <w:r>
        <w:rPr>
          <w:rFonts w:hint="default" w:ascii="仿宋_GB2312" w:hAnsi="宋体" w:eastAsia="仿宋_GB2312" w:cs="宋体"/>
          <w:kern w:val="0"/>
          <w:sz w:val="32"/>
          <w:szCs w:val="32"/>
          <w:lang w:val="en-US"/>
        </w:rPr>
        <w:t>25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个，实有人数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人，其中：在职</w:t>
      </w:r>
      <w:r>
        <w:rPr>
          <w:rFonts w:hint="default" w:ascii="仿宋_GB2312" w:hAnsi="宋体" w:eastAsia="仿宋_GB2312" w:cs="宋体"/>
          <w:kern w:val="0"/>
          <w:sz w:val="32"/>
          <w:szCs w:val="32"/>
          <w:lang w:val="en-US"/>
        </w:rPr>
        <w:t>23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减少1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 退休</w:t>
      </w:r>
      <w:r>
        <w:rPr>
          <w:rFonts w:hint="default" w:ascii="仿宋_GB2312" w:hAnsi="宋体" w:eastAsia="仿宋_GB2312" w:cs="宋体"/>
          <w:kern w:val="0"/>
          <w:sz w:val="32"/>
          <w:szCs w:val="32"/>
          <w:lang w:val="en-US"/>
        </w:rPr>
        <w:t>25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人；离休</w:t>
      </w:r>
      <w:r>
        <w:rPr>
          <w:rFonts w:hint="default" w:ascii="仿宋_GB2312" w:hAnsi="宋体" w:eastAsia="仿宋_GB2312" w:cs="宋体"/>
          <w:kern w:val="0"/>
          <w:sz w:val="32"/>
          <w:szCs w:val="32"/>
          <w:lang w:val="en-US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</w:t>
      </w:r>
      <w:r>
        <w:rPr>
          <w:rFonts w:hint="default" w:ascii="仿宋_GB2312" w:hAnsi="宋体" w:eastAsia="仿宋_GB2312" w:cs="宋体"/>
          <w:kern w:val="0"/>
          <w:sz w:val="32"/>
          <w:szCs w:val="32"/>
          <w:lang w:val="en-US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人。</w:t>
      </w: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both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第二部分  </w:t>
      </w:r>
      <w:r>
        <w:rPr>
          <w:rFonts w:ascii="黑体" w:hAnsi="黑体" w:eastAsia="黑体"/>
          <w:kern w:val="0"/>
          <w:sz w:val="32"/>
          <w:szCs w:val="32"/>
        </w:rPr>
        <w:t>2022</w:t>
      </w:r>
      <w:r>
        <w:rPr>
          <w:rFonts w:hint="eastAsia" w:ascii="黑体" w:hAnsi="黑体" w:eastAsia="黑体"/>
          <w:kern w:val="0"/>
          <w:sz w:val="32"/>
          <w:szCs w:val="32"/>
        </w:rPr>
        <w:t>年部门（单位）预算公开表</w:t>
      </w:r>
    </w:p>
    <w:p>
      <w:pPr>
        <w:widowControl/>
        <w:spacing w:line="240" w:lineRule="exact"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表1</w:t>
      </w:r>
    </w:p>
    <w:p>
      <w:pPr>
        <w:widowControl/>
        <w:spacing w:line="3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部门（单位）收支总体情况表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编制部门（单位）：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>昌吉州农牧机械化技术推广站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单位：万元</w:t>
      </w:r>
    </w:p>
    <w:tbl>
      <w:tblPr>
        <w:tblStyle w:val="6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379.4</w:t>
            </w:r>
            <w:r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379.4</w:t>
            </w:r>
            <w:r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国有资本经营预算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财政专户（教育收费）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37.41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27.57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283.07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31.36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bidi="ar"/>
              </w:rPr>
              <w:t>234 抗疫特别国债还本支出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379.4</w:t>
            </w:r>
            <w:r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79.40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表2</w:t>
      </w:r>
    </w:p>
    <w:p>
      <w:pPr>
        <w:widowControl/>
        <w:spacing w:line="44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</w:rPr>
        <w:t>部门（单位）收入总体情况表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>昌吉州农牧机械化技术推广站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单位：万元</w:t>
      </w:r>
    </w:p>
    <w:tbl>
      <w:tblPr>
        <w:tblStyle w:val="6"/>
        <w:tblW w:w="9741" w:type="dxa"/>
        <w:tblInd w:w="-4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7"/>
        <w:gridCol w:w="417"/>
        <w:gridCol w:w="417"/>
        <w:gridCol w:w="2145"/>
        <w:gridCol w:w="1018"/>
        <w:gridCol w:w="956"/>
        <w:gridCol w:w="765"/>
        <w:gridCol w:w="633"/>
        <w:gridCol w:w="921"/>
        <w:gridCol w:w="660"/>
        <w:gridCol w:w="708"/>
        <w:gridCol w:w="68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21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10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9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7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6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国有资本经营预算</w:t>
            </w:r>
          </w:p>
        </w:tc>
        <w:tc>
          <w:tcPr>
            <w:tcW w:w="9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财政专户（教育收费）</w:t>
            </w:r>
          </w:p>
        </w:tc>
        <w:tc>
          <w:tcPr>
            <w:tcW w:w="6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单位其他资金收入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21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社会保障和就业支出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37.41</w:t>
            </w:r>
          </w:p>
        </w:tc>
        <w:tc>
          <w:tcPr>
            <w:tcW w:w="9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37.41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行政事业单位养老支出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37.41</w:t>
            </w:r>
          </w:p>
        </w:tc>
        <w:tc>
          <w:tcPr>
            <w:tcW w:w="9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37.41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事业单位离退休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2.5</w:t>
            </w:r>
          </w:p>
        </w:tc>
        <w:tc>
          <w:tcPr>
            <w:tcW w:w="9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2.5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机关事业单位基本养老保险缴费支出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34.91</w:t>
            </w:r>
          </w:p>
        </w:tc>
        <w:tc>
          <w:tcPr>
            <w:tcW w:w="9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34.91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卫生健康支出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27.57</w:t>
            </w:r>
          </w:p>
        </w:tc>
        <w:tc>
          <w:tcPr>
            <w:tcW w:w="9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27.57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行政事业单位医疗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27.57</w:t>
            </w:r>
          </w:p>
        </w:tc>
        <w:tc>
          <w:tcPr>
            <w:tcW w:w="9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27.57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事业单位医疗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20.73</w:t>
            </w:r>
          </w:p>
        </w:tc>
        <w:tc>
          <w:tcPr>
            <w:tcW w:w="9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20.73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公务员医疗补助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6.55</w:t>
            </w:r>
          </w:p>
        </w:tc>
        <w:tc>
          <w:tcPr>
            <w:tcW w:w="9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6.55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其他行政事业单位医疗支出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0.29</w:t>
            </w:r>
          </w:p>
        </w:tc>
        <w:tc>
          <w:tcPr>
            <w:tcW w:w="9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0.29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213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农林水支出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283.07</w:t>
            </w:r>
          </w:p>
        </w:tc>
        <w:tc>
          <w:tcPr>
            <w:tcW w:w="9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283.07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213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农业农村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283.07</w:t>
            </w:r>
          </w:p>
        </w:tc>
        <w:tc>
          <w:tcPr>
            <w:tcW w:w="9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283.07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213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04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事业运行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283.07</w:t>
            </w:r>
          </w:p>
        </w:tc>
        <w:tc>
          <w:tcPr>
            <w:tcW w:w="9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283.07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221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住房保障支出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31.36</w:t>
            </w:r>
          </w:p>
        </w:tc>
        <w:tc>
          <w:tcPr>
            <w:tcW w:w="9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31.36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221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住房改革支出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31.36</w:t>
            </w:r>
          </w:p>
        </w:tc>
        <w:tc>
          <w:tcPr>
            <w:tcW w:w="9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31.36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221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住房公积金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31.36</w:t>
            </w:r>
          </w:p>
        </w:tc>
        <w:tc>
          <w:tcPr>
            <w:tcW w:w="9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31.36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0"/>
                <w:szCs w:val="20"/>
              </w:rPr>
              <w:t>合  计　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379.40</w:t>
            </w:r>
          </w:p>
        </w:tc>
        <w:tc>
          <w:tcPr>
            <w:tcW w:w="9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379.40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表3</w:t>
      </w:r>
    </w:p>
    <w:p>
      <w:pPr>
        <w:widowControl/>
        <w:spacing w:line="36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</w:rPr>
        <w:t>部门（单位）支出总体情况表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>昌吉州农牧机械化技术推广站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单位：万元</w:t>
      </w:r>
    </w:p>
    <w:tbl>
      <w:tblPr>
        <w:tblStyle w:val="6"/>
        <w:tblW w:w="9420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416"/>
        <w:gridCol w:w="416"/>
        <w:gridCol w:w="2547"/>
        <w:gridCol w:w="1829"/>
        <w:gridCol w:w="1830"/>
        <w:gridCol w:w="186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55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3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4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2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3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86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54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2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6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社会保障和就业支出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  <w:t>37.41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  <w:t>37.41</w:t>
            </w: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行政事业单位养老支出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  <w:t>37.41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  <w:t>37.41</w:t>
            </w: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事业单位离退休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  <w:t>2.5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  <w:t>2.5</w:t>
            </w: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机关事业单位基本养老保险缴费支出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  <w:t>34.91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  <w:t>34.91</w:t>
            </w: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卫生健康支出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  <w:t>27.57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  <w:t>27.57</w:t>
            </w: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行政事业单位医疗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  <w:t>27.57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  <w:t>27.57</w:t>
            </w: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事业单位医疗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  <w:t>20.73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  <w:t>20.73</w:t>
            </w: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公务员医疗补助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6.55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6.55</w:t>
            </w: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其他行政事业单位医疗支出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0.29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0.29</w:t>
            </w: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213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农林水支出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283.07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283.07</w:t>
            </w: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213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农业农村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283.07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283.07</w:t>
            </w: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213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04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事业运行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283.07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283.07</w:t>
            </w: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221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住房保障支出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31.36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31.36</w:t>
            </w: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221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住房改革支出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31.36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31.36</w:t>
            </w: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221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住房公积金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31.36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31.36</w:t>
            </w: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/>
              </w:rPr>
              <w:t>379.40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/>
              </w:rPr>
              <w:t>379.40</w:t>
            </w: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</w:tbl>
    <w:p>
      <w:pPr>
        <w:widowControl/>
        <w:outlineLvl w:val="1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表4</w:t>
      </w:r>
    </w:p>
    <w:p>
      <w:pPr>
        <w:widowControl/>
        <w:spacing w:before="120" w:beforeLines="50"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="120" w:beforeLines="50" w:line="280" w:lineRule="exact"/>
        <w:outlineLvl w:val="1"/>
        <w:rPr>
          <w:rFonts w:ascii="仿宋_GB2312" w:hAnsi="宋体" w:eastAsia="仿宋_GB2312"/>
          <w:kern w:val="0"/>
          <w:szCs w:val="21"/>
        </w:rPr>
      </w:pPr>
      <w:r>
        <w:rPr>
          <w:rFonts w:hint="eastAsia" w:ascii="仿宋_GB2312" w:hAnsi="宋体" w:eastAsia="仿宋_GB2312"/>
          <w:kern w:val="0"/>
          <w:szCs w:val="21"/>
        </w:rPr>
        <w:t>编制部门（单位）：</w:t>
      </w:r>
      <w:r>
        <w:rPr>
          <w:rFonts w:hint="eastAsia" w:ascii="仿宋_GB2312" w:hAnsi="宋体" w:eastAsia="仿宋_GB2312"/>
          <w:kern w:val="0"/>
          <w:szCs w:val="21"/>
          <w:lang w:val="en-US" w:eastAsia="zh-CN"/>
        </w:rPr>
        <w:t>昌吉州农牧机械化技术推广站</w:t>
      </w:r>
      <w:r>
        <w:rPr>
          <w:rFonts w:hint="eastAsia" w:ascii="仿宋_GB2312" w:hAnsi="宋体" w:eastAsia="仿宋_GB2312"/>
          <w:kern w:val="0"/>
          <w:szCs w:val="21"/>
        </w:rPr>
        <w:t xml:space="preserve">                         单位：万元</w:t>
      </w:r>
    </w:p>
    <w:tbl>
      <w:tblPr>
        <w:tblStyle w:val="6"/>
        <w:tblW w:w="9449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6"/>
        <w:gridCol w:w="914"/>
        <w:gridCol w:w="2580"/>
        <w:gridCol w:w="900"/>
        <w:gridCol w:w="851"/>
        <w:gridCol w:w="1134"/>
        <w:gridCol w:w="113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59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/>
              </w:rPr>
              <w:t>379.40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一般公共预算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/>
              </w:rPr>
              <w:t>379.40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政府性基金预算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国有资本经营预算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cs="宋体"/>
                <w:kern w:val="0"/>
                <w:sz w:val="18"/>
                <w:szCs w:val="18"/>
                <w:lang w:val="en-US"/>
              </w:rPr>
            </w:pPr>
            <w:r>
              <w:rPr>
                <w:rFonts w:hint="default" w:ascii="宋体" w:hAnsi="宋体" w:cs="宋体"/>
                <w:kern w:val="0"/>
                <w:sz w:val="18"/>
                <w:szCs w:val="18"/>
                <w:lang w:val="en-US"/>
              </w:rPr>
              <w:t>37.41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cs="宋体"/>
                <w:kern w:val="0"/>
                <w:sz w:val="18"/>
                <w:szCs w:val="18"/>
                <w:lang w:val="en-US"/>
              </w:rPr>
            </w:pPr>
            <w:r>
              <w:rPr>
                <w:rFonts w:hint="default" w:ascii="宋体" w:hAnsi="宋体" w:cs="宋体"/>
                <w:kern w:val="0"/>
                <w:sz w:val="18"/>
                <w:szCs w:val="18"/>
                <w:lang w:val="en-US"/>
              </w:rPr>
              <w:t>37.41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cs="宋体"/>
                <w:kern w:val="0"/>
                <w:sz w:val="18"/>
                <w:szCs w:val="18"/>
                <w:lang w:val="en-US"/>
              </w:rPr>
            </w:pPr>
            <w:r>
              <w:rPr>
                <w:rFonts w:hint="default" w:ascii="宋体" w:hAnsi="宋体" w:cs="宋体"/>
                <w:kern w:val="0"/>
                <w:sz w:val="18"/>
                <w:szCs w:val="18"/>
                <w:lang w:val="en-US"/>
              </w:rPr>
              <w:t>27.57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cs="宋体"/>
                <w:kern w:val="0"/>
                <w:sz w:val="18"/>
                <w:szCs w:val="18"/>
                <w:lang w:val="en-US"/>
              </w:rPr>
            </w:pPr>
            <w:r>
              <w:rPr>
                <w:rFonts w:hint="default" w:ascii="宋体" w:hAnsi="宋体" w:cs="宋体"/>
                <w:kern w:val="0"/>
                <w:sz w:val="18"/>
                <w:szCs w:val="18"/>
                <w:lang w:val="en-US"/>
              </w:rPr>
              <w:t>27.57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cs="宋体"/>
                <w:kern w:val="0"/>
                <w:sz w:val="18"/>
                <w:szCs w:val="18"/>
                <w:lang w:val="en-US"/>
              </w:rPr>
            </w:pPr>
            <w:r>
              <w:rPr>
                <w:rFonts w:hint="default" w:ascii="宋体" w:hAnsi="宋体" w:cs="宋体"/>
                <w:kern w:val="0"/>
                <w:sz w:val="18"/>
                <w:szCs w:val="18"/>
                <w:lang w:val="en-US"/>
              </w:rPr>
              <w:t>283.07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cs="宋体"/>
                <w:kern w:val="0"/>
                <w:sz w:val="18"/>
                <w:szCs w:val="18"/>
                <w:lang w:val="en-US"/>
              </w:rPr>
            </w:pPr>
            <w:r>
              <w:rPr>
                <w:rFonts w:hint="default" w:ascii="宋体" w:hAnsi="宋体" w:cs="宋体"/>
                <w:kern w:val="0"/>
                <w:sz w:val="18"/>
                <w:szCs w:val="18"/>
                <w:lang w:val="en-US"/>
              </w:rPr>
              <w:t>283.07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cs="宋体"/>
                <w:kern w:val="0"/>
                <w:sz w:val="18"/>
                <w:szCs w:val="18"/>
                <w:lang w:val="en-US"/>
              </w:rPr>
            </w:pPr>
            <w:r>
              <w:rPr>
                <w:rFonts w:hint="default" w:ascii="宋体" w:hAnsi="宋体" w:cs="宋体"/>
                <w:kern w:val="0"/>
                <w:sz w:val="18"/>
                <w:szCs w:val="18"/>
                <w:lang w:val="en-US"/>
              </w:rPr>
              <w:t>31.36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cs="宋体"/>
                <w:kern w:val="0"/>
                <w:sz w:val="18"/>
                <w:szCs w:val="18"/>
                <w:lang w:val="en-US"/>
              </w:rPr>
            </w:pPr>
            <w:r>
              <w:rPr>
                <w:rFonts w:hint="default" w:ascii="宋体" w:hAnsi="宋体" w:cs="宋体"/>
                <w:kern w:val="0"/>
                <w:sz w:val="18"/>
                <w:szCs w:val="18"/>
                <w:lang w:val="en-US"/>
              </w:rPr>
              <w:t>31.36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仿宋_GB2312" w:hAnsi="宋体" w:eastAsia="仿宋_GB2312" w:cs="宋体"/>
                <w:color w:val="000000"/>
                <w:kern w:val="0"/>
                <w:sz w:val="22"/>
                <w:szCs w:val="22"/>
                <w:lang w:val="en-US"/>
              </w:rPr>
              <w:t>379.40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cs="宋体"/>
                <w:kern w:val="0"/>
                <w:sz w:val="18"/>
                <w:szCs w:val="18"/>
                <w:lang w:val="en-US"/>
              </w:rPr>
            </w:pPr>
            <w:r>
              <w:rPr>
                <w:rFonts w:hint="default" w:ascii="宋体" w:hAnsi="宋体" w:cs="宋体"/>
                <w:kern w:val="0"/>
                <w:sz w:val="18"/>
                <w:szCs w:val="18"/>
                <w:lang w:val="en-US"/>
              </w:rPr>
              <w:t>379.40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cs="宋体"/>
                <w:kern w:val="0"/>
                <w:sz w:val="18"/>
                <w:szCs w:val="18"/>
                <w:lang w:val="en-US"/>
              </w:rPr>
            </w:pPr>
            <w:r>
              <w:rPr>
                <w:rFonts w:hint="default" w:ascii="宋体" w:hAnsi="宋体" w:cs="宋体"/>
                <w:kern w:val="0"/>
                <w:sz w:val="18"/>
                <w:szCs w:val="18"/>
                <w:lang w:val="en-US"/>
              </w:rPr>
              <w:t>379.40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>
      <w:pPr>
        <w:widowControl/>
        <w:spacing w:line="32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  <w:r>
        <w:rPr>
          <w:rFonts w:ascii="仿宋_GB2312" w:hAnsi="宋体" w:eastAsia="仿宋_GB2312"/>
          <w:b/>
          <w:kern w:val="0"/>
          <w:sz w:val="28"/>
          <w:szCs w:val="32"/>
        </w:rPr>
        <w:t xml:space="preserve"> </w:t>
      </w: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表5</w:t>
      </w:r>
    </w:p>
    <w:tbl>
      <w:tblPr>
        <w:tblStyle w:val="6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592"/>
        <w:gridCol w:w="1602"/>
        <w:gridCol w:w="216"/>
        <w:gridCol w:w="1626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88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both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昌吉州农牧机械化技术推广站</w:t>
            </w:r>
          </w:p>
          <w:p>
            <w:pPr>
              <w:widowControl/>
              <w:jc w:val="both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514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9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0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9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社会保障和就业支出</w:t>
            </w:r>
          </w:p>
        </w:tc>
        <w:tc>
          <w:tcPr>
            <w:tcW w:w="16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  <w:t>37.41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  <w:t>37.41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行政事业单位养老支出</w:t>
            </w:r>
          </w:p>
        </w:tc>
        <w:tc>
          <w:tcPr>
            <w:tcW w:w="16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  <w:t>37.41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  <w:t>37.41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2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事业单位离退休</w:t>
            </w:r>
          </w:p>
        </w:tc>
        <w:tc>
          <w:tcPr>
            <w:tcW w:w="16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  <w:t>2.5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2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机关事业单位基本养老保险缴费支出</w:t>
            </w:r>
          </w:p>
        </w:tc>
        <w:tc>
          <w:tcPr>
            <w:tcW w:w="16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  <w:t>34.91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  <w:t>34.91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卫生健康支出</w:t>
            </w:r>
          </w:p>
        </w:tc>
        <w:tc>
          <w:tcPr>
            <w:tcW w:w="16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  <w:t>27.57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  <w:t>27.57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行政事业单位医疗</w:t>
            </w:r>
          </w:p>
        </w:tc>
        <w:tc>
          <w:tcPr>
            <w:tcW w:w="16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  <w:t>27.57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  <w:t>27.57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2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事业单位医疗</w:t>
            </w:r>
          </w:p>
        </w:tc>
        <w:tc>
          <w:tcPr>
            <w:tcW w:w="16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  <w:t>20.73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  <w:t>20.73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2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公务员医疗补助</w:t>
            </w:r>
          </w:p>
        </w:tc>
        <w:tc>
          <w:tcPr>
            <w:tcW w:w="16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6.55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6.55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2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其他行政事业单位医疗支出</w:t>
            </w:r>
          </w:p>
        </w:tc>
        <w:tc>
          <w:tcPr>
            <w:tcW w:w="16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0.29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0.29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213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农林水支出</w:t>
            </w:r>
          </w:p>
        </w:tc>
        <w:tc>
          <w:tcPr>
            <w:tcW w:w="16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283.07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283.07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213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农业农村</w:t>
            </w:r>
          </w:p>
        </w:tc>
        <w:tc>
          <w:tcPr>
            <w:tcW w:w="16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283.07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283.07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213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04</w:t>
            </w:r>
          </w:p>
        </w:tc>
        <w:tc>
          <w:tcPr>
            <w:tcW w:w="2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事业运行</w:t>
            </w:r>
          </w:p>
        </w:tc>
        <w:tc>
          <w:tcPr>
            <w:tcW w:w="16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283.07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283.07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221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住房保障支出</w:t>
            </w:r>
          </w:p>
        </w:tc>
        <w:tc>
          <w:tcPr>
            <w:tcW w:w="16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31.36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31.36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221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住房改革支出</w:t>
            </w:r>
          </w:p>
        </w:tc>
        <w:tc>
          <w:tcPr>
            <w:tcW w:w="16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31.36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31.36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221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2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住房公积金</w:t>
            </w:r>
          </w:p>
        </w:tc>
        <w:tc>
          <w:tcPr>
            <w:tcW w:w="16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31.36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31.36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6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/>
              </w:rPr>
              <w:t>379.40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/>
              </w:rPr>
              <w:t>379.40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表6</w:t>
      </w:r>
    </w:p>
    <w:tbl>
      <w:tblPr>
        <w:tblStyle w:val="6"/>
        <w:tblW w:w="9328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2891"/>
        <w:gridCol w:w="1701"/>
        <w:gridCol w:w="976"/>
        <w:gridCol w:w="725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2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690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both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昌吉州农牧机械化技术推广站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工资福利支出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315.33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315.33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基本工资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104.75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104.75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津贴补贴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23.69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23.69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奖金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8.56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8.56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绩效工资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83.58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83.58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机关事业单位基本养老保险缴费支出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34.91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34.91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城镇职工基本医疗保险缴费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20.73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20.73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公务员医疗补助缴费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6.55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6.55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其他社会保障缴费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1.22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1.22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住房公积金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31.36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31.36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商品和服务支出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36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办公费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8.58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8.58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邮电费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差旅费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维修（护）费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0.8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0.8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培训费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0.7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0.7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公务接待费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0.98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0.98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劳务费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工会经费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4.11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4.11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福利费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3.7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3.7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公务用车运行维护费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4.45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4.55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39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其他交通费用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1.56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1.56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其他商品和服务支出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6.12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6.12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对个人和家庭的补助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离休费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医疗费补助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23.7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23.7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奖励金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1.87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1.87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379.4</w:t>
            </w:r>
            <w:r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343.4</w:t>
            </w:r>
            <w:r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36.0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表7</w:t>
      </w:r>
    </w:p>
    <w:tbl>
      <w:tblPr>
        <w:tblStyle w:val="6"/>
        <w:tblW w:w="9540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389"/>
        <w:gridCol w:w="397"/>
        <w:gridCol w:w="397"/>
        <w:gridCol w:w="851"/>
        <w:gridCol w:w="1456"/>
        <w:gridCol w:w="750"/>
        <w:gridCol w:w="56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7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375" w:hRule="atLeast"/>
        </w:trPr>
        <w:tc>
          <w:tcPr>
            <w:tcW w:w="9453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405" w:hRule="atLeast"/>
        </w:trPr>
        <w:tc>
          <w:tcPr>
            <w:tcW w:w="7027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昌吉州农牧机械化技术推广站</w:t>
            </w:r>
          </w:p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91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397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Cs w:val="21"/>
              </w:rPr>
              <w:t>合 计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6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</w:tbl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  <w:lang w:val="en-US" w:eastAsia="zh-CN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val="en-US" w:eastAsia="zh-CN"/>
        </w:rPr>
        <w:t>本单位2022年度项目</w:t>
      </w:r>
      <w:r>
        <w:rPr>
          <w:rFonts w:hint="eastAsia" w:ascii="仿宋_GB2312" w:hAnsi="宋体" w:eastAsia="仿宋_GB2312" w:cs="宋体"/>
          <w:b/>
          <w:bCs/>
          <w:kern w:val="0"/>
          <w:sz w:val="28"/>
          <w:szCs w:val="28"/>
        </w:rPr>
        <w:t>预算未安排</w:t>
      </w:r>
      <w:r>
        <w:rPr>
          <w:rFonts w:hint="eastAsia" w:ascii="仿宋_GB2312" w:hAnsi="宋体" w:eastAsia="仿宋_GB2312" w:cs="宋体"/>
          <w:b/>
          <w:bCs/>
          <w:kern w:val="0"/>
          <w:sz w:val="28"/>
          <w:szCs w:val="28"/>
          <w:lang w:eastAsia="zh-CN"/>
        </w:rPr>
        <w:t>，此表为空表。</w:t>
      </w: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表8</w:t>
      </w:r>
    </w:p>
    <w:p>
      <w:pPr>
        <w:widowControl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>昌吉州农牧机械化技术推广站</w:t>
      </w:r>
      <w:r>
        <w:rPr>
          <w:rFonts w:hint="eastAsia" w:ascii="仿宋_GB2312" w:hAnsi="宋体" w:eastAsia="仿宋_GB2312"/>
          <w:kern w:val="0"/>
          <w:sz w:val="24"/>
        </w:rPr>
        <w:t xml:space="preserve">           单位：万元</w:t>
      </w:r>
    </w:p>
    <w:tbl>
      <w:tblPr>
        <w:tblStyle w:val="6"/>
        <w:tblW w:w="9240" w:type="dxa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5.43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4.45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4.45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0.98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表9</w:t>
      </w:r>
    </w:p>
    <w:p>
      <w:pPr>
        <w:widowControl/>
        <w:spacing w:line="36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2"/>
          <w:szCs w:val="32"/>
        </w:rPr>
        <w:t>政府性基金预算支出情况表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>昌吉州农牧机械化技术推广站</w:t>
      </w:r>
      <w:r>
        <w:rPr>
          <w:rFonts w:hint="eastAsia" w:ascii="仿宋_GB2312" w:hAnsi="宋体" w:eastAsia="仿宋_GB2312"/>
          <w:kern w:val="0"/>
          <w:sz w:val="24"/>
        </w:rPr>
        <w:t xml:space="preserve">             单位：万元</w:t>
      </w:r>
    </w:p>
    <w:tbl>
      <w:tblPr>
        <w:tblStyle w:val="6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spacing w:line="280" w:lineRule="exact"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spacing w:line="280" w:lineRule="exact"/>
        <w:outlineLvl w:val="1"/>
        <w:rPr>
          <w:rFonts w:hint="eastAsia" w:ascii="仿宋_GB2312" w:hAnsi="宋体" w:eastAsia="仿宋_GB2312"/>
          <w:b/>
          <w:kern w:val="0"/>
          <w:sz w:val="28"/>
          <w:szCs w:val="32"/>
          <w:lang w:val="en-US" w:eastAsia="zh-CN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val="en-US" w:eastAsia="zh-CN"/>
        </w:rPr>
        <w:t>本单位2022年度</w:t>
      </w:r>
      <w:r>
        <w:rPr>
          <w:rFonts w:hint="eastAsia" w:ascii="仿宋_GB2312" w:hAnsi="宋体" w:eastAsia="仿宋_GB2312" w:cs="宋体"/>
          <w:b/>
          <w:bCs/>
          <w:kern w:val="0"/>
          <w:sz w:val="28"/>
          <w:szCs w:val="28"/>
        </w:rPr>
        <w:t>政府性基金预算未安排</w:t>
      </w:r>
      <w:r>
        <w:rPr>
          <w:rFonts w:hint="eastAsia" w:ascii="仿宋_GB2312" w:hAnsi="宋体" w:eastAsia="仿宋_GB2312" w:cs="宋体"/>
          <w:b/>
          <w:bCs/>
          <w:kern w:val="0"/>
          <w:sz w:val="28"/>
          <w:szCs w:val="28"/>
          <w:lang w:eastAsia="zh-CN"/>
        </w:rPr>
        <w:t>，此表为空表。</w:t>
      </w: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footerReference r:id="rId5" w:type="default"/>
          <w:pgSz w:w="11906" w:h="16838"/>
          <w:pgMar w:top="2098" w:right="1531" w:bottom="1984" w:left="1531" w:header="851" w:footer="992" w:gutter="0"/>
          <w:pgNumType w:fmt="numberInDash" w:start="56"/>
          <w:cols w:space="720" w:num="1"/>
          <w:docGrid w:linePitch="312" w:charSpace="0"/>
        </w:sect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 2022年部门（单位）预算情况说明</w:t>
      </w:r>
    </w:p>
    <w:p>
      <w:pPr>
        <w:spacing w:line="560" w:lineRule="exact"/>
        <w:ind w:firstLine="640" w:firstLineChars="200"/>
        <w:rPr>
          <w:rFonts w:ascii="黑体" w:hAnsi="黑体" w:eastAsia="黑体"/>
          <w:kern w:val="0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一、关于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  <w:lang w:val="en-US" w:eastAsia="zh-CN"/>
        </w:rPr>
        <w:t>昌吉州农牧机械化技术推广站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部门2022年收支预算情况的总体说明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昌吉州农牧机械化技术推广站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部门2022年所有收入和支出均纳入部门预算管理。收支总预算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379.4</w:t>
      </w:r>
      <w:r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支出预算包括：社会保障和就业支出、医疗卫生健康支出、农林水支出、住房保障支出等。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二、关于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val="en-US" w:eastAsia="zh-CN"/>
        </w:rPr>
        <w:t>昌吉州农牧机械化技术推广站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部门2022年收入预算情况说明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昌吉州农牧机械化技术推广站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部门收入预算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379.4</w:t>
      </w:r>
      <w:r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379.4</w:t>
      </w:r>
      <w:r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15.0</w:t>
      </w:r>
      <w:r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4.1</w:t>
      </w:r>
      <w:r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人员工资福利支出增加。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三、关于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val="en-US" w:eastAsia="zh-CN"/>
        </w:rPr>
        <w:t>昌吉州农牧机械化技术推广站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部门2022年支出预算情况说明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昌吉州农牧机械化技术推广站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部门2022年支出预算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379.4</w:t>
      </w:r>
      <w:r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379.4</w:t>
      </w:r>
      <w:r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15.0</w:t>
      </w:r>
      <w:r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4.1</w:t>
      </w:r>
      <w:r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人员工资福利支出增加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本单位上年度和本年度财政一般公共预算未安排项目支出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四、关于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val="en-US" w:eastAsia="zh-CN"/>
        </w:rPr>
        <w:t>昌吉州农牧机械化技术推广站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部门2022年财政拨款收支预算情况的总体说明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spacing w:val="-4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2022年财政拨款收支总预算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379.4</w:t>
      </w:r>
      <w:r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收入全部为一般公共预算拨款，无政府性基金预算拨款和国有资本经营预算。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收入预算包括：一般公共预算拨款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379.4</w:t>
      </w:r>
      <w:r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一般公共预算支出包括：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社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会保障和就业支出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37.41万元，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主要用于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事业单位离退休和机关事业单位基本养老保险缴费支出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医疗卫生健康支出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27.57万元，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主要用于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事业单位医疗、公务员医疗补助和其他行政事业单位医疗支出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农林水支出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283.</w:t>
      </w:r>
      <w:r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主要用于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工资福利支出、商品和服务支出和对个人和家庭的补助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住房保障支出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31.36万元，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主要用于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住房公积金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五、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  <w:lang w:val="en-US" w:eastAsia="zh-CN"/>
        </w:rPr>
        <w:t>昌吉州农牧机械化技术推广站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部门2022年一般公共预算当年拨款情况说明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（一）一般公共预算当年拨款规模变化情况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昌吉州农牧机械化技术推广站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部门2022年一般公共预算拨款合计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379.4</w:t>
      </w:r>
      <w:r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万元，其中：基本支出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379.4</w:t>
      </w:r>
      <w:r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15.0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4.1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人员工资福利支出增加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上年度和本年度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一般公共预算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未按排项目支出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（二）一般公共预算当年拨款结构情况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社会保障和就业支出37.41万元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9.86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卫生健康支出27.57万元，占7.27%。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3.农林水支出283.07万元，占74.61%。</w:t>
      </w:r>
    </w:p>
    <w:p>
      <w:pPr>
        <w:spacing w:line="56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4.住房保障支出31.36万元，占8.26%。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（三）一般公共预算当年拨款具体使用情况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社会保障和就业支出（类）行政事业单位养老支出（款）事业单位离退休（项）：2022年预算数为2.5万元，比上年预算增加2.5万元，增长100%，主要原因是上年度此项预算未在此功能科目中反映。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2.社会保障和就业支出（类）行政事业单位养老支出（款）机关事业单位基本养老保险缴费支出（项）：2022年预算数为34.91万元，比上年预算增加4.26万元，增长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  <w:t>13.9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%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  <w:t>,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主要原因是人员工资福利支出增加。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3.卫生健康支出（类）行政事业单位医疗（款）事业单位医疗（项）：2022年预算数为20.73万元，比上年预算减少13.25万元，下降38.99%，主要原因上年度此功能科目中包括退休人员医疗费用。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4.卫生健康支出（类）行政事业单位医疗（款）公务员医疗补助（项）：2022年预算数为6.55万元，比上年预算减少4.46万元，下降了40.51%，主要原因上年度此功能科目中包括退休人员公务员医疗补助。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5.卫生健康支出（类）行政事业单位医疗（款）其他行政事业单位医疗支出（项）：2022年预算数为0.29万元，比上年预算减少0.6万元，下降67.42%，主要原因上年度此功能科目中包括退休人员其他医疗支出。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6.农林水支出（类）农业农村（款）事业运行（项）：2022年预算数为283.07万元，比上年预算减少4.74万元，下降1.65%，主要原因本年度对部分支出列示到其他功能科目。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7.住房保障支出（类）住房改革支出（款）住房公积金（项）：2022年预算数为31.36万元，比上年预算增加31.36万元，增长100%，主要原因是上年度此项预算支出在农林水支出（类）农业农村（款）事业运行（项）列示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六、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  <w:lang w:val="en-US" w:eastAsia="zh-CN"/>
        </w:rPr>
        <w:t>昌吉州农牧机械化技术推广站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部门2022年一般公共预算基本支出情况说明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昌吉州农牧机械化技术推广站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部门2022年一般公共预算基本支出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  <w:t>379.40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万元， 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343.40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万元，主要包括：基本工资、津贴补贴、奖金、绩效工资、机关事业单位基本养老保险缴费、职工基本医疗保险缴费、公务员医疗补助缴费、其他社会保障缴费、住房公积金、离休费、医疗费补助、奖励金等。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万元，主要包括：办公费、邮电费、差旅费、维修（护）费、培训费、公务接待费、劳务费、工会经费、福利费、公务用车运行维护费、其他交通费用、其他商品和服务支出等。</w:t>
      </w:r>
    </w:p>
    <w:p>
      <w:pPr>
        <w:numPr>
          <w:ilvl w:val="0"/>
          <w:numId w:val="1"/>
        </w:numPr>
        <w:spacing w:line="560" w:lineRule="exact"/>
        <w:ind w:firstLine="619" w:firstLineChars="200"/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  <w:lang w:val="en-US" w:eastAsia="zh-CN"/>
        </w:rPr>
        <w:t>昌吉州农牧机械化技术推广站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部门2022年一般公共预算项目支出情况说明</w:t>
      </w:r>
    </w:p>
    <w:p>
      <w:pPr>
        <w:numPr>
          <w:ilvl w:val="0"/>
          <w:numId w:val="0"/>
        </w:numPr>
        <w:spacing w:line="560" w:lineRule="exact"/>
        <w:rPr>
          <w:rFonts w:hint="eastAsia" w:ascii="仿宋_GB2312" w:hAnsi="仿宋_GB2312" w:eastAsia="仿宋_GB2312" w:cs="仿宋_GB2312"/>
          <w:b w:val="0"/>
          <w:bCs w:val="0"/>
          <w:spacing w:val="-6"/>
          <w:kern w:val="0"/>
          <w:sz w:val="28"/>
          <w:szCs w:val="28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楷体_GB2312" w:hAnsi="楷体_GB2312" w:eastAsia="楷体_GB2312" w:cs="楷体_GB2312"/>
          <w:b w:val="0"/>
          <w:bCs w:val="0"/>
          <w:spacing w:val="-6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昌吉州农牧机械化技术推广站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部门2022年没有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安排一般公共预算项目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支出，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一般公共预算项目支出情况表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为空表。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八、关于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val="en-US" w:eastAsia="zh-CN"/>
        </w:rPr>
        <w:t>昌吉州农牧机械化技术推广站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部门2022年一般公共预算“三公”经费预算情况说明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昌吉州农牧机械化技术推广站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部门2022年一般公共预算“三公”经费数为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5.43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万元，公务用车购置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万元，公务用车运行费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4.45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0.98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2022年一般公共预算“三公”经费比上年增加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%，其中：因公出国（境）费比上年增加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主要原因是</w:t>
      </w:r>
      <w:r>
        <w:rPr>
          <w:rFonts w:hint="eastAsia" w:ascii="仿宋_GB2312" w:hAnsi="宋体" w:eastAsia="仿宋_GB2312"/>
          <w:sz w:val="32"/>
          <w:szCs w:val="32"/>
        </w:rPr>
        <w:t>未安排因公出国（境）工作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；公务用车购置费比上年增加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%，主要原因是未安排预算；公务用车运行费比上年增加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Tahoma" w:eastAsia="仿宋_GB2312" w:cs="Tahoma"/>
          <w:sz w:val="32"/>
          <w:szCs w:val="32"/>
        </w:rPr>
        <w:t>单位严格贯彻中央和区州厉行节约的规定，严格控制公务用车运行</w:t>
      </w:r>
      <w:r>
        <w:rPr>
          <w:rFonts w:hint="eastAsia" w:ascii="仿宋_GB2312" w:hAnsi="Tahoma" w:eastAsia="仿宋_GB2312" w:cs="Tahoma"/>
          <w:sz w:val="32"/>
          <w:szCs w:val="32"/>
          <w:lang w:val="en-US" w:eastAsia="zh-CN"/>
        </w:rPr>
        <w:t>成本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；公务接待费比上年增加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Tahoma" w:eastAsia="仿宋_GB2312" w:cs="Tahoma"/>
          <w:sz w:val="32"/>
          <w:szCs w:val="32"/>
        </w:rPr>
        <w:t>严格控制公务接待费批次和人数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九、关于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val="en-US" w:eastAsia="zh-CN"/>
        </w:rPr>
        <w:t>昌吉州农牧机械化技术推广站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部门2022年政府性基金预算拨款情况说明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昌吉州农牧机械化技术推广站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部门2022年没有使用政府性基金预算拨款安排的支出，政府性基金预算支出情况表为空表。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（一）机关运行经费情况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昌吉州农牧机械化技术推广站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部门机关运行经费财政拨款预算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0.09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0.25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%。主要原因是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严格控制运行经费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（二）政府采购情况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昌吉州农牧机械化技术推广站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部门政府采购预算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7.46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万元，其中：政府采购货物预算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2.13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万元，政府采购工程预算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万元，政府采购服务预算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5.33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</w:rPr>
        <w:t>2022年度本部门面向中小企业预留政府采购项目预算金额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</w:rPr>
        <w:t>万元，其中：面向小微企业预留政府采购项目预算金额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</w:rPr>
        <w:t>万元。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截至2021年底，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昌吉州农牧机械化技术推广站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部门及下属各预算单位占用使用国有资产总体情况为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1.房屋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2316.57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平方米，价值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220.03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2.车辆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辆，价值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45.19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万元；其中：一般公务用车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辆，价值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万元；执法执勤用车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辆，价值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万元；其他车辆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辆，价值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45.19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3.办公家具价值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11.42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4.其他资产价值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47.28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单位价值50万元以上大型设备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台（套），单位价值100万元以上大型设备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台（套）。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2022年部门（单位）预算未安排购置车辆经费，安排购置50万元以上大型设备0台（套），单位价值100万元以上大型设备0台（套）。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（四）预算绩效情况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2022年，本年度预算绩效管理的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Hans"/>
        </w:rPr>
        <w:t>财政拨款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项目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个，涉及预算金额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万元。具体情况见下表（按项目分别填报）：</w:t>
      </w:r>
    </w:p>
    <w:tbl>
      <w:tblPr>
        <w:tblStyle w:val="6"/>
        <w:tblpPr w:leftFromText="180" w:rightFromText="180" w:vertAnchor="text" w:horzAnchor="page" w:tblpX="1384" w:tblpY="449"/>
        <w:tblOverlap w:val="never"/>
        <w:tblW w:w="898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15"/>
        <w:gridCol w:w="1062"/>
        <w:gridCol w:w="318"/>
        <w:gridCol w:w="906"/>
        <w:gridCol w:w="1476"/>
        <w:gridCol w:w="1039"/>
        <w:gridCol w:w="1481"/>
        <w:gridCol w:w="118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898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项  目  支  出  绩  效  目  标  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898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（202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年）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预算单位</w:t>
            </w:r>
          </w:p>
        </w:tc>
        <w:tc>
          <w:tcPr>
            <w:tcW w:w="37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XX单位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XXXXX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项目资金（万元）</w:t>
            </w:r>
          </w:p>
        </w:tc>
        <w:tc>
          <w:tcPr>
            <w:tcW w:w="13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年度资金总额：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项目总体目标</w:t>
            </w:r>
          </w:p>
        </w:tc>
        <w:tc>
          <w:tcPr>
            <w:tcW w:w="746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一级指标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二级指标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产出指标</w:t>
            </w: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数量指标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质量指标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时效指标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成本指标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效益指标</w:t>
            </w: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经济效益指标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社会效益指标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生态效益指标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可持续影响指标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</w:tbl>
    <w:p>
      <w:pPr>
        <w:spacing w:line="60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无其他需要说明的事项。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指由一般公共预算、政府性基金预算、国有资本经营预算安排的财政拨款数。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60" w:lineRule="exact"/>
        <w:ind w:firstLine="643" w:firstLineChars="200"/>
        <w:rPr>
          <w:rFonts w:ascii="仿宋_GB2312" w:eastAsia="仿宋_GB2312"/>
          <w:spacing w:val="-17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四、其他资金：</w:t>
      </w:r>
      <w:r>
        <w:rPr>
          <w:rFonts w:hint="eastAsia" w:ascii="仿宋_GB2312" w:eastAsia="仿宋_GB2312"/>
          <w:spacing w:val="-17"/>
          <w:sz w:val="32"/>
          <w:szCs w:val="32"/>
        </w:rPr>
        <w:t>包括事业收入、事业经营收入、其他收入等。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包括人员经费、公用经费（定额）。其中，人员经费包括工资福利支出、对个人和家庭的补助。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部门（单位）支出预算的组成部分，是自治</w:t>
      </w:r>
      <w:r>
        <w:rPr>
          <w:rFonts w:hint="eastAsia" w:ascii="仿宋_GB2312" w:eastAsia="仿宋_GB2312"/>
          <w:sz w:val="32"/>
          <w:szCs w:val="32"/>
          <w:lang w:eastAsia="zh-CN"/>
        </w:rPr>
        <w:t>州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本级部门（单位）为完成其特定的行政任务或事业发展目标，在基本支出预算之外编制的年度项目支出计划。</w:t>
      </w:r>
    </w:p>
    <w:p>
      <w:pPr>
        <w:spacing w:line="560" w:lineRule="exact"/>
        <w:ind w:firstLine="643" w:firstLineChars="200"/>
        <w:rPr>
          <w:rFonts w:ascii="仿宋_GB2312" w:eastAsia="仿宋_GB2312"/>
          <w:spacing w:val="-6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指自治</w:t>
      </w:r>
      <w:r>
        <w:rPr>
          <w:rFonts w:hint="eastAsia" w:ascii="仿宋_GB2312" w:eastAsia="仿宋_GB2312"/>
          <w:sz w:val="32"/>
          <w:szCs w:val="32"/>
          <w:lang w:eastAsia="zh-CN"/>
        </w:rPr>
        <w:t>州</w:t>
      </w:r>
      <w:r>
        <w:rPr>
          <w:rFonts w:hint="eastAsia" w:ascii="仿宋_GB2312" w:eastAsia="仿宋_GB2312"/>
          <w:sz w:val="32"/>
          <w:szCs w:val="32"/>
        </w:rPr>
        <w:t>本级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</w:t>
      </w:r>
      <w:r>
        <w:rPr>
          <w:rFonts w:hint="eastAsia" w:ascii="仿宋_GB2312" w:eastAsia="仿宋_GB2312"/>
          <w:spacing w:val="-11"/>
          <w:sz w:val="32"/>
          <w:szCs w:val="32"/>
        </w:rPr>
        <w:t>务接待费指单位按规定开支的各类公务接待（含外宾接待）支出。</w:t>
      </w:r>
    </w:p>
    <w:p>
      <w:pPr>
        <w:spacing w:line="560" w:lineRule="exact"/>
        <w:ind w:firstLine="643" w:firstLineChars="200"/>
        <w:rPr>
          <w:rFonts w:ascii="仿宋_GB2312" w:eastAsia="仿宋_GB2312"/>
          <w:spacing w:val="-11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</w:t>
      </w:r>
      <w:r>
        <w:rPr>
          <w:rFonts w:hint="eastAsia" w:ascii="仿宋_GB2312" w:eastAsia="仿宋_GB2312"/>
          <w:spacing w:val="-11"/>
          <w:sz w:val="32"/>
          <w:szCs w:val="32"/>
        </w:rPr>
        <w:t>取暖费、办公用房物业管理费、公务用车运行维护费及其他费用。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昌吉州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农牧机械化技术推广站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2022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12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230505"/>
              <wp:effectExtent l="0" t="0" r="18415" b="17145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40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- 53 -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42.05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8PZMfdEAAAADAQAADwAAAAAAAAABACAAAAAiAAAAZHJzL2Rvd25yZXYueG1s&#10;UEsBAhQAFAAAAAgAh07iQP5+2abGAQAAiwMAAA4AAAAAAAAAAQAgAAAAIA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- 53 -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230505"/>
              <wp:effectExtent l="0" t="0" r="18415" b="17145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40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- 54 -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42.05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8PZMfdEAAAADAQAADwAAAAAAAAABACAAAAAiAAAAZHJzL2Rvd25yZXYueG1s&#10;UEsBAhQAFAAAAAgAh07iQIr5F1HGAQAAiwMAAA4AAAAAAAAAAQAgAAAAIA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- 54 -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230505"/>
              <wp:effectExtent l="0" t="0" r="12065" b="10795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4035" cy="2305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- 56 -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42.0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BbPU0HSAAAAAwEAAA8AAAAAAAAAAQAgAAAAIgAAAGRycy9k&#10;b3ducmV2LnhtbFBLAQIUABQAAAAIAIdO4kAquSaazwEAAJYDAAAOAAAAAAAAAAEAIAAAACEBAABk&#10;cnMvZTJvRG9jLnhtbFBLBQYAAAAABgAGAFkBAAB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- 56 -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AAF760A"/>
    <w:multiLevelType w:val="singleLevel"/>
    <w:tmpl w:val="9AAF760A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77F"/>
    <w:rsid w:val="002E5250"/>
    <w:rsid w:val="003923D8"/>
    <w:rsid w:val="004265FD"/>
    <w:rsid w:val="00432BE1"/>
    <w:rsid w:val="0047118F"/>
    <w:rsid w:val="004D477F"/>
    <w:rsid w:val="0059437A"/>
    <w:rsid w:val="008D3E4B"/>
    <w:rsid w:val="0090107A"/>
    <w:rsid w:val="00944B81"/>
    <w:rsid w:val="00AF3F7E"/>
    <w:rsid w:val="00B141E5"/>
    <w:rsid w:val="00C12D75"/>
    <w:rsid w:val="00CE4C77"/>
    <w:rsid w:val="00D85033"/>
    <w:rsid w:val="00F91EEB"/>
    <w:rsid w:val="01FF2332"/>
    <w:rsid w:val="048B60F1"/>
    <w:rsid w:val="07A22ECD"/>
    <w:rsid w:val="086E6360"/>
    <w:rsid w:val="08BE00CE"/>
    <w:rsid w:val="09345389"/>
    <w:rsid w:val="0979778F"/>
    <w:rsid w:val="0CB75999"/>
    <w:rsid w:val="0F0E5B73"/>
    <w:rsid w:val="11A75C11"/>
    <w:rsid w:val="12023089"/>
    <w:rsid w:val="126247CA"/>
    <w:rsid w:val="132500F1"/>
    <w:rsid w:val="14423BB4"/>
    <w:rsid w:val="16F21949"/>
    <w:rsid w:val="18AF006B"/>
    <w:rsid w:val="19690AAB"/>
    <w:rsid w:val="1A066478"/>
    <w:rsid w:val="1E620F79"/>
    <w:rsid w:val="1E9A5846"/>
    <w:rsid w:val="2265488F"/>
    <w:rsid w:val="22684985"/>
    <w:rsid w:val="22B80DFA"/>
    <w:rsid w:val="285946C6"/>
    <w:rsid w:val="28F437B1"/>
    <w:rsid w:val="2C152B19"/>
    <w:rsid w:val="2C5D16B3"/>
    <w:rsid w:val="2CD6066E"/>
    <w:rsid w:val="2DFF56B8"/>
    <w:rsid w:val="306C7FB6"/>
    <w:rsid w:val="322C52E9"/>
    <w:rsid w:val="34C726BB"/>
    <w:rsid w:val="34CF00D5"/>
    <w:rsid w:val="353A0E51"/>
    <w:rsid w:val="37D333F0"/>
    <w:rsid w:val="388D6D86"/>
    <w:rsid w:val="38BD300B"/>
    <w:rsid w:val="39346234"/>
    <w:rsid w:val="39694330"/>
    <w:rsid w:val="39F5147C"/>
    <w:rsid w:val="3A6E239B"/>
    <w:rsid w:val="3D963F62"/>
    <w:rsid w:val="3DFE476E"/>
    <w:rsid w:val="3E2F0F63"/>
    <w:rsid w:val="3E80093B"/>
    <w:rsid w:val="41094001"/>
    <w:rsid w:val="41716A74"/>
    <w:rsid w:val="48367866"/>
    <w:rsid w:val="48403708"/>
    <w:rsid w:val="485B209D"/>
    <w:rsid w:val="49BB62E9"/>
    <w:rsid w:val="4A153DC9"/>
    <w:rsid w:val="4AB36E53"/>
    <w:rsid w:val="4CBD5C11"/>
    <w:rsid w:val="4D304C7E"/>
    <w:rsid w:val="4F7064FD"/>
    <w:rsid w:val="50141F4D"/>
    <w:rsid w:val="503919C8"/>
    <w:rsid w:val="5089663C"/>
    <w:rsid w:val="5211554A"/>
    <w:rsid w:val="52A206DC"/>
    <w:rsid w:val="52C0000C"/>
    <w:rsid w:val="538E68E4"/>
    <w:rsid w:val="53B81549"/>
    <w:rsid w:val="54AD357A"/>
    <w:rsid w:val="58492827"/>
    <w:rsid w:val="592277EB"/>
    <w:rsid w:val="599D5AC9"/>
    <w:rsid w:val="5AA23B68"/>
    <w:rsid w:val="5B4D424F"/>
    <w:rsid w:val="5E326E44"/>
    <w:rsid w:val="5F5959D2"/>
    <w:rsid w:val="5F882E47"/>
    <w:rsid w:val="620F6D70"/>
    <w:rsid w:val="62C203C0"/>
    <w:rsid w:val="62E2255F"/>
    <w:rsid w:val="630F4FF4"/>
    <w:rsid w:val="63763F89"/>
    <w:rsid w:val="65210F36"/>
    <w:rsid w:val="677A58C1"/>
    <w:rsid w:val="67CC1CD1"/>
    <w:rsid w:val="681B6EE3"/>
    <w:rsid w:val="697168AE"/>
    <w:rsid w:val="6A630998"/>
    <w:rsid w:val="6BD46EE1"/>
    <w:rsid w:val="6DAC468E"/>
    <w:rsid w:val="6FA43498"/>
    <w:rsid w:val="71832321"/>
    <w:rsid w:val="73B560D9"/>
    <w:rsid w:val="74673C14"/>
    <w:rsid w:val="75F90FBE"/>
    <w:rsid w:val="76A50767"/>
    <w:rsid w:val="77987AD6"/>
    <w:rsid w:val="786025E9"/>
    <w:rsid w:val="79CC1D70"/>
    <w:rsid w:val="7AB60B42"/>
    <w:rsid w:val="7B7311FB"/>
    <w:rsid w:val="7BD72A29"/>
    <w:rsid w:val="7F0564A9"/>
    <w:rsid w:val="7F51727F"/>
    <w:rsid w:val="7F7A1290"/>
    <w:rsid w:val="7FCC4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2"/>
    <w:qFormat/>
    <w:uiPriority w:val="0"/>
    <w:pPr>
      <w:ind w:left="1277"/>
      <w:outlineLvl w:val="1"/>
    </w:pPr>
    <w:rPr>
      <w:rFonts w:ascii="仿宋_GB2312" w:hAnsi="仿宋_GB2312" w:eastAsia="仿宋_GB2312" w:cs="仿宋_GB2312"/>
      <w:b/>
      <w:bCs/>
      <w:sz w:val="32"/>
      <w:szCs w:val="32"/>
      <w:lang w:val="zh-CN" w:bidi="zh-CN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3"/>
    <w:qFormat/>
    <w:uiPriority w:val="0"/>
    <w:rPr>
      <w:rFonts w:ascii="方正仿宋_GBK" w:hAnsi="方正仿宋_GBK" w:eastAsia="方正仿宋_GBK" w:cs="方正仿宋_GBK"/>
      <w:sz w:val="32"/>
      <w:szCs w:val="32"/>
      <w:lang w:val="zh-CN" w:bidi="zh-CN"/>
    </w:rPr>
  </w:style>
  <w:style w:type="paragraph" w:styleId="4">
    <w:name w:val="footer"/>
    <w:basedOn w:val="1"/>
    <w:link w:val="1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rPr>
      <w:rFonts w:ascii="Calibri" w:hAnsi="Calibri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qFormat/>
    <w:uiPriority w:val="0"/>
  </w:style>
  <w:style w:type="character" w:customStyle="1" w:styleId="10">
    <w:name w:val="页眉 Char"/>
    <w:basedOn w:val="8"/>
    <w:link w:val="5"/>
    <w:qFormat/>
    <w:uiPriority w:val="0"/>
    <w:rPr>
      <w:sz w:val="18"/>
      <w:szCs w:val="18"/>
    </w:rPr>
  </w:style>
  <w:style w:type="character" w:customStyle="1" w:styleId="11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2">
    <w:name w:val="标题 2 Char"/>
    <w:basedOn w:val="8"/>
    <w:link w:val="2"/>
    <w:qFormat/>
    <w:uiPriority w:val="0"/>
    <w:rPr>
      <w:rFonts w:ascii="仿宋_GB2312" w:hAnsi="仿宋_GB2312" w:eastAsia="仿宋_GB2312" w:cs="仿宋_GB2312"/>
      <w:b/>
      <w:bCs/>
      <w:sz w:val="32"/>
      <w:szCs w:val="32"/>
      <w:lang w:val="zh-CN" w:bidi="zh-CN"/>
    </w:rPr>
  </w:style>
  <w:style w:type="character" w:customStyle="1" w:styleId="13">
    <w:name w:val="正文文本 Char"/>
    <w:basedOn w:val="8"/>
    <w:link w:val="3"/>
    <w:qFormat/>
    <w:uiPriority w:val="0"/>
    <w:rPr>
      <w:rFonts w:ascii="方正仿宋_GBK" w:hAnsi="方正仿宋_GBK" w:eastAsia="方正仿宋_GBK" w:cs="方正仿宋_GBK"/>
      <w:sz w:val="32"/>
      <w:szCs w:val="32"/>
      <w:lang w:val="zh-CN" w:bidi="zh-CN"/>
    </w:rPr>
  </w:style>
  <w:style w:type="paragraph" w:customStyle="1" w:styleId="14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23</Pages>
  <Words>6764</Words>
  <Characters>8207</Characters>
  <Lines>69</Lines>
  <Paragraphs>19</Paragraphs>
  <TotalTime>0</TotalTime>
  <ScaleCrop>false</ScaleCrop>
  <LinksUpToDate>false</LinksUpToDate>
  <CharactersWithSpaces>8792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2022-02-11T11:16:00Z</dcterms:created>
  <dc:creator>闫超</dc:creator>
  <cp:lastModifiedBy>Administrator</cp:lastModifiedBy>
  <dcterms:modified xsi:type="dcterms:W3CDTF">2022-04-09T04:20:53Z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2A753C5FD8EB4FC5AED4385852B39BCF</vt:lpwstr>
  </property>
</Properties>
</file>