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昌吉州公共就业服务局2021年部门</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hint="eastAsia"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昌吉州公共就业服务局概况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一、昌吉州公共就业服务局收支总体情况表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二、昌吉州公共就业服务局收入总体情况表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三、昌吉州公共就业服务局支出总体情况表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一、关于昌吉州公共就业服务局2021年收支预算情况的总体说明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二、关于昌吉州公共就业服务局2021年收入预算情况说明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三、关于昌吉州公共就业服务局2021年支出预算情况说明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昌吉州公共就业服务局2021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五、关于昌吉州公共就业服务局2021年一般公共预算当年拨款情况说明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六、关于昌吉州公共就业服务局2021年一般公共预算基本支出情况说明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七、关于昌吉州公共就业服务局2021年一般公共预算项目支出情况说明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八、关于昌吉州公共就业服务局2021年一般公共预算“三公”经费预算情况说明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九、关于昌吉州公共就业服务局2021年政府性基金预算拨款情况说明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昌吉州公共就业服务局单位概况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对全州公共就业服务机构日常工作指导及实施公共就业服务活动；负责就业登记、失业登记、就业援助；开展职业介绍、职业指导，举办各类人力资源招聘会，收集发布用工信息；负责大中专毕业生就业服务及指导、流动人员档案管理等工作。</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600" w:lineRule="exact"/>
        <w:ind w:firstLine="630"/>
        <w:rPr>
          <w:rFonts w:eastAsia="仿宋_GB2312"/>
          <w:sz w:val="32"/>
          <w:szCs w:val="32"/>
        </w:rPr>
      </w:pPr>
      <w:r>
        <w:rPr>
          <w:rFonts w:hint="eastAsia" w:ascii="仿宋_GB2312" w:hAnsi="宋体" w:eastAsia="仿宋_GB2312" w:cs="宋体"/>
          <w:kern w:val="0"/>
          <w:sz w:val="32"/>
          <w:szCs w:val="32"/>
        </w:rPr>
        <w:t>昌吉回族自治州公共就业服务局</w:t>
      </w:r>
      <w:r>
        <w:rPr>
          <w:rFonts w:hint="eastAsia" w:ascii="仿宋_GB2312" w:hAnsi="黑体" w:eastAsia="仿宋_GB2312" w:cs="宋体"/>
          <w:bCs/>
          <w:kern w:val="0"/>
          <w:sz w:val="32"/>
          <w:szCs w:val="32"/>
        </w:rPr>
        <w:t>无下属预算单位，</w:t>
      </w:r>
      <w:r>
        <w:rPr>
          <w:rFonts w:hint="eastAsia" w:eastAsia="仿宋_GB2312"/>
          <w:sz w:val="32"/>
          <w:szCs w:val="32"/>
        </w:rPr>
        <w:t>机构类别为公益一类，</w:t>
      </w:r>
      <w:r>
        <w:rPr>
          <w:rFonts w:eastAsia="仿宋_GB2312"/>
          <w:sz w:val="32"/>
          <w:szCs w:val="32"/>
        </w:rPr>
        <w:t>机构规格相当于副</w:t>
      </w:r>
      <w:r>
        <w:rPr>
          <w:rFonts w:hint="eastAsia" w:eastAsia="仿宋_GB2312"/>
          <w:sz w:val="32"/>
          <w:szCs w:val="32"/>
        </w:rPr>
        <w:t>处</w:t>
      </w:r>
      <w:r>
        <w:rPr>
          <w:rFonts w:eastAsia="仿宋_GB2312"/>
          <w:sz w:val="32"/>
          <w:szCs w:val="32"/>
        </w:rPr>
        <w:t>级</w:t>
      </w:r>
      <w:r>
        <w:rPr>
          <w:rFonts w:hint="eastAsia" w:eastAsia="仿宋_GB2312"/>
          <w:sz w:val="32"/>
          <w:szCs w:val="32"/>
        </w:rPr>
        <w:t>，</w:t>
      </w:r>
      <w:r>
        <w:rPr>
          <w:rFonts w:eastAsia="仿宋_GB2312"/>
          <w:sz w:val="32"/>
          <w:szCs w:val="32"/>
        </w:rPr>
        <w:t>内设</w:t>
      </w:r>
      <w:r>
        <w:rPr>
          <w:rFonts w:hint="eastAsia" w:eastAsia="仿宋_GB2312"/>
          <w:sz w:val="32"/>
          <w:szCs w:val="32"/>
        </w:rPr>
        <w:t>四个科室，分别是：</w:t>
      </w:r>
      <w:r>
        <w:rPr>
          <w:rFonts w:eastAsia="仿宋_GB2312"/>
          <w:sz w:val="32"/>
          <w:szCs w:val="32"/>
        </w:rPr>
        <w:t>办公室、人力资源科(挂昌吉回族自治州人力资源服务中心的牌子)、就业服务指导科、大中专毕业生就业服务科</w:t>
      </w:r>
      <w:r>
        <w:rPr>
          <w:rFonts w:hint="eastAsia" w:eastAsia="仿宋_GB2312"/>
          <w:sz w:val="32"/>
          <w:szCs w:val="32"/>
        </w:rPr>
        <w:t>，</w:t>
      </w:r>
      <w:r>
        <w:rPr>
          <w:rFonts w:eastAsia="仿宋_GB2312"/>
          <w:sz w:val="32"/>
          <w:szCs w:val="32"/>
        </w:rPr>
        <w:t>内设机构规格相当于科级</w:t>
      </w:r>
      <w:r>
        <w:rPr>
          <w:rFonts w:hint="eastAsia" w:eastAsia="仿宋_GB2312"/>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昌吉回族自治州公共就业服务局编制数26，实有人数48人，其中：在职25人，2020年调入增加3人； 退休22人，2020年退休职工因病去世减少1人；离休1人，增加0人，无变化。</w:t>
      </w: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昌吉州公共就业服务局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413.05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413.05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366.95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46.</w:t>
            </w:r>
            <w:r>
              <w:rPr>
                <w:rFonts w:hint="eastAsia" w:ascii="仿宋_GB2312" w:hAnsi="宋体" w:eastAsia="仿宋_GB2312" w:cs="宋体"/>
                <w:kern w:val="0"/>
                <w:sz w:val="18"/>
                <w:szCs w:val="18"/>
                <w:lang w:val="en-US" w:eastAsia="zh-CN"/>
              </w:rPr>
              <w:t>1</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413.05</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413.05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社会保障和就业支出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366.95</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366.95</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人力资源和社会保障管理事务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334.54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334.54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314.54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314.54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就业管理事务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32.41</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32.41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32.41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32.41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46.1</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46.1</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34.31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34.31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0.69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0.69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413.05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413.05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7"/>
        <w:tblW w:w="9477" w:type="dxa"/>
        <w:tblInd w:w="-297" w:type="dxa"/>
        <w:tblLayout w:type="fixed"/>
        <w:tblCellMar>
          <w:top w:w="0" w:type="dxa"/>
          <w:left w:w="108" w:type="dxa"/>
          <w:bottom w:w="0" w:type="dxa"/>
          <w:right w:w="108" w:type="dxa"/>
        </w:tblCellMar>
      </w:tblPr>
      <w:tblGrid>
        <w:gridCol w:w="570"/>
        <w:gridCol w:w="450"/>
        <w:gridCol w:w="465"/>
        <w:gridCol w:w="2377"/>
        <w:gridCol w:w="1855"/>
        <w:gridCol w:w="1856"/>
        <w:gridCol w:w="1904"/>
      </w:tblGrid>
      <w:tr>
        <w:tblPrEx>
          <w:tblLayout w:type="fixed"/>
          <w:tblCellMar>
            <w:top w:w="0" w:type="dxa"/>
            <w:left w:w="108" w:type="dxa"/>
            <w:bottom w:w="0" w:type="dxa"/>
            <w:right w:w="108" w:type="dxa"/>
          </w:tblCellMar>
        </w:tblPrEx>
        <w:trPr>
          <w:trHeight w:val="345" w:hRule="atLeast"/>
        </w:trPr>
        <w:tc>
          <w:tcPr>
            <w:tcW w:w="3862"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48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7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7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366.95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346.95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人力资源和社会保障管理事务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334.54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314.54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314.54</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314.54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就业管理事务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32.41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32.41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32.41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32.41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卫生健康支出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46.1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46.1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46.1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46.1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34.31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34.31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3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0.69</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7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413.05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393.05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bl>
    <w:p>
      <w:pPr>
        <w:widowControl/>
        <w:spacing w:before="156" w:beforeLines="50" w:line="280" w:lineRule="exact"/>
        <w:outlineLvl w:val="1"/>
        <w:rPr>
          <w:rFonts w:ascii="仿宋_GB2312" w:hAnsi="宋体" w:eastAsia="仿宋_GB2312"/>
          <w:b/>
          <w:kern w:val="0"/>
          <w:sz w:val="32"/>
          <w:szCs w:val="32"/>
        </w:rPr>
      </w:pPr>
    </w:p>
    <w:p>
      <w:pPr>
        <w:widowControl/>
        <w:spacing w:before="156" w:beforeLines="50" w:line="280" w:lineRule="exact"/>
        <w:outlineLvl w:val="1"/>
        <w:rPr>
          <w:rFonts w:ascii="仿宋_GB2312" w:hAnsi="宋体" w:eastAsia="仿宋_GB2312"/>
          <w:b/>
          <w:kern w:val="0"/>
          <w:sz w:val="32"/>
          <w:szCs w:val="32"/>
        </w:rPr>
      </w:pPr>
    </w:p>
    <w:p>
      <w:pPr>
        <w:widowControl/>
        <w:spacing w:before="156" w:beforeLines="50" w:line="280" w:lineRule="exact"/>
        <w:outlineLvl w:val="1"/>
        <w:rPr>
          <w:rFonts w:ascii="仿宋_GB2312" w:hAnsi="宋体" w:eastAsia="仿宋_GB2312"/>
          <w:b/>
          <w:kern w:val="0"/>
          <w:sz w:val="32"/>
          <w:szCs w:val="32"/>
        </w:rPr>
      </w:pPr>
    </w:p>
    <w:p>
      <w:pPr>
        <w:widowControl/>
        <w:spacing w:before="156"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昌吉州公共就业服务局</w:t>
      </w:r>
      <w:r>
        <w:rPr>
          <w:rFonts w:hint="eastAsia" w:ascii="仿宋_GB2312" w:hAnsi="宋体" w:eastAsia="仿宋_GB2312"/>
          <w:kern w:val="0"/>
          <w:szCs w:val="21"/>
        </w:rPr>
        <w:t xml:space="preserve">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413.05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413.05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366.95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366.95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413.05</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413.05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413.05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ind w:left="240" w:hanging="240" w:hangingChars="100"/>
              <w:jc w:val="left"/>
              <w:rPr>
                <w:rFonts w:hint="eastAsia" w:ascii="仿宋_GB2312" w:hAnsi="宋体" w:eastAsia="仿宋_GB2312"/>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昌吉州公共就业</w:t>
            </w:r>
          </w:p>
          <w:p>
            <w:pPr>
              <w:widowControl/>
              <w:ind w:firstLine="2160" w:firstLineChars="900"/>
              <w:jc w:val="left"/>
              <w:rPr>
                <w:rFonts w:ascii="仿宋_GB2312" w:hAnsi="宋体" w:eastAsia="仿宋_GB2312" w:cs="宋体"/>
                <w:color w:val="000000"/>
                <w:kern w:val="0"/>
                <w:sz w:val="24"/>
              </w:rPr>
            </w:pPr>
            <w:r>
              <w:rPr>
                <w:rFonts w:hint="eastAsia" w:ascii="仿宋_GB2312" w:hAnsi="宋体" w:eastAsia="仿宋_GB2312"/>
                <w:kern w:val="0"/>
                <w:sz w:val="24"/>
              </w:rPr>
              <w:t>服务局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366.95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color w:val="000000"/>
                <w:kern w:val="0"/>
                <w:sz w:val="18"/>
                <w:szCs w:val="18"/>
                <w:lang w:val="en-US" w:eastAsia="zh-CN"/>
              </w:rPr>
              <w:t>346.95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人力资源和社会保障管理事务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334.54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314.54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314.54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314.54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就业管理事务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32.41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32.41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32.41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32.41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46.1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46.1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46.1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46.1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34.31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34.31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413.05</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393.05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7"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519"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昌吉州公共就业服</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务局</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65"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74"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14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125.01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125.01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02</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19.73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19.73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03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8.62</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8.62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06</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31.5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31.5</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07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51.67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51.67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08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机关事业单位基本养老保险缴费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32.41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32.41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10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职工基本医疗保险缴费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34.31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34.31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xml:space="preserve">11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公务员医疗补助缴费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11.1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11.1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12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其他社会保障缴费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0.69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0.69</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13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住房公积金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01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4.59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4.59</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02</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05</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06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07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11　</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　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5.2</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13</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16</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0.5</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17</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0.49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0.49</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28</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2.5</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29</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5.75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5.75</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31</w:t>
            </w:r>
          </w:p>
        </w:tc>
        <w:tc>
          <w:tcPr>
            <w:tcW w:w="2891" w:type="dxa"/>
            <w:tcBorders>
              <w:top w:val="nil"/>
              <w:left w:val="nil"/>
              <w:bottom w:val="single" w:color="auto" w:sz="4" w:space="0"/>
              <w:right w:val="single" w:color="auto" w:sz="4" w:space="0"/>
            </w:tcBorders>
          </w:tcPr>
          <w:p>
            <w:pPr>
              <w:widowControl/>
              <w:rPr>
                <w:rFonts w:ascii="仿宋" w:hAnsi="仿宋" w:eastAsia="仿宋" w:cs="宋体"/>
                <w:color w:val="000000"/>
                <w:kern w:val="0"/>
                <w:sz w:val="18"/>
                <w:szCs w:val="18"/>
              </w:rPr>
            </w:pPr>
            <w:r>
              <w:rPr>
                <w:rFonts w:hint="eastAsia" w:ascii="仿宋" w:hAnsi="仿宋" w:eastAsia="仿宋"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4.46</w:t>
            </w:r>
          </w:p>
        </w:tc>
      </w:tr>
      <w:tr>
        <w:tblPrEx>
          <w:tblLayout w:type="fixed"/>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99　</w:t>
            </w:r>
          </w:p>
        </w:tc>
        <w:tc>
          <w:tcPr>
            <w:tcW w:w="2891"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　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6.38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6.38</w:t>
            </w:r>
          </w:p>
        </w:tc>
      </w:tr>
      <w:tr>
        <w:tblPrEx>
          <w:tblLayout w:type="fixed"/>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20"/>
                <w:szCs w:val="20"/>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lang w:val="en-US" w:eastAsia="zh-CN"/>
              </w:rPr>
              <w:t>11.58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lang w:val="en-US" w:eastAsia="zh-CN"/>
              </w:rPr>
              <w:t>11.58</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对个人和家庭补助支出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0.42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0.42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14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对个人和家庭补助支出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p>
        </w:tc>
      </w:tr>
      <w:tr>
        <w:tblPrEx>
          <w:tblLayout w:type="fixed"/>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577"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合计</w:t>
            </w:r>
          </w:p>
        </w:tc>
        <w:tc>
          <w:tcPr>
            <w:tcW w:w="1701"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393.05</w:t>
            </w:r>
          </w:p>
        </w:tc>
        <w:tc>
          <w:tcPr>
            <w:tcW w:w="1701"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355.58</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37.47</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05"/>
        <w:gridCol w:w="480"/>
        <w:gridCol w:w="405"/>
        <w:gridCol w:w="915"/>
        <w:gridCol w:w="1335"/>
        <w:gridCol w:w="60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ind w:left="2160" w:hanging="2160" w:hangingChars="90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编制部门（单位）：昌吉州公共就业服</w:t>
            </w:r>
            <w:bookmarkStart w:id="0" w:name="_GoBack"/>
            <w:bookmarkEnd w:id="0"/>
            <w:r>
              <w:rPr>
                <w:rFonts w:hint="eastAsia" w:ascii="仿宋_GB2312" w:hAnsi="宋体" w:eastAsia="仿宋_GB2312" w:cs="宋体"/>
                <w:color w:val="000000"/>
                <w:kern w:val="0"/>
                <w:sz w:val="24"/>
              </w:rPr>
              <w:t>务局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98"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1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35"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3"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0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1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3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208</w:t>
            </w:r>
          </w:p>
        </w:tc>
        <w:tc>
          <w:tcPr>
            <w:tcW w:w="480" w:type="dxa"/>
            <w:vAlign w:val="center"/>
          </w:tcPr>
          <w:p>
            <w:pPr>
              <w:jc w:val="center"/>
              <w:rPr>
                <w:rFonts w:ascii="仿宋_GB2312" w:hAnsi="宋体" w:eastAsia="仿宋_GB2312"/>
                <w:kern w:val="0"/>
                <w:sz w:val="18"/>
                <w:szCs w:val="18"/>
              </w:rPr>
            </w:pPr>
          </w:p>
        </w:tc>
        <w:tc>
          <w:tcPr>
            <w:tcW w:w="405" w:type="dxa"/>
            <w:vAlign w:val="center"/>
          </w:tcPr>
          <w:p>
            <w:pPr>
              <w:jc w:val="center"/>
              <w:rPr>
                <w:rFonts w:ascii="仿宋_GB2312" w:hAnsi="宋体" w:eastAsia="仿宋_GB2312"/>
                <w:kern w:val="0"/>
                <w:sz w:val="18"/>
                <w:szCs w:val="18"/>
              </w:rPr>
            </w:pPr>
          </w:p>
        </w:tc>
        <w:tc>
          <w:tcPr>
            <w:tcW w:w="91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eastAsia="zh-CN"/>
              </w:rPr>
              <w:t>社会保障和就业支出</w:t>
            </w:r>
          </w:p>
        </w:tc>
        <w:tc>
          <w:tcPr>
            <w:tcW w:w="13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公共就业服务专项业务经费</w:t>
            </w:r>
          </w:p>
        </w:tc>
        <w:tc>
          <w:tcPr>
            <w:tcW w:w="60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trPr>
        <w:tc>
          <w:tcPr>
            <w:tcW w:w="51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208</w:t>
            </w:r>
          </w:p>
        </w:tc>
        <w:tc>
          <w:tcPr>
            <w:tcW w:w="480"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01</w:t>
            </w:r>
          </w:p>
        </w:tc>
        <w:tc>
          <w:tcPr>
            <w:tcW w:w="405" w:type="dxa"/>
            <w:vAlign w:val="center"/>
          </w:tcPr>
          <w:p>
            <w:pPr>
              <w:jc w:val="center"/>
              <w:rPr>
                <w:rFonts w:ascii="仿宋_GB2312" w:hAnsi="宋体" w:eastAsia="仿宋_GB2312"/>
                <w:kern w:val="0"/>
                <w:sz w:val="18"/>
                <w:szCs w:val="18"/>
              </w:rPr>
            </w:pPr>
          </w:p>
        </w:tc>
        <w:tc>
          <w:tcPr>
            <w:tcW w:w="91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eastAsia="zh-CN"/>
              </w:rPr>
              <w:t>人力资源和社会保障管理事务</w:t>
            </w:r>
          </w:p>
        </w:tc>
        <w:tc>
          <w:tcPr>
            <w:tcW w:w="13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公共就业服务专项业务经费</w:t>
            </w:r>
          </w:p>
        </w:tc>
        <w:tc>
          <w:tcPr>
            <w:tcW w:w="60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208</w:t>
            </w:r>
          </w:p>
        </w:tc>
        <w:tc>
          <w:tcPr>
            <w:tcW w:w="480"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01</w:t>
            </w:r>
          </w:p>
        </w:tc>
        <w:tc>
          <w:tcPr>
            <w:tcW w:w="40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91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就业管理事务</w:t>
            </w:r>
          </w:p>
        </w:tc>
        <w:tc>
          <w:tcPr>
            <w:tcW w:w="133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公共就业服务专项业务经费</w:t>
            </w:r>
          </w:p>
        </w:tc>
        <w:tc>
          <w:tcPr>
            <w:tcW w:w="60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jc w:val="center"/>
              <w:rPr>
                <w:rFonts w:ascii="仿宋_GB2312" w:hAnsi="宋体" w:eastAsia="仿宋_GB2312"/>
                <w:kern w:val="0"/>
                <w:sz w:val="18"/>
                <w:szCs w:val="18"/>
              </w:rPr>
            </w:pPr>
          </w:p>
        </w:tc>
        <w:tc>
          <w:tcPr>
            <w:tcW w:w="480" w:type="dxa"/>
            <w:vAlign w:val="center"/>
          </w:tcPr>
          <w:p>
            <w:pPr>
              <w:jc w:val="center"/>
              <w:rPr>
                <w:rFonts w:ascii="仿宋_GB2312" w:hAnsi="宋体" w:eastAsia="仿宋_GB2312"/>
                <w:kern w:val="0"/>
                <w:sz w:val="18"/>
                <w:szCs w:val="18"/>
              </w:rPr>
            </w:pPr>
          </w:p>
        </w:tc>
        <w:tc>
          <w:tcPr>
            <w:tcW w:w="405" w:type="dxa"/>
            <w:vAlign w:val="center"/>
          </w:tcPr>
          <w:p>
            <w:pPr>
              <w:jc w:val="center"/>
              <w:rPr>
                <w:rFonts w:ascii="仿宋_GB2312" w:hAnsi="宋体" w:eastAsia="仿宋_GB2312"/>
                <w:kern w:val="0"/>
                <w:sz w:val="18"/>
                <w:szCs w:val="18"/>
              </w:rPr>
            </w:pPr>
          </w:p>
        </w:tc>
        <w:tc>
          <w:tcPr>
            <w:tcW w:w="915" w:type="dxa"/>
            <w:vAlign w:val="center"/>
          </w:tcPr>
          <w:p>
            <w:pPr>
              <w:jc w:val="center"/>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915" w:type="dxa"/>
            <w:vAlign w:val="center"/>
          </w:tcPr>
          <w:p>
            <w:pPr>
              <w:widowControl/>
              <w:jc w:val="center"/>
              <w:outlineLvl w:val="1"/>
              <w:rPr>
                <w:rFonts w:ascii="仿宋_GB2312" w:hAnsi="宋体" w:eastAsia="仿宋_GB2312"/>
                <w:kern w:val="0"/>
                <w:sz w:val="18"/>
                <w:szCs w:val="18"/>
              </w:rPr>
            </w:pPr>
          </w:p>
        </w:tc>
        <w:tc>
          <w:tcPr>
            <w:tcW w:w="133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6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昌吉州公共就业服务局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rPr>
          <w:rFonts w:hint="eastAsia" w:ascii="仿宋_GB2312" w:hAnsi="宋体" w:eastAsia="仿宋_GB2312"/>
          <w:b/>
          <w:kern w:val="0"/>
          <w:sz w:val="28"/>
          <w:szCs w:val="32"/>
        </w:rPr>
      </w:pPr>
    </w:p>
    <w:p/>
    <w:p>
      <w:pPr>
        <w:spacing w:line="560" w:lineRule="exact"/>
        <w:rPr>
          <w:rFonts w:ascii="黑体" w:hAnsi="黑体" w:eastAsia="黑体"/>
          <w:kern w:val="0"/>
          <w:sz w:val="32"/>
          <w:szCs w:val="32"/>
        </w:rPr>
      </w:pPr>
    </w:p>
    <w:p>
      <w:pPr>
        <w:spacing w:line="560" w:lineRule="exact"/>
        <w:ind w:firstLine="320" w:firstLineChars="100"/>
        <w:rPr>
          <w:rFonts w:ascii="黑体" w:hAnsi="黑体" w:eastAsia="黑体"/>
          <w:kern w:val="0"/>
          <w:sz w:val="32"/>
          <w:szCs w:val="32"/>
        </w:rPr>
      </w:pPr>
      <w:r>
        <w:rPr>
          <w:rFonts w:hint="eastAsia" w:ascii="黑体" w:hAnsi="黑体" w:eastAsia="黑体"/>
          <w:kern w:val="0"/>
          <w:sz w:val="32"/>
          <w:szCs w:val="32"/>
        </w:rPr>
        <w:t>第三部分  2021年昌吉州公共就业服务局预算情况说明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按照全口径预算的原则，昌吉州公共就业服务局2021年所有收入和支出均纳入部门（单位）预算管理。收支总预算413.05万元。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支出预算包括：社会保障和就业支出、卫生健康支出</w:t>
      </w:r>
    </w:p>
    <w:p>
      <w:pPr>
        <w:spacing w:line="560" w:lineRule="exact"/>
        <w:ind w:firstLine="320" w:firstLineChars="1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昌吉州公共就业服务局收入预算413.05万元，其中：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一般公共预算413.05万元，占100%，比上年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增加51.88万元，主要原因是单位在职人员比上年度增加3人；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昌吉州公共就业服务局2021年支出预算413.05万元，其中：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基本支出393.05万元，占95.16%，比上年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增加51.88万元，主要原因是单位在职人员比上年度增加3人。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项目支出20万元，占4.84%，比上年增加0万元，与上年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相比无变化。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2021年财政拨款收支总预算413.05万元。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收入预算包括：一般公共预算拨款413.05万元。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一般公共预算支出包括：一般公共服务支出413.05万元，主要用于社会保障和就业支出、卫生健康支出。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昌吉州公共就业服务局2021年一般公共预算拨款合计413.05万元，其中：基本支出393.05万元，比上年预算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增加51.88万元，增长</w:t>
      </w:r>
      <w:r>
        <w:rPr>
          <w:rFonts w:hint="eastAsia" w:ascii="仿宋_GB2312" w:hAnsi="宋体" w:eastAsia="仿宋_GB2312" w:cs="宋体"/>
          <w:kern w:val="0"/>
          <w:sz w:val="32"/>
          <w:szCs w:val="32"/>
          <w:lang w:val="en-US" w:eastAsia="zh-CN"/>
        </w:rPr>
        <w:t>15.21</w:t>
      </w:r>
      <w:r>
        <w:rPr>
          <w:rFonts w:hint="eastAsia" w:ascii="仿宋_GB2312" w:hAnsi="宋体" w:eastAsia="仿宋_GB2312" w:cs="宋体"/>
          <w:kern w:val="0"/>
          <w:sz w:val="32"/>
          <w:szCs w:val="32"/>
        </w:rPr>
        <w:t>%。主要原因是：单位在职人员比上年度增加3人。项目支出20万元，比上年预算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增加0万元，增长0%。与上年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相比</w:t>
      </w:r>
      <w:r>
        <w:rPr>
          <w:rFonts w:hint="eastAsia" w:ascii="仿宋_GB2312" w:hAnsi="宋体" w:eastAsia="仿宋_GB2312" w:cs="宋体"/>
          <w:kern w:val="0"/>
          <w:sz w:val="32"/>
          <w:szCs w:val="32"/>
        </w:rPr>
        <w:t>无变化。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1.社会保障和就业支出（类）</w:t>
      </w:r>
      <w:r>
        <w:rPr>
          <w:rFonts w:hint="eastAsia" w:ascii="仿宋_GB2312" w:hAnsi="宋体" w:eastAsia="仿宋_GB2312" w:cs="宋体"/>
          <w:kern w:val="0"/>
          <w:sz w:val="32"/>
          <w:szCs w:val="32"/>
        </w:rPr>
        <w:t>2080101行政运行</w:t>
      </w:r>
      <w:r>
        <w:rPr>
          <w:rFonts w:hint="eastAsia" w:ascii="仿宋_GB2312" w:hAnsi="宋体" w:eastAsia="仿宋_GB2312" w:cs="宋体"/>
          <w:kern w:val="0"/>
          <w:sz w:val="32"/>
          <w:szCs w:val="32"/>
          <w:lang w:val="en-US" w:eastAsia="zh-CN"/>
        </w:rPr>
        <w:t>314.54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76.15</w:t>
      </w:r>
      <w:r>
        <w:rPr>
          <w:rFonts w:hint="eastAsia" w:ascii="仿宋_GB2312" w:hAnsi="宋体" w:eastAsia="仿宋_GB2312" w:cs="宋体"/>
          <w:kern w:val="0"/>
          <w:sz w:val="32"/>
          <w:szCs w:val="32"/>
        </w:rPr>
        <w:t xml:space="preserve"> %；</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社会保障和就业支出（类）</w:t>
      </w:r>
      <w:r>
        <w:rPr>
          <w:rFonts w:hint="eastAsia" w:ascii="仿宋_GB2312" w:hAnsi="宋体" w:eastAsia="仿宋_GB2312" w:cs="宋体"/>
          <w:kern w:val="0"/>
          <w:sz w:val="32"/>
          <w:szCs w:val="32"/>
        </w:rPr>
        <w:t>2080106就业管理事务20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占4.84 %。</w:t>
      </w:r>
    </w:p>
    <w:p>
      <w:pPr>
        <w:widowControl/>
        <w:spacing w:line="58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3、</w:t>
      </w:r>
      <w:r>
        <w:rPr>
          <w:rFonts w:hint="eastAsia" w:ascii="仿宋_GB2312" w:eastAsia="仿宋_GB2312"/>
          <w:sz w:val="32"/>
          <w:szCs w:val="32"/>
        </w:rPr>
        <w:t>社会保障和就业支出（类）</w:t>
      </w:r>
      <w:r>
        <w:rPr>
          <w:rFonts w:hint="eastAsia" w:ascii="仿宋_GB2312" w:eastAsia="仿宋_GB2312"/>
          <w:sz w:val="32"/>
          <w:szCs w:val="32"/>
          <w:lang w:val="en-US" w:eastAsia="zh-CN"/>
        </w:rPr>
        <w:t>2080505机关事业单位基本养老保险缴费支出32.41万元，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7.85</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、卫生健康支出（类）2101101行政单位医疗34.31万元，占</w:t>
      </w:r>
      <w:r>
        <w:rPr>
          <w:rFonts w:hint="eastAsia" w:ascii="仿宋_GB2312" w:hAnsi="宋体" w:eastAsia="仿宋_GB2312" w:cs="宋体"/>
          <w:color w:val="000000" w:themeColor="text1"/>
          <w:kern w:val="0"/>
          <w:sz w:val="32"/>
          <w:szCs w:val="32"/>
          <w14:textFill>
            <w14:solidFill>
              <w14:schemeClr w14:val="tx1"/>
            </w14:solidFill>
          </w14:textFill>
        </w:rPr>
        <w:t>8.31</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卫生健康支出（类）2101103公务员医疗补助11.1万元，占2.69 %；</w:t>
      </w:r>
    </w:p>
    <w:p>
      <w:pPr>
        <w:spacing w:line="560" w:lineRule="exact"/>
        <w:ind w:firstLine="640" w:firstLineChars="200"/>
        <w:rPr>
          <w:rFonts w:hint="eastAsia" w:ascii="楷体_GB2312" w:hAnsi="宋体" w:eastAsia="仿宋_GB2312" w:cs="宋体"/>
          <w:b/>
          <w:kern w:val="0"/>
          <w:sz w:val="32"/>
          <w:szCs w:val="32"/>
          <w:lang w:val="en-US" w:eastAsia="zh-CN"/>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卫生健康支出（类）2101199其他行政事业单位医疗支出0.69万元，占0.1</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 w:hAnsi="仿宋" w:eastAsia="仿宋" w:cs="仿宋"/>
          <w:color w:val="000000"/>
          <w:kern w:val="0"/>
          <w:sz w:val="32"/>
          <w:szCs w:val="32"/>
          <w:lang w:bidi="ar"/>
        </w:rPr>
        <w:t>社会保障和就业支出</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2021年一般</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数为</w:t>
      </w:r>
      <w:r>
        <w:rPr>
          <w:rFonts w:hint="eastAsia" w:ascii="仿宋_GB2312" w:hAnsi="宋体" w:eastAsia="仿宋_GB2312" w:cs="宋体"/>
          <w:kern w:val="0"/>
          <w:sz w:val="32"/>
          <w:szCs w:val="32"/>
          <w:lang w:val="en-US" w:eastAsia="zh-CN"/>
        </w:rPr>
        <w:t>314.54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76.15</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26.63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2020年度</w:t>
      </w:r>
      <w:r>
        <w:rPr>
          <w:rFonts w:hint="eastAsia" w:ascii="仿宋_GB2312" w:hAnsi="宋体" w:eastAsia="仿宋_GB2312" w:cs="宋体"/>
          <w:kern w:val="0"/>
          <w:sz w:val="32"/>
          <w:szCs w:val="32"/>
          <w:lang w:eastAsia="zh-CN"/>
        </w:rPr>
        <w:t>此款项</w:t>
      </w:r>
      <w:r>
        <w:rPr>
          <w:rFonts w:hint="eastAsia" w:ascii="仿宋_GB2312" w:hAnsi="宋体" w:eastAsia="仿宋_GB2312" w:cs="宋体"/>
          <w:kern w:val="0"/>
          <w:sz w:val="32"/>
          <w:szCs w:val="32"/>
          <w:lang w:val="en-US" w:eastAsia="zh-CN"/>
        </w:rPr>
        <w:t>包含社保类缴费，2021年度社保类缴费单独列出</w:t>
      </w:r>
      <w:r>
        <w:rPr>
          <w:rFonts w:hint="eastAsia" w:ascii="仿宋_GB2312" w:hAnsi="宋体" w:eastAsia="仿宋_GB2312" w:cs="宋体"/>
          <w:kern w:val="0"/>
          <w:sz w:val="32"/>
          <w:szCs w:val="32"/>
        </w:rPr>
        <w:t xml:space="preserve">。      </w:t>
      </w:r>
    </w:p>
    <w:p>
      <w:pPr>
        <w:spacing w:line="580" w:lineRule="exact"/>
        <w:ind w:firstLine="640"/>
        <w:rPr>
          <w:rFonts w:hint="eastAsia" w:ascii="仿宋_GB2312" w:hAnsi="宋体" w:eastAsia="仿宋_GB2312" w:cs="宋体"/>
          <w:kern w:val="0"/>
          <w:sz w:val="32"/>
          <w:szCs w:val="32"/>
        </w:rPr>
      </w:pPr>
      <w:r>
        <w:rPr>
          <w:rFonts w:hint="eastAsia" w:ascii="仿宋" w:hAnsi="仿宋" w:eastAsia="仿宋" w:cs="仿宋"/>
          <w:kern w:val="0"/>
          <w:sz w:val="32"/>
          <w:szCs w:val="32"/>
        </w:rPr>
        <w:t>2</w:t>
      </w:r>
      <w:r>
        <w:rPr>
          <w:rFonts w:hint="eastAsia" w:ascii="仿宋_GB2312" w:hAnsi="宋体" w:eastAsia="仿宋_GB2312" w:cs="宋体"/>
          <w:kern w:val="0"/>
          <w:sz w:val="32"/>
          <w:szCs w:val="32"/>
        </w:rPr>
        <w:t>、</w:t>
      </w:r>
      <w:r>
        <w:rPr>
          <w:rFonts w:hint="eastAsia" w:ascii="仿宋" w:hAnsi="仿宋" w:eastAsia="仿宋" w:cs="仿宋"/>
          <w:color w:val="000000"/>
          <w:kern w:val="0"/>
          <w:sz w:val="32"/>
          <w:szCs w:val="32"/>
          <w:lang w:bidi="ar"/>
        </w:rPr>
        <w:t>社会保障和就业支出</w:t>
      </w:r>
      <w:r>
        <w:rPr>
          <w:rFonts w:hint="eastAsia" w:ascii="仿宋_GB2312" w:eastAsia="仿宋_GB2312"/>
          <w:sz w:val="32"/>
          <w:szCs w:val="32"/>
        </w:rPr>
        <w:t>（类）人力资源和社会保障管理事务（款）就业管理事务（项）20万元，</w:t>
      </w:r>
      <w:r>
        <w:rPr>
          <w:rFonts w:hint="eastAsia" w:ascii="仿宋_GB2312" w:hAnsi="宋体" w:eastAsia="仿宋_GB2312" w:cs="宋体"/>
          <w:kern w:val="0"/>
          <w:sz w:val="32"/>
          <w:szCs w:val="32"/>
        </w:rPr>
        <w:t>占4.84 %，与上年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相比</w:t>
      </w:r>
      <w:r>
        <w:rPr>
          <w:rFonts w:hint="eastAsia" w:ascii="仿宋_GB2312" w:hAnsi="宋体" w:eastAsia="仿宋_GB2312" w:cs="宋体"/>
          <w:kern w:val="0"/>
          <w:sz w:val="32"/>
          <w:szCs w:val="32"/>
        </w:rPr>
        <w:t>无变化。</w:t>
      </w:r>
    </w:p>
    <w:p>
      <w:pPr>
        <w:widowControl/>
        <w:spacing w:line="58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3、</w:t>
      </w:r>
      <w:r>
        <w:rPr>
          <w:rFonts w:hint="eastAsia" w:ascii="仿宋" w:hAnsi="仿宋" w:eastAsia="仿宋" w:cs="仿宋"/>
          <w:color w:val="000000"/>
          <w:kern w:val="0"/>
          <w:sz w:val="32"/>
          <w:szCs w:val="32"/>
          <w:lang w:bidi="ar"/>
        </w:rPr>
        <w:t>社会保障和就业支出</w:t>
      </w:r>
      <w:r>
        <w:rPr>
          <w:rFonts w:hint="eastAsia" w:ascii="仿宋_GB2312" w:eastAsia="仿宋_GB2312"/>
          <w:sz w:val="32"/>
          <w:szCs w:val="32"/>
        </w:rPr>
        <w:t>（类）</w:t>
      </w:r>
      <w:r>
        <w:rPr>
          <w:rFonts w:hint="eastAsia" w:ascii="仿宋_GB2312" w:hAnsi="宋体" w:eastAsia="仿宋_GB2312" w:cs="宋体"/>
          <w:kern w:val="0"/>
          <w:sz w:val="32"/>
          <w:szCs w:val="32"/>
        </w:rPr>
        <w:t>行政事业单位</w:t>
      </w:r>
      <w:r>
        <w:rPr>
          <w:rFonts w:hint="eastAsia" w:ascii="仿宋_GB2312" w:hAnsi="宋体" w:eastAsia="仿宋_GB2312" w:cs="宋体"/>
          <w:kern w:val="0"/>
          <w:sz w:val="32"/>
          <w:szCs w:val="32"/>
          <w:lang w:eastAsia="zh-CN"/>
        </w:rPr>
        <w:t>养老支出</w:t>
      </w:r>
      <w:r>
        <w:rPr>
          <w:rFonts w:hint="eastAsia" w:ascii="仿宋_GB2312" w:hAnsi="宋体" w:eastAsia="仿宋_GB2312" w:cs="宋体"/>
          <w:kern w:val="0"/>
          <w:sz w:val="32"/>
          <w:szCs w:val="32"/>
        </w:rPr>
        <w:t>（款）</w:t>
      </w:r>
      <w:r>
        <w:rPr>
          <w:rFonts w:hint="eastAsia" w:ascii="仿宋_GB2312" w:eastAsia="仿宋_GB2312"/>
          <w:sz w:val="32"/>
          <w:szCs w:val="32"/>
          <w:lang w:val="en-US" w:eastAsia="zh-CN"/>
        </w:rPr>
        <w:t>机关事业单位基本养老保险缴费支出</w:t>
      </w:r>
      <w:r>
        <w:rPr>
          <w:rFonts w:hint="eastAsia" w:ascii="仿宋_GB2312" w:hAnsi="宋体" w:eastAsia="仿宋_GB2312" w:cs="宋体"/>
          <w:kern w:val="0"/>
          <w:sz w:val="32"/>
          <w:szCs w:val="32"/>
        </w:rPr>
        <w:t>（项）</w:t>
      </w:r>
      <w:r>
        <w:rPr>
          <w:rFonts w:hint="eastAsia" w:ascii="仿宋_GB2312" w:eastAsia="仿宋_GB2312"/>
          <w:sz w:val="32"/>
          <w:szCs w:val="32"/>
          <w:lang w:val="en-US" w:eastAsia="zh-CN"/>
        </w:rPr>
        <w:t>32.41万元，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7.85</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32.41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2020年社保类缴费合并在</w:t>
      </w:r>
      <w:r>
        <w:rPr>
          <w:rFonts w:hint="eastAsia" w:ascii="仿宋" w:hAnsi="仿宋" w:eastAsia="仿宋" w:cs="仿宋"/>
          <w:color w:val="000000"/>
          <w:kern w:val="0"/>
          <w:sz w:val="32"/>
          <w:szCs w:val="32"/>
          <w:lang w:bidi="ar"/>
        </w:rPr>
        <w:t>社会保障和就业支出</w:t>
      </w:r>
      <w:r>
        <w:rPr>
          <w:rFonts w:hint="eastAsia" w:ascii="仿宋" w:hAnsi="仿宋" w:eastAsia="仿宋" w:cs="仿宋"/>
          <w:color w:val="000000"/>
          <w:kern w:val="0"/>
          <w:sz w:val="32"/>
          <w:szCs w:val="32"/>
          <w:lang w:val="en-US" w:eastAsia="zh-CN" w:bidi="ar"/>
        </w:rPr>
        <w:t>208</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eastAsia="zh-CN"/>
        </w:rPr>
        <w:t>中</w:t>
      </w:r>
      <w:r>
        <w:rPr>
          <w:rFonts w:hint="eastAsia" w:ascii="仿宋_GB2312" w:hAnsi="宋体" w:eastAsia="仿宋_GB2312" w:cs="宋体"/>
          <w:kern w:val="0"/>
          <w:sz w:val="32"/>
          <w:szCs w:val="32"/>
          <w:lang w:val="en-US" w:eastAsia="zh-CN"/>
        </w:rPr>
        <w:t>，2021年社保类缴费单独列出</w:t>
      </w:r>
      <w:r>
        <w:rPr>
          <w:rFonts w:hint="eastAsia" w:ascii="仿宋_GB2312" w:hAnsi="宋体" w:eastAsia="仿宋_GB2312" w:cs="宋体"/>
          <w:kern w:val="0"/>
          <w:sz w:val="32"/>
          <w:szCs w:val="32"/>
        </w:rPr>
        <w:t xml:space="preserve">。 </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、卫生健康支出（类）行政事业单位医疗（款）行政单位医疗（项）34.31万元，占</w:t>
      </w:r>
      <w:r>
        <w:rPr>
          <w:rFonts w:hint="eastAsia" w:ascii="仿宋_GB2312" w:hAnsi="宋体" w:eastAsia="仿宋_GB2312" w:cs="宋体"/>
          <w:color w:val="000000" w:themeColor="text1"/>
          <w:kern w:val="0"/>
          <w:sz w:val="32"/>
          <w:szCs w:val="32"/>
          <w14:textFill>
            <w14:solidFill>
              <w14:schemeClr w14:val="tx1"/>
            </w14:solidFill>
          </w14:textFill>
        </w:rPr>
        <w:t>8.31</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34.31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2020年社保类缴费合并在</w:t>
      </w:r>
      <w:r>
        <w:rPr>
          <w:rFonts w:hint="eastAsia" w:ascii="仿宋" w:hAnsi="仿宋" w:eastAsia="仿宋" w:cs="仿宋"/>
          <w:color w:val="000000"/>
          <w:kern w:val="0"/>
          <w:sz w:val="32"/>
          <w:szCs w:val="32"/>
          <w:lang w:bidi="ar"/>
        </w:rPr>
        <w:t>社会保障和就业支出</w:t>
      </w:r>
      <w:r>
        <w:rPr>
          <w:rFonts w:hint="eastAsia" w:ascii="仿宋" w:hAnsi="仿宋" w:eastAsia="仿宋" w:cs="仿宋"/>
          <w:color w:val="000000"/>
          <w:kern w:val="0"/>
          <w:sz w:val="32"/>
          <w:szCs w:val="32"/>
          <w:lang w:val="en-US" w:eastAsia="zh-CN" w:bidi="ar"/>
        </w:rPr>
        <w:t>208</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eastAsia="zh-CN"/>
        </w:rPr>
        <w:t>中</w:t>
      </w:r>
      <w:r>
        <w:rPr>
          <w:rFonts w:hint="eastAsia" w:ascii="仿宋_GB2312" w:hAnsi="宋体" w:eastAsia="仿宋_GB2312" w:cs="宋体"/>
          <w:kern w:val="0"/>
          <w:sz w:val="32"/>
          <w:szCs w:val="32"/>
          <w:lang w:val="en-US" w:eastAsia="zh-CN"/>
        </w:rPr>
        <w:t>，2021年社保类缴费单独列出</w:t>
      </w:r>
      <w:r>
        <w:rPr>
          <w:rFonts w:hint="eastAsia" w:ascii="仿宋_GB2312" w:hAnsi="宋体" w:eastAsia="仿宋_GB2312" w:cs="宋体"/>
          <w:kern w:val="0"/>
          <w:sz w:val="32"/>
          <w:szCs w:val="32"/>
        </w:rPr>
        <w:t xml:space="preserve">。       </w:t>
      </w:r>
    </w:p>
    <w:p>
      <w:pPr>
        <w:widowControl/>
        <w:spacing w:line="5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、卫生健康支出（类）行政事业单位医疗（款）公务员医疗补助（项）11.1万元，占2.69 %，比上年执行数增加</w:t>
      </w:r>
      <w:r>
        <w:rPr>
          <w:rFonts w:hint="eastAsia" w:ascii="仿宋_GB2312" w:hAnsi="宋体" w:eastAsia="仿宋_GB2312" w:cs="宋体"/>
          <w:kern w:val="0"/>
          <w:sz w:val="32"/>
          <w:szCs w:val="32"/>
          <w:lang w:val="en-US" w:eastAsia="zh-CN"/>
        </w:rPr>
        <w:t>11.1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2020年社保类缴费合并在</w:t>
      </w:r>
      <w:r>
        <w:rPr>
          <w:rFonts w:hint="eastAsia" w:ascii="仿宋" w:hAnsi="仿宋" w:eastAsia="仿宋" w:cs="仿宋"/>
          <w:color w:val="000000"/>
          <w:kern w:val="0"/>
          <w:sz w:val="32"/>
          <w:szCs w:val="32"/>
          <w:lang w:bidi="ar"/>
        </w:rPr>
        <w:t>社会保障和就业支出</w:t>
      </w:r>
      <w:r>
        <w:rPr>
          <w:rFonts w:hint="eastAsia" w:ascii="仿宋" w:hAnsi="仿宋" w:eastAsia="仿宋" w:cs="仿宋"/>
          <w:color w:val="000000"/>
          <w:kern w:val="0"/>
          <w:sz w:val="32"/>
          <w:szCs w:val="32"/>
          <w:lang w:val="en-US" w:eastAsia="zh-CN" w:bidi="ar"/>
        </w:rPr>
        <w:t>208</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eastAsia="zh-CN"/>
        </w:rPr>
        <w:t>中</w:t>
      </w:r>
      <w:r>
        <w:rPr>
          <w:rFonts w:hint="eastAsia" w:ascii="仿宋_GB2312" w:hAnsi="宋体" w:eastAsia="仿宋_GB2312" w:cs="宋体"/>
          <w:kern w:val="0"/>
          <w:sz w:val="32"/>
          <w:szCs w:val="32"/>
          <w:lang w:val="en-US" w:eastAsia="zh-CN"/>
        </w:rPr>
        <w:t>，2021年社保类缴费单独列出</w:t>
      </w:r>
      <w:r>
        <w:rPr>
          <w:rFonts w:hint="eastAsia" w:ascii="仿宋_GB2312" w:hAnsi="宋体" w:eastAsia="仿宋_GB2312" w:cs="宋体"/>
          <w:kern w:val="0"/>
          <w:sz w:val="32"/>
          <w:szCs w:val="32"/>
        </w:rPr>
        <w:t xml:space="preserve">。 </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、卫生健康支出（类）行政事业单位医疗（款）其他行政事业单位医疗支出（项）0.69万元，占0.16 %，比上年执行数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0.69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2020年社保类缴费合并在</w:t>
      </w:r>
      <w:r>
        <w:rPr>
          <w:rFonts w:hint="eastAsia" w:ascii="仿宋" w:hAnsi="仿宋" w:eastAsia="仿宋" w:cs="仿宋"/>
          <w:color w:val="000000"/>
          <w:kern w:val="0"/>
          <w:sz w:val="32"/>
          <w:szCs w:val="32"/>
          <w:lang w:bidi="ar"/>
        </w:rPr>
        <w:t>社会保障和就业支出</w:t>
      </w:r>
      <w:r>
        <w:rPr>
          <w:rFonts w:hint="eastAsia" w:ascii="仿宋" w:hAnsi="仿宋" w:eastAsia="仿宋" w:cs="仿宋"/>
          <w:color w:val="000000"/>
          <w:kern w:val="0"/>
          <w:sz w:val="32"/>
          <w:szCs w:val="32"/>
          <w:lang w:val="en-US" w:eastAsia="zh-CN" w:bidi="ar"/>
        </w:rPr>
        <w:t>208</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eastAsia="zh-CN"/>
        </w:rPr>
        <w:t>中</w:t>
      </w:r>
      <w:r>
        <w:rPr>
          <w:rFonts w:hint="eastAsia" w:ascii="仿宋_GB2312" w:hAnsi="宋体" w:eastAsia="仿宋_GB2312" w:cs="宋体"/>
          <w:kern w:val="0"/>
          <w:sz w:val="32"/>
          <w:szCs w:val="32"/>
          <w:lang w:val="en-US" w:eastAsia="zh-CN"/>
        </w:rPr>
        <w:t>，2021年社保类缴费单独列出</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昌吉州公共就业服务局2021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昌吉州公共就业服务局2021年一般公共预算基本支出393.05万元，其中：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355.58万元，主要包括：基本工资、津贴补贴、奖金、伙食补助费、绩效工资、机关事业单位基本养老保险缴费、职业年金缴费、职工基本医疗保险缴费、公务员医疗补助缴费、其他社会保障缴费、住房公积金、其他工资福利支出、离休费、退休费、生活补助、奖励金、其他对个人和家庭的补助等。</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公用经费37.47万元，主要包括：办公费、印刷费、手续费、水费、电费、邮电费、差旅费、维修（护）费、租赁费、培训费、公务接待费、劳务费、工会经费、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七、关于昌吉州公共就业服务局2021年一般公共预算项目支出情况说明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昌吉州公共就业服务局公共就业专项业务经费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：《关于印发&lt;昌吉回族自治州人力资源和社会保障局所属事业单位分类改革方案&gt;的通知》（昌州事改办[2015]22号）</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：2021年度</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八、关于昌吉州就业服务局2021年一般公共预算“三公”经费预算情况说明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昌吉州个公共就业服务局2021年一般公共预算“三公”经费数为4.95万元，其中：因公出国（境）费0万元，公务用车购置0万元，公务用车运行费4.46万元，公务接待费0.49万元。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0万元，其中：因公出国（境）费增加0万元，主要原因是本单位无因公出国（境）的工作；公务用车购置费增加0万元，未安排预算。公务用车运行费增加0万元，主要原因是降低成本，压缩公务用车支出；公务接待费增加0万元，与上年相比无变化，主要原因是严格按照中央八项规定减少公务接待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九、关于昌吉州公共就业服务局2021年政府性基金预算拨款情况说明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2021年，昌吉州公共就业服务局的机关运行经费财政拨款预算37.47万元，比上年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增加3.82万元，增长</w:t>
      </w:r>
      <w:r>
        <w:rPr>
          <w:rFonts w:hint="eastAsia" w:ascii="仿宋_GB2312" w:hAnsi="宋体" w:eastAsia="仿宋_GB2312" w:cs="宋体"/>
          <w:kern w:val="0"/>
          <w:sz w:val="32"/>
          <w:szCs w:val="32"/>
          <w:lang w:val="en-US" w:eastAsia="zh-CN"/>
        </w:rPr>
        <w:t>11.35</w:t>
      </w:r>
      <w:r>
        <w:rPr>
          <w:rFonts w:hint="eastAsia" w:ascii="仿宋_GB2312" w:hAnsi="宋体" w:eastAsia="仿宋_GB2312" w:cs="宋体"/>
          <w:kern w:val="0"/>
          <w:sz w:val="32"/>
          <w:szCs w:val="32"/>
        </w:rPr>
        <w:t>%。主要原因是单位在职人员增加3人。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2021年，昌吉州公共就业服务局政府采购预算31.95万元，其中：政府采购货物预算12.35万元，政府采购服务预算19.6万元。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2021年度本部门（单位）面向中小企业预留政府采购项目预算金额0.5万元，其中：面向小微企业预留政府采购项目预算金额0.5万元。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截至2020年底，昌吉州公共就业服务局占用使用国有资产总体情况为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1.房屋3456.21平方米，价值119.5万元；已移交机关事务管理局管理。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 辆，价值46.15万元；其中：一般公务用车2  辆，价值46.15万元；执法执勤用车0辆，价值0万元；其他车辆0辆，价值0万元。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3.办公家具价值8.97万元。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4.其他资产价值68.78万元。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2021年昌吉州昌吉州公共就业服务局部门预算未安排购置车辆经费，安排购置50万元以上大型设备0台（套），单位价值100万元以上大型设备0台（套）。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2021年度，本年度实行绩效管理的一般公共预算项目1   个，涉及预算金额20万元。具体情况见下表（按项目分别填报）：</w:t>
      </w: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tbl>
      <w:tblPr>
        <w:tblStyle w:val="7"/>
        <w:tblpPr w:leftFromText="180" w:rightFromText="180" w:vertAnchor="text" w:horzAnchor="page" w:tblpX="1421" w:tblpY="724"/>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昌吉州公共就业服务局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公共就业服务专项业务经费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auto"/>
              <w:rPr>
                <w:rFonts w:ascii="宋体" w:hAnsi="宋体" w:cs="宋体"/>
                <w:color w:val="000000"/>
                <w:sz w:val="18"/>
                <w:szCs w:val="18"/>
              </w:rPr>
            </w:pPr>
            <w:r>
              <w:rPr>
                <w:rFonts w:hint="eastAsia" w:ascii="宋体" w:hAnsi="宋体" w:cs="宋体"/>
                <w:color w:val="000000"/>
                <w:sz w:val="18"/>
                <w:szCs w:val="18"/>
              </w:rPr>
              <w:t>参加各类高校毕业生大中城市联合招聘活动，指导七县市人力资源市场开展人才招聘服务工作，提升业务能力。提升全州人力资源服务机构诚信服务意识，提升各级人力资源服务窗口业务能力和服务水平。切实做好市场求职人员的登记和指导工作，帮助其尽快实现就业，一方面做好辖区企业的用工指导，另一方面及时收集企业空岗信息并发布。实现岗位信息全州资源共享，提高求职者的法律意识、维权意识并有效利用就业优惠政策实现就业。</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用工登记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≧10000条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求职登记、职业指导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≧300人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就业宣传资料发放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≧15000份</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开展全年专项活动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举办各类人才招聘会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≧8场次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接收高校毕业生档案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≧3000份</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县市人力资源市场指导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多形式完成专项活动目标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全年定期收集求职、用工信息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开展活动、职业指导、职业介绍、人才交流等工作总成本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提高各类就业困难人员就业率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9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活动影响力提升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持续提升</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求职人员满意度（%）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760" w:hanging="5760" w:hangingChars="18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left="5750" w:leftChars="1976" w:hanging="1600" w:hanging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昌吉州公共就业服务局  </w:t>
      </w:r>
    </w:p>
    <w:p>
      <w:pPr>
        <w:widowControl/>
        <w:spacing w:line="520" w:lineRule="exact"/>
        <w:ind w:left="5760" w:hanging="5760" w:hangingChars="1800"/>
        <w:jc w:val="left"/>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pPr>
        <w:widowControl/>
        <w:spacing w:line="520" w:lineRule="exact"/>
        <w:ind w:left="5760" w:hanging="5760" w:hangingChars="1800"/>
        <w:jc w:val="left"/>
      </w:pPr>
      <w:r>
        <w:rPr>
          <w:rFonts w:hint="eastAsia" w:ascii="仿宋_GB2312" w:hAnsi="宋体" w:eastAsia="仿宋_GB2312" w:cs="宋体"/>
          <w:kern w:val="0"/>
          <w:sz w:val="32"/>
          <w:szCs w:val="32"/>
        </w:rPr>
        <w:t xml:space="preserve">               </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1454"/>
    <w:rsid w:val="000C6FBF"/>
    <w:rsid w:val="000D531A"/>
    <w:rsid w:val="000F3B60"/>
    <w:rsid w:val="0011450F"/>
    <w:rsid w:val="00123FB4"/>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0EC0"/>
    <w:rsid w:val="00B94A73"/>
    <w:rsid w:val="00C34ADE"/>
    <w:rsid w:val="00D85033"/>
    <w:rsid w:val="00DA2829"/>
    <w:rsid w:val="00E51C21"/>
    <w:rsid w:val="00F105A9"/>
    <w:rsid w:val="0105234C"/>
    <w:rsid w:val="05021C86"/>
    <w:rsid w:val="06873B76"/>
    <w:rsid w:val="06A41750"/>
    <w:rsid w:val="09631E9C"/>
    <w:rsid w:val="09820EF2"/>
    <w:rsid w:val="0A1606D3"/>
    <w:rsid w:val="0AB149A8"/>
    <w:rsid w:val="0D4B57D6"/>
    <w:rsid w:val="0E6D50F1"/>
    <w:rsid w:val="12B01570"/>
    <w:rsid w:val="15400FC8"/>
    <w:rsid w:val="1708784D"/>
    <w:rsid w:val="17AA4286"/>
    <w:rsid w:val="17F247D8"/>
    <w:rsid w:val="1B4C75A4"/>
    <w:rsid w:val="1DDA4D36"/>
    <w:rsid w:val="22E431AB"/>
    <w:rsid w:val="23135E4B"/>
    <w:rsid w:val="284F08B0"/>
    <w:rsid w:val="2A9B3B0A"/>
    <w:rsid w:val="2CCE4736"/>
    <w:rsid w:val="31D956D8"/>
    <w:rsid w:val="3F677A9D"/>
    <w:rsid w:val="3FD67DD2"/>
    <w:rsid w:val="419F6E55"/>
    <w:rsid w:val="43BE1507"/>
    <w:rsid w:val="455C0B8E"/>
    <w:rsid w:val="48663E1D"/>
    <w:rsid w:val="48FC7A6A"/>
    <w:rsid w:val="4DE362DA"/>
    <w:rsid w:val="4FD07E14"/>
    <w:rsid w:val="51911F3A"/>
    <w:rsid w:val="569159CD"/>
    <w:rsid w:val="56F565C5"/>
    <w:rsid w:val="59D136A1"/>
    <w:rsid w:val="59E16AD2"/>
    <w:rsid w:val="5E6802E1"/>
    <w:rsid w:val="5F51336B"/>
    <w:rsid w:val="613556C0"/>
    <w:rsid w:val="662A55EE"/>
    <w:rsid w:val="66B70D4F"/>
    <w:rsid w:val="66BF2B58"/>
    <w:rsid w:val="67C652DC"/>
    <w:rsid w:val="691E591F"/>
    <w:rsid w:val="699E3609"/>
    <w:rsid w:val="69BA151D"/>
    <w:rsid w:val="69FD0A34"/>
    <w:rsid w:val="6C995B41"/>
    <w:rsid w:val="6E437B1D"/>
    <w:rsid w:val="6F9803EC"/>
    <w:rsid w:val="70020E24"/>
    <w:rsid w:val="70131563"/>
    <w:rsid w:val="7AB66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6"/>
    <w:semiHidden/>
    <w:qFormat/>
    <w:uiPriority w:val="99"/>
    <w:rPr>
      <w:rFonts w:ascii="Times New Roman" w:hAnsi="Times New Roman" w:eastAsia="宋体" w:cs="Times New Roman"/>
      <w:sz w:val="18"/>
      <w:szCs w:val="18"/>
    </w:rPr>
  </w:style>
  <w:style w:type="character" w:customStyle="1" w:styleId="13">
    <w:name w:val="正文文本缩进 3 Char1"/>
    <w:basedOn w:val="6"/>
    <w:semiHidden/>
    <w:qFormat/>
    <w:uiPriority w:val="99"/>
    <w:rPr>
      <w:rFonts w:ascii="Times New Roman" w:hAnsi="Times New Roman" w:eastAsia="宋体" w:cs="Times New Roman"/>
      <w:sz w:val="16"/>
      <w:szCs w:val="16"/>
    </w:rPr>
  </w:style>
  <w:style w:type="character" w:customStyle="1" w:styleId="14">
    <w:name w:val="页脚 Char1"/>
    <w:basedOn w:val="6"/>
    <w:semiHidden/>
    <w:qFormat/>
    <w:uiPriority w:val="99"/>
    <w:rPr>
      <w:rFonts w:ascii="Times New Roman" w:hAnsi="Times New Roman" w:eastAsia="宋体" w:cs="Times New Roman"/>
      <w:sz w:val="18"/>
      <w:szCs w:val="18"/>
    </w:rPr>
  </w:style>
  <w:style w:type="character" w:customStyle="1" w:styleId="15">
    <w:name w:val="批注框文本 Char1"/>
    <w:basedOn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627957-1A8D-42E3-B2C0-94D33377AA1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1536</Words>
  <Characters>8760</Characters>
  <Lines>73</Lines>
  <Paragraphs>20</Paragraphs>
  <TotalTime>29</TotalTime>
  <ScaleCrop>false</ScaleCrop>
  <LinksUpToDate>false</LinksUpToDate>
  <CharactersWithSpaces>10276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2021-08-12T09:17:00Z</cp:lastPrinted>
  <dcterms:modified xsi:type="dcterms:W3CDTF">2022-04-07T16:41:46Z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