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 xml:space="preserve">  昌吉州军队离退休干部休养所2021年部门预算公开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643" w:firstLineChars="200"/>
        <w:outlineLvl w:val="1"/>
        <w:rPr>
          <w:rFonts w:ascii="仿宋_GB2312" w:hAnsi="宋体" w:eastAsia="仿宋_GB2312"/>
          <w:b/>
          <w:kern w:val="0"/>
          <w:sz w:val="32"/>
          <w:szCs w:val="32"/>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昌吉州军队离退休干部休养所单位概况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一、关于昌吉州军队离退休干部休养所2021年收支预算情况的总体说明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二、关于昌吉州军队离退休干部休养所2021年收入预算情况说明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三、关于昌吉州军队离退休干部休养所2021年支出预算情况说明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昌吉州军队离退休干部休养所2021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五、关于昌吉州军队离退休干部休养所2021年一般公共预算当年拨款情况说明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六、关于昌吉州军队离退休干部休养所2021年一般公共预算基本支出情况说明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七、关于昌吉州军队离退休干部休养所2021年项目支出情况说明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八、关于昌吉州军队离退休干部休养所2021年一般公共预算“三公”经费预算情况说明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九、关于昌吉州军队离退休干部休养所2021年政府性基金预算拨款情况说明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昌吉州军队离退休干部休养所单位概况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为军队移交地方管理的军队离退休干部、军休职工等提供管理与相关服务，落实军休人员的政治待遇、生活待遇和医疗待遇及政治思想教育，组织军休人员开展文体活动及引导军休人员参加力所能及的社会活动。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昌吉州军队离退休干部休养所无下属预算单位，下设2个科室，分别是：</w:t>
      </w:r>
      <w:r>
        <w:rPr>
          <w:rFonts w:hint="eastAsia" w:ascii="仿宋_GB2312" w:hAnsi="宋体" w:eastAsia="仿宋_GB2312" w:cs="宋体"/>
          <w:kern w:val="0"/>
          <w:sz w:val="32"/>
          <w:szCs w:val="32"/>
        </w:rPr>
        <w:t>办公室、财务室。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黑体" w:eastAsia="仿宋_GB2312" w:cs="宋体"/>
          <w:bCs/>
          <w:kern w:val="0"/>
          <w:sz w:val="32"/>
          <w:szCs w:val="32"/>
        </w:rPr>
        <w:t>军队离退休干部休养所</w:t>
      </w:r>
      <w:r>
        <w:rPr>
          <w:rFonts w:hint="eastAsia" w:ascii="仿宋_GB2312" w:hAnsi="宋体" w:eastAsia="仿宋_GB2312" w:cs="宋体"/>
          <w:kern w:val="0"/>
          <w:sz w:val="32"/>
          <w:szCs w:val="32"/>
        </w:rPr>
        <w:t>编制数8人，实有人数16人，其中：在职7人，增加0人；退休9人，增加0人；离休0人，增加0人。</w:t>
      </w:r>
      <w:bookmarkStart w:id="0" w:name="_GoBack"/>
      <w:bookmarkEnd w:id="0"/>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2021年部门预算公开表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 昌吉州军队离退休干部休养所                        单位：万元</w:t>
      </w:r>
    </w:p>
    <w:tbl>
      <w:tblPr>
        <w:tblStyle w:val="10"/>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109.54</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109.54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ind w:firstLine="360" w:firstLineChars="200"/>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95.52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社会保障基金支出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14.02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7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7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109.54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109.54</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昌吉州军队离退休干部休养所                         单位：万元</w:t>
      </w:r>
    </w:p>
    <w:tbl>
      <w:tblPr>
        <w:tblStyle w:val="10"/>
        <w:tblW w:w="9654" w:type="dxa"/>
        <w:tblInd w:w="-450" w:type="dxa"/>
        <w:tblLayout w:type="fixed"/>
        <w:tblCellMar>
          <w:top w:w="0" w:type="dxa"/>
          <w:left w:w="108" w:type="dxa"/>
          <w:bottom w:w="0" w:type="dxa"/>
          <w:right w:w="108" w:type="dxa"/>
        </w:tblCellMar>
      </w:tblPr>
      <w:tblGrid>
        <w:gridCol w:w="417"/>
        <w:gridCol w:w="417"/>
        <w:gridCol w:w="417"/>
        <w:gridCol w:w="2145"/>
        <w:gridCol w:w="820"/>
        <w:gridCol w:w="790"/>
        <w:gridCol w:w="57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9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7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7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社会保障和就业支出</w:t>
            </w:r>
          </w:p>
        </w:tc>
        <w:tc>
          <w:tcPr>
            <w:tcW w:w="820"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790"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57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09</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退役安置</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09</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03</w:t>
            </w: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军队移交政府离退休干部管理机构</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卫生健康支出</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行政事业单位医疗</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79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02</w:t>
            </w: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事业单位医疗</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10.38</w:t>
            </w:r>
          </w:p>
        </w:tc>
        <w:tc>
          <w:tcPr>
            <w:tcW w:w="79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10.38</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03</w:t>
            </w: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公务员医疗补助</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3.37</w:t>
            </w:r>
          </w:p>
        </w:tc>
        <w:tc>
          <w:tcPr>
            <w:tcW w:w="79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3.37</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99</w:t>
            </w:r>
          </w:p>
        </w:tc>
        <w:tc>
          <w:tcPr>
            <w:tcW w:w="21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eastAsia="zh-CN"/>
              </w:rPr>
              <w:t>其他行政事业单位医疗支出</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0.27</w:t>
            </w:r>
          </w:p>
        </w:tc>
        <w:tc>
          <w:tcPr>
            <w:tcW w:w="79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sz w:val="18"/>
                <w:szCs w:val="18"/>
              </w:rPr>
            </w:pPr>
            <w:r>
              <w:rPr>
                <w:rFonts w:hint="eastAsia" w:ascii="仿宋_GB2312" w:hAnsi="仿宋_GB2312" w:eastAsia="仿宋_GB2312" w:cs="仿宋_GB2312"/>
                <w:b w:val="0"/>
                <w:bCs w:val="0"/>
                <w:color w:val="000000"/>
                <w:kern w:val="0"/>
                <w:sz w:val="18"/>
                <w:szCs w:val="18"/>
                <w:lang w:val="en-US" w:eastAsia="zh-CN"/>
              </w:rPr>
              <w:t>0.27</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合计</w:t>
            </w:r>
          </w:p>
        </w:tc>
        <w:tc>
          <w:tcPr>
            <w:tcW w:w="82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109.54</w:t>
            </w:r>
          </w:p>
        </w:tc>
        <w:tc>
          <w:tcPr>
            <w:tcW w:w="79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109.54</w:t>
            </w:r>
          </w:p>
        </w:tc>
        <w:tc>
          <w:tcPr>
            <w:tcW w:w="5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c>
          <w:tcPr>
            <w:tcW w:w="67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 昌吉州军队离退休干部休养所                           单位：万元</w:t>
      </w:r>
    </w:p>
    <w:tbl>
      <w:tblPr>
        <w:tblStyle w:val="10"/>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社会保障和就业支出</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95.52</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95.52</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09</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退役安置</w:t>
            </w:r>
          </w:p>
        </w:tc>
        <w:tc>
          <w:tcPr>
            <w:tcW w:w="185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95.52</w:t>
            </w:r>
          </w:p>
        </w:tc>
        <w:tc>
          <w:tcPr>
            <w:tcW w:w="185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95.52</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09</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03</w:t>
            </w: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军队移交政府离退休干部管理机构</w:t>
            </w:r>
          </w:p>
        </w:tc>
        <w:tc>
          <w:tcPr>
            <w:tcW w:w="185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95.52</w:t>
            </w:r>
          </w:p>
        </w:tc>
        <w:tc>
          <w:tcPr>
            <w:tcW w:w="185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95.52</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卫生健康支出</w:t>
            </w:r>
          </w:p>
        </w:tc>
        <w:tc>
          <w:tcPr>
            <w:tcW w:w="185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14.02</w:t>
            </w:r>
          </w:p>
        </w:tc>
        <w:tc>
          <w:tcPr>
            <w:tcW w:w="185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14.02</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行政事业单位医疗</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14.02</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14.02</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02</w:t>
            </w: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事业单位医疗</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10.38</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10.38</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03</w:t>
            </w: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公务员医疗补助</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3.37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3.37</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99</w:t>
            </w: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eastAsia" w:ascii="仿宋_GB2312" w:hAnsi="仿宋_GB2312" w:eastAsia="仿宋_GB2312" w:cs="仿宋_GB2312"/>
                <w:b w:val="0"/>
                <w:bCs w:val="0"/>
                <w:color w:val="000000"/>
                <w:kern w:val="0"/>
                <w:sz w:val="18"/>
                <w:szCs w:val="18"/>
              </w:rPr>
            </w:pPr>
            <w:r>
              <w:rPr>
                <w:rFonts w:hint="eastAsia" w:ascii="仿宋_GB2312" w:hAnsi="仿宋_GB2312" w:eastAsia="仿宋_GB2312" w:cs="仿宋_GB2312"/>
                <w:b w:val="0"/>
                <w:bCs w:val="0"/>
                <w:color w:val="000000"/>
                <w:kern w:val="0"/>
                <w:sz w:val="18"/>
                <w:szCs w:val="18"/>
                <w:lang w:eastAsia="zh-CN"/>
              </w:rPr>
              <w:t>其他行政事业单位医疗支出</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0.27</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lang w:val="en-US" w:eastAsia="zh-CN"/>
              </w:rPr>
            </w:pPr>
            <w:r>
              <w:rPr>
                <w:rFonts w:hint="eastAsia" w:ascii="仿宋_GB2312" w:hAnsi="仿宋_GB2312" w:eastAsia="仿宋_GB2312" w:cs="仿宋_GB2312"/>
                <w:b w:val="0"/>
                <w:bCs w:val="0"/>
                <w:color w:val="000000"/>
                <w:kern w:val="0"/>
                <w:sz w:val="18"/>
                <w:szCs w:val="18"/>
                <w:lang w:val="en-US" w:eastAsia="zh-CN"/>
              </w:rPr>
              <w:t>0.27</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b w:val="0"/>
                <w:bCs w:val="0"/>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109.54</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109.54</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 </w:t>
      </w:r>
      <w:r>
        <w:rPr>
          <w:rFonts w:hint="eastAsia" w:ascii="仿宋_GB2312" w:hAnsi="宋体" w:eastAsia="仿宋_GB2312"/>
          <w:kern w:val="0"/>
          <w:sz w:val="24"/>
        </w:rPr>
        <w:t>昌吉州军队离退休干部休养所</w:t>
      </w:r>
      <w:r>
        <w:rPr>
          <w:rFonts w:hint="eastAsia" w:ascii="仿宋_GB2312" w:hAnsi="宋体" w:eastAsia="仿宋_GB2312"/>
          <w:kern w:val="0"/>
          <w:sz w:val="28"/>
          <w:szCs w:val="28"/>
        </w:rPr>
        <w:t xml:space="preserve">                    单位：万元</w:t>
      </w:r>
    </w:p>
    <w:tbl>
      <w:tblPr>
        <w:tblStyle w:val="10"/>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109.54</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109.54</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437"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95.52</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95.52</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209社会保障基金支出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14.02</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14.02</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197"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18"/>
                <w:szCs w:val="18"/>
              </w:rPr>
              <w:t>234 抗疫特别国债还本支出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109.54</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109.54</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109.54</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昌吉州军队离退休干部休养所</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
                <w:color w:val="000000"/>
                <w:kern w:val="0"/>
                <w:sz w:val="18"/>
                <w:szCs w:val="18"/>
              </w:rPr>
            </w:pPr>
            <w:r>
              <w:rPr>
                <w:rFonts w:hint="eastAsia" w:ascii="仿宋_GB2312" w:hAnsi="仿宋_GB2312" w:eastAsia="仿宋_GB2312" w:cs="仿宋_GB2312"/>
                <w:b w:val="0"/>
                <w:bCs w:val="0"/>
                <w:color w:val="000000"/>
                <w:kern w:val="0"/>
                <w:sz w:val="18"/>
                <w:szCs w:val="18"/>
                <w:lang w:eastAsia="zh-CN"/>
              </w:rPr>
              <w:t>社会保障和就业支出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09</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退役安置</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208</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09</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03</w:t>
            </w: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军队移交政府离退休干部管理机构</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95.52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卫生健康支出</w:t>
            </w:r>
          </w:p>
        </w:tc>
        <w:tc>
          <w:tcPr>
            <w:tcW w:w="1684"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1842"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行政事业单位医疗</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14.02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02</w:t>
            </w: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事业单位医疗</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10.38</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10.38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03</w:t>
            </w: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公务员医疗补助</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3.37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3.37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210</w:t>
            </w:r>
          </w:p>
        </w:tc>
        <w:tc>
          <w:tcPr>
            <w:tcW w:w="492"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11</w:t>
            </w:r>
          </w:p>
        </w:tc>
        <w:tc>
          <w:tcPr>
            <w:tcW w:w="417"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eastAsia="zh-CN"/>
              </w:rPr>
              <w:t>其他行政事业单位医疗支出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0.27</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仿宋_GB2312" w:eastAsia="仿宋_GB2312" w:cs="仿宋_GB2312"/>
                <w:b w:val="0"/>
                <w:bCs w:val="0"/>
                <w:color w:val="000000"/>
                <w:kern w:val="0"/>
                <w:sz w:val="18"/>
                <w:szCs w:val="18"/>
                <w:lang w:val="en-US" w:eastAsia="zh-CN"/>
              </w:rPr>
              <w:t>0.27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109.54</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109.54</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昌吉州军队离退休干部休养所</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8.82</w:t>
            </w: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8.82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8.96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8.96</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3.37</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6.72</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0.66</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取暖费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维修（护）</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26</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27</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委托业务费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0.71</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1.63</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0.38</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对个人和家庭补助支出</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109.54</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96.47</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13.07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昌吉州军队离退休干部休养所</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tcPr>
          <w:p>
            <w:pPr>
              <w:widowControl/>
              <w:jc w:val="center"/>
              <w:outlineLvl w:val="1"/>
              <w:rPr>
                <w:rFonts w:ascii="仿宋_GB2312" w:hAnsi="宋体" w:eastAsia="仿宋_GB2312"/>
                <w:kern w:val="0"/>
                <w:sz w:val="18"/>
                <w:szCs w:val="18"/>
              </w:rPr>
            </w:pPr>
          </w:p>
        </w:tc>
        <w:tc>
          <w:tcPr>
            <w:tcW w:w="750" w:type="dxa"/>
            <w:shd w:val="clear" w:color="auto" w:fill="auto"/>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397" w:type="dxa"/>
            <w:shd w:val="clear" w:color="auto" w:fill="auto"/>
          </w:tcPr>
          <w:p>
            <w:pPr>
              <w:widowControl/>
              <w:jc w:val="center"/>
              <w:outlineLvl w:val="1"/>
              <w:rPr>
                <w:rFonts w:ascii="仿宋_GB2312" w:hAnsi="宋体" w:eastAsia="仿宋_GB2312"/>
                <w:kern w:val="0"/>
                <w:sz w:val="18"/>
                <w:szCs w:val="18"/>
              </w:rPr>
            </w:pPr>
          </w:p>
        </w:tc>
        <w:tc>
          <w:tcPr>
            <w:tcW w:w="851" w:type="dxa"/>
            <w:shd w:val="clear" w:color="auto" w:fill="auto"/>
          </w:tcPr>
          <w:p>
            <w:pPr>
              <w:widowControl/>
              <w:jc w:val="center"/>
              <w:outlineLvl w:val="1"/>
              <w:rPr>
                <w:rFonts w:ascii="仿宋_GB2312" w:hAnsi="宋体" w:eastAsia="仿宋_GB2312"/>
                <w:kern w:val="0"/>
                <w:sz w:val="18"/>
                <w:szCs w:val="18"/>
              </w:rPr>
            </w:pPr>
          </w:p>
        </w:tc>
        <w:tc>
          <w:tcPr>
            <w:tcW w:w="1456" w:type="dxa"/>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750" w:type="dxa"/>
            <w:shd w:val="clear" w:color="auto" w:fill="auto"/>
            <w:vAlign w:val="center"/>
          </w:tcPr>
          <w:p>
            <w:pPr>
              <w:widowControl/>
              <w:jc w:val="center"/>
              <w:outlineLvl w:val="1"/>
              <w:rPr>
                <w:rFonts w:ascii="仿宋_GB2312" w:hAnsi="宋体" w:eastAsia="仿宋_GB2312"/>
                <w:kern w:val="0"/>
                <w:sz w:val="18"/>
                <w:szCs w:val="18"/>
              </w:rPr>
            </w:pPr>
          </w:p>
        </w:tc>
        <w:tc>
          <w:tcPr>
            <w:tcW w:w="569" w:type="dxa"/>
            <w:gridSpan w:val="2"/>
            <w:shd w:val="clear" w:color="auto" w:fill="auto"/>
          </w:tcPr>
          <w:p>
            <w:pPr>
              <w:widowControl/>
              <w:jc w:val="center"/>
              <w:outlineLvl w:val="1"/>
              <w:rPr>
                <w:rFonts w:ascii="仿宋_GB2312" w:hAnsi="宋体" w:eastAsia="仿宋_GB2312"/>
                <w:kern w:val="0"/>
                <w:sz w:val="18"/>
                <w:szCs w:val="18"/>
              </w:rPr>
            </w:pPr>
          </w:p>
        </w:tc>
        <w:tc>
          <w:tcPr>
            <w:tcW w:w="536"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652" w:type="dxa"/>
            <w:shd w:val="clear" w:color="auto" w:fill="auto"/>
          </w:tcPr>
          <w:p>
            <w:pPr>
              <w:widowControl/>
              <w:jc w:val="center"/>
              <w:outlineLvl w:val="1"/>
              <w:rPr>
                <w:rFonts w:ascii="仿宋_GB2312" w:hAnsi="宋体" w:eastAsia="仿宋_GB2312"/>
                <w:kern w:val="0"/>
                <w:sz w:val="18"/>
                <w:szCs w:val="18"/>
              </w:rPr>
            </w:pPr>
          </w:p>
        </w:tc>
        <w:tc>
          <w:tcPr>
            <w:tcW w:w="578" w:type="dxa"/>
            <w:gridSpan w:val="2"/>
            <w:shd w:val="clear" w:color="auto" w:fill="auto"/>
          </w:tcPr>
          <w:p>
            <w:pPr>
              <w:widowControl/>
              <w:jc w:val="center"/>
              <w:outlineLvl w:val="1"/>
              <w:rPr>
                <w:rFonts w:ascii="仿宋_GB2312" w:hAnsi="宋体" w:eastAsia="仿宋_GB2312"/>
                <w:kern w:val="0"/>
                <w:sz w:val="18"/>
                <w:szCs w:val="18"/>
              </w:rPr>
            </w:pPr>
          </w:p>
        </w:tc>
        <w:tc>
          <w:tcPr>
            <w:tcW w:w="419" w:type="dxa"/>
            <w:shd w:val="clear" w:color="auto" w:fill="auto"/>
          </w:tcPr>
          <w:p>
            <w:pPr>
              <w:widowControl/>
              <w:jc w:val="center"/>
              <w:outlineLvl w:val="1"/>
              <w:rPr>
                <w:rFonts w:ascii="仿宋_GB2312" w:hAnsi="宋体" w:eastAsia="仿宋_GB2312"/>
                <w:kern w:val="0"/>
                <w:sz w:val="18"/>
                <w:szCs w:val="18"/>
              </w:rPr>
            </w:pPr>
          </w:p>
        </w:tc>
        <w:tc>
          <w:tcPr>
            <w:tcW w:w="578"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20" w:type="dxa"/>
            <w:shd w:val="clear" w:color="auto" w:fill="auto"/>
          </w:tcPr>
          <w:p>
            <w:pPr>
              <w:widowControl/>
              <w:jc w:val="center"/>
              <w:outlineLvl w:val="1"/>
              <w:rPr>
                <w:rFonts w:ascii="仿宋_GB2312" w:hAnsi="宋体" w:eastAsia="仿宋_GB2312"/>
                <w:kern w:val="0"/>
                <w:sz w:val="18"/>
                <w:szCs w:val="18"/>
              </w:rPr>
            </w:pPr>
          </w:p>
        </w:tc>
        <w:tc>
          <w:tcPr>
            <w:tcW w:w="468" w:type="dxa"/>
            <w:gridSpan w:val="2"/>
            <w:shd w:val="clear" w:color="auto" w:fill="auto"/>
          </w:tcPr>
          <w:p>
            <w:pPr>
              <w:widowControl/>
              <w:jc w:val="center"/>
              <w:outlineLvl w:val="1"/>
              <w:rPr>
                <w:rFonts w:ascii="仿宋_GB2312" w:hAnsi="宋体" w:eastAsia="仿宋_GB2312"/>
                <w:kern w:val="0"/>
                <w:sz w:val="18"/>
                <w:szCs w:val="18"/>
              </w:rPr>
            </w:pP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备注：我单位无项目预算支出。</w:t>
      </w: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编制单位：昌吉州军队离退休干部休养所                             单位：万元</w:t>
      </w:r>
    </w:p>
    <w:tbl>
      <w:tblPr>
        <w:tblStyle w:val="10"/>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w:t>
            </w: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编制单位：昌吉州军队离退休干部休养所                           单位：万元</w:t>
      </w:r>
    </w:p>
    <w:tbl>
      <w:tblPr>
        <w:tblStyle w:val="10"/>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备注：我单位无政府基金预算。</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关于昌吉州军队离退休干部休养所2021年收支预算情况的总体说明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按照全口径预算的原则，昌吉州军队离退休干部休养所2021年所有收入和支出均纳入部门预算管理。收支总预算 109.54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支出预算包括：社会保障和就业支出</w:t>
      </w:r>
      <w:r>
        <w:rPr>
          <w:rFonts w:hint="eastAsia" w:ascii="仿宋_GB2312" w:hAnsi="宋体" w:eastAsia="仿宋_GB2312" w:cs="宋体"/>
          <w:kern w:val="0"/>
          <w:sz w:val="32"/>
          <w:szCs w:val="32"/>
          <w:lang w:eastAsia="zh-CN"/>
        </w:rPr>
        <w:t>、卫生健康支出</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二、关于昌吉州军队离退休干部休养所2021年收入预算情况说明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昌吉州军队离退休干部休养所收入预算 109.54 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一般公共预算109.54 万元，占100 %，比上年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减少11.81万元，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rPr>
        <w:t>9 %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主要原因是单位退休1人</w:t>
      </w:r>
      <w:r>
        <w:rPr>
          <w:rFonts w:hint="eastAsia" w:ascii="仿宋_GB2312" w:hAnsi="宋体" w:eastAsia="仿宋_GB2312" w:cs="宋体"/>
          <w:kern w:val="0"/>
          <w:sz w:val="32"/>
          <w:szCs w:val="32"/>
          <w:lang w:eastAsia="zh-CN"/>
        </w:rPr>
        <w:t>交于</w:t>
      </w:r>
      <w:r>
        <w:rPr>
          <w:rFonts w:hint="eastAsia" w:ascii="仿宋_GB2312" w:hAnsi="宋体" w:eastAsia="仿宋_GB2312" w:cs="宋体"/>
          <w:kern w:val="0"/>
          <w:sz w:val="32"/>
          <w:szCs w:val="32"/>
        </w:rPr>
        <w:t>社保管理，工资福利支出减少，公用经费减少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三、关于昌吉州军队离退休干部休养所单位2021年支出预算情况说明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昌吉州军队离退休干部休养所单位2021年支出预算    109.54万元，其中：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基本支出109.54万元，占100 %，比上年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减少11.81 万元，减少9 %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主要原因是单位退休1人</w:t>
      </w:r>
      <w:r>
        <w:rPr>
          <w:rFonts w:hint="eastAsia" w:ascii="仿宋_GB2312" w:hAnsi="宋体" w:eastAsia="仿宋_GB2312" w:cs="宋体"/>
          <w:kern w:val="0"/>
          <w:sz w:val="32"/>
          <w:szCs w:val="32"/>
          <w:lang w:eastAsia="zh-CN"/>
        </w:rPr>
        <w:t>交于</w:t>
      </w:r>
      <w:r>
        <w:rPr>
          <w:rFonts w:hint="eastAsia" w:ascii="仿宋_GB2312" w:hAnsi="宋体" w:eastAsia="仿宋_GB2312" w:cs="宋体"/>
          <w:kern w:val="0"/>
          <w:sz w:val="32"/>
          <w:szCs w:val="32"/>
        </w:rPr>
        <w:t>社保管理，工资福利支出减少，公用经费减少。</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 0 万元，占0 %，比上年</w:t>
      </w:r>
      <w:r>
        <w:rPr>
          <w:rFonts w:hint="eastAsia" w:ascii="仿宋_GB2312" w:hAnsi="宋体" w:eastAsia="仿宋_GB2312" w:cs="宋体"/>
          <w:kern w:val="0"/>
          <w:sz w:val="32"/>
          <w:szCs w:val="32"/>
          <w:lang w:eastAsia="zh-CN"/>
        </w:rPr>
        <w:t>预算数减少</w:t>
      </w:r>
      <w:r>
        <w:rPr>
          <w:rFonts w:hint="eastAsia" w:ascii="仿宋_GB2312" w:hAnsi="宋体" w:eastAsia="仿宋_GB2312" w:cs="宋体"/>
          <w:kern w:val="0"/>
          <w:sz w:val="32"/>
          <w:szCs w:val="32"/>
        </w:rPr>
        <w:t>0万元，主要原因是单位无本级项目预算。</w:t>
      </w:r>
    </w:p>
    <w:p>
      <w:pPr>
        <w:spacing w:line="560" w:lineRule="exact"/>
        <w:ind w:firstLine="640" w:firstLineChars="200"/>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四、关于昌吉州军队离退休干部休养所2021年财政拨款收支预算情况的总体说明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2021年财政拨款收支总预算109.54万元。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hint="default" w:ascii="仿宋_GB2312" w:hAnsi="宋体" w:eastAsia="仿宋_GB2312" w:cs="宋体"/>
          <w:b/>
          <w:kern w:val="0"/>
          <w:sz w:val="32"/>
          <w:szCs w:val="32"/>
          <w:lang w:val="en-US"/>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kern w:val="0"/>
          <w:sz w:val="32"/>
          <w:szCs w:val="32"/>
          <w:lang w:val="en-US" w:eastAsia="zh-CN"/>
        </w:rPr>
        <w:t>社会保障和就业支出95.52万</w:t>
      </w:r>
      <w:r>
        <w:rPr>
          <w:rFonts w:hint="eastAsia" w:ascii="仿宋_GB2312" w:hAnsi="宋体" w:eastAsia="仿宋_GB2312" w:cs="宋体"/>
          <w:kern w:val="0"/>
          <w:sz w:val="32"/>
          <w:szCs w:val="32"/>
        </w:rPr>
        <w:t>元，主要用于</w:t>
      </w:r>
      <w:r>
        <w:rPr>
          <w:rFonts w:hint="eastAsia" w:ascii="仿宋_GB2312" w:hAnsi="宋体" w:eastAsia="仿宋_GB2312" w:cs="宋体"/>
          <w:kern w:val="0"/>
          <w:sz w:val="32"/>
          <w:szCs w:val="32"/>
          <w:lang w:val="en-US" w:eastAsia="zh-CN"/>
        </w:rPr>
        <w:t>机构人员工资待遇及日常运行；卫生健康支出14.02万元，主要用于机构人员医疗保障。</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cs="宋体"/>
          <w:bCs/>
          <w:kern w:val="0"/>
          <w:sz w:val="32"/>
          <w:szCs w:val="32"/>
        </w:rPr>
        <w:t>昌吉州军队离退休干部休养所</w:t>
      </w:r>
      <w:r>
        <w:rPr>
          <w:rFonts w:hint="eastAsia" w:ascii="黑体" w:hAnsi="宋体" w:eastAsia="黑体" w:cs="宋体"/>
          <w:kern w:val="0"/>
          <w:sz w:val="32"/>
          <w:szCs w:val="32"/>
        </w:rPr>
        <w:t>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昌吉州军队离退休干部休养所2021年一般公共预算拨款基本支出109.54万元，比上年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rPr>
        <w:t>数减少11.81万元，减少9 %。主要原因是：单位退休1人</w:t>
      </w:r>
      <w:r>
        <w:rPr>
          <w:rFonts w:hint="eastAsia" w:ascii="仿宋_GB2312" w:hAnsi="宋体" w:eastAsia="仿宋_GB2312" w:cs="宋体"/>
          <w:kern w:val="0"/>
          <w:sz w:val="32"/>
          <w:szCs w:val="32"/>
          <w:lang w:eastAsia="zh-CN"/>
        </w:rPr>
        <w:t>交于</w:t>
      </w:r>
      <w:r>
        <w:rPr>
          <w:rFonts w:hint="eastAsia" w:ascii="仿宋_GB2312" w:hAnsi="宋体" w:eastAsia="仿宋_GB2312" w:cs="宋体"/>
          <w:kern w:val="0"/>
          <w:sz w:val="32"/>
          <w:szCs w:val="32"/>
        </w:rPr>
        <w:t>社保管理，工资福利支出减少，公用经费减少。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kern w:val="0"/>
          <w:sz w:val="32"/>
          <w:szCs w:val="32"/>
        </w:rPr>
        <w:t>军队移交政府离退休干部管理机构</w:t>
      </w:r>
      <w:r>
        <w:rPr>
          <w:rFonts w:hint="eastAsia" w:ascii="仿宋_GB2312" w:eastAsia="仿宋_GB2312"/>
          <w:sz w:val="32"/>
          <w:szCs w:val="32"/>
        </w:rPr>
        <w:t>95.52</w:t>
      </w:r>
      <w:r>
        <w:rPr>
          <w:rFonts w:hint="eastAsia" w:ascii="仿宋_GB2312" w:hAnsi="宋体" w:eastAsia="仿宋_GB2312" w:cs="宋体"/>
          <w:kern w:val="0"/>
          <w:sz w:val="32"/>
          <w:szCs w:val="32"/>
        </w:rPr>
        <w:t>万元，占87%；</w:t>
      </w:r>
    </w:p>
    <w:p>
      <w:pPr>
        <w:spacing w:line="560" w:lineRule="exact"/>
        <w:rPr>
          <w:rFonts w:ascii="仿宋_GB2312" w:hAnsi="宋体" w:eastAsia="仿宋_GB2312" w:cs="宋体"/>
          <w:kern w:val="0"/>
          <w:sz w:val="32"/>
          <w:szCs w:val="32"/>
        </w:rPr>
      </w:pPr>
      <w:r>
        <w:rPr>
          <w:rFonts w:hint="eastAsia" w:ascii="仿宋_GB2312" w:hAnsi="宋体" w:eastAsia="仿宋_GB2312" w:cs="宋体"/>
          <w:kern w:val="0"/>
          <w:sz w:val="32"/>
          <w:szCs w:val="32"/>
        </w:rPr>
        <w:t>事业单位医疗10.38万元，占9%；公务员医疗补助3.37万元，占3%；其他行政事业单位医疗补助0.27万元，占1%。</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1.军队移交政府离退休干部管理机构2021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95.52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数减少13.97万元，减少14.6%，主要原因是：单位退休1人</w:t>
      </w:r>
      <w:r>
        <w:rPr>
          <w:rFonts w:hint="eastAsia" w:ascii="仿宋_GB2312" w:hAnsi="宋体" w:eastAsia="仿宋_GB2312" w:cs="宋体"/>
          <w:kern w:val="0"/>
          <w:sz w:val="32"/>
          <w:szCs w:val="32"/>
          <w:lang w:eastAsia="zh-CN"/>
        </w:rPr>
        <w:t>交于</w:t>
      </w:r>
      <w:r>
        <w:rPr>
          <w:rFonts w:hint="eastAsia" w:ascii="仿宋_GB2312" w:hAnsi="宋体" w:eastAsia="仿宋_GB2312" w:cs="宋体"/>
          <w:kern w:val="0"/>
          <w:sz w:val="32"/>
          <w:szCs w:val="32"/>
        </w:rPr>
        <w:t>社保管理，工资福利支出减少，公用经费减少。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事业单位医疗2021年预算数为10.38万元，</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w:t>
      </w:r>
      <w:r>
        <w:rPr>
          <w:rFonts w:hint="eastAsia" w:ascii="仿宋_GB2312" w:hAnsi="宋体" w:eastAsia="仿宋_GB2312" w:cs="宋体"/>
          <w:kern w:val="0"/>
          <w:sz w:val="32"/>
          <w:szCs w:val="32"/>
          <w:highlight w:val="none"/>
        </w:rPr>
        <w:t>数增加2.41万元，增加23%，主要原因是：人员工资增加，社保基数</w:t>
      </w:r>
      <w:r>
        <w:rPr>
          <w:rFonts w:hint="eastAsia" w:ascii="仿宋_GB2312" w:hAnsi="宋体" w:eastAsia="仿宋_GB2312" w:cs="宋体"/>
          <w:kern w:val="0"/>
          <w:sz w:val="32"/>
          <w:szCs w:val="32"/>
          <w:highlight w:val="none"/>
          <w:lang w:eastAsia="zh-CN"/>
        </w:rPr>
        <w:t>调增。</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公务员医疗补助3.37万元，比上年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数增加0.01万元，增加0.3%，主要原因是：人员工资增加，社保基数</w:t>
      </w:r>
      <w:r>
        <w:rPr>
          <w:rFonts w:hint="eastAsia" w:ascii="仿宋_GB2312" w:hAnsi="宋体" w:eastAsia="仿宋_GB2312" w:cs="宋体"/>
          <w:kern w:val="0"/>
          <w:sz w:val="32"/>
          <w:szCs w:val="32"/>
          <w:lang w:eastAsia="zh-CN"/>
        </w:rPr>
        <w:t>调增。</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其他行政事业单位医疗补助0.27万元，比上年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数减少0.26万元，减少70%，主要原因是：</w:t>
      </w:r>
      <w:r>
        <w:rPr>
          <w:rFonts w:hint="eastAsia" w:ascii="仿宋_GB2312" w:hAnsi="宋体" w:eastAsia="仿宋_GB2312" w:cs="宋体"/>
          <w:kern w:val="0"/>
          <w:sz w:val="32"/>
          <w:szCs w:val="32"/>
          <w:lang w:eastAsia="zh-CN"/>
        </w:rPr>
        <w:t>缴费</w:t>
      </w:r>
      <w:r>
        <w:rPr>
          <w:rFonts w:hint="eastAsia" w:ascii="仿宋_GB2312" w:hAnsi="宋体" w:eastAsia="仿宋_GB2312" w:cs="宋体"/>
          <w:kern w:val="0"/>
          <w:sz w:val="32"/>
          <w:szCs w:val="32"/>
        </w:rPr>
        <w:t xml:space="preserve">比例降低。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六、关于昌吉州军队离退休干部休养所2021年一般公共预算基本支出情况说明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w:t>
      </w:r>
      <w:r>
        <w:rPr>
          <w:rFonts w:hint="eastAsia" w:ascii="仿宋_GB2312" w:hAnsi="宋体" w:eastAsia="仿宋_GB2312" w:cs="宋体"/>
          <w:kern w:val="0"/>
          <w:sz w:val="32"/>
          <w:szCs w:val="32"/>
          <w:lang w:eastAsia="zh-CN"/>
        </w:rPr>
        <w:t>队</w:t>
      </w:r>
      <w:r>
        <w:rPr>
          <w:rFonts w:hint="eastAsia" w:ascii="仿宋_GB2312" w:hAnsi="宋体" w:eastAsia="仿宋_GB2312" w:cs="宋体"/>
          <w:kern w:val="0"/>
          <w:sz w:val="32"/>
          <w:szCs w:val="32"/>
        </w:rPr>
        <w:t>离退休干部休养所2021年一般公共预算基本支出109.54万元，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 96.47万元，主要包括：基本工资35.45万元、津贴补贴0.7万元、奖金 2.49万元、伙食补助费8.82万元、基础性绩效工资11.45 万元、奖励性绩效工资6.58 万元、机关事业单位基本养老保险缴费8.96 万元、职工基本医疗保险缴费10.38万元、公务员医疗补助缴费 3.37万元、其他社会保障缴费0.27万元、住房公积金6.72 万元、奖励金 0.38万元、对个人和家庭的补助支出0.9万元。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公用经费13.07万元，主要包括：办公费 2.05万元、印刷费 0.1万元、电费 0.4万元、邮电费 0.66万元、取暖费 0.3万元、物业管理费0.35万元、差旅费0.2万元、维修（护）费0.3万元、劳务费0.2万元、委托业务费0.28万元、工会经费0.71万元、福利费1.63万元、公务用车运行维护费3.9万元、商品和服务支出1.99万元。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七、关于昌吉州军队离退休干部休养所2021年项目支出情况说明</w:t>
      </w:r>
    </w:p>
    <w:p>
      <w:pPr>
        <w:spacing w:line="560" w:lineRule="exact"/>
        <w:ind w:firstLine="640" w:firstLineChars="200"/>
        <w:rPr>
          <w:rFonts w:ascii="仿宋_GB2312" w:hAnsi="黑体" w:eastAsia="仿宋_GB2312"/>
          <w:bCs/>
          <w:sz w:val="32"/>
          <w:szCs w:val="32"/>
        </w:rPr>
      </w:pPr>
      <w:r>
        <w:rPr>
          <w:rFonts w:hint="eastAsia" w:ascii="仿宋_GB2312" w:hAnsi="黑体" w:eastAsia="仿宋_GB2312"/>
          <w:bCs/>
          <w:sz w:val="32"/>
          <w:szCs w:val="32"/>
        </w:rPr>
        <w:t>2021年昌吉州军队离退休干部休养所未安排项目支出。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八、关于昌吉州军队离退休干部休养所2021年一般公共预算“三公”经费预算情况说明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昌吉州军队离退休干部休养所2021年“三公”经费财政拨款预算数为3.9万元，其中：因公出国（境）费  0 万元，公务用车购置0万元，公务用车运行费3.9万元，公务接待费0万元。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三公”经费财政拨款预算与上年相比无变化，其中：因公出国（境）费增加0万元，主要原因是单位无因公出国（境）项目；公务用车购置费为0，增加0万元，未安排预算；公务用车运行费增加0万元，主要原因是车辆严格按照预算支出 ；公务接待费增加0万元，主要原因是单位无接待项目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九、关于昌吉州军队离退休干部休养所2021年政府性基金预算拨款情况说明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2021年，昌吉州军队离退休干部休养所单位的机关运行经费财政拨款预算13.07万元，比上年预算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减少1.01万元，减少7%。主要原因是单位退休1人</w:t>
      </w:r>
      <w:r>
        <w:rPr>
          <w:rFonts w:hint="eastAsia" w:ascii="仿宋_GB2312" w:hAnsi="宋体" w:eastAsia="仿宋_GB2312" w:cs="宋体"/>
          <w:kern w:val="0"/>
          <w:sz w:val="32"/>
          <w:szCs w:val="32"/>
          <w:lang w:eastAsia="zh-CN"/>
        </w:rPr>
        <w:t>交于</w:t>
      </w:r>
      <w:r>
        <w:rPr>
          <w:rFonts w:hint="eastAsia" w:ascii="仿宋_GB2312" w:hAnsi="宋体" w:eastAsia="仿宋_GB2312" w:cs="宋体"/>
          <w:kern w:val="0"/>
          <w:sz w:val="32"/>
          <w:szCs w:val="32"/>
        </w:rPr>
        <w:t xml:space="preserve">社保管理，工资福利支出减少，公用经费减少。   </w:t>
      </w:r>
      <w:r>
        <w:rPr>
          <w:rFonts w:hint="eastAsia" w:ascii="仿宋_GB2312" w:hAnsi="宋体" w:eastAsia="仿宋_GB2312" w:cs="宋体"/>
          <w:color w:val="0000FF"/>
          <w:kern w:val="0"/>
          <w:sz w:val="32"/>
          <w:szCs w:val="32"/>
        </w:rPr>
        <w:t xml:space="preserve">      </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2021年，昌吉州军队离退休干部休养所单位政府采购预算20.49万元，其中：政府采购货物预算6.84万元，政府采购工程预算 9万元，政府采购服务预算4.65万元。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2021年度本部门面向中小企业预留政府采购项目预算金额</w:t>
      </w:r>
      <w:r>
        <w:rPr>
          <w:rFonts w:hint="default" w:ascii="仿宋_GB2312" w:hAnsi="仿宋_GB2312" w:eastAsia="仿宋_GB2312"/>
          <w:sz w:val="32"/>
          <w:lang w:val="en-US"/>
        </w:rPr>
        <w:t>20.49</w:t>
      </w:r>
      <w:r>
        <w:rPr>
          <w:rFonts w:hint="eastAsia" w:ascii="仿宋_GB2312" w:hAnsi="仿宋_GB2312" w:eastAsia="仿宋_GB2312"/>
          <w:sz w:val="32"/>
        </w:rPr>
        <w:t>万元，其中：面向小微企业预留政府采购项目预算金额</w:t>
      </w:r>
      <w:r>
        <w:rPr>
          <w:rFonts w:hint="default" w:ascii="仿宋_GB2312" w:hAnsi="仿宋_GB2312" w:eastAsia="仿宋_GB2312"/>
          <w:sz w:val="32"/>
          <w:lang w:val="en-US"/>
        </w:rPr>
        <w:t>20.49</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截至2020年底，昌吉州军队离退休干部休养所占用使用国有资产总体情况为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1.房屋40.49平方米，价值23.06万元。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2.车辆3辆，价值62.71万元；其中：一般公务用车3辆，价值62.71万元；执法执勤用车0辆，价值0万元；其他车辆0辆，价值0万元。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41.50万元。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 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2021年部门预算未安排购置车辆经费（或安排购置车辆经费 0万元），安排购置50万元以上大型设备0台（套），单位价值100万元以上大型设备0 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20" w:lineRule="exact"/>
        <w:ind w:firstLine="627" w:firstLineChars="196"/>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2021年度，本年度实行绩效管理的项目0个，涉及预算金额0万元。</w:t>
      </w: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 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昌吉州军队离退休干部休养所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0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t>- 1 -</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- 12 -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9E5402"/>
    <w:rsid w:val="609D0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qFormat/>
    <w:uiPriority w:val="1"/>
  </w:style>
  <w:style w:type="table" w:default="1" w:styleId="10">
    <w:name w:val="Normal Table"/>
    <w:qFormat/>
    <w:uiPriority w:val="99"/>
    <w:tblPr>
      <w:tblLayout w:type="fixed"/>
      <w:tblCellMar>
        <w:top w:w="0" w:type="dxa"/>
        <w:left w:w="108" w:type="dxa"/>
        <w:bottom w:w="0" w:type="dxa"/>
        <w:right w:w="108" w:type="dxa"/>
      </w:tblCellMar>
    </w:tblPr>
  </w:style>
  <w:style w:type="paragraph" w:styleId="2">
    <w:name w:val="Balloon Text"/>
    <w:basedOn w:val="1"/>
    <w:link w:val="14"/>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qFormat/>
    <w:uiPriority w:val="0"/>
  </w:style>
  <w:style w:type="table" w:styleId="11">
    <w:name w:val="Table Grid"/>
    <w:basedOn w:val="1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脚 Char"/>
    <w:basedOn w:val="7"/>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7"/>
    <w:link w:val="2"/>
    <w:qFormat/>
    <w:uiPriority w:val="0"/>
    <w:rPr>
      <w:rFonts w:ascii="Times New Roman" w:hAnsi="Times New Roman" w:eastAsia="宋体" w:cs="Times New Roman"/>
      <w:sz w:val="18"/>
      <w:szCs w:val="18"/>
      <w:lang w:val="zh-CN" w:eastAsia="zh-CN"/>
    </w:rPr>
  </w:style>
  <w:style w:type="character" w:customStyle="1" w:styleId="15">
    <w:name w:val="页眉 Char"/>
    <w:basedOn w:val="7"/>
    <w:link w:val="4"/>
    <w:qFormat/>
    <w:uiPriority w:val="0"/>
    <w:rPr>
      <w:rFonts w:ascii="Times New Roman" w:hAnsi="Times New Roman" w:eastAsia="宋体" w:cs="Times New Roman"/>
      <w:sz w:val="18"/>
      <w:szCs w:val="18"/>
      <w:lang w:val="zh-CN" w:eastAsia="zh-CN"/>
    </w:rPr>
  </w:style>
  <w:style w:type="character" w:customStyle="1" w:styleId="16">
    <w:name w:val="正文文本缩进 3 Char"/>
    <w:basedOn w:val="7"/>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8FBA1A-E728-4A1A-9444-462FC1ECB68F}">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5659</Words>
  <Characters>6793</Characters>
  <Paragraphs>2014</Paragraphs>
  <TotalTime>0</TotalTime>
  <ScaleCrop>false</ScaleCrop>
  <LinksUpToDate>false</LinksUpToDate>
  <CharactersWithSpaces>7332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1</cp:lastModifiedBy>
  <cp:lastPrinted>2021-04-01T11:04:00Z</cp:lastPrinted>
  <dcterms:modified xsi:type="dcterms:W3CDTF">2022-04-08T11:10:58Z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7A1DFC40534B4FE1A65ED8693F80395E</vt:lpwstr>
  </property>
</Properties>
</file>