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r>
        <w:rPr>
          <w:rFonts w:hint="eastAsia" w:ascii="黑体" w:hAnsi="黑体" w:eastAsia="黑体"/>
          <w:sz w:val="32"/>
          <w:szCs w:val="32"/>
        </w:rPr>
        <w:t>附件2：</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昌吉州退役军人事务局2021年部门预算公开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昌吉州退役军人事务局概况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一、昌吉州退役军人事务局收支总体情况表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二、昌吉州退役军人事务局收入总体情况表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三、昌吉州退役军人事务局支出总体情况表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一、关于昌吉州退役军人事务局2021年收支预算情况的总体说明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二、关于昌吉州退役军人事务局2021年收入预算情况说明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三、关于昌吉州退役军人事务局2021年支出预算情况说明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四、关于昌吉州退役军人事务局2021年财政拨款收支预算情况的总体说明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五、关于昌吉州退役军人事务局2021年一般公共预算当年拨款情况说明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六、关于昌吉州退役军人事务局2021年一般公共预算基本支出情况说明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七、关于昌吉州退役军人事务局2021年一般公共预算项目支出情况说明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八、关于昌吉州退役军人事务局2021年一般公共预算“三公”经费预算情况说明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九、关于昌吉州退役军人事务局2021年政府性基金预算拨款情况说明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昌吉州退役军人事务局单位概况</w:t>
      </w:r>
    </w:p>
    <w:p>
      <w:pPr>
        <w:widowControl/>
        <w:spacing w:line="560" w:lineRule="exact"/>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昌吉州退役军人事务局是2018年11月29日挂牌成立的自治州人民政府工作部门，是一级预算单位。主要负责退役军人思想政治、管理保障和安置优抚等工作，褒扬彰显退役军人为党、国家和人民牺牲奉献精神风范和价值导向，发挥退役军人有自治州社会稳定和长治久安总目标中的作用。负责军队转业干部、复员干部、离休退休干部、退役士兵和无军籍退休退职职工的移交安置工作和自主择业、就业退役军人服务管理工作；拟订退役军人留昌安置优惠优待政策；促进退役军人留在昌吉，奉献基层；组织指导退役军人教育培训工作；协调扶持退役军人和随军随调家属就业创业；会同有关部门拟订退役军人特殊保障政策并组织落实；组织落实移交地方的离休退休军人、符合条件的其他退役军人和无军籍退休退职职工的住房保障工作，以及退役军人医疗保障、社会保险等待遇保障工作；组织指导伤病残退役军人服务管理和抚恤工作，落实有关退役军人医疗、疗养、养老等机构的规划政策并指导实施；承担不适宜继续服役的伤病残军人相关工作；组织指导拥军优属工作。负责现役军人、退役军人、军队文职人员和军属优待、抚恤等工作，落实国民党抗战老兵等有关人员优待政策并指导实施；负责烈士及退役军人荣誉奖励、军人公墓管理维护、纪念活动等工作；依法承担英雄烈士保护相关工作；审核拟列入全国、自治区和自治州重点保护单位的烈士纪念建筑物名录；总结表彰和宣扬退役军人、退役军人工作单位和个人先进典型事迹；指导并监督检查退役军人相关法律法规和政策措施的落实；组织指导退役军人权益维护和有关人员的帮扶援助工作；完成自治州党委、自治州人民政府交办的其他任务。</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黑体" w:eastAsia="仿宋_GB2312" w:cs="宋体"/>
          <w:bCs/>
          <w:kern w:val="0"/>
          <w:sz w:val="32"/>
          <w:szCs w:val="32"/>
        </w:rPr>
        <w:t>昌吉州退役军人事务局有两个下属事业单位，分别是昌吉州退役军人服务中心和昌吉州军队离退休干部休养所（其中：昌吉州军队离退休干部休养所为一级预算单位，昌吉州退役军人服务中心无预算），昌吉州退役军人事务局下设3个科室，分别是：办公室、移交安置科、拥军优抚科</w:t>
      </w:r>
      <w:r>
        <w:rPr>
          <w:rFonts w:hint="eastAsia" w:ascii="仿宋_GB2312" w:hAnsi="宋体" w:eastAsia="仿宋_GB2312" w:cs="宋体"/>
          <w:kern w:val="0"/>
          <w:sz w:val="32"/>
          <w:szCs w:val="32"/>
        </w:rPr>
        <w:t>。</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昌吉州退役军人事务局</w:t>
      </w:r>
      <w:r>
        <w:rPr>
          <w:rFonts w:hint="eastAsia" w:ascii="仿宋_GB2312" w:hAnsi="宋体" w:eastAsia="仿宋_GB2312" w:cs="宋体"/>
          <w:kern w:val="0"/>
          <w:sz w:val="32"/>
          <w:szCs w:val="32"/>
        </w:rPr>
        <w:t>单位编制数13，实有人数</w:t>
      </w:r>
      <w:r>
        <w:rPr>
          <w:rFonts w:hint="eastAsia" w:ascii="仿宋_GB2312" w:hAnsi="宋体" w:eastAsia="仿宋_GB2312" w:cs="宋体"/>
          <w:kern w:val="0"/>
          <w:sz w:val="32"/>
          <w:szCs w:val="32"/>
          <w:lang w:val="en-US" w:eastAsia="zh-CN"/>
        </w:rPr>
        <w:t>14</w:t>
      </w:r>
      <w:r>
        <w:rPr>
          <w:rFonts w:hint="eastAsia" w:ascii="仿宋_GB2312" w:hAnsi="宋体" w:eastAsia="仿宋_GB2312" w:cs="宋体"/>
          <w:kern w:val="0"/>
          <w:sz w:val="32"/>
          <w:szCs w:val="32"/>
        </w:rPr>
        <w:t>人，其中：在职13人，增加0人； 退休1人，增加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人；离休0人，增加0人。</w:t>
      </w: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昌吉州退役军人事务局                  单位：万元</w:t>
      </w:r>
    </w:p>
    <w:tbl>
      <w:tblPr>
        <w:tblStyle w:val="7"/>
        <w:tblW w:w="8662" w:type="dxa"/>
        <w:tblInd w:w="93" w:type="dxa"/>
        <w:tblLayout w:type="autofit"/>
        <w:tblCellMar>
          <w:top w:w="0" w:type="dxa"/>
          <w:left w:w="108" w:type="dxa"/>
          <w:bottom w:w="0" w:type="dxa"/>
          <w:right w:w="108" w:type="dxa"/>
        </w:tblCellMar>
      </w:tblPr>
      <w:tblGrid>
        <w:gridCol w:w="2425"/>
        <w:gridCol w:w="1418"/>
        <w:gridCol w:w="3260"/>
        <w:gridCol w:w="1559"/>
      </w:tblGrid>
      <w:tr>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266.85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266.85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253.66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13.19</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266.85</w:t>
            </w:r>
          </w:p>
        </w:tc>
        <w:tc>
          <w:tcPr>
            <w:tcW w:w="3260" w:type="dxa"/>
            <w:tcBorders>
              <w:top w:val="nil"/>
              <w:left w:val="nil"/>
              <w:bottom w:val="single" w:color="auto" w:sz="4" w:space="0"/>
              <w:right w:val="nil"/>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266.85</w:t>
            </w:r>
          </w:p>
        </w:tc>
      </w:tr>
    </w:tbl>
    <w:p>
      <w:pPr>
        <w:widowControl/>
        <w:jc w:val="left"/>
        <w:outlineLvl w:val="1"/>
        <w:rPr>
          <w:rFonts w:hint="eastAsia" w:ascii="仿宋_GB2312" w:hAnsi="宋体" w:eastAsia="仿宋_GB2312"/>
          <w:b/>
          <w:kern w:val="0"/>
          <w:sz w:val="32"/>
          <w:szCs w:val="32"/>
          <w:highlight w:val="yellow"/>
        </w:rPr>
      </w:pPr>
    </w:p>
    <w:p>
      <w:pPr>
        <w:widowControl/>
        <w:jc w:val="left"/>
        <w:outlineLvl w:val="1"/>
        <w:rPr>
          <w:rFonts w:hint="eastAsia" w:ascii="仿宋_GB2312" w:hAnsi="宋体" w:eastAsia="仿宋_GB2312"/>
          <w:b/>
          <w:kern w:val="0"/>
          <w:sz w:val="32"/>
          <w:szCs w:val="32"/>
          <w:highlight w:val="yellow"/>
        </w:rPr>
      </w:pPr>
    </w:p>
    <w:p>
      <w:pPr>
        <w:widowControl/>
        <w:jc w:val="left"/>
        <w:outlineLvl w:val="1"/>
        <w:rPr>
          <w:rFonts w:hint="eastAsia" w:ascii="仿宋_GB2312" w:hAnsi="宋体" w:eastAsia="仿宋_GB2312"/>
          <w:b/>
          <w:kern w:val="0"/>
          <w:sz w:val="32"/>
          <w:szCs w:val="32"/>
          <w:highlight w:val="yellow"/>
        </w:rPr>
      </w:pPr>
    </w:p>
    <w:p>
      <w:pPr>
        <w:widowControl/>
        <w:jc w:val="left"/>
        <w:outlineLvl w:val="1"/>
        <w:rPr>
          <w:rFonts w:hint="eastAsia" w:ascii="仿宋_GB2312" w:hAnsi="宋体" w:eastAsia="仿宋_GB2312"/>
          <w:b/>
          <w:kern w:val="0"/>
          <w:sz w:val="32"/>
          <w:szCs w:val="32"/>
          <w:highlight w:val="yellow"/>
        </w:rPr>
      </w:pPr>
    </w:p>
    <w:p>
      <w:pPr>
        <w:widowControl/>
        <w:jc w:val="left"/>
        <w:outlineLvl w:val="1"/>
        <w:rPr>
          <w:rFonts w:hint="eastAsia" w:ascii="仿宋_GB2312" w:hAnsi="宋体" w:eastAsia="仿宋_GB2312"/>
          <w:b/>
          <w:kern w:val="0"/>
          <w:sz w:val="32"/>
          <w:szCs w:val="32"/>
          <w:highlight w:val="yellow"/>
        </w:rPr>
      </w:pPr>
    </w:p>
    <w:p>
      <w:pPr>
        <w:widowControl/>
        <w:jc w:val="left"/>
        <w:outlineLvl w:val="1"/>
        <w:rPr>
          <w:rFonts w:hint="eastAsia" w:ascii="仿宋_GB2312" w:hAnsi="宋体" w:eastAsia="仿宋_GB2312"/>
          <w:b/>
          <w:kern w:val="0"/>
          <w:sz w:val="32"/>
          <w:szCs w:val="32"/>
          <w:highlight w:val="yellow"/>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编制部门（单位）：昌吉州退役军人事务局                         单位：万元</w:t>
      </w:r>
    </w:p>
    <w:tbl>
      <w:tblPr>
        <w:tblStyle w:val="7"/>
        <w:tblW w:w="9741"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tblPrEx>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CellMar>
            <w:top w:w="0" w:type="dxa"/>
            <w:left w:w="108" w:type="dxa"/>
            <w:bottom w:w="0" w:type="dxa"/>
            <w:right w:w="108" w:type="dxa"/>
          </w:tblCellMar>
        </w:tblPrEx>
        <w:trPr>
          <w:trHeight w:val="1007"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389"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eastAsia="仿宋_GB2312"/>
                <w:b/>
                <w:color w:val="000000"/>
                <w:sz w:val="18"/>
                <w:szCs w:val="18"/>
                <w:lang w:val="en-US" w:eastAsia="zh-CN"/>
              </w:rPr>
            </w:pPr>
            <w:r>
              <w:rPr>
                <w:rFonts w:hint="eastAsia" w:ascii="仿宋_GB2312" w:eastAsia="仿宋_GB2312"/>
                <w:b/>
                <w:color w:val="000000"/>
                <w:sz w:val="18"/>
                <w:szCs w:val="18"/>
                <w:lang w:val="en-US" w:eastAsia="zh-CN"/>
              </w:rPr>
              <w:t>208</w:t>
            </w:r>
          </w:p>
        </w:tc>
        <w:tc>
          <w:tcPr>
            <w:tcW w:w="426" w:type="dxa"/>
            <w:tcBorders>
              <w:top w:val="nil"/>
              <w:left w:val="nil"/>
              <w:bottom w:val="single" w:color="auto" w:sz="4" w:space="0"/>
              <w:right w:val="single" w:color="auto" w:sz="4" w:space="0"/>
            </w:tcBorders>
            <w:vAlign w:val="center"/>
          </w:tcPr>
          <w:p>
            <w:pPr>
              <w:jc w:val="center"/>
              <w:rPr>
                <w:rFonts w:hint="eastAsia" w:ascii="仿宋_GB2312" w:eastAsia="仿宋_GB2312"/>
                <w:b/>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hint="eastAsia" w:ascii="仿宋_GB2312" w:eastAsia="仿宋_GB2312"/>
                <w:b/>
                <w:color w:val="000000"/>
                <w:sz w:val="18"/>
                <w:szCs w:val="18"/>
              </w:rPr>
            </w:pPr>
          </w:p>
        </w:tc>
        <w:tc>
          <w:tcPr>
            <w:tcW w:w="1845"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hAnsi="宋体" w:eastAsia="仿宋_GB2312" w:cs="宋体"/>
                <w:color w:val="000000"/>
                <w:sz w:val="20"/>
                <w:szCs w:val="20"/>
              </w:rPr>
              <w:t>社会保障和就业支出</w:t>
            </w:r>
          </w:p>
        </w:tc>
        <w:tc>
          <w:tcPr>
            <w:tcW w:w="1018" w:type="dxa"/>
            <w:tcBorders>
              <w:top w:val="single" w:color="auto" w:sz="4" w:space="0"/>
              <w:left w:val="single" w:color="auto" w:sz="4" w:space="0"/>
              <w:bottom w:val="single" w:color="000000"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253.66</w:t>
            </w:r>
          </w:p>
        </w:tc>
        <w:tc>
          <w:tcPr>
            <w:tcW w:w="850" w:type="dxa"/>
            <w:tcBorders>
              <w:top w:val="single" w:color="auto" w:sz="4" w:space="0"/>
              <w:left w:val="single" w:color="auto" w:sz="4" w:space="0"/>
              <w:bottom w:val="single" w:color="000000"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253.66</w:t>
            </w:r>
          </w:p>
        </w:tc>
        <w:tc>
          <w:tcPr>
            <w:tcW w:w="709"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558"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eastAsia="仿宋_GB2312"/>
                <w:b/>
                <w:color w:val="000000"/>
                <w:sz w:val="18"/>
                <w:szCs w:val="18"/>
                <w:lang w:val="en-US" w:eastAsia="zh-CN"/>
              </w:rPr>
            </w:pPr>
            <w:r>
              <w:rPr>
                <w:rFonts w:hint="eastAsia" w:ascii="仿宋_GB2312" w:eastAsia="仿宋_GB2312"/>
                <w:b/>
                <w:color w:val="000000"/>
                <w:sz w:val="18"/>
                <w:szCs w:val="18"/>
                <w:lang w:val="en-US" w:eastAsia="zh-CN"/>
              </w:rPr>
              <w:t>208</w:t>
            </w:r>
          </w:p>
        </w:tc>
        <w:tc>
          <w:tcPr>
            <w:tcW w:w="426" w:type="dxa"/>
            <w:tcBorders>
              <w:top w:val="nil"/>
              <w:left w:val="nil"/>
              <w:bottom w:val="single" w:color="auto" w:sz="4" w:space="0"/>
              <w:right w:val="single" w:color="auto" w:sz="4" w:space="0"/>
            </w:tcBorders>
            <w:vAlign w:val="center"/>
          </w:tcPr>
          <w:p>
            <w:pPr>
              <w:jc w:val="center"/>
              <w:rPr>
                <w:rFonts w:hint="default" w:ascii="仿宋_GB2312" w:eastAsia="仿宋_GB2312"/>
                <w:b/>
                <w:color w:val="000000"/>
                <w:sz w:val="18"/>
                <w:szCs w:val="18"/>
                <w:lang w:val="en-US" w:eastAsia="zh-CN"/>
              </w:rPr>
            </w:pPr>
            <w:r>
              <w:rPr>
                <w:rFonts w:hint="eastAsia" w:ascii="仿宋_GB2312" w:eastAsia="仿宋_GB2312"/>
                <w:b/>
                <w:color w:val="000000"/>
                <w:sz w:val="18"/>
                <w:szCs w:val="18"/>
                <w:lang w:val="en-US" w:eastAsia="zh-CN"/>
              </w:rPr>
              <w:t>05</w:t>
            </w:r>
          </w:p>
        </w:tc>
        <w:tc>
          <w:tcPr>
            <w:tcW w:w="567" w:type="dxa"/>
            <w:tcBorders>
              <w:top w:val="nil"/>
              <w:left w:val="nil"/>
              <w:bottom w:val="single" w:color="auto" w:sz="4" w:space="0"/>
              <w:right w:val="single" w:color="auto" w:sz="4" w:space="0"/>
            </w:tcBorders>
            <w:vAlign w:val="center"/>
          </w:tcPr>
          <w:p>
            <w:pPr>
              <w:jc w:val="center"/>
              <w:rPr>
                <w:rFonts w:hint="eastAsia" w:ascii="仿宋_GB2312" w:eastAsia="仿宋_GB2312"/>
                <w:b/>
                <w:color w:val="000000"/>
                <w:sz w:val="18"/>
                <w:szCs w:val="18"/>
              </w:rPr>
            </w:pPr>
          </w:p>
        </w:tc>
        <w:tc>
          <w:tcPr>
            <w:tcW w:w="1845" w:type="dxa"/>
            <w:tcBorders>
              <w:top w:val="single" w:color="auto" w:sz="4" w:space="0"/>
              <w:left w:val="single" w:color="auto" w:sz="4" w:space="0"/>
              <w:bottom w:val="single" w:color="000000" w:sz="4" w:space="0"/>
              <w:right w:val="single" w:color="auto" w:sz="4" w:space="0"/>
            </w:tcBorders>
            <w:vAlign w:val="center"/>
          </w:tcPr>
          <w:p>
            <w:pPr>
              <w:rPr>
                <w:rFonts w:hint="eastAsia" w:ascii="仿宋_GB2312" w:hAnsi="宋体" w:eastAsia="仿宋_GB2312" w:cs="宋体"/>
                <w:color w:val="000000"/>
                <w:sz w:val="20"/>
                <w:szCs w:val="20"/>
              </w:rPr>
            </w:pPr>
            <w:r>
              <w:rPr>
                <w:rFonts w:hint="eastAsia" w:ascii="仿宋_GB2312" w:eastAsia="仿宋_GB2312"/>
                <w:sz w:val="20"/>
                <w:szCs w:val="20"/>
              </w:rPr>
              <w:t>行政事业单位养老支出</w:t>
            </w:r>
          </w:p>
        </w:tc>
        <w:tc>
          <w:tcPr>
            <w:tcW w:w="1018"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15.36</w:t>
            </w:r>
          </w:p>
        </w:tc>
        <w:tc>
          <w:tcPr>
            <w:tcW w:w="85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15.36</w:t>
            </w:r>
          </w:p>
        </w:tc>
        <w:tc>
          <w:tcPr>
            <w:tcW w:w="709"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689"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eastAsia="仿宋_GB2312"/>
                <w:b/>
                <w:color w:val="000000"/>
                <w:sz w:val="18"/>
                <w:szCs w:val="18"/>
                <w:lang w:val="en-US" w:eastAsia="zh-CN"/>
              </w:rPr>
            </w:pPr>
            <w:r>
              <w:rPr>
                <w:rFonts w:hint="eastAsia" w:ascii="仿宋_GB2312" w:eastAsia="仿宋_GB2312"/>
                <w:b/>
                <w:color w:val="000000"/>
                <w:sz w:val="18"/>
                <w:szCs w:val="18"/>
                <w:lang w:val="en-US" w:eastAsia="zh-CN"/>
              </w:rPr>
              <w:t>208</w:t>
            </w:r>
          </w:p>
        </w:tc>
        <w:tc>
          <w:tcPr>
            <w:tcW w:w="426" w:type="dxa"/>
            <w:tcBorders>
              <w:top w:val="nil"/>
              <w:left w:val="nil"/>
              <w:bottom w:val="single" w:color="auto" w:sz="4" w:space="0"/>
              <w:right w:val="single" w:color="auto" w:sz="4" w:space="0"/>
            </w:tcBorders>
            <w:vAlign w:val="center"/>
          </w:tcPr>
          <w:p>
            <w:pPr>
              <w:jc w:val="center"/>
              <w:rPr>
                <w:rFonts w:hint="default" w:ascii="仿宋_GB2312" w:eastAsia="仿宋_GB2312"/>
                <w:b/>
                <w:color w:val="000000"/>
                <w:sz w:val="18"/>
                <w:szCs w:val="18"/>
                <w:lang w:val="en-US" w:eastAsia="zh-CN"/>
              </w:rPr>
            </w:pPr>
            <w:r>
              <w:rPr>
                <w:rFonts w:hint="eastAsia" w:ascii="仿宋_GB2312" w:eastAsia="仿宋_GB2312"/>
                <w:b/>
                <w:color w:val="000000"/>
                <w:sz w:val="18"/>
                <w:szCs w:val="18"/>
                <w:lang w:val="en-US" w:eastAsia="zh-CN"/>
              </w:rPr>
              <w:t>05</w:t>
            </w:r>
          </w:p>
        </w:tc>
        <w:tc>
          <w:tcPr>
            <w:tcW w:w="567" w:type="dxa"/>
            <w:tcBorders>
              <w:top w:val="nil"/>
              <w:left w:val="nil"/>
              <w:bottom w:val="single" w:color="auto" w:sz="4" w:space="0"/>
              <w:right w:val="single" w:color="auto" w:sz="4" w:space="0"/>
            </w:tcBorders>
            <w:vAlign w:val="center"/>
          </w:tcPr>
          <w:p>
            <w:pPr>
              <w:jc w:val="center"/>
              <w:rPr>
                <w:rFonts w:hint="default" w:ascii="仿宋_GB2312" w:eastAsia="仿宋_GB2312"/>
                <w:b/>
                <w:color w:val="000000"/>
                <w:sz w:val="18"/>
                <w:szCs w:val="18"/>
                <w:lang w:val="en-US" w:eastAsia="zh-CN"/>
              </w:rPr>
            </w:pPr>
            <w:r>
              <w:rPr>
                <w:rFonts w:hint="eastAsia" w:ascii="仿宋_GB2312" w:eastAsia="仿宋_GB2312"/>
                <w:b/>
                <w:color w:val="000000"/>
                <w:sz w:val="18"/>
                <w:szCs w:val="18"/>
                <w:lang w:val="en-US" w:eastAsia="zh-CN"/>
              </w:rPr>
              <w:t>05</w:t>
            </w:r>
          </w:p>
        </w:tc>
        <w:tc>
          <w:tcPr>
            <w:tcW w:w="1845" w:type="dxa"/>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机关事业单位基本养老保险缴费支出</w:t>
            </w:r>
          </w:p>
        </w:tc>
        <w:tc>
          <w:tcPr>
            <w:tcW w:w="1018"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15.36</w:t>
            </w:r>
          </w:p>
        </w:tc>
        <w:tc>
          <w:tcPr>
            <w:tcW w:w="85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15.36</w:t>
            </w:r>
          </w:p>
        </w:tc>
        <w:tc>
          <w:tcPr>
            <w:tcW w:w="709"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558"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eastAsia="仿宋_GB2312"/>
                <w:b/>
                <w:color w:val="000000"/>
                <w:sz w:val="18"/>
                <w:szCs w:val="18"/>
                <w:lang w:val="en-US" w:eastAsia="zh-CN"/>
              </w:rPr>
            </w:pPr>
            <w:r>
              <w:rPr>
                <w:rFonts w:hint="eastAsia" w:ascii="仿宋_GB2312" w:eastAsia="仿宋_GB2312"/>
                <w:b/>
                <w:color w:val="000000"/>
                <w:sz w:val="18"/>
                <w:szCs w:val="18"/>
                <w:lang w:val="en-US" w:eastAsia="zh-CN"/>
              </w:rPr>
              <w:t>208</w:t>
            </w:r>
          </w:p>
        </w:tc>
        <w:tc>
          <w:tcPr>
            <w:tcW w:w="426" w:type="dxa"/>
            <w:tcBorders>
              <w:top w:val="nil"/>
              <w:left w:val="nil"/>
              <w:bottom w:val="single" w:color="auto" w:sz="4" w:space="0"/>
              <w:right w:val="single" w:color="auto" w:sz="4" w:space="0"/>
            </w:tcBorders>
            <w:vAlign w:val="center"/>
          </w:tcPr>
          <w:p>
            <w:pPr>
              <w:jc w:val="center"/>
              <w:rPr>
                <w:rFonts w:hint="default" w:ascii="仿宋_GB2312" w:eastAsia="仿宋_GB2312"/>
                <w:b/>
                <w:color w:val="000000"/>
                <w:sz w:val="18"/>
                <w:szCs w:val="18"/>
                <w:lang w:val="en-US" w:eastAsia="zh-CN"/>
              </w:rPr>
            </w:pPr>
            <w:r>
              <w:rPr>
                <w:rFonts w:hint="eastAsia" w:ascii="仿宋_GB2312" w:eastAsia="仿宋_GB2312"/>
                <w:b/>
                <w:color w:val="000000"/>
                <w:sz w:val="18"/>
                <w:szCs w:val="18"/>
                <w:lang w:val="en-US" w:eastAsia="zh-CN"/>
              </w:rPr>
              <w:t>09</w:t>
            </w:r>
          </w:p>
        </w:tc>
        <w:tc>
          <w:tcPr>
            <w:tcW w:w="567" w:type="dxa"/>
            <w:tcBorders>
              <w:top w:val="nil"/>
              <w:left w:val="nil"/>
              <w:bottom w:val="single" w:color="auto" w:sz="4" w:space="0"/>
              <w:right w:val="single" w:color="auto" w:sz="4" w:space="0"/>
            </w:tcBorders>
            <w:vAlign w:val="center"/>
          </w:tcPr>
          <w:p>
            <w:pPr>
              <w:jc w:val="center"/>
              <w:rPr>
                <w:rFonts w:hint="eastAsia" w:ascii="仿宋_GB2312" w:eastAsia="仿宋_GB2312"/>
                <w:b/>
                <w:color w:val="000000"/>
                <w:sz w:val="18"/>
                <w:szCs w:val="18"/>
                <w:lang w:val="en-US" w:eastAsia="zh-CN"/>
              </w:rPr>
            </w:pPr>
          </w:p>
        </w:tc>
        <w:tc>
          <w:tcPr>
            <w:tcW w:w="1845" w:type="dxa"/>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退役安置</w:t>
            </w:r>
          </w:p>
        </w:tc>
        <w:tc>
          <w:tcPr>
            <w:tcW w:w="1018" w:type="dxa"/>
            <w:tcBorders>
              <w:top w:val="single" w:color="auto" w:sz="4" w:space="0"/>
              <w:left w:val="single" w:color="auto" w:sz="4" w:space="0"/>
              <w:bottom w:val="single" w:color="000000"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7.50</w:t>
            </w:r>
          </w:p>
        </w:tc>
        <w:tc>
          <w:tcPr>
            <w:tcW w:w="850" w:type="dxa"/>
            <w:tcBorders>
              <w:top w:val="single" w:color="auto" w:sz="4" w:space="0"/>
              <w:left w:val="single" w:color="auto" w:sz="4" w:space="0"/>
              <w:bottom w:val="single" w:color="000000"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7.50</w:t>
            </w:r>
          </w:p>
        </w:tc>
        <w:tc>
          <w:tcPr>
            <w:tcW w:w="709"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74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eastAsia="仿宋_GB2312"/>
                <w:b/>
                <w:color w:val="000000"/>
                <w:sz w:val="18"/>
                <w:szCs w:val="18"/>
                <w:lang w:val="en-US" w:eastAsia="zh-CN"/>
              </w:rPr>
            </w:pPr>
            <w:r>
              <w:rPr>
                <w:rFonts w:hint="eastAsia" w:ascii="仿宋_GB2312" w:eastAsia="仿宋_GB2312"/>
                <w:b/>
                <w:color w:val="000000"/>
                <w:sz w:val="18"/>
                <w:szCs w:val="18"/>
                <w:lang w:val="en-US" w:eastAsia="zh-CN"/>
              </w:rPr>
              <w:t>208</w:t>
            </w:r>
          </w:p>
        </w:tc>
        <w:tc>
          <w:tcPr>
            <w:tcW w:w="426" w:type="dxa"/>
            <w:tcBorders>
              <w:top w:val="nil"/>
              <w:left w:val="nil"/>
              <w:bottom w:val="single" w:color="auto" w:sz="4" w:space="0"/>
              <w:right w:val="single" w:color="auto" w:sz="4" w:space="0"/>
            </w:tcBorders>
            <w:vAlign w:val="center"/>
          </w:tcPr>
          <w:p>
            <w:pPr>
              <w:jc w:val="center"/>
              <w:rPr>
                <w:rFonts w:hint="default" w:ascii="仿宋_GB2312" w:eastAsia="仿宋_GB2312"/>
                <w:b/>
                <w:color w:val="000000"/>
                <w:sz w:val="18"/>
                <w:szCs w:val="18"/>
                <w:lang w:val="en-US" w:eastAsia="zh-CN"/>
              </w:rPr>
            </w:pPr>
            <w:r>
              <w:rPr>
                <w:rFonts w:hint="eastAsia" w:ascii="仿宋_GB2312" w:eastAsia="仿宋_GB2312"/>
                <w:b/>
                <w:color w:val="000000"/>
                <w:sz w:val="18"/>
                <w:szCs w:val="18"/>
                <w:lang w:val="en-US" w:eastAsia="zh-CN"/>
              </w:rPr>
              <w:t>09</w:t>
            </w:r>
          </w:p>
        </w:tc>
        <w:tc>
          <w:tcPr>
            <w:tcW w:w="567" w:type="dxa"/>
            <w:tcBorders>
              <w:top w:val="nil"/>
              <w:left w:val="nil"/>
              <w:bottom w:val="single" w:color="auto" w:sz="4" w:space="0"/>
              <w:right w:val="single" w:color="auto" w:sz="4" w:space="0"/>
            </w:tcBorders>
            <w:vAlign w:val="center"/>
          </w:tcPr>
          <w:p>
            <w:pPr>
              <w:jc w:val="center"/>
              <w:rPr>
                <w:rFonts w:hint="default" w:ascii="仿宋_GB2312" w:eastAsia="仿宋_GB2312"/>
                <w:b/>
                <w:color w:val="000000"/>
                <w:sz w:val="18"/>
                <w:szCs w:val="18"/>
                <w:lang w:val="en-US" w:eastAsia="zh-CN"/>
              </w:rPr>
            </w:pPr>
            <w:r>
              <w:rPr>
                <w:rFonts w:hint="eastAsia" w:ascii="仿宋_GB2312" w:eastAsia="仿宋_GB2312"/>
                <w:b/>
                <w:color w:val="000000"/>
                <w:sz w:val="18"/>
                <w:szCs w:val="18"/>
                <w:lang w:val="en-US" w:eastAsia="zh-CN"/>
              </w:rPr>
              <w:t>05</w:t>
            </w:r>
          </w:p>
        </w:tc>
        <w:tc>
          <w:tcPr>
            <w:tcW w:w="1845" w:type="dxa"/>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军队转业干部安置</w:t>
            </w:r>
          </w:p>
        </w:tc>
        <w:tc>
          <w:tcPr>
            <w:tcW w:w="1018" w:type="dxa"/>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7.50</w:t>
            </w:r>
          </w:p>
        </w:tc>
        <w:tc>
          <w:tcPr>
            <w:tcW w:w="850" w:type="dxa"/>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7.50</w:t>
            </w:r>
          </w:p>
        </w:tc>
        <w:tc>
          <w:tcPr>
            <w:tcW w:w="709"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83"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eastAsia="仿宋_GB2312"/>
                <w:b/>
                <w:color w:val="000000"/>
                <w:sz w:val="18"/>
                <w:szCs w:val="18"/>
                <w:lang w:val="en-US" w:eastAsia="zh-CN"/>
              </w:rPr>
            </w:pPr>
            <w:r>
              <w:rPr>
                <w:rFonts w:hint="eastAsia" w:ascii="仿宋_GB2312" w:eastAsia="仿宋_GB2312"/>
                <w:b/>
                <w:color w:val="000000"/>
                <w:sz w:val="18"/>
                <w:szCs w:val="18"/>
                <w:lang w:val="en-US" w:eastAsia="zh-CN"/>
              </w:rPr>
              <w:t>208</w:t>
            </w:r>
          </w:p>
        </w:tc>
        <w:tc>
          <w:tcPr>
            <w:tcW w:w="426" w:type="dxa"/>
            <w:tcBorders>
              <w:top w:val="nil"/>
              <w:left w:val="nil"/>
              <w:bottom w:val="single" w:color="auto" w:sz="4" w:space="0"/>
              <w:right w:val="single" w:color="auto" w:sz="4" w:space="0"/>
            </w:tcBorders>
            <w:vAlign w:val="center"/>
          </w:tcPr>
          <w:p>
            <w:pPr>
              <w:jc w:val="center"/>
              <w:rPr>
                <w:rFonts w:hint="default" w:ascii="仿宋_GB2312" w:eastAsia="仿宋_GB2312"/>
                <w:b/>
                <w:color w:val="000000"/>
                <w:sz w:val="18"/>
                <w:szCs w:val="18"/>
                <w:lang w:val="en-US" w:eastAsia="zh-CN"/>
              </w:rPr>
            </w:pPr>
            <w:r>
              <w:rPr>
                <w:rFonts w:hint="eastAsia" w:ascii="仿宋_GB2312" w:eastAsia="仿宋_GB2312"/>
                <w:b/>
                <w:color w:val="000000"/>
                <w:sz w:val="18"/>
                <w:szCs w:val="18"/>
                <w:lang w:val="en-US" w:eastAsia="zh-CN"/>
              </w:rPr>
              <w:t>28</w:t>
            </w:r>
          </w:p>
        </w:tc>
        <w:tc>
          <w:tcPr>
            <w:tcW w:w="567" w:type="dxa"/>
            <w:tcBorders>
              <w:top w:val="nil"/>
              <w:left w:val="nil"/>
              <w:bottom w:val="single" w:color="auto" w:sz="4" w:space="0"/>
              <w:right w:val="single" w:color="auto" w:sz="4" w:space="0"/>
            </w:tcBorders>
            <w:vAlign w:val="center"/>
          </w:tcPr>
          <w:p>
            <w:pPr>
              <w:jc w:val="center"/>
              <w:rPr>
                <w:rFonts w:hint="eastAsia" w:ascii="仿宋_GB2312" w:eastAsia="仿宋_GB2312"/>
                <w:b/>
                <w:color w:val="000000"/>
                <w:sz w:val="18"/>
                <w:szCs w:val="18"/>
              </w:rPr>
            </w:pPr>
          </w:p>
        </w:tc>
        <w:tc>
          <w:tcPr>
            <w:tcW w:w="1845"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hAnsi="宋体" w:eastAsia="仿宋_GB2312" w:cs="宋体"/>
                <w:color w:val="000000"/>
                <w:sz w:val="20"/>
                <w:szCs w:val="20"/>
                <w:lang w:eastAsia="zh-CN"/>
              </w:rPr>
              <w:t>退役军人管理事务</w:t>
            </w:r>
          </w:p>
        </w:tc>
        <w:tc>
          <w:tcPr>
            <w:tcW w:w="1018" w:type="dxa"/>
            <w:tcBorders>
              <w:top w:val="single" w:color="auto" w:sz="4" w:space="0"/>
              <w:left w:val="single" w:color="auto" w:sz="4" w:space="0"/>
              <w:bottom w:val="single" w:color="000000" w:sz="4" w:space="0"/>
              <w:right w:val="single" w:color="auto" w:sz="4" w:space="0"/>
            </w:tcBorders>
            <w:vAlign w:val="center"/>
          </w:tcPr>
          <w:p>
            <w:pP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230.80</w:t>
            </w:r>
          </w:p>
        </w:tc>
        <w:tc>
          <w:tcPr>
            <w:tcW w:w="850" w:type="dxa"/>
            <w:tcBorders>
              <w:top w:val="single" w:color="auto" w:sz="4" w:space="0"/>
              <w:left w:val="single" w:color="auto" w:sz="4" w:space="0"/>
              <w:bottom w:val="single" w:color="000000" w:sz="4" w:space="0"/>
              <w:right w:val="single" w:color="auto" w:sz="4" w:space="0"/>
            </w:tcBorders>
            <w:vAlign w:val="center"/>
          </w:tcPr>
          <w:p>
            <w:pP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230.80</w:t>
            </w:r>
          </w:p>
        </w:tc>
        <w:tc>
          <w:tcPr>
            <w:tcW w:w="709"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74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eastAsia="仿宋_GB2312"/>
                <w:b/>
                <w:color w:val="000000"/>
                <w:sz w:val="18"/>
                <w:szCs w:val="18"/>
                <w:lang w:val="en-US" w:eastAsia="zh-CN"/>
              </w:rPr>
            </w:pPr>
            <w:r>
              <w:rPr>
                <w:rFonts w:hint="eastAsia" w:ascii="仿宋_GB2312" w:eastAsia="仿宋_GB2312"/>
                <w:b/>
                <w:color w:val="000000"/>
                <w:sz w:val="18"/>
                <w:szCs w:val="18"/>
                <w:lang w:val="en-US" w:eastAsia="zh-CN"/>
              </w:rPr>
              <w:t>208</w:t>
            </w:r>
          </w:p>
        </w:tc>
        <w:tc>
          <w:tcPr>
            <w:tcW w:w="426" w:type="dxa"/>
            <w:tcBorders>
              <w:top w:val="nil"/>
              <w:left w:val="nil"/>
              <w:bottom w:val="single" w:color="auto" w:sz="4" w:space="0"/>
              <w:right w:val="single" w:color="auto" w:sz="4" w:space="0"/>
            </w:tcBorders>
            <w:vAlign w:val="center"/>
          </w:tcPr>
          <w:p>
            <w:pPr>
              <w:jc w:val="center"/>
              <w:rPr>
                <w:rFonts w:hint="default" w:ascii="仿宋_GB2312" w:eastAsia="仿宋_GB2312"/>
                <w:b/>
                <w:color w:val="000000"/>
                <w:sz w:val="18"/>
                <w:szCs w:val="18"/>
                <w:lang w:val="en-US" w:eastAsia="zh-CN"/>
              </w:rPr>
            </w:pPr>
            <w:r>
              <w:rPr>
                <w:rFonts w:hint="eastAsia" w:ascii="仿宋_GB2312" w:eastAsia="仿宋_GB2312"/>
                <w:b/>
                <w:color w:val="000000"/>
                <w:sz w:val="18"/>
                <w:szCs w:val="18"/>
                <w:lang w:val="en-US" w:eastAsia="zh-CN"/>
              </w:rPr>
              <w:t>28</w:t>
            </w:r>
          </w:p>
        </w:tc>
        <w:tc>
          <w:tcPr>
            <w:tcW w:w="567" w:type="dxa"/>
            <w:tcBorders>
              <w:top w:val="nil"/>
              <w:left w:val="nil"/>
              <w:bottom w:val="single" w:color="auto" w:sz="4" w:space="0"/>
              <w:right w:val="single" w:color="auto" w:sz="4" w:space="0"/>
            </w:tcBorders>
            <w:vAlign w:val="center"/>
          </w:tcPr>
          <w:p>
            <w:pPr>
              <w:jc w:val="center"/>
              <w:rPr>
                <w:rFonts w:hint="default" w:ascii="仿宋_GB2312" w:eastAsia="仿宋_GB2312"/>
                <w:b/>
                <w:color w:val="000000"/>
                <w:sz w:val="18"/>
                <w:szCs w:val="18"/>
                <w:lang w:val="en-US" w:eastAsia="zh-CN"/>
              </w:rPr>
            </w:pPr>
            <w:r>
              <w:rPr>
                <w:rFonts w:hint="eastAsia" w:ascii="仿宋_GB2312" w:eastAsia="仿宋_GB2312"/>
                <w:b/>
                <w:color w:val="000000"/>
                <w:sz w:val="18"/>
                <w:szCs w:val="18"/>
                <w:lang w:val="en-US" w:eastAsia="zh-CN"/>
              </w:rPr>
              <w:t>01</w:t>
            </w:r>
          </w:p>
        </w:tc>
        <w:tc>
          <w:tcPr>
            <w:tcW w:w="1845" w:type="dxa"/>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行政运行</w:t>
            </w:r>
          </w:p>
        </w:tc>
        <w:tc>
          <w:tcPr>
            <w:tcW w:w="1018"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160.80</w:t>
            </w:r>
          </w:p>
        </w:tc>
        <w:tc>
          <w:tcPr>
            <w:tcW w:w="85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160.80</w:t>
            </w:r>
          </w:p>
        </w:tc>
        <w:tc>
          <w:tcPr>
            <w:tcW w:w="709"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707"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eastAsia="仿宋_GB2312"/>
                <w:b/>
                <w:color w:val="000000"/>
                <w:sz w:val="18"/>
                <w:szCs w:val="18"/>
                <w:lang w:val="en-US" w:eastAsia="zh-CN"/>
              </w:rPr>
            </w:pPr>
            <w:r>
              <w:rPr>
                <w:rFonts w:hint="eastAsia" w:ascii="仿宋_GB2312" w:eastAsia="仿宋_GB2312"/>
                <w:b/>
                <w:color w:val="000000"/>
                <w:sz w:val="18"/>
                <w:szCs w:val="18"/>
                <w:lang w:val="en-US" w:eastAsia="zh-CN"/>
              </w:rPr>
              <w:t>208</w:t>
            </w:r>
          </w:p>
        </w:tc>
        <w:tc>
          <w:tcPr>
            <w:tcW w:w="426" w:type="dxa"/>
            <w:tcBorders>
              <w:top w:val="nil"/>
              <w:left w:val="nil"/>
              <w:bottom w:val="single" w:color="auto" w:sz="4" w:space="0"/>
              <w:right w:val="single" w:color="auto" w:sz="4" w:space="0"/>
            </w:tcBorders>
            <w:vAlign w:val="center"/>
          </w:tcPr>
          <w:p>
            <w:pPr>
              <w:jc w:val="center"/>
              <w:rPr>
                <w:rFonts w:hint="default" w:ascii="仿宋_GB2312" w:eastAsia="仿宋_GB2312"/>
                <w:b/>
                <w:color w:val="000000"/>
                <w:sz w:val="18"/>
                <w:szCs w:val="18"/>
                <w:lang w:val="en-US" w:eastAsia="zh-CN"/>
              </w:rPr>
            </w:pPr>
            <w:r>
              <w:rPr>
                <w:rFonts w:hint="eastAsia" w:ascii="仿宋_GB2312" w:eastAsia="仿宋_GB2312"/>
                <w:b/>
                <w:color w:val="000000"/>
                <w:sz w:val="18"/>
                <w:szCs w:val="18"/>
                <w:lang w:val="en-US" w:eastAsia="zh-CN"/>
              </w:rPr>
              <w:t>28</w:t>
            </w:r>
          </w:p>
        </w:tc>
        <w:tc>
          <w:tcPr>
            <w:tcW w:w="567" w:type="dxa"/>
            <w:tcBorders>
              <w:top w:val="nil"/>
              <w:left w:val="nil"/>
              <w:bottom w:val="single" w:color="auto" w:sz="4" w:space="0"/>
              <w:right w:val="single" w:color="auto" w:sz="4" w:space="0"/>
            </w:tcBorders>
            <w:vAlign w:val="center"/>
          </w:tcPr>
          <w:p>
            <w:pPr>
              <w:jc w:val="center"/>
              <w:rPr>
                <w:rFonts w:hint="default" w:ascii="仿宋_GB2312" w:eastAsia="仿宋_GB2312"/>
                <w:b/>
                <w:color w:val="000000"/>
                <w:sz w:val="18"/>
                <w:szCs w:val="18"/>
                <w:lang w:val="en-US" w:eastAsia="zh-CN"/>
              </w:rPr>
            </w:pPr>
            <w:r>
              <w:rPr>
                <w:rFonts w:hint="eastAsia" w:ascii="仿宋_GB2312" w:eastAsia="仿宋_GB2312"/>
                <w:b/>
                <w:color w:val="000000"/>
                <w:sz w:val="18"/>
                <w:szCs w:val="18"/>
                <w:lang w:val="en-US" w:eastAsia="zh-CN"/>
              </w:rPr>
              <w:t>02</w:t>
            </w:r>
          </w:p>
        </w:tc>
        <w:tc>
          <w:tcPr>
            <w:tcW w:w="1845" w:type="dxa"/>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一般行政管理事务</w:t>
            </w:r>
          </w:p>
        </w:tc>
        <w:tc>
          <w:tcPr>
            <w:tcW w:w="1018"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60.00</w:t>
            </w:r>
          </w:p>
        </w:tc>
        <w:tc>
          <w:tcPr>
            <w:tcW w:w="85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60.00</w:t>
            </w:r>
          </w:p>
        </w:tc>
        <w:tc>
          <w:tcPr>
            <w:tcW w:w="709"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632"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eastAsia="仿宋_GB2312"/>
                <w:b/>
                <w:color w:val="000000"/>
                <w:sz w:val="18"/>
                <w:szCs w:val="18"/>
                <w:lang w:val="en-US" w:eastAsia="zh-CN"/>
              </w:rPr>
            </w:pPr>
            <w:r>
              <w:rPr>
                <w:rFonts w:hint="eastAsia" w:ascii="仿宋_GB2312" w:eastAsia="仿宋_GB2312"/>
                <w:b/>
                <w:color w:val="000000"/>
                <w:sz w:val="18"/>
                <w:szCs w:val="18"/>
                <w:lang w:val="en-US" w:eastAsia="zh-CN"/>
              </w:rPr>
              <w:t>208</w:t>
            </w:r>
          </w:p>
        </w:tc>
        <w:tc>
          <w:tcPr>
            <w:tcW w:w="426" w:type="dxa"/>
            <w:tcBorders>
              <w:top w:val="nil"/>
              <w:left w:val="nil"/>
              <w:bottom w:val="single" w:color="auto" w:sz="4" w:space="0"/>
              <w:right w:val="single" w:color="auto" w:sz="4" w:space="0"/>
            </w:tcBorders>
            <w:vAlign w:val="center"/>
          </w:tcPr>
          <w:p>
            <w:pPr>
              <w:jc w:val="center"/>
              <w:rPr>
                <w:rFonts w:hint="default" w:ascii="仿宋_GB2312" w:eastAsia="仿宋_GB2312"/>
                <w:b/>
                <w:color w:val="000000"/>
                <w:sz w:val="18"/>
                <w:szCs w:val="18"/>
                <w:lang w:val="en-US" w:eastAsia="zh-CN"/>
              </w:rPr>
            </w:pPr>
            <w:r>
              <w:rPr>
                <w:rFonts w:hint="eastAsia" w:ascii="仿宋_GB2312" w:eastAsia="仿宋_GB2312"/>
                <w:b/>
                <w:color w:val="000000"/>
                <w:sz w:val="18"/>
                <w:szCs w:val="18"/>
                <w:lang w:val="en-US" w:eastAsia="zh-CN"/>
              </w:rPr>
              <w:t>28</w:t>
            </w:r>
          </w:p>
        </w:tc>
        <w:tc>
          <w:tcPr>
            <w:tcW w:w="567" w:type="dxa"/>
            <w:tcBorders>
              <w:top w:val="nil"/>
              <w:left w:val="nil"/>
              <w:bottom w:val="single" w:color="auto" w:sz="4" w:space="0"/>
              <w:right w:val="single" w:color="auto" w:sz="4" w:space="0"/>
            </w:tcBorders>
            <w:vAlign w:val="center"/>
          </w:tcPr>
          <w:p>
            <w:pPr>
              <w:jc w:val="center"/>
              <w:rPr>
                <w:rFonts w:hint="default" w:ascii="仿宋_GB2312" w:eastAsia="仿宋_GB2312"/>
                <w:b/>
                <w:color w:val="000000"/>
                <w:sz w:val="18"/>
                <w:szCs w:val="18"/>
                <w:lang w:val="en-US" w:eastAsia="zh-CN"/>
              </w:rPr>
            </w:pPr>
            <w:r>
              <w:rPr>
                <w:rFonts w:hint="eastAsia" w:ascii="仿宋_GB2312" w:eastAsia="仿宋_GB2312"/>
                <w:b/>
                <w:color w:val="000000"/>
                <w:sz w:val="18"/>
                <w:szCs w:val="18"/>
                <w:lang w:val="en-US" w:eastAsia="zh-CN"/>
              </w:rPr>
              <w:t>04</w:t>
            </w:r>
          </w:p>
        </w:tc>
        <w:tc>
          <w:tcPr>
            <w:tcW w:w="1845" w:type="dxa"/>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拥军优属</w:t>
            </w:r>
          </w:p>
        </w:tc>
        <w:tc>
          <w:tcPr>
            <w:tcW w:w="1018"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10.00</w:t>
            </w:r>
          </w:p>
        </w:tc>
        <w:tc>
          <w:tcPr>
            <w:tcW w:w="85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10.00</w:t>
            </w:r>
          </w:p>
        </w:tc>
        <w:tc>
          <w:tcPr>
            <w:tcW w:w="709"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20"/>
                <w:szCs w:val="20"/>
              </w:rPr>
              <w:t>卫生健康支出</w:t>
            </w:r>
          </w:p>
        </w:tc>
        <w:tc>
          <w:tcPr>
            <w:tcW w:w="1018" w:type="dxa"/>
            <w:tcBorders>
              <w:top w:val="nil"/>
              <w:left w:val="nil"/>
              <w:bottom w:val="single" w:color="auto" w:sz="4" w:space="0"/>
              <w:right w:val="single" w:color="auto" w:sz="4" w:space="0"/>
            </w:tcBorders>
            <w:shd w:val="clear" w:color="000000" w:fill="FFFFFF"/>
            <w:noWrap/>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13.19</w:t>
            </w:r>
          </w:p>
        </w:tc>
        <w:tc>
          <w:tcPr>
            <w:tcW w:w="850" w:type="dxa"/>
            <w:tcBorders>
              <w:top w:val="nil"/>
              <w:left w:val="nil"/>
              <w:bottom w:val="single" w:color="auto" w:sz="4" w:space="0"/>
              <w:right w:val="single" w:color="auto" w:sz="4" w:space="0"/>
            </w:tcBorders>
            <w:shd w:val="clear" w:color="000000" w:fill="FFFFFF"/>
            <w:noWrap/>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13.19</w:t>
            </w:r>
          </w:p>
        </w:tc>
        <w:tc>
          <w:tcPr>
            <w:tcW w:w="709"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20"/>
                <w:szCs w:val="20"/>
              </w:rPr>
              <w:t>政事业单位医疗</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13.19</w:t>
            </w:r>
          </w:p>
        </w:tc>
        <w:tc>
          <w:tcPr>
            <w:tcW w:w="8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13.19</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9.91</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9.91</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3.14</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3.14</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0.14</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0.14</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266.85</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266.85</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hint="eastAsia" w:ascii="仿宋_GB2312" w:hAnsi="宋体" w:eastAsia="仿宋_GB2312"/>
          <w:b/>
          <w:kern w:val="0"/>
          <w:sz w:val="32"/>
          <w:szCs w:val="32"/>
          <w:highlight w:val="yellow"/>
        </w:rPr>
      </w:pPr>
    </w:p>
    <w:p>
      <w:pPr>
        <w:widowControl/>
        <w:spacing w:line="360" w:lineRule="exact"/>
        <w:jc w:val="left"/>
        <w:outlineLvl w:val="1"/>
        <w:rPr>
          <w:rFonts w:hint="eastAsia" w:ascii="仿宋_GB2312" w:hAnsi="宋体" w:eastAsia="仿宋_GB2312"/>
          <w:b/>
          <w:kern w:val="0"/>
          <w:sz w:val="32"/>
          <w:szCs w:val="32"/>
          <w:highlight w:val="yellow"/>
        </w:rPr>
      </w:pPr>
    </w:p>
    <w:p>
      <w:pPr>
        <w:widowControl/>
        <w:spacing w:line="360" w:lineRule="exact"/>
        <w:jc w:val="left"/>
        <w:outlineLvl w:val="1"/>
        <w:rPr>
          <w:rFonts w:hint="eastAsia" w:ascii="仿宋_GB2312" w:hAnsi="宋体" w:eastAsia="仿宋_GB2312"/>
          <w:b/>
          <w:kern w:val="0"/>
          <w:sz w:val="32"/>
          <w:szCs w:val="32"/>
          <w:highlight w:val="yellow"/>
        </w:rPr>
      </w:pPr>
    </w:p>
    <w:p>
      <w:pPr>
        <w:widowControl/>
        <w:spacing w:line="360" w:lineRule="exact"/>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编制部门（单位）：昌吉州退役军人事务局                         单位：万元</w:t>
      </w:r>
    </w:p>
    <w:tbl>
      <w:tblPr>
        <w:tblStyle w:val="7"/>
        <w:tblW w:w="9420" w:type="dxa"/>
        <w:tblInd w:w="-240" w:type="dxa"/>
        <w:tblLayout w:type="autofit"/>
        <w:tblCellMar>
          <w:top w:w="0" w:type="dxa"/>
          <w:left w:w="108" w:type="dxa"/>
          <w:bottom w:w="0" w:type="dxa"/>
          <w:right w:w="108" w:type="dxa"/>
        </w:tblCellMar>
      </w:tblPr>
      <w:tblGrid>
        <w:gridCol w:w="489"/>
        <w:gridCol w:w="400"/>
        <w:gridCol w:w="399"/>
        <w:gridCol w:w="2570"/>
        <w:gridCol w:w="1838"/>
        <w:gridCol w:w="1839"/>
        <w:gridCol w:w="1885"/>
      </w:tblGrid>
      <w:tr>
        <w:tblPrEx>
          <w:tblCellMar>
            <w:top w:w="0" w:type="dxa"/>
            <w:left w:w="108" w:type="dxa"/>
            <w:bottom w:w="0" w:type="dxa"/>
            <w:right w:w="108" w:type="dxa"/>
          </w:tblCellMar>
        </w:tblPrEx>
        <w:trPr>
          <w:trHeight w:val="345" w:hRule="atLeast"/>
        </w:trPr>
        <w:tc>
          <w:tcPr>
            <w:tcW w:w="3858"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562"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CellMar>
            <w:top w:w="0" w:type="dxa"/>
            <w:left w:w="108" w:type="dxa"/>
            <w:bottom w:w="0" w:type="dxa"/>
            <w:right w:w="108" w:type="dxa"/>
          </w:tblCellMar>
        </w:tblPrEx>
        <w:trPr>
          <w:trHeight w:val="480" w:hRule="atLeast"/>
        </w:trPr>
        <w:tc>
          <w:tcPr>
            <w:tcW w:w="1288"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7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38"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3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88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CellMar>
            <w:top w:w="0" w:type="dxa"/>
            <w:left w:w="108" w:type="dxa"/>
            <w:bottom w:w="0" w:type="dxa"/>
            <w:right w:w="108" w:type="dxa"/>
          </w:tblCellMar>
        </w:tblPrEx>
        <w:trPr>
          <w:trHeight w:val="270"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57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3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3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8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color w:val="000000"/>
                <w:sz w:val="18"/>
                <w:szCs w:val="18"/>
                <w:lang w:val="en-US" w:eastAsia="zh-CN"/>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7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hAnsi="宋体" w:eastAsia="仿宋_GB2312" w:cs="宋体"/>
                <w:color w:val="000000"/>
                <w:sz w:val="20"/>
                <w:szCs w:val="20"/>
              </w:rPr>
              <w:t>社会保障和就业支出</w:t>
            </w:r>
          </w:p>
        </w:tc>
        <w:tc>
          <w:tcPr>
            <w:tcW w:w="183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253.66</w:t>
            </w:r>
          </w:p>
        </w:tc>
        <w:tc>
          <w:tcPr>
            <w:tcW w:w="18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253.66</w:t>
            </w:r>
          </w:p>
        </w:tc>
        <w:tc>
          <w:tcPr>
            <w:tcW w:w="1885" w:type="dxa"/>
            <w:tcBorders>
              <w:top w:val="nil"/>
              <w:left w:val="nil"/>
              <w:bottom w:val="single" w:color="auto" w:sz="4" w:space="0"/>
              <w:right w:val="single" w:color="auto" w:sz="4" w:space="0"/>
            </w:tcBorders>
            <w:vAlign w:val="center"/>
          </w:tcPr>
          <w:p>
            <w:pP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77.50</w:t>
            </w: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color w:val="000000"/>
                <w:sz w:val="18"/>
                <w:szCs w:val="18"/>
                <w:lang w:val="en-US" w:eastAsia="zh-CN"/>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color w:val="000000"/>
                <w:sz w:val="18"/>
                <w:szCs w:val="18"/>
                <w:lang w:val="en-US" w:eastAsia="zh-CN"/>
              </w:rPr>
              <w:t>05</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7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eastAsia="仿宋_GB2312"/>
                <w:sz w:val="20"/>
                <w:szCs w:val="20"/>
              </w:rPr>
              <w:t>行政事业单位养老支出</w:t>
            </w:r>
          </w:p>
        </w:tc>
        <w:tc>
          <w:tcPr>
            <w:tcW w:w="183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15.36</w:t>
            </w:r>
          </w:p>
        </w:tc>
        <w:tc>
          <w:tcPr>
            <w:tcW w:w="18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15.36</w:t>
            </w:r>
          </w:p>
        </w:tc>
        <w:tc>
          <w:tcPr>
            <w:tcW w:w="188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color w:val="000000"/>
                <w:sz w:val="18"/>
                <w:szCs w:val="18"/>
                <w:lang w:val="en-US" w:eastAsia="zh-CN"/>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color w:val="000000"/>
                <w:sz w:val="18"/>
                <w:szCs w:val="18"/>
                <w:lang w:val="en-US" w:eastAsia="zh-CN"/>
              </w:rPr>
              <w:t>05</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color w:val="000000"/>
                <w:sz w:val="18"/>
                <w:szCs w:val="18"/>
                <w:lang w:val="en-US" w:eastAsia="zh-CN"/>
              </w:rPr>
              <w:t>05</w:t>
            </w:r>
          </w:p>
        </w:tc>
        <w:tc>
          <w:tcPr>
            <w:tcW w:w="257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83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15.36</w:t>
            </w:r>
          </w:p>
        </w:tc>
        <w:tc>
          <w:tcPr>
            <w:tcW w:w="18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15.36</w:t>
            </w:r>
          </w:p>
        </w:tc>
        <w:tc>
          <w:tcPr>
            <w:tcW w:w="188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color w:val="000000"/>
                <w:sz w:val="18"/>
                <w:szCs w:val="18"/>
                <w:lang w:val="en-US" w:eastAsia="zh-CN"/>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color w:val="000000"/>
                <w:sz w:val="18"/>
                <w:szCs w:val="18"/>
                <w:lang w:val="en-US" w:eastAsia="zh-CN"/>
              </w:rPr>
              <w:t>09</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7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退役安置</w:t>
            </w:r>
          </w:p>
        </w:tc>
        <w:tc>
          <w:tcPr>
            <w:tcW w:w="183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7.50</w:t>
            </w:r>
          </w:p>
        </w:tc>
        <w:tc>
          <w:tcPr>
            <w:tcW w:w="18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85" w:type="dxa"/>
            <w:tcBorders>
              <w:top w:val="nil"/>
              <w:left w:val="nil"/>
              <w:bottom w:val="single" w:color="auto" w:sz="4" w:space="0"/>
              <w:right w:val="single" w:color="auto" w:sz="4" w:space="0"/>
            </w:tcBorders>
            <w:vAlign w:val="center"/>
          </w:tcPr>
          <w:p>
            <w:pP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7.50</w:t>
            </w: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color w:val="000000"/>
                <w:sz w:val="18"/>
                <w:szCs w:val="18"/>
                <w:lang w:val="en-US" w:eastAsia="zh-CN"/>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color w:val="000000"/>
                <w:sz w:val="18"/>
                <w:szCs w:val="18"/>
                <w:lang w:val="en-US" w:eastAsia="zh-CN"/>
              </w:rPr>
              <w:t>09</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color w:val="000000"/>
                <w:sz w:val="18"/>
                <w:szCs w:val="18"/>
                <w:lang w:val="en-US" w:eastAsia="zh-CN"/>
              </w:rPr>
              <w:t>05</w:t>
            </w:r>
          </w:p>
        </w:tc>
        <w:tc>
          <w:tcPr>
            <w:tcW w:w="257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军队转业干部安置</w:t>
            </w:r>
          </w:p>
        </w:tc>
        <w:tc>
          <w:tcPr>
            <w:tcW w:w="183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7.50</w:t>
            </w:r>
          </w:p>
        </w:tc>
        <w:tc>
          <w:tcPr>
            <w:tcW w:w="18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85" w:type="dxa"/>
            <w:tcBorders>
              <w:top w:val="nil"/>
              <w:left w:val="nil"/>
              <w:bottom w:val="single" w:color="auto" w:sz="4" w:space="0"/>
              <w:right w:val="single" w:color="auto" w:sz="4" w:space="0"/>
            </w:tcBorders>
            <w:vAlign w:val="center"/>
          </w:tcPr>
          <w:p>
            <w:pP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7.5</w:t>
            </w: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color w:val="000000"/>
                <w:sz w:val="18"/>
                <w:szCs w:val="18"/>
                <w:lang w:val="en-US" w:eastAsia="zh-CN"/>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color w:val="000000"/>
                <w:sz w:val="18"/>
                <w:szCs w:val="18"/>
                <w:lang w:val="en-US" w:eastAsia="zh-CN"/>
              </w:rPr>
              <w:t>28</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7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hAnsi="宋体" w:eastAsia="仿宋_GB2312" w:cs="宋体"/>
                <w:color w:val="000000"/>
                <w:sz w:val="20"/>
                <w:szCs w:val="20"/>
                <w:lang w:eastAsia="zh-CN"/>
              </w:rPr>
              <w:t>退役军人管理事务</w:t>
            </w:r>
          </w:p>
        </w:tc>
        <w:tc>
          <w:tcPr>
            <w:tcW w:w="1838"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230.80</w:t>
            </w:r>
          </w:p>
        </w:tc>
        <w:tc>
          <w:tcPr>
            <w:tcW w:w="1839"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230.80</w:t>
            </w:r>
          </w:p>
        </w:tc>
        <w:tc>
          <w:tcPr>
            <w:tcW w:w="1885" w:type="dxa"/>
            <w:tcBorders>
              <w:top w:val="nil"/>
              <w:left w:val="nil"/>
              <w:bottom w:val="single" w:color="auto" w:sz="4" w:space="0"/>
              <w:right w:val="single" w:color="auto" w:sz="4" w:space="0"/>
            </w:tcBorders>
            <w:vAlign w:val="center"/>
          </w:tcPr>
          <w:p>
            <w:pP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70</w:t>
            </w: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color w:val="000000"/>
                <w:sz w:val="18"/>
                <w:szCs w:val="18"/>
                <w:lang w:val="en-US" w:eastAsia="zh-CN"/>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color w:val="000000"/>
                <w:sz w:val="18"/>
                <w:szCs w:val="18"/>
                <w:lang w:val="en-US" w:eastAsia="zh-CN"/>
              </w:rPr>
              <w:t>28</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color w:val="000000"/>
                <w:sz w:val="18"/>
                <w:szCs w:val="18"/>
                <w:lang w:val="en-US" w:eastAsia="zh-CN"/>
              </w:rPr>
              <w:t>01</w:t>
            </w:r>
          </w:p>
        </w:tc>
        <w:tc>
          <w:tcPr>
            <w:tcW w:w="257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83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160.80</w:t>
            </w:r>
          </w:p>
        </w:tc>
        <w:tc>
          <w:tcPr>
            <w:tcW w:w="18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160.80</w:t>
            </w:r>
          </w:p>
        </w:tc>
        <w:tc>
          <w:tcPr>
            <w:tcW w:w="188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color w:val="000000"/>
                <w:sz w:val="18"/>
                <w:szCs w:val="18"/>
                <w:lang w:val="en-US" w:eastAsia="zh-CN"/>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color w:val="000000"/>
                <w:sz w:val="18"/>
                <w:szCs w:val="18"/>
                <w:lang w:val="en-US" w:eastAsia="zh-CN"/>
              </w:rPr>
              <w:t>28</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color w:val="000000"/>
                <w:sz w:val="18"/>
                <w:szCs w:val="18"/>
                <w:lang w:val="en-US" w:eastAsia="zh-CN"/>
              </w:rPr>
              <w:t>02</w:t>
            </w:r>
          </w:p>
        </w:tc>
        <w:tc>
          <w:tcPr>
            <w:tcW w:w="257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p>
        </w:tc>
        <w:tc>
          <w:tcPr>
            <w:tcW w:w="183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60.00</w:t>
            </w:r>
          </w:p>
        </w:tc>
        <w:tc>
          <w:tcPr>
            <w:tcW w:w="18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85" w:type="dxa"/>
            <w:tcBorders>
              <w:top w:val="nil"/>
              <w:left w:val="nil"/>
              <w:bottom w:val="single" w:color="auto" w:sz="4" w:space="0"/>
              <w:right w:val="single" w:color="auto" w:sz="4" w:space="0"/>
            </w:tcBorders>
            <w:vAlign w:val="center"/>
          </w:tcPr>
          <w:p>
            <w:pP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60</w:t>
            </w: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color w:val="000000"/>
                <w:sz w:val="18"/>
                <w:szCs w:val="18"/>
                <w:lang w:val="en-US" w:eastAsia="zh-CN"/>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color w:val="000000"/>
                <w:sz w:val="18"/>
                <w:szCs w:val="18"/>
                <w:lang w:val="en-US" w:eastAsia="zh-CN"/>
              </w:rPr>
              <w:t>28</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color w:val="000000"/>
                <w:sz w:val="18"/>
                <w:szCs w:val="18"/>
                <w:lang w:val="en-US" w:eastAsia="zh-CN"/>
              </w:rPr>
              <w:t>04</w:t>
            </w:r>
          </w:p>
        </w:tc>
        <w:tc>
          <w:tcPr>
            <w:tcW w:w="257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拥军优属</w:t>
            </w:r>
          </w:p>
        </w:tc>
        <w:tc>
          <w:tcPr>
            <w:tcW w:w="183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10.00</w:t>
            </w:r>
          </w:p>
        </w:tc>
        <w:tc>
          <w:tcPr>
            <w:tcW w:w="18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85" w:type="dxa"/>
            <w:tcBorders>
              <w:top w:val="nil"/>
              <w:left w:val="nil"/>
              <w:bottom w:val="single" w:color="auto" w:sz="4" w:space="0"/>
              <w:right w:val="single" w:color="auto" w:sz="4" w:space="0"/>
            </w:tcBorders>
            <w:vAlign w:val="center"/>
          </w:tcPr>
          <w:p>
            <w:pP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10</w:t>
            </w: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57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0"/>
                <w:szCs w:val="20"/>
              </w:rPr>
              <w:t>卫生健康支出</w:t>
            </w:r>
          </w:p>
        </w:tc>
        <w:tc>
          <w:tcPr>
            <w:tcW w:w="183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13.19</w:t>
            </w:r>
          </w:p>
        </w:tc>
        <w:tc>
          <w:tcPr>
            <w:tcW w:w="18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13.19</w:t>
            </w:r>
          </w:p>
        </w:tc>
        <w:tc>
          <w:tcPr>
            <w:tcW w:w="188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11</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57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0"/>
                <w:szCs w:val="20"/>
              </w:rPr>
              <w:t>政事业单位医疗</w:t>
            </w:r>
          </w:p>
        </w:tc>
        <w:tc>
          <w:tcPr>
            <w:tcW w:w="183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13.19</w:t>
            </w:r>
          </w:p>
        </w:tc>
        <w:tc>
          <w:tcPr>
            <w:tcW w:w="18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13.19</w:t>
            </w:r>
          </w:p>
        </w:tc>
        <w:tc>
          <w:tcPr>
            <w:tcW w:w="188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257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行政单位医疗</w:t>
            </w:r>
          </w:p>
        </w:tc>
        <w:tc>
          <w:tcPr>
            <w:tcW w:w="183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9.91</w:t>
            </w:r>
          </w:p>
        </w:tc>
        <w:tc>
          <w:tcPr>
            <w:tcW w:w="18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9.91</w:t>
            </w:r>
          </w:p>
        </w:tc>
        <w:tc>
          <w:tcPr>
            <w:tcW w:w="188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03</w:t>
            </w:r>
          </w:p>
        </w:tc>
        <w:tc>
          <w:tcPr>
            <w:tcW w:w="257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公务员医疗补助</w:t>
            </w:r>
          </w:p>
        </w:tc>
        <w:tc>
          <w:tcPr>
            <w:tcW w:w="183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3.14</w:t>
            </w:r>
          </w:p>
        </w:tc>
        <w:tc>
          <w:tcPr>
            <w:tcW w:w="18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3.14</w:t>
            </w:r>
          </w:p>
        </w:tc>
        <w:tc>
          <w:tcPr>
            <w:tcW w:w="188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99</w:t>
            </w:r>
          </w:p>
        </w:tc>
        <w:tc>
          <w:tcPr>
            <w:tcW w:w="257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其他行政事业单位医疗支出</w:t>
            </w:r>
          </w:p>
        </w:tc>
        <w:tc>
          <w:tcPr>
            <w:tcW w:w="183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0.14</w:t>
            </w:r>
          </w:p>
        </w:tc>
        <w:tc>
          <w:tcPr>
            <w:tcW w:w="18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0.14</w:t>
            </w:r>
          </w:p>
        </w:tc>
        <w:tc>
          <w:tcPr>
            <w:tcW w:w="188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57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188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57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188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57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188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7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266.85</w:t>
            </w: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189.35</w:t>
            </w:r>
          </w:p>
        </w:tc>
        <w:tc>
          <w:tcPr>
            <w:tcW w:w="188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77.50</w:t>
            </w:r>
          </w:p>
        </w:tc>
      </w:tr>
    </w:tbl>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编制部门（单位）：昌吉州</w:t>
      </w:r>
      <w:r>
        <w:rPr>
          <w:rFonts w:hint="eastAsia" w:ascii="仿宋_GB2312" w:hAnsi="宋体" w:eastAsia="仿宋_GB2312"/>
          <w:kern w:val="0"/>
          <w:sz w:val="24"/>
        </w:rPr>
        <w:t xml:space="preserve">退役军人事务局   </w:t>
      </w:r>
      <w:r>
        <w:rPr>
          <w:rFonts w:hint="eastAsia" w:ascii="仿宋_GB2312" w:hAnsi="宋体" w:eastAsia="仿宋_GB2312"/>
          <w:kern w:val="0"/>
          <w:szCs w:val="21"/>
        </w:rPr>
        <w:t xml:space="preserve">                              单位：万元</w:t>
      </w:r>
    </w:p>
    <w:tbl>
      <w:tblPr>
        <w:tblStyle w:val="7"/>
        <w:tblW w:w="10583" w:type="dxa"/>
        <w:tblInd w:w="-240" w:type="dxa"/>
        <w:tblLayout w:type="autofit"/>
        <w:tblCellMar>
          <w:top w:w="0" w:type="dxa"/>
          <w:left w:w="108" w:type="dxa"/>
          <w:bottom w:w="0" w:type="dxa"/>
          <w:right w:w="108" w:type="dxa"/>
        </w:tblCellMar>
      </w:tblPr>
      <w:tblGrid>
        <w:gridCol w:w="1908"/>
        <w:gridCol w:w="1134"/>
        <w:gridCol w:w="2388"/>
        <w:gridCol w:w="900"/>
        <w:gridCol w:w="964"/>
        <w:gridCol w:w="1021"/>
        <w:gridCol w:w="1134"/>
        <w:gridCol w:w="1134"/>
      </w:tblGrid>
      <w:tr>
        <w:tblPrEx>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266.85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266.85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253.66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253.66</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13.19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13.19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266.85</w:t>
            </w:r>
          </w:p>
        </w:tc>
        <w:tc>
          <w:tcPr>
            <w:tcW w:w="23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266.85</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266.85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表五：</w:t>
      </w:r>
    </w:p>
    <w:tbl>
      <w:tblPr>
        <w:tblStyle w:val="7"/>
        <w:tblW w:w="9214" w:type="dxa"/>
        <w:tblInd w:w="-34" w:type="dxa"/>
        <w:tblLayout w:type="autofit"/>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w:t>
            </w:r>
            <w:r>
              <w:rPr>
                <w:rFonts w:hint="eastAsia" w:ascii="仿宋_GB2312" w:hAnsi="宋体" w:eastAsia="仿宋_GB2312"/>
                <w:kern w:val="0"/>
                <w:sz w:val="24"/>
              </w:rPr>
              <w:t xml:space="preserve">退役军人事务局   </w:t>
            </w:r>
          </w:p>
        </w:tc>
        <w:tc>
          <w:tcPr>
            <w:tcW w:w="660"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pPr>
              <w:widowControl/>
              <w:ind w:firstLine="480" w:firstLineChars="2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eastAsia="仿宋_GB2312"/>
                <w:b/>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p>
        </w:tc>
        <w:tc>
          <w:tcPr>
            <w:tcW w:w="2510" w:type="dxa"/>
            <w:tcBorders>
              <w:top w:val="nil"/>
              <w:left w:val="nil"/>
              <w:bottom w:val="single" w:color="auto" w:sz="4" w:space="0"/>
              <w:right w:val="single" w:color="auto" w:sz="4" w:space="0"/>
            </w:tcBorders>
            <w:vAlign w:val="center"/>
          </w:tcPr>
          <w:p>
            <w:pPr>
              <w:rPr>
                <w:rFonts w:ascii="仿宋_GB2312" w:hAnsi="宋体" w:eastAsia="仿宋_GB2312" w:cs="宋体"/>
                <w:b/>
                <w:color w:val="000000"/>
                <w:kern w:val="0"/>
                <w:sz w:val="18"/>
                <w:szCs w:val="18"/>
              </w:rPr>
            </w:pPr>
            <w:r>
              <w:rPr>
                <w:rFonts w:hint="eastAsia" w:ascii="仿宋_GB2312" w:hAnsi="宋体" w:eastAsia="仿宋_GB2312" w:cs="宋体"/>
                <w:color w:val="000000"/>
                <w:sz w:val="20"/>
                <w:szCs w:val="20"/>
              </w:rPr>
              <w:t>社会保障和就业支出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lang w:val="en-US" w:eastAsia="zh-CN"/>
              </w:rPr>
              <w:t>253.66</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lang w:val="en-US" w:eastAsia="zh-CN"/>
              </w:rPr>
              <w:t>253.66</w:t>
            </w:r>
          </w:p>
        </w:tc>
        <w:tc>
          <w:tcPr>
            <w:tcW w:w="1701" w:type="dxa"/>
            <w:tcBorders>
              <w:top w:val="nil"/>
              <w:left w:val="nil"/>
              <w:bottom w:val="single" w:color="auto" w:sz="4" w:space="0"/>
              <w:right w:val="single" w:color="auto" w:sz="4" w:space="0"/>
            </w:tcBorders>
            <w:vAlign w:val="center"/>
          </w:tcPr>
          <w:p>
            <w:pP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lang w:val="en-US" w:eastAsia="zh-CN"/>
              </w:rPr>
              <w:t>77.50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b/>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b/>
                <w:color w:val="000000"/>
                <w:sz w:val="18"/>
                <w:szCs w:val="18"/>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rPr>
                <w:rFonts w:ascii="仿宋_GB2312" w:hAnsi="宋体" w:eastAsia="仿宋_GB2312" w:cs="宋体"/>
                <w:color w:val="000000"/>
                <w:kern w:val="0"/>
                <w:sz w:val="18"/>
                <w:szCs w:val="18"/>
              </w:rPr>
            </w:pPr>
            <w:r>
              <w:rPr>
                <w:rFonts w:hint="eastAsia" w:ascii="仿宋_GB2312" w:eastAsia="仿宋_GB2312"/>
                <w:sz w:val="20"/>
                <w:szCs w:val="20"/>
              </w:rPr>
              <w:t>行政事业单位养老支出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15.36</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15.36</w:t>
            </w:r>
          </w:p>
        </w:tc>
        <w:tc>
          <w:tcPr>
            <w:tcW w:w="1701" w:type="dxa"/>
            <w:tcBorders>
              <w:top w:val="nil"/>
              <w:left w:val="nil"/>
              <w:bottom w:val="single" w:color="auto" w:sz="4" w:space="0"/>
              <w:right w:val="single" w:color="auto" w:sz="4" w:space="0"/>
            </w:tcBorders>
            <w:vAlign w:val="center"/>
          </w:tcPr>
          <w:p>
            <w:pP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b/>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b/>
                <w:color w:val="000000"/>
                <w:sz w:val="18"/>
                <w:szCs w:val="18"/>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b/>
                <w:color w:val="000000"/>
                <w:sz w:val="18"/>
                <w:szCs w:val="18"/>
                <w:lang w:val="en-US" w:eastAsia="zh-CN"/>
              </w:rPr>
              <w:t>05</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15.36</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15.36</w:t>
            </w:r>
          </w:p>
        </w:tc>
        <w:tc>
          <w:tcPr>
            <w:tcW w:w="1701" w:type="dxa"/>
            <w:tcBorders>
              <w:top w:val="nil"/>
              <w:left w:val="nil"/>
              <w:bottom w:val="single" w:color="auto" w:sz="4" w:space="0"/>
              <w:right w:val="single" w:color="auto" w:sz="4" w:space="0"/>
            </w:tcBorders>
            <w:vAlign w:val="center"/>
          </w:tcPr>
          <w:p>
            <w:pP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b/>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b/>
                <w:color w:val="000000"/>
                <w:sz w:val="18"/>
                <w:szCs w:val="18"/>
                <w:lang w:val="en-US" w:eastAsia="zh-CN"/>
              </w:rPr>
              <w:t>09</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eastAsia="zh-CN"/>
              </w:rPr>
              <w:t>退役安置</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7.50</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7.50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b/>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b/>
                <w:color w:val="000000"/>
                <w:sz w:val="18"/>
                <w:szCs w:val="18"/>
                <w:lang w:val="en-US" w:eastAsia="zh-CN"/>
              </w:rPr>
              <w:t>09</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b/>
                <w:color w:val="000000"/>
                <w:sz w:val="18"/>
                <w:szCs w:val="18"/>
                <w:lang w:val="en-US" w:eastAsia="zh-CN"/>
              </w:rPr>
              <w:t>05</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军队转业干部安置</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7.50</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7.5</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b/>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b/>
                <w:color w:val="000000"/>
                <w:sz w:val="18"/>
                <w:szCs w:val="18"/>
                <w:lang w:val="en-US" w:eastAsia="zh-CN"/>
              </w:rPr>
              <w:t>28</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lang w:eastAsia="zh-CN"/>
              </w:rPr>
              <w:t>退役军人管理事务</w:t>
            </w:r>
          </w:p>
        </w:tc>
        <w:tc>
          <w:tcPr>
            <w:tcW w:w="1684" w:type="dxa"/>
            <w:gridSpan w:val="2"/>
            <w:tcBorders>
              <w:top w:val="nil"/>
              <w:left w:val="nil"/>
              <w:bottom w:val="single" w:color="auto" w:sz="4" w:space="0"/>
              <w:right w:val="single" w:color="auto" w:sz="4" w:space="0"/>
            </w:tcBorders>
            <w:vAlign w:val="center"/>
          </w:tcPr>
          <w:p>
            <w:pP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230.80</w:t>
            </w:r>
          </w:p>
        </w:tc>
        <w:tc>
          <w:tcPr>
            <w:tcW w:w="1842" w:type="dxa"/>
            <w:gridSpan w:val="2"/>
            <w:tcBorders>
              <w:top w:val="nil"/>
              <w:left w:val="nil"/>
              <w:bottom w:val="single" w:color="auto" w:sz="4" w:space="0"/>
              <w:right w:val="single" w:color="auto" w:sz="4" w:space="0"/>
            </w:tcBorders>
            <w:vAlign w:val="center"/>
          </w:tcPr>
          <w:p>
            <w:pP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230.80</w:t>
            </w:r>
          </w:p>
        </w:tc>
        <w:tc>
          <w:tcPr>
            <w:tcW w:w="1701" w:type="dxa"/>
            <w:tcBorders>
              <w:top w:val="nil"/>
              <w:left w:val="nil"/>
              <w:bottom w:val="single" w:color="auto" w:sz="4" w:space="0"/>
              <w:right w:val="single" w:color="auto" w:sz="4" w:space="0"/>
            </w:tcBorders>
            <w:vAlign w:val="center"/>
          </w:tcPr>
          <w:p>
            <w:pP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70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b/>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b/>
                <w:color w:val="000000"/>
                <w:sz w:val="18"/>
                <w:szCs w:val="18"/>
                <w:lang w:val="en-US" w:eastAsia="zh-CN"/>
              </w:rPr>
              <w:t>28</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b/>
                <w:color w:val="000000"/>
                <w:sz w:val="18"/>
                <w:szCs w:val="18"/>
                <w:lang w:val="en-US" w:eastAsia="zh-CN"/>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行政运行</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160.80</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160.80</w:t>
            </w:r>
          </w:p>
        </w:tc>
        <w:tc>
          <w:tcPr>
            <w:tcW w:w="1701" w:type="dxa"/>
            <w:tcBorders>
              <w:top w:val="nil"/>
              <w:left w:val="nil"/>
              <w:bottom w:val="single" w:color="auto" w:sz="4" w:space="0"/>
              <w:right w:val="single" w:color="auto" w:sz="4" w:space="0"/>
            </w:tcBorders>
            <w:vAlign w:val="center"/>
          </w:tcPr>
          <w:p>
            <w:pP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b/>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b/>
                <w:color w:val="000000"/>
                <w:sz w:val="18"/>
                <w:szCs w:val="18"/>
                <w:lang w:val="en-US" w:eastAsia="zh-CN"/>
              </w:rPr>
              <w:t>28</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b/>
                <w:color w:val="000000"/>
                <w:sz w:val="18"/>
                <w:szCs w:val="18"/>
                <w:lang w:val="en-US" w:eastAsia="zh-CN"/>
              </w:rPr>
              <w:t>02</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一般行政管理事务</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60.00</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60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b/>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b/>
                <w:color w:val="000000"/>
                <w:sz w:val="18"/>
                <w:szCs w:val="18"/>
                <w:lang w:val="en-US" w:eastAsia="zh-CN"/>
              </w:rPr>
              <w:t>28</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b/>
                <w:color w:val="000000"/>
                <w:sz w:val="18"/>
                <w:szCs w:val="18"/>
                <w:lang w:val="en-US" w:eastAsia="zh-CN"/>
              </w:rPr>
              <w:t>04</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拥军优属</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10.00</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卫生健康支出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13.19</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13.19</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210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政事业单位医疗</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13.19</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13.19</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210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行政单位医疗</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9.91</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9.91</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公务员医疗补助</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3.14</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3.14</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99</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其他行政事业单位医疗支出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0.14</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0.14</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266.85</w:t>
            </w:r>
          </w:p>
        </w:tc>
        <w:tc>
          <w:tcPr>
            <w:tcW w:w="1842" w:type="dxa"/>
            <w:gridSpan w:val="2"/>
            <w:tcBorders>
              <w:top w:val="nil"/>
              <w:left w:val="nil"/>
              <w:bottom w:val="single" w:color="auto" w:sz="4" w:space="0"/>
              <w:right w:val="single" w:color="auto" w:sz="4" w:space="0"/>
            </w:tcBorders>
            <w:vAlign w:val="center"/>
          </w:tcPr>
          <w:p>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189.35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77.50</w:t>
            </w: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autofit"/>
        <w:tblCellMar>
          <w:top w:w="0" w:type="dxa"/>
          <w:left w:w="108" w:type="dxa"/>
          <w:bottom w:w="0" w:type="dxa"/>
          <w:right w:w="108" w:type="dxa"/>
        </w:tblCellMar>
      </w:tblPr>
      <w:tblGrid>
        <w:gridCol w:w="757"/>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w:t>
            </w:r>
            <w:r>
              <w:rPr>
                <w:rFonts w:hint="eastAsia" w:ascii="仿宋_GB2312" w:hAnsi="宋体" w:eastAsia="仿宋_GB2312"/>
                <w:kern w:val="0"/>
                <w:sz w:val="24"/>
              </w:rPr>
              <w:t xml:space="preserve">退役军人事务局   </w:t>
            </w:r>
          </w:p>
        </w:tc>
        <w:tc>
          <w:tcPr>
            <w:tcW w:w="995"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CellMar>
            <w:top w:w="0" w:type="dxa"/>
            <w:left w:w="108" w:type="dxa"/>
            <w:bottom w:w="0" w:type="dxa"/>
            <w:right w:w="108" w:type="dxa"/>
          </w:tblCellMar>
        </w:tblPrEx>
        <w:trPr>
          <w:trHeight w:val="363"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363"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基本工资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58.46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58.46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津贴补贴</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22.47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22.47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奖金</w:t>
            </w:r>
          </w:p>
        </w:tc>
        <w:tc>
          <w:tcPr>
            <w:tcW w:w="1701" w:type="dxa"/>
            <w:gridSpan w:val="2"/>
            <w:tcBorders>
              <w:top w:val="nil"/>
              <w:left w:val="nil"/>
              <w:bottom w:val="single" w:color="auto" w:sz="4" w:space="0"/>
              <w:right w:val="single" w:color="auto" w:sz="4" w:space="0"/>
            </w:tcBorders>
            <w:vAlign w:val="center"/>
          </w:tcPr>
          <w:p>
            <w:pPr>
              <w:widowControl/>
              <w:ind w:right="147" w:rightChars="7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4.01</w:t>
            </w:r>
          </w:p>
        </w:tc>
        <w:tc>
          <w:tcPr>
            <w:tcW w:w="1701" w:type="dxa"/>
            <w:gridSpan w:val="2"/>
            <w:tcBorders>
              <w:top w:val="nil"/>
              <w:left w:val="nil"/>
              <w:bottom w:val="single" w:color="auto" w:sz="4" w:space="0"/>
              <w:right w:val="single" w:color="auto" w:sz="4" w:space="0"/>
            </w:tcBorders>
            <w:vAlign w:val="center"/>
          </w:tcPr>
          <w:p>
            <w:pPr>
              <w:widowControl/>
              <w:ind w:right="147" w:rightChars="7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4.01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伙食补助费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15.12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15.12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基础性绩效工资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7.84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7.84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奖励性绩效工资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4.43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4.43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15.36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15.36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其他社会保险缴费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11.52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11.52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7.10</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7.10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办公费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5.70</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5.70</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印刷费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0.50</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0.50</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0.30</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0.30</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电费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0.35</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邮电费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2.30</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2.30</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取暖费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9.48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9.48</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物业管理费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1.57</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差旅费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公务接待费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0.18</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0.18</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工会经费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1.17</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福利费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2.69</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公务用车运行维护费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0.07</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1.28</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奖劢金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14</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对个人和家庭的补助支出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0.10</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0.10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0</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合计</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189.35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159.76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29.59</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pStyle w:val="2"/>
        <w:rPr>
          <w:rFonts w:ascii="仿宋_GB2312" w:hAnsi="宋体" w:eastAsia="仿宋_GB2312"/>
          <w:kern w:val="0"/>
          <w:sz w:val="32"/>
        </w:rPr>
      </w:pPr>
    </w:p>
    <w:p>
      <w:pPr>
        <w:rPr>
          <w:rFonts w:ascii="仿宋_GB2312" w:hAnsi="宋体" w:eastAsia="仿宋_GB2312"/>
          <w:b/>
          <w:kern w:val="0"/>
          <w:sz w:val="32"/>
          <w:szCs w:val="32"/>
        </w:rPr>
      </w:pPr>
    </w:p>
    <w:p>
      <w:pPr>
        <w:pStyle w:val="2"/>
        <w:rPr>
          <w:rFonts w:ascii="仿宋_GB2312" w:hAnsi="宋体" w:eastAsia="仿宋_GB2312"/>
          <w:kern w:val="0"/>
          <w:sz w:val="32"/>
        </w:rPr>
      </w:pPr>
    </w:p>
    <w:p>
      <w:pPr>
        <w:rPr>
          <w:rFonts w:ascii="仿宋_GB2312" w:hAnsi="宋体" w:eastAsia="仿宋_GB2312"/>
          <w:b/>
          <w:kern w:val="0"/>
          <w:sz w:val="32"/>
          <w:szCs w:val="32"/>
        </w:rPr>
      </w:pPr>
    </w:p>
    <w:p>
      <w:pPr>
        <w:pStyle w:val="2"/>
        <w:rPr>
          <w:rFonts w:ascii="仿宋_GB2312" w:hAnsi="宋体" w:eastAsia="仿宋_GB2312"/>
          <w:kern w:val="0"/>
          <w:sz w:val="32"/>
        </w:rPr>
      </w:pPr>
    </w:p>
    <w:p>
      <w:pPr>
        <w:rPr>
          <w:rFonts w:ascii="仿宋_GB2312" w:hAnsi="宋体" w:eastAsia="仿宋_GB2312"/>
          <w:b/>
          <w:kern w:val="0"/>
          <w:sz w:val="32"/>
          <w:szCs w:val="32"/>
        </w:rPr>
      </w:pPr>
    </w:p>
    <w:p>
      <w:pPr>
        <w:pStyle w:val="2"/>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表七：</w:t>
      </w:r>
    </w:p>
    <w:tbl>
      <w:tblPr>
        <w:tblStyle w:val="7"/>
        <w:tblW w:w="9641" w:type="dxa"/>
        <w:tblInd w:w="-360" w:type="dxa"/>
        <w:tblLayout w:type="fixed"/>
        <w:tblCellMar>
          <w:top w:w="0" w:type="dxa"/>
          <w:left w:w="108" w:type="dxa"/>
          <w:bottom w:w="0" w:type="dxa"/>
          <w:right w:w="108" w:type="dxa"/>
        </w:tblCellMar>
      </w:tblPr>
      <w:tblGrid>
        <w:gridCol w:w="10"/>
        <w:gridCol w:w="476"/>
        <w:gridCol w:w="397"/>
        <w:gridCol w:w="397"/>
        <w:gridCol w:w="851"/>
        <w:gridCol w:w="1456"/>
        <w:gridCol w:w="750"/>
        <w:gridCol w:w="110"/>
        <w:gridCol w:w="428"/>
        <w:gridCol w:w="666"/>
        <w:gridCol w:w="652"/>
        <w:gridCol w:w="652"/>
        <w:gridCol w:w="378"/>
        <w:gridCol w:w="200"/>
        <w:gridCol w:w="419"/>
        <w:gridCol w:w="578"/>
        <w:gridCol w:w="420"/>
        <w:gridCol w:w="420"/>
        <w:gridCol w:w="381"/>
      </w:tblGrid>
      <w:tr>
        <w:tblPrEx>
          <w:tblCellMar>
            <w:top w:w="0" w:type="dxa"/>
            <w:left w:w="108" w:type="dxa"/>
            <w:bottom w:w="0" w:type="dxa"/>
            <w:right w:w="108" w:type="dxa"/>
          </w:tblCellMar>
        </w:tblPrEx>
        <w:trPr>
          <w:gridBefore w:val="1"/>
          <w:wBefore w:w="10" w:type="dxa"/>
          <w:trHeight w:val="375" w:hRule="atLeast"/>
        </w:trPr>
        <w:tc>
          <w:tcPr>
            <w:tcW w:w="9631" w:type="dxa"/>
            <w:gridSpan w:val="1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CellMar>
            <w:top w:w="0" w:type="dxa"/>
            <w:left w:w="108" w:type="dxa"/>
            <w:bottom w:w="0" w:type="dxa"/>
            <w:right w:w="108" w:type="dxa"/>
          </w:tblCellMar>
        </w:tblPrEx>
        <w:trPr>
          <w:gridBefore w:val="1"/>
          <w:wBefore w:w="10" w:type="dxa"/>
          <w:trHeight w:val="405" w:hRule="atLeast"/>
        </w:trPr>
        <w:tc>
          <w:tcPr>
            <w:tcW w:w="4437" w:type="dxa"/>
            <w:gridSpan w:val="7"/>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w:t>
            </w:r>
            <w:r>
              <w:rPr>
                <w:rFonts w:hint="eastAsia" w:ascii="仿宋_GB2312" w:hAnsi="宋体" w:eastAsia="仿宋_GB2312"/>
                <w:kern w:val="0"/>
                <w:sz w:val="24"/>
              </w:rPr>
              <w:t xml:space="preserve">退役军人事务局   </w:t>
            </w:r>
          </w:p>
        </w:tc>
        <w:tc>
          <w:tcPr>
            <w:tcW w:w="1094"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18"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280"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3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66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8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486"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6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8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486" w:type="dxa"/>
            <w:gridSpan w:val="2"/>
            <w:tcBorders>
              <w:bottom w:val="single" w:color="auto" w:sz="4" w:space="0"/>
            </w:tcBorders>
            <w:noWrap/>
            <w:vAlign w:val="center"/>
          </w:tcPr>
          <w:p>
            <w:pPr>
              <w:widowControl/>
              <w:jc w:val="left"/>
              <w:outlineLvl w:val="1"/>
              <w:rPr>
                <w:rFonts w:hint="default" w:ascii="仿宋_GB2312" w:hAnsi="宋体" w:eastAsia="仿宋_GB2312"/>
                <w:b/>
                <w:kern w:val="0"/>
                <w:sz w:val="18"/>
                <w:szCs w:val="18"/>
                <w:lang w:val="en-US" w:eastAsia="zh-CN"/>
              </w:rPr>
            </w:pPr>
            <w:r>
              <w:rPr>
                <w:rFonts w:hint="eastAsia" w:ascii="仿宋_GB2312" w:hAnsi="宋体" w:eastAsia="仿宋_GB2312"/>
                <w:b/>
                <w:kern w:val="0"/>
                <w:sz w:val="18"/>
                <w:szCs w:val="18"/>
                <w:lang w:val="en-US" w:eastAsia="zh-CN"/>
              </w:rPr>
              <w:t>208</w:t>
            </w:r>
          </w:p>
        </w:tc>
        <w:tc>
          <w:tcPr>
            <w:tcW w:w="397" w:type="dxa"/>
            <w:tcBorders>
              <w:bottom w:val="single" w:color="auto" w:sz="4" w:space="0"/>
            </w:tcBorders>
            <w:noWrap/>
            <w:vAlign w:val="center"/>
          </w:tcPr>
          <w:p>
            <w:pPr>
              <w:widowControl/>
              <w:jc w:val="left"/>
              <w:outlineLvl w:val="1"/>
              <w:rPr>
                <w:rFonts w:hint="eastAsia" w:ascii="仿宋_GB2312" w:hAnsi="宋体" w:eastAsia="仿宋_GB2312"/>
                <w:b/>
                <w:kern w:val="0"/>
                <w:sz w:val="18"/>
                <w:szCs w:val="18"/>
              </w:rPr>
            </w:pPr>
          </w:p>
        </w:tc>
        <w:tc>
          <w:tcPr>
            <w:tcW w:w="397" w:type="dxa"/>
            <w:tcBorders>
              <w:bottom w:val="single" w:color="auto" w:sz="4" w:space="0"/>
            </w:tcBorders>
            <w:noWrap/>
            <w:vAlign w:val="center"/>
          </w:tcPr>
          <w:p>
            <w:pPr>
              <w:widowControl/>
              <w:jc w:val="left"/>
              <w:outlineLvl w:val="1"/>
              <w:rPr>
                <w:rFonts w:hint="eastAsia" w:ascii="仿宋_GB2312" w:hAnsi="宋体" w:eastAsia="仿宋_GB2312"/>
                <w:b/>
                <w:kern w:val="0"/>
                <w:sz w:val="18"/>
                <w:szCs w:val="18"/>
              </w:rPr>
            </w:pPr>
          </w:p>
        </w:tc>
        <w:tc>
          <w:tcPr>
            <w:tcW w:w="851"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cs="宋体"/>
                <w:color w:val="000000"/>
                <w:sz w:val="20"/>
                <w:szCs w:val="20"/>
              </w:rPr>
              <w:t>社会保障和就业支出</w:t>
            </w:r>
          </w:p>
        </w:tc>
        <w:tc>
          <w:tcPr>
            <w:tcW w:w="1456" w:type="dxa"/>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tcBorders>
              <w:bottom w:val="single" w:color="auto" w:sz="4" w:space="0"/>
            </w:tcBorders>
          </w:tcPr>
          <w:p>
            <w:pPr>
              <w:widowControl/>
              <w:jc w:val="left"/>
              <w:outlineLvl w:val="1"/>
              <w:rPr>
                <w:rFonts w:hint="default" w:ascii="仿宋_GB2312" w:hAnsi="宋体" w:eastAsia="仿宋_GB2312"/>
                <w:b/>
                <w:kern w:val="0"/>
                <w:sz w:val="18"/>
                <w:szCs w:val="18"/>
                <w:lang w:val="en-US" w:eastAsia="zh-CN"/>
              </w:rPr>
            </w:pPr>
            <w:r>
              <w:rPr>
                <w:rFonts w:hint="eastAsia" w:ascii="仿宋_GB2312" w:hAnsi="宋体" w:eastAsia="仿宋_GB2312"/>
                <w:b/>
                <w:kern w:val="0"/>
                <w:sz w:val="18"/>
                <w:szCs w:val="18"/>
                <w:lang w:val="en-US" w:eastAsia="zh-CN"/>
              </w:rPr>
              <w:t>77.50</w:t>
            </w:r>
          </w:p>
        </w:tc>
        <w:tc>
          <w:tcPr>
            <w:tcW w:w="538" w:type="dxa"/>
            <w:gridSpan w:val="2"/>
            <w:tcBorders>
              <w:bottom w:val="single" w:color="auto" w:sz="4" w:space="0"/>
            </w:tcBorders>
          </w:tcPr>
          <w:p>
            <w:pPr>
              <w:widowControl/>
              <w:jc w:val="left"/>
              <w:outlineLvl w:val="1"/>
              <w:rPr>
                <w:rFonts w:ascii="仿宋_GB2312" w:hAnsi="宋体" w:eastAsia="仿宋_GB2312"/>
                <w:b/>
                <w:kern w:val="0"/>
                <w:sz w:val="18"/>
                <w:szCs w:val="18"/>
              </w:rPr>
            </w:pPr>
          </w:p>
        </w:tc>
        <w:tc>
          <w:tcPr>
            <w:tcW w:w="666" w:type="dxa"/>
            <w:tcBorders>
              <w:bottom w:val="single" w:color="auto" w:sz="4" w:space="0"/>
            </w:tcBorders>
          </w:tcPr>
          <w:p>
            <w:pPr>
              <w:widowControl/>
              <w:jc w:val="left"/>
              <w:outlineLvl w:val="1"/>
              <w:rPr>
                <w:rFonts w:hint="default" w:ascii="仿宋_GB2312" w:hAnsi="宋体" w:eastAsia="仿宋_GB2312"/>
                <w:b/>
                <w:kern w:val="0"/>
                <w:sz w:val="18"/>
                <w:szCs w:val="18"/>
                <w:lang w:val="en-US" w:eastAsia="zh-CN"/>
              </w:rPr>
            </w:pPr>
            <w:r>
              <w:rPr>
                <w:rFonts w:hint="eastAsia" w:ascii="仿宋_GB2312" w:hAnsi="宋体" w:eastAsia="仿宋_GB2312"/>
                <w:b/>
                <w:kern w:val="0"/>
                <w:sz w:val="18"/>
                <w:szCs w:val="18"/>
                <w:lang w:val="en-US" w:eastAsia="zh-CN"/>
              </w:rPr>
              <w:t>77.50</w:t>
            </w:r>
          </w:p>
        </w:tc>
        <w:tc>
          <w:tcPr>
            <w:tcW w:w="652" w:type="dxa"/>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tcBorders>
              <w:bottom w:val="single" w:color="auto" w:sz="4" w:space="0"/>
            </w:tcBorders>
          </w:tcPr>
          <w:p>
            <w:pPr>
              <w:widowControl/>
              <w:jc w:val="left"/>
              <w:outlineLvl w:val="1"/>
              <w:rPr>
                <w:rFonts w:ascii="仿宋_GB2312" w:hAnsi="宋体" w:eastAsia="仿宋_GB2312"/>
                <w:b/>
                <w:kern w:val="0"/>
                <w:sz w:val="18"/>
                <w:szCs w:val="18"/>
              </w:rPr>
            </w:pPr>
          </w:p>
        </w:tc>
        <w:tc>
          <w:tcPr>
            <w:tcW w:w="381" w:type="dxa"/>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486" w:type="dxa"/>
            <w:gridSpan w:val="2"/>
            <w:tcBorders>
              <w:bottom w:val="single" w:color="auto" w:sz="4" w:space="0"/>
            </w:tcBorders>
            <w:noWrap/>
            <w:vAlign w:val="center"/>
          </w:tcPr>
          <w:p>
            <w:pPr>
              <w:widowControl/>
              <w:jc w:val="left"/>
              <w:outlineLvl w:val="1"/>
              <w:rPr>
                <w:rFonts w:hint="default" w:ascii="仿宋_GB2312" w:hAnsi="宋体" w:eastAsia="仿宋_GB2312"/>
                <w:b/>
                <w:kern w:val="0"/>
                <w:sz w:val="18"/>
                <w:szCs w:val="18"/>
                <w:lang w:val="en-US" w:eastAsia="zh-CN"/>
              </w:rPr>
            </w:pPr>
            <w:r>
              <w:rPr>
                <w:rFonts w:hint="eastAsia" w:ascii="仿宋_GB2312" w:hAnsi="宋体" w:eastAsia="仿宋_GB2312"/>
                <w:b/>
                <w:kern w:val="0"/>
                <w:sz w:val="18"/>
                <w:szCs w:val="18"/>
                <w:lang w:val="en-US" w:eastAsia="zh-CN"/>
              </w:rPr>
              <w:t>208</w:t>
            </w:r>
          </w:p>
        </w:tc>
        <w:tc>
          <w:tcPr>
            <w:tcW w:w="397" w:type="dxa"/>
            <w:tcBorders>
              <w:bottom w:val="single" w:color="auto" w:sz="4" w:space="0"/>
            </w:tcBorders>
            <w:noWrap/>
            <w:vAlign w:val="center"/>
          </w:tcPr>
          <w:p>
            <w:pPr>
              <w:widowControl/>
              <w:jc w:val="left"/>
              <w:outlineLvl w:val="1"/>
              <w:rPr>
                <w:rFonts w:hint="default" w:ascii="仿宋_GB2312" w:hAnsi="宋体" w:eastAsia="仿宋_GB2312"/>
                <w:b/>
                <w:kern w:val="0"/>
                <w:sz w:val="18"/>
                <w:szCs w:val="18"/>
                <w:lang w:val="en-US" w:eastAsia="zh-CN"/>
              </w:rPr>
            </w:pPr>
            <w:r>
              <w:rPr>
                <w:rFonts w:hint="eastAsia" w:ascii="仿宋_GB2312" w:hAnsi="宋体" w:eastAsia="仿宋_GB2312"/>
                <w:b/>
                <w:kern w:val="0"/>
                <w:sz w:val="18"/>
                <w:szCs w:val="18"/>
                <w:lang w:val="en-US" w:eastAsia="zh-CN"/>
              </w:rPr>
              <w:t>09</w:t>
            </w:r>
          </w:p>
        </w:tc>
        <w:tc>
          <w:tcPr>
            <w:tcW w:w="397" w:type="dxa"/>
            <w:tcBorders>
              <w:bottom w:val="single" w:color="auto" w:sz="4" w:space="0"/>
            </w:tcBorders>
            <w:noWrap/>
            <w:vAlign w:val="center"/>
          </w:tcPr>
          <w:p>
            <w:pPr>
              <w:widowControl/>
              <w:jc w:val="left"/>
              <w:outlineLvl w:val="1"/>
              <w:rPr>
                <w:rFonts w:hint="eastAsia" w:ascii="仿宋_GB2312" w:hAnsi="宋体" w:eastAsia="仿宋_GB2312"/>
                <w:b/>
                <w:kern w:val="0"/>
                <w:sz w:val="18"/>
                <w:szCs w:val="18"/>
              </w:rPr>
            </w:pPr>
          </w:p>
        </w:tc>
        <w:tc>
          <w:tcPr>
            <w:tcW w:w="851" w:type="dxa"/>
            <w:tcBorders>
              <w:bottom w:val="single" w:color="auto" w:sz="4" w:space="0"/>
            </w:tcBorders>
            <w:vAlign w:val="center"/>
          </w:tcPr>
          <w:p>
            <w:pPr>
              <w:widowControl/>
              <w:jc w:val="left"/>
              <w:outlineLvl w:val="1"/>
              <w:rPr>
                <w:rFonts w:hint="eastAsia" w:ascii="仿宋_GB2312" w:hAnsi="宋体" w:eastAsia="仿宋_GB2312"/>
                <w:b/>
                <w:kern w:val="0"/>
                <w:sz w:val="18"/>
                <w:szCs w:val="18"/>
                <w:lang w:eastAsia="zh-CN"/>
              </w:rPr>
            </w:pPr>
            <w:r>
              <w:rPr>
                <w:rFonts w:hint="eastAsia" w:ascii="仿宋_GB2312" w:hAnsi="宋体" w:eastAsia="仿宋_GB2312"/>
                <w:b/>
                <w:kern w:val="0"/>
                <w:sz w:val="18"/>
                <w:szCs w:val="18"/>
                <w:lang w:eastAsia="zh-CN"/>
              </w:rPr>
              <w:t>退役安置</w:t>
            </w:r>
          </w:p>
        </w:tc>
        <w:tc>
          <w:tcPr>
            <w:tcW w:w="1456" w:type="dxa"/>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tcBorders>
              <w:bottom w:val="single" w:color="auto" w:sz="4" w:space="0"/>
            </w:tcBorders>
          </w:tcPr>
          <w:p>
            <w:pPr>
              <w:widowControl/>
              <w:jc w:val="left"/>
              <w:outlineLvl w:val="1"/>
              <w:rPr>
                <w:rFonts w:hint="default" w:ascii="仿宋_GB2312" w:hAnsi="宋体" w:eastAsia="仿宋_GB2312"/>
                <w:b/>
                <w:kern w:val="0"/>
                <w:sz w:val="18"/>
                <w:szCs w:val="18"/>
                <w:lang w:val="en-US" w:eastAsia="zh-CN"/>
              </w:rPr>
            </w:pPr>
            <w:r>
              <w:rPr>
                <w:rFonts w:hint="eastAsia" w:ascii="仿宋_GB2312" w:hAnsi="宋体" w:eastAsia="仿宋_GB2312"/>
                <w:b/>
                <w:kern w:val="0"/>
                <w:sz w:val="18"/>
                <w:szCs w:val="18"/>
                <w:lang w:val="en-US" w:eastAsia="zh-CN"/>
              </w:rPr>
              <w:t>7.50</w:t>
            </w:r>
          </w:p>
        </w:tc>
        <w:tc>
          <w:tcPr>
            <w:tcW w:w="538" w:type="dxa"/>
            <w:gridSpan w:val="2"/>
            <w:tcBorders>
              <w:bottom w:val="single" w:color="auto" w:sz="4" w:space="0"/>
            </w:tcBorders>
          </w:tcPr>
          <w:p>
            <w:pPr>
              <w:widowControl/>
              <w:jc w:val="left"/>
              <w:outlineLvl w:val="1"/>
              <w:rPr>
                <w:rFonts w:ascii="仿宋_GB2312" w:hAnsi="宋体" w:eastAsia="仿宋_GB2312"/>
                <w:b/>
                <w:kern w:val="0"/>
                <w:sz w:val="18"/>
                <w:szCs w:val="18"/>
              </w:rPr>
            </w:pPr>
          </w:p>
        </w:tc>
        <w:tc>
          <w:tcPr>
            <w:tcW w:w="666" w:type="dxa"/>
            <w:tcBorders>
              <w:bottom w:val="single" w:color="auto" w:sz="4" w:space="0"/>
            </w:tcBorders>
          </w:tcPr>
          <w:p>
            <w:pPr>
              <w:widowControl/>
              <w:jc w:val="left"/>
              <w:outlineLvl w:val="1"/>
              <w:rPr>
                <w:rFonts w:hint="default" w:ascii="仿宋_GB2312" w:hAnsi="宋体" w:eastAsia="仿宋_GB2312"/>
                <w:b/>
                <w:kern w:val="0"/>
                <w:sz w:val="18"/>
                <w:szCs w:val="18"/>
                <w:lang w:val="en-US" w:eastAsia="zh-CN"/>
              </w:rPr>
            </w:pPr>
            <w:r>
              <w:rPr>
                <w:rFonts w:hint="eastAsia" w:ascii="仿宋_GB2312" w:hAnsi="宋体" w:eastAsia="仿宋_GB2312"/>
                <w:b/>
                <w:kern w:val="0"/>
                <w:sz w:val="18"/>
                <w:szCs w:val="18"/>
                <w:lang w:val="en-US" w:eastAsia="zh-CN"/>
              </w:rPr>
              <w:t>7.50</w:t>
            </w:r>
          </w:p>
        </w:tc>
        <w:tc>
          <w:tcPr>
            <w:tcW w:w="652" w:type="dxa"/>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tcBorders>
              <w:bottom w:val="single" w:color="auto" w:sz="4" w:space="0"/>
            </w:tcBorders>
          </w:tcPr>
          <w:p>
            <w:pPr>
              <w:widowControl/>
              <w:jc w:val="left"/>
              <w:outlineLvl w:val="1"/>
              <w:rPr>
                <w:rFonts w:ascii="仿宋_GB2312" w:hAnsi="宋体" w:eastAsia="仿宋_GB2312"/>
                <w:b/>
                <w:kern w:val="0"/>
                <w:sz w:val="18"/>
                <w:szCs w:val="18"/>
              </w:rPr>
            </w:pPr>
          </w:p>
        </w:tc>
        <w:tc>
          <w:tcPr>
            <w:tcW w:w="381" w:type="dxa"/>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208</w:t>
            </w:r>
          </w:p>
        </w:tc>
        <w:tc>
          <w:tcPr>
            <w:tcW w:w="397"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09</w:t>
            </w:r>
          </w:p>
        </w:tc>
        <w:tc>
          <w:tcPr>
            <w:tcW w:w="397"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05</w:t>
            </w:r>
          </w:p>
        </w:tc>
        <w:tc>
          <w:tcPr>
            <w:tcW w:w="851"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军队转业干部安置</w:t>
            </w:r>
          </w:p>
        </w:tc>
        <w:tc>
          <w:tcPr>
            <w:tcW w:w="1456" w:type="dxa"/>
          </w:tcPr>
          <w:p>
            <w:pPr>
              <w:widowControl/>
              <w:outlineLvl w:val="1"/>
              <w:rPr>
                <w:rFonts w:ascii="仿宋_GB2312" w:hAnsi="宋体" w:eastAsia="仿宋_GB2312"/>
                <w:kern w:val="0"/>
                <w:sz w:val="18"/>
                <w:szCs w:val="18"/>
              </w:rPr>
            </w:pPr>
            <w:r>
              <w:rPr>
                <w:rFonts w:hint="eastAsia" w:ascii="仿宋_GB2312" w:hAnsi="宋体" w:eastAsia="仿宋_GB2312"/>
                <w:kern w:val="0"/>
                <w:sz w:val="18"/>
                <w:szCs w:val="18"/>
              </w:rPr>
              <w:t>安置工作经费</w:t>
            </w:r>
          </w:p>
        </w:tc>
        <w:tc>
          <w:tcPr>
            <w:tcW w:w="750"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7.50</w:t>
            </w:r>
          </w:p>
        </w:tc>
        <w:tc>
          <w:tcPr>
            <w:tcW w:w="538" w:type="dxa"/>
            <w:gridSpan w:val="2"/>
          </w:tcPr>
          <w:p>
            <w:pPr>
              <w:widowControl/>
              <w:jc w:val="center"/>
              <w:outlineLvl w:val="1"/>
              <w:rPr>
                <w:rFonts w:ascii="仿宋_GB2312" w:hAnsi="宋体" w:eastAsia="仿宋_GB2312"/>
                <w:kern w:val="0"/>
                <w:sz w:val="18"/>
                <w:szCs w:val="18"/>
              </w:rPr>
            </w:pPr>
          </w:p>
        </w:tc>
        <w:tc>
          <w:tcPr>
            <w:tcW w:w="666"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7.50</w:t>
            </w:r>
          </w:p>
        </w:tc>
        <w:tc>
          <w:tcPr>
            <w:tcW w:w="652" w:type="dxa"/>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81" w:type="dxa"/>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208</w:t>
            </w:r>
          </w:p>
        </w:tc>
        <w:tc>
          <w:tcPr>
            <w:tcW w:w="397" w:type="dxa"/>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28</w:t>
            </w:r>
          </w:p>
        </w:tc>
        <w:tc>
          <w:tcPr>
            <w:tcW w:w="397" w:type="dxa"/>
          </w:tcPr>
          <w:p>
            <w:pPr>
              <w:widowControl/>
              <w:jc w:val="center"/>
              <w:outlineLvl w:val="1"/>
              <w:rPr>
                <w:rFonts w:hint="eastAsia" w:ascii="仿宋_GB2312" w:hAnsi="宋体" w:eastAsia="仿宋_GB2312"/>
                <w:kern w:val="0"/>
                <w:sz w:val="18"/>
                <w:szCs w:val="18"/>
              </w:rPr>
            </w:pPr>
          </w:p>
        </w:tc>
        <w:tc>
          <w:tcPr>
            <w:tcW w:w="851" w:type="dxa"/>
          </w:tcPr>
          <w:p>
            <w:pPr>
              <w:widowControl/>
              <w:jc w:val="center"/>
              <w:outlineLvl w:val="1"/>
              <w:rPr>
                <w:rFonts w:hint="eastAsia" w:ascii="仿宋_GB2312" w:hAnsi="宋体" w:eastAsia="仿宋_GB2312"/>
                <w:kern w:val="0"/>
                <w:sz w:val="18"/>
                <w:szCs w:val="18"/>
              </w:rPr>
            </w:pPr>
            <w:r>
              <w:rPr>
                <w:rFonts w:hint="eastAsia" w:ascii="仿宋_GB2312" w:hAnsi="宋体" w:eastAsia="仿宋_GB2312" w:cs="宋体"/>
                <w:color w:val="000000"/>
                <w:sz w:val="20"/>
                <w:szCs w:val="20"/>
                <w:lang w:eastAsia="zh-CN"/>
              </w:rPr>
              <w:t>退役军人管理事务</w:t>
            </w:r>
          </w:p>
        </w:tc>
        <w:tc>
          <w:tcPr>
            <w:tcW w:w="1456" w:type="dxa"/>
          </w:tcPr>
          <w:p>
            <w:pPr>
              <w:widowControl/>
              <w:outlineLvl w:val="1"/>
              <w:rPr>
                <w:rFonts w:hint="eastAsia" w:ascii="仿宋_GB2312" w:hAnsi="宋体" w:eastAsia="仿宋_GB2312"/>
                <w:kern w:val="0"/>
                <w:sz w:val="18"/>
                <w:szCs w:val="18"/>
              </w:rPr>
            </w:pPr>
          </w:p>
        </w:tc>
        <w:tc>
          <w:tcPr>
            <w:tcW w:w="750" w:type="dxa"/>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70</w:t>
            </w:r>
          </w:p>
        </w:tc>
        <w:tc>
          <w:tcPr>
            <w:tcW w:w="538" w:type="dxa"/>
            <w:gridSpan w:val="2"/>
          </w:tcPr>
          <w:p>
            <w:pPr>
              <w:widowControl/>
              <w:jc w:val="center"/>
              <w:outlineLvl w:val="1"/>
              <w:rPr>
                <w:rFonts w:ascii="仿宋_GB2312" w:hAnsi="宋体" w:eastAsia="仿宋_GB2312"/>
                <w:kern w:val="0"/>
                <w:sz w:val="18"/>
                <w:szCs w:val="18"/>
              </w:rPr>
            </w:pPr>
          </w:p>
        </w:tc>
        <w:tc>
          <w:tcPr>
            <w:tcW w:w="666" w:type="dxa"/>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70</w:t>
            </w:r>
          </w:p>
        </w:tc>
        <w:tc>
          <w:tcPr>
            <w:tcW w:w="652" w:type="dxa"/>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81" w:type="dxa"/>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208</w:t>
            </w:r>
          </w:p>
        </w:tc>
        <w:tc>
          <w:tcPr>
            <w:tcW w:w="397"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28</w:t>
            </w:r>
          </w:p>
        </w:tc>
        <w:tc>
          <w:tcPr>
            <w:tcW w:w="397"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851"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456"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就业创业服务经费</w:t>
            </w:r>
          </w:p>
        </w:tc>
        <w:tc>
          <w:tcPr>
            <w:tcW w:w="750"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538" w:type="dxa"/>
            <w:gridSpan w:val="2"/>
          </w:tcPr>
          <w:p>
            <w:pPr>
              <w:widowControl/>
              <w:jc w:val="center"/>
              <w:outlineLvl w:val="1"/>
              <w:rPr>
                <w:rFonts w:ascii="仿宋_GB2312" w:hAnsi="宋体" w:eastAsia="仿宋_GB2312"/>
                <w:kern w:val="0"/>
                <w:sz w:val="18"/>
                <w:szCs w:val="18"/>
              </w:rPr>
            </w:pPr>
          </w:p>
        </w:tc>
        <w:tc>
          <w:tcPr>
            <w:tcW w:w="666"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652" w:type="dxa"/>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81" w:type="dxa"/>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208</w:t>
            </w:r>
          </w:p>
        </w:tc>
        <w:tc>
          <w:tcPr>
            <w:tcW w:w="397"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28</w:t>
            </w:r>
          </w:p>
        </w:tc>
        <w:tc>
          <w:tcPr>
            <w:tcW w:w="397"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851"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456" w:type="dxa"/>
          </w:tcPr>
          <w:p>
            <w:pPr>
              <w:widowControl/>
              <w:outlineLvl w:val="1"/>
              <w:rPr>
                <w:rFonts w:ascii="仿宋_GB2312" w:hAnsi="宋体" w:eastAsia="仿宋_GB2312"/>
                <w:kern w:val="0"/>
                <w:sz w:val="18"/>
                <w:szCs w:val="18"/>
              </w:rPr>
            </w:pPr>
            <w:r>
              <w:rPr>
                <w:rFonts w:hint="eastAsia" w:ascii="仿宋_GB2312" w:hAnsi="宋体" w:eastAsia="仿宋_GB2312"/>
                <w:kern w:val="0"/>
                <w:sz w:val="18"/>
                <w:szCs w:val="18"/>
              </w:rPr>
              <w:t>退役军人教育培训经费</w:t>
            </w:r>
          </w:p>
        </w:tc>
        <w:tc>
          <w:tcPr>
            <w:tcW w:w="750"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w:t>
            </w:r>
          </w:p>
        </w:tc>
        <w:tc>
          <w:tcPr>
            <w:tcW w:w="538" w:type="dxa"/>
            <w:gridSpan w:val="2"/>
          </w:tcPr>
          <w:p>
            <w:pPr>
              <w:widowControl/>
              <w:jc w:val="center"/>
              <w:outlineLvl w:val="1"/>
              <w:rPr>
                <w:rFonts w:ascii="仿宋_GB2312" w:hAnsi="宋体" w:eastAsia="仿宋_GB2312"/>
                <w:kern w:val="0"/>
                <w:sz w:val="18"/>
                <w:szCs w:val="18"/>
              </w:rPr>
            </w:pPr>
          </w:p>
        </w:tc>
        <w:tc>
          <w:tcPr>
            <w:tcW w:w="666"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w:t>
            </w:r>
          </w:p>
          <w:p>
            <w:pPr>
              <w:widowControl/>
              <w:jc w:val="center"/>
              <w:outlineLvl w:val="1"/>
              <w:rPr>
                <w:rFonts w:ascii="仿宋_GB2312" w:hAnsi="宋体" w:eastAsia="仿宋_GB2312"/>
                <w:kern w:val="0"/>
                <w:sz w:val="18"/>
                <w:szCs w:val="18"/>
              </w:rPr>
            </w:pPr>
          </w:p>
          <w:p>
            <w:pPr>
              <w:widowControl/>
              <w:jc w:val="center"/>
              <w:outlineLvl w:val="1"/>
              <w:rPr>
                <w:rFonts w:ascii="仿宋_GB2312" w:hAnsi="宋体" w:eastAsia="仿宋_GB2312"/>
                <w:kern w:val="0"/>
                <w:sz w:val="18"/>
                <w:szCs w:val="18"/>
              </w:rPr>
            </w:pPr>
          </w:p>
        </w:tc>
        <w:tc>
          <w:tcPr>
            <w:tcW w:w="652" w:type="dxa"/>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81" w:type="dxa"/>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208</w:t>
            </w:r>
          </w:p>
        </w:tc>
        <w:tc>
          <w:tcPr>
            <w:tcW w:w="397"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28</w:t>
            </w:r>
          </w:p>
        </w:tc>
        <w:tc>
          <w:tcPr>
            <w:tcW w:w="397"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851"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456"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宣传工作经费</w:t>
            </w:r>
          </w:p>
        </w:tc>
        <w:tc>
          <w:tcPr>
            <w:tcW w:w="750"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538" w:type="dxa"/>
            <w:gridSpan w:val="2"/>
          </w:tcPr>
          <w:p>
            <w:pPr>
              <w:widowControl/>
              <w:jc w:val="center"/>
              <w:outlineLvl w:val="1"/>
              <w:rPr>
                <w:rFonts w:ascii="仿宋_GB2312" w:hAnsi="宋体" w:eastAsia="仿宋_GB2312"/>
                <w:kern w:val="0"/>
                <w:sz w:val="18"/>
                <w:szCs w:val="18"/>
              </w:rPr>
            </w:pPr>
          </w:p>
        </w:tc>
        <w:tc>
          <w:tcPr>
            <w:tcW w:w="666"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652" w:type="dxa"/>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81" w:type="dxa"/>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208</w:t>
            </w:r>
          </w:p>
        </w:tc>
        <w:tc>
          <w:tcPr>
            <w:tcW w:w="397"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28</w:t>
            </w:r>
          </w:p>
        </w:tc>
        <w:tc>
          <w:tcPr>
            <w:tcW w:w="397"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851"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拥军优属</w:t>
            </w:r>
          </w:p>
        </w:tc>
        <w:tc>
          <w:tcPr>
            <w:tcW w:w="1456"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双拥工作经费</w:t>
            </w:r>
          </w:p>
        </w:tc>
        <w:tc>
          <w:tcPr>
            <w:tcW w:w="750"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538" w:type="dxa"/>
            <w:gridSpan w:val="2"/>
          </w:tcPr>
          <w:p>
            <w:pPr>
              <w:widowControl/>
              <w:jc w:val="center"/>
              <w:outlineLvl w:val="1"/>
              <w:rPr>
                <w:rFonts w:ascii="仿宋_GB2312" w:hAnsi="宋体" w:eastAsia="仿宋_GB2312"/>
                <w:kern w:val="0"/>
                <w:sz w:val="18"/>
                <w:szCs w:val="18"/>
              </w:rPr>
            </w:pPr>
          </w:p>
        </w:tc>
        <w:tc>
          <w:tcPr>
            <w:tcW w:w="666"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652" w:type="dxa"/>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81" w:type="dxa"/>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38" w:type="dxa"/>
            <w:gridSpan w:val="2"/>
            <w:vAlign w:val="center"/>
          </w:tcPr>
          <w:p>
            <w:pPr>
              <w:widowControl/>
              <w:jc w:val="center"/>
              <w:outlineLvl w:val="1"/>
              <w:rPr>
                <w:rFonts w:ascii="仿宋_GB2312" w:hAnsi="宋体" w:eastAsia="仿宋_GB2312"/>
                <w:kern w:val="0"/>
                <w:sz w:val="18"/>
                <w:szCs w:val="18"/>
              </w:rPr>
            </w:pPr>
          </w:p>
        </w:tc>
        <w:tc>
          <w:tcPr>
            <w:tcW w:w="66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81" w:type="dxa"/>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38" w:type="dxa"/>
            <w:gridSpan w:val="2"/>
            <w:vAlign w:val="center"/>
          </w:tcPr>
          <w:p>
            <w:pPr>
              <w:widowControl/>
              <w:jc w:val="center"/>
              <w:outlineLvl w:val="1"/>
              <w:rPr>
                <w:rFonts w:ascii="仿宋_GB2312" w:hAnsi="宋体" w:eastAsia="仿宋_GB2312"/>
                <w:kern w:val="0"/>
                <w:sz w:val="18"/>
                <w:szCs w:val="18"/>
              </w:rPr>
            </w:pPr>
          </w:p>
        </w:tc>
        <w:tc>
          <w:tcPr>
            <w:tcW w:w="66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81" w:type="dxa"/>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77.50</w:t>
            </w:r>
          </w:p>
        </w:tc>
        <w:tc>
          <w:tcPr>
            <w:tcW w:w="538" w:type="dxa"/>
            <w:gridSpan w:val="2"/>
            <w:vAlign w:val="center"/>
          </w:tcPr>
          <w:p>
            <w:pPr>
              <w:widowControl/>
              <w:jc w:val="center"/>
              <w:outlineLvl w:val="1"/>
              <w:rPr>
                <w:rFonts w:ascii="仿宋_GB2312" w:hAnsi="宋体" w:eastAsia="仿宋_GB2312"/>
                <w:kern w:val="0"/>
                <w:sz w:val="18"/>
                <w:szCs w:val="18"/>
              </w:rPr>
            </w:pPr>
          </w:p>
        </w:tc>
        <w:tc>
          <w:tcPr>
            <w:tcW w:w="66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77.50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81" w:type="dxa"/>
            <w:vAlign w:val="center"/>
          </w:tcPr>
          <w:p>
            <w:pPr>
              <w:widowControl/>
              <w:jc w:val="center"/>
              <w:outlineLvl w:val="1"/>
              <w:rPr>
                <w:rFonts w:ascii="仿宋_GB2312" w:hAnsi="宋体" w:eastAsia="仿宋_GB2312"/>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昌吉州退役军人事务局                      单位：万元</w:t>
      </w:r>
    </w:p>
    <w:tbl>
      <w:tblPr>
        <w:tblStyle w:val="7"/>
        <w:tblW w:w="9240" w:type="dxa"/>
        <w:tblInd w:w="-173" w:type="dxa"/>
        <w:tblLayout w:type="autofit"/>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3.18</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3.18</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3.00</w:t>
            </w: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0.18</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编制部门（单位）：昌吉州退役军人事务局                        单位：万元</w:t>
      </w:r>
    </w:p>
    <w:tbl>
      <w:tblPr>
        <w:tblStyle w:val="7"/>
        <w:tblW w:w="9214" w:type="dxa"/>
        <w:tblInd w:w="-34" w:type="dxa"/>
        <w:tblLayout w:type="autofit"/>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2021年昌吉州退役军人事务局预算情况说明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昌吉州退役军人事务局 2021年</w:t>
      </w:r>
      <w:r>
        <w:rPr>
          <w:rFonts w:hint="eastAsia" w:ascii="黑体" w:hAnsi="宋体" w:eastAsia="黑体" w:cs="宋体"/>
          <w:kern w:val="0"/>
          <w:sz w:val="32"/>
          <w:szCs w:val="32"/>
        </w:rPr>
        <w:t>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按照全口径预算的原则，昌吉州退役军人事务局   2021年所有收入和支出均纳入单位预算管理。收支总预算266.85万元。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支出预算包括：社会保障和就业支出、医疗卫生健康支出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昌吉州退役军人事务局2021年</w:t>
      </w:r>
      <w:r>
        <w:rPr>
          <w:rFonts w:hint="eastAsia" w:ascii="黑体" w:hAnsi="宋体" w:eastAsia="黑体" w:cs="宋体"/>
          <w:kern w:val="0"/>
          <w:sz w:val="32"/>
          <w:szCs w:val="32"/>
        </w:rPr>
        <w:t>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_GB2312" w:hAnsi="宋体" w:eastAsia="仿宋_GB2312"/>
          <w:kern w:val="0"/>
          <w:sz w:val="32"/>
          <w:szCs w:val="32"/>
        </w:rPr>
        <w:t>退役军人事务局</w:t>
      </w:r>
      <w:r>
        <w:rPr>
          <w:rFonts w:hint="eastAsia" w:ascii="仿宋_GB2312" w:hAnsi="宋体" w:eastAsia="仿宋_GB2312" w:cs="宋体"/>
          <w:kern w:val="0"/>
          <w:sz w:val="32"/>
          <w:szCs w:val="32"/>
        </w:rPr>
        <w:t>收入预算266.85万元，其中：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一般公共预算266.85万元，占100%，比上年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增加59.89万元，主要原因是人员增加，业务全面开展。</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w:t>
      </w:r>
      <w:r>
        <w:rPr>
          <w:rFonts w:hint="eastAsia" w:ascii="黑体" w:hAnsi="宋体" w:eastAsia="黑体" w:cs="宋体"/>
          <w:b/>
          <w:bCs/>
          <w:kern w:val="0"/>
          <w:sz w:val="32"/>
          <w:szCs w:val="32"/>
        </w:rPr>
        <w:t>关于</w:t>
      </w:r>
      <w:r>
        <w:rPr>
          <w:rFonts w:hint="eastAsia" w:ascii="黑体" w:hAnsi="黑体" w:eastAsia="黑体"/>
          <w:b/>
          <w:bCs/>
          <w:kern w:val="0"/>
          <w:sz w:val="32"/>
          <w:szCs w:val="32"/>
        </w:rPr>
        <w:t>昌吉州退役军人事务局2</w:t>
      </w:r>
      <w:r>
        <w:rPr>
          <w:rFonts w:hint="eastAsia" w:ascii="黑体" w:hAnsi="黑体" w:eastAsia="黑体"/>
          <w:kern w:val="0"/>
          <w:sz w:val="32"/>
          <w:szCs w:val="32"/>
        </w:rPr>
        <w:t>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昌吉州退役军人事务局2021年支出预算266.85万元，其中：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基本支出189.35万元，占71%，比上年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增加39.39万元，主要原因是人员增加。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项目支出77.50万元，占29%，比上年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增加20.50万元，主要原因是业务全面开展。</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昌吉州退役军人事务局2021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2021年财政拨款收支总预算266.85万元。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收入预算包括：一般公共预算拨款266.85万元。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一般公共预算支出包括：一般公共服务支出266.85万元，主要用于退役军人事务工作。</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w:t>
      </w:r>
      <w:r>
        <w:rPr>
          <w:rFonts w:hint="eastAsia" w:ascii="黑体" w:hAnsi="宋体" w:eastAsia="黑体" w:cs="宋体"/>
          <w:kern w:val="0"/>
          <w:sz w:val="32"/>
          <w:szCs w:val="32"/>
        </w:rPr>
        <w:t>吉州退役军人事务局2021年一般公共预算当年拨款情况说明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退役军人事务局2021年一般公共预算拨款合计266.85万元，其中：基本支出189.35万元，比上年预算增加39.39万元，增长26%。主要原因是：人员增加。项目支出77.50万元，比上年预算增加20.50万元，增长36%。主要原因是：退役军人事务工作全面开展。</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1.一般公共服务支出266.85万元，占100%。</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2.行政运行160.80万元；</w:t>
      </w:r>
      <w:r>
        <w:rPr>
          <w:rFonts w:hint="eastAsia" w:ascii="仿宋_GB2312" w:hAnsi="宋体" w:eastAsia="仿宋_GB2312" w:cs="宋体"/>
          <w:color w:val="000000"/>
          <w:sz w:val="32"/>
          <w:szCs w:val="32"/>
        </w:rPr>
        <w:t>机关事业单位基本养老保险缴费支出15.36万元；行政单位医疗9.91万元；公务员医疗补助3.14万元；其他行政事业单位医疗支出0.14万元；军队转业干部安置7.50万元；</w:t>
      </w:r>
      <w:r>
        <w:rPr>
          <w:rFonts w:hint="eastAsia" w:ascii="仿宋_GB2312" w:hAnsi="宋体" w:eastAsia="仿宋_GB2312" w:cs="宋体"/>
          <w:kern w:val="0"/>
          <w:sz w:val="32"/>
          <w:szCs w:val="32"/>
        </w:rPr>
        <w:t>一般行政管理事务60万元；拥军优属10万元。</w:t>
      </w:r>
    </w:p>
    <w:p>
      <w:pPr>
        <w:spacing w:line="56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一般公共</w:t>
      </w:r>
      <w:r>
        <w:rPr>
          <w:rFonts w:ascii="仿宋_GB2312" w:hAnsi="宋体" w:eastAsia="仿宋_GB2312" w:cs="宋体"/>
          <w:kern w:val="0"/>
          <w:sz w:val="32"/>
          <w:szCs w:val="32"/>
        </w:rPr>
        <w:t>预算数为</w:t>
      </w:r>
      <w:r>
        <w:rPr>
          <w:rFonts w:hint="eastAsia" w:ascii="仿宋_GB2312" w:hAnsi="宋体" w:eastAsia="仿宋_GB2312" w:cs="宋体"/>
          <w:kern w:val="0"/>
          <w:sz w:val="32"/>
          <w:szCs w:val="32"/>
        </w:rPr>
        <w:t>266.85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比上年预算数增加59.89万元，增长29%，主要原因是：人员增加，全面开展退役军人事务工作。</w:t>
      </w:r>
    </w:p>
    <w:p>
      <w:pPr>
        <w:spacing w:line="560" w:lineRule="exact"/>
        <w:ind w:firstLine="640" w:firstLineChars="200"/>
        <w:rPr>
          <w:rFonts w:ascii="仿宋_GB2312" w:hAnsi="宋体" w:eastAsia="仿宋_GB2312" w:cs="宋体"/>
          <w:color w:val="000000"/>
          <w:sz w:val="32"/>
          <w:szCs w:val="32"/>
        </w:rPr>
      </w:pP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w:t>
      </w:r>
      <w:r>
        <w:rPr>
          <w:rFonts w:hint="eastAsia" w:ascii="仿宋_GB2312" w:hAnsi="宋体" w:eastAsia="仿宋_GB2312" w:cs="宋体"/>
          <w:color w:val="000000"/>
          <w:sz w:val="32"/>
          <w:szCs w:val="32"/>
        </w:rPr>
        <w:t>2080505机关事业单位基本养老保险缴费支出：</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15.36</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比上年预算数增加15.36万元，增长100%，主要原因是：人员增加，全面开展退役军人事务工作。</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2.</w:t>
      </w:r>
      <w:r>
        <w:rPr>
          <w:rFonts w:hint="eastAsia" w:ascii="仿宋_GB2312" w:hAnsi="宋体" w:eastAsia="仿宋_GB2312" w:cs="宋体"/>
          <w:color w:val="000000"/>
          <w:sz w:val="32"/>
          <w:szCs w:val="32"/>
        </w:rPr>
        <w:t>2080905军队转业干部安置：</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7.5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比上年预算数增加7.50万元，增长100%，主要原因是：人员增加，全面开展退役军人事务工作。</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2082801行政运行：2021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160.80万元，比上年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数增加10.84万元，增长7%，主要原因是：人员增加，全面开展退役军人事务工作。</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2082802一般行政管理事务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60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数增加13万元，增长28%，主要原因是：人员增加，全面开展退役军人事务工作。</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2082804拥军优抚</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 xml:space="preserve">数增加0万元，增长0%，主要原因是：双拥对象相对固定 。  </w:t>
      </w:r>
    </w:p>
    <w:p>
      <w:pPr>
        <w:spacing w:line="560" w:lineRule="exact"/>
        <w:ind w:firstLine="640"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lang w:val="en-US" w:eastAsia="zh-CN"/>
        </w:rPr>
        <w:t>6.</w:t>
      </w:r>
      <w:r>
        <w:rPr>
          <w:rFonts w:hint="eastAsia" w:ascii="仿宋_GB2312" w:hAnsi="宋体" w:eastAsia="仿宋_GB2312" w:cs="宋体"/>
          <w:color w:val="000000"/>
          <w:sz w:val="32"/>
          <w:szCs w:val="32"/>
        </w:rPr>
        <w:t>2101101行政单位医疗：</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9.91</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比上年预算数增加9.91万元，增长100%，主要原因是：人员增加，全面开展退役军人事务工作。</w:t>
      </w:r>
    </w:p>
    <w:p>
      <w:pPr>
        <w:spacing w:line="560" w:lineRule="exact"/>
        <w:ind w:firstLine="640"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lang w:val="en-US" w:eastAsia="zh-CN"/>
        </w:rPr>
        <w:t>7.</w:t>
      </w:r>
      <w:r>
        <w:rPr>
          <w:rFonts w:hint="eastAsia" w:ascii="仿宋_GB2312" w:hAnsi="宋体" w:eastAsia="仿宋_GB2312" w:cs="宋体"/>
          <w:color w:val="000000"/>
          <w:sz w:val="32"/>
          <w:szCs w:val="32"/>
        </w:rPr>
        <w:t>2101103公务员医疗补助：</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3.14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比上年预算数增加3.14万元，增长100%，主要原因是：人员增加，全面开展退役军人事务工作。</w:t>
      </w:r>
    </w:p>
    <w:p>
      <w:pPr>
        <w:spacing w:line="560" w:lineRule="exact"/>
        <w:ind w:firstLine="640"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lang w:val="en-US" w:eastAsia="zh-CN"/>
        </w:rPr>
        <w:t>8.</w:t>
      </w:r>
      <w:r>
        <w:rPr>
          <w:rFonts w:hint="eastAsia" w:ascii="仿宋_GB2312" w:hAnsi="宋体" w:eastAsia="仿宋_GB2312" w:cs="宋体"/>
          <w:color w:val="000000"/>
          <w:sz w:val="32"/>
          <w:szCs w:val="32"/>
        </w:rPr>
        <w:t>2101199其他行政事业单位医疗支出：</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0.14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比上年预算数增加0.14万元，增长100%，主要原因是：人员增加，全面开展退役军人事务工作。</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六、关于昌吉州退役军人事务局2021年一般公共预算基本支出情况说明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昌吉州退役军人事务2021年一般公共预算基本支出189.35万元，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人员经费159.76万元，主要包括：基本工资58.46</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、津贴补贴22.47</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、奖金4.01</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、伙食补助费15.12</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、绩效工资12.27</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、机关事业单位基本养老保险缴费15.36</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、职工基本医疗保险缴费9.91</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、公务员医疗补助缴费3.14</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、其他社会保障缴费0.14</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、住房公积金11.52</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、其他工资福利支出7.10</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、奖励金0.16</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、其他对个人和家庭的补助0.10</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w:t>
      </w:r>
    </w:p>
    <w:p>
      <w:pPr>
        <w:spacing w:line="560" w:lineRule="exact"/>
        <w:ind w:firstLine="640" w:firstLineChars="200"/>
      </w:pPr>
      <w:r>
        <w:rPr>
          <w:rFonts w:hint="eastAsia" w:ascii="仿宋_GB2312" w:hAnsi="宋体" w:eastAsia="仿宋_GB2312" w:cs="宋体"/>
          <w:kern w:val="0"/>
          <w:sz w:val="32"/>
          <w:szCs w:val="32"/>
        </w:rPr>
        <w:t>公用经费29.59万元，主要包括：办公费5.70</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、印刷费0.50</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、水费0.30</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、电费0.35</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、邮电费2.30</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、取暖费9.48</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、物业管理费1.57</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、差旅费1.0</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、公务接待费0.18</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、工会经费1.17</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、福利费2.69</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、公务用车运行维护费3.0</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、其他商品和服务支出1.35</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七、关于昌吉州退役军人事务局 2021年一般公共预算项目支出情况说明</w:t>
      </w:r>
    </w:p>
    <w:p>
      <w:pPr>
        <w:spacing w:line="560" w:lineRule="exact"/>
        <w:ind w:firstLine="643" w:firstLineChars="200"/>
        <w:rPr>
          <w:rFonts w:ascii="仿宋" w:hAnsi="仿宋" w:eastAsia="仿宋" w:cs="仿宋"/>
          <w:b/>
          <w:bCs/>
          <w:sz w:val="32"/>
          <w:szCs w:val="32"/>
        </w:rPr>
      </w:pPr>
      <w:r>
        <w:rPr>
          <w:rFonts w:hint="eastAsia" w:ascii="仿宋_GB2312" w:hAnsi="黑体" w:eastAsia="仿宋_GB2312"/>
          <w:b/>
          <w:bCs/>
          <w:sz w:val="32"/>
          <w:szCs w:val="32"/>
        </w:rPr>
        <w:t>1.项目</w:t>
      </w:r>
      <w:r>
        <w:rPr>
          <w:rFonts w:ascii="仿宋_GB2312" w:hAnsi="黑体" w:eastAsia="仿宋_GB2312"/>
          <w:b/>
          <w:bCs/>
          <w:sz w:val="32"/>
          <w:szCs w:val="32"/>
        </w:rPr>
        <w:t>名称</w:t>
      </w:r>
      <w:r>
        <w:rPr>
          <w:rFonts w:hint="eastAsia" w:ascii="仿宋_GB2312" w:hAnsi="黑体" w:eastAsia="仿宋_GB2312"/>
          <w:b/>
          <w:bCs/>
          <w:sz w:val="32"/>
          <w:szCs w:val="32"/>
        </w:rPr>
        <w:t>：</w:t>
      </w:r>
      <w:r>
        <w:rPr>
          <w:rFonts w:hint="eastAsia" w:ascii="仿宋" w:hAnsi="仿宋" w:eastAsia="仿宋" w:cs="仿宋"/>
          <w:b/>
          <w:bCs/>
          <w:sz w:val="32"/>
          <w:szCs w:val="32"/>
        </w:rPr>
        <w:t>安置工作经费7.5万元</w:t>
      </w:r>
    </w:p>
    <w:p>
      <w:pPr>
        <w:spacing w:line="560" w:lineRule="exact"/>
        <w:ind w:firstLine="640" w:firstLineChars="200"/>
        <w:rPr>
          <w:rFonts w:ascii="仿宋" w:hAnsi="仿宋" w:eastAsia="仿宋"/>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 w:hAnsi="仿宋" w:eastAsia="仿宋"/>
          <w:sz w:val="32"/>
          <w:szCs w:val="32"/>
        </w:rPr>
        <w:t xml:space="preserve"> 根据《军队转业干部安置暂行办法》《退役士兵安置条例》：军队转业干部安置业务经费由本级财政部门解决。退役士兵安置所需经费，由中央和地方各级人民政府共同负担。</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7.5万元。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昌吉州退役军人事务局</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7.5万元。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：2021年</w:t>
      </w:r>
      <w:r>
        <w:rPr>
          <w:rFonts w:hint="eastAsia" w:ascii="仿宋_GB2312" w:hAnsi="宋体" w:eastAsia="仿宋_GB2312" w:cs="宋体"/>
          <w:kern w:val="0"/>
          <w:sz w:val="32"/>
          <w:szCs w:val="32"/>
        </w:rPr>
        <w:t>1月-12月</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2.退役军人教育培训经费30万元</w:t>
      </w:r>
    </w:p>
    <w:p>
      <w:pPr>
        <w:spacing w:line="560" w:lineRule="exact"/>
        <w:ind w:firstLine="640" w:firstLineChars="200"/>
        <w:rPr>
          <w:rFonts w:ascii="仿宋" w:hAnsi="仿宋" w:eastAsia="仿宋"/>
          <w:sz w:val="32"/>
          <w:szCs w:val="32"/>
        </w:rPr>
      </w:pPr>
      <w:r>
        <w:rPr>
          <w:rFonts w:hint="eastAsia" w:ascii="仿宋_GB2312" w:hAnsi="黑体" w:eastAsia="仿宋_GB2312"/>
          <w:sz w:val="32"/>
          <w:szCs w:val="32"/>
        </w:rPr>
        <w:t>设立的政策依据：</w:t>
      </w:r>
      <w:r>
        <w:rPr>
          <w:rFonts w:hint="eastAsia" w:ascii="仿宋" w:hAnsi="仿宋" w:eastAsia="仿宋"/>
          <w:sz w:val="32"/>
          <w:szCs w:val="32"/>
        </w:rPr>
        <w:t>根据《关于印发&lt;新疆维吾尔自治区贯彻关于自主择业的军队转业干部安置管理若干问题的意见的实施意见&gt;的通知》(新转联</w:t>
      </w:r>
      <w:r>
        <w:rPr>
          <w:rFonts w:hint="eastAsia" w:ascii="仿宋" w:hAnsi="仿宋" w:eastAsia="仿宋" w:cs="仿宋"/>
          <w:sz w:val="32"/>
          <w:szCs w:val="32"/>
        </w:rPr>
        <w:t>〔</w:t>
      </w:r>
      <w:r>
        <w:rPr>
          <w:rFonts w:hint="eastAsia" w:ascii="仿宋" w:hAnsi="仿宋" w:eastAsia="仿宋"/>
          <w:sz w:val="32"/>
          <w:szCs w:val="32"/>
        </w:rPr>
        <w:t>2001</w:t>
      </w:r>
      <w:r>
        <w:rPr>
          <w:rFonts w:hint="eastAsia" w:ascii="仿宋" w:hAnsi="仿宋" w:eastAsia="仿宋" w:cs="仿宋"/>
          <w:sz w:val="32"/>
          <w:szCs w:val="32"/>
        </w:rPr>
        <w:t>〕</w:t>
      </w:r>
      <w:r>
        <w:rPr>
          <w:rFonts w:hint="eastAsia" w:ascii="仿宋" w:hAnsi="仿宋" w:eastAsia="仿宋"/>
          <w:sz w:val="32"/>
          <w:szCs w:val="32"/>
        </w:rPr>
        <w:t>6号)：自主择业军转干部安置业务经费、培训经费由同级财政部门解决。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《关于加强和和改进军队转业干部教育培训工作的意见》</w:t>
      </w:r>
      <w:r>
        <w:rPr>
          <w:rFonts w:hint="eastAsia" w:ascii="仿宋" w:hAnsi="仿宋" w:eastAsia="仿宋"/>
          <w:sz w:val="32"/>
          <w:szCs w:val="32"/>
        </w:rPr>
        <w:t>(国转联</w:t>
      </w:r>
      <w:r>
        <w:rPr>
          <w:rFonts w:hint="eastAsia" w:ascii="仿宋" w:hAnsi="仿宋" w:eastAsia="仿宋" w:cs="仿宋"/>
          <w:sz w:val="32"/>
          <w:szCs w:val="32"/>
        </w:rPr>
        <w:t>〔</w:t>
      </w:r>
      <w:r>
        <w:rPr>
          <w:rFonts w:hint="eastAsia" w:ascii="仿宋" w:hAnsi="仿宋" w:eastAsia="仿宋"/>
          <w:sz w:val="32"/>
          <w:szCs w:val="32"/>
        </w:rPr>
        <w:t>2010</w:t>
      </w:r>
      <w:r>
        <w:rPr>
          <w:rFonts w:hint="eastAsia" w:ascii="仿宋" w:hAnsi="仿宋" w:eastAsia="仿宋" w:cs="仿宋"/>
          <w:sz w:val="32"/>
          <w:szCs w:val="32"/>
        </w:rPr>
        <w:t>〕</w:t>
      </w:r>
      <w:r>
        <w:rPr>
          <w:rFonts w:hint="eastAsia" w:ascii="仿宋" w:hAnsi="仿宋" w:eastAsia="仿宋"/>
          <w:sz w:val="32"/>
          <w:szCs w:val="32"/>
        </w:rPr>
        <w:t>42号)</w:t>
      </w:r>
      <w:r>
        <w:rPr>
          <w:rFonts w:hint="eastAsia" w:ascii="仿宋_GB2312" w:hAnsi="仿宋_GB2312" w:eastAsia="仿宋_GB2312" w:cs="仿宋_GB2312"/>
          <w:sz w:val="32"/>
          <w:szCs w:val="32"/>
        </w:rPr>
        <w:t>：地方财政也要加大军队转业干部教育培训经费支持力度。</w:t>
      </w:r>
    </w:p>
    <w:p>
      <w:pPr>
        <w:spacing w:line="560" w:lineRule="exact"/>
        <w:ind w:firstLine="640" w:firstLineChars="200"/>
        <w:rPr>
          <w:rFonts w:ascii="仿宋_GB2312" w:hAnsi="黑体" w:eastAsia="仿宋_GB2312"/>
          <w:sz w:val="32"/>
          <w:szCs w:val="32"/>
        </w:rPr>
      </w:pPr>
      <w:r>
        <w:rPr>
          <w:rFonts w:hint="eastAsia" w:ascii="仿宋_GB2312" w:hAnsi="仿宋_GB2312" w:eastAsia="仿宋_GB2312" w:cs="仿宋_GB2312"/>
          <w:sz w:val="32"/>
          <w:szCs w:val="32"/>
        </w:rPr>
        <w:t>《关于加强退役士兵职业教育和职业技能培训工作的通知》</w:t>
      </w:r>
      <w:r>
        <w:rPr>
          <w:rFonts w:hint="eastAsia" w:ascii="仿宋" w:hAnsi="仿宋" w:eastAsia="仿宋"/>
          <w:sz w:val="32"/>
          <w:szCs w:val="32"/>
        </w:rPr>
        <w:t>(国发</w:t>
      </w:r>
      <w:r>
        <w:rPr>
          <w:rFonts w:hint="eastAsia" w:ascii="仿宋" w:hAnsi="仿宋" w:eastAsia="仿宋" w:cs="仿宋"/>
          <w:sz w:val="32"/>
          <w:szCs w:val="32"/>
        </w:rPr>
        <w:t>〔</w:t>
      </w:r>
      <w:r>
        <w:rPr>
          <w:rFonts w:hint="eastAsia" w:ascii="仿宋" w:hAnsi="仿宋" w:eastAsia="仿宋"/>
          <w:sz w:val="32"/>
          <w:szCs w:val="32"/>
        </w:rPr>
        <w:t>2010</w:t>
      </w:r>
      <w:r>
        <w:rPr>
          <w:rFonts w:hint="eastAsia" w:ascii="仿宋" w:hAnsi="仿宋" w:eastAsia="仿宋" w:cs="仿宋"/>
          <w:sz w:val="32"/>
          <w:szCs w:val="32"/>
        </w:rPr>
        <w:t>〕</w:t>
      </w:r>
      <w:r>
        <w:rPr>
          <w:rFonts w:hint="eastAsia" w:ascii="仿宋" w:hAnsi="仿宋" w:eastAsia="仿宋"/>
          <w:sz w:val="32"/>
          <w:szCs w:val="32"/>
        </w:rPr>
        <w:t>42号)：职业教育和技能培训经费由各级财政负担，列入退役士兵安置科目，主要用于教育培训所需学杂费、住宿费、技能鉴定费、生活补助费等。</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30万元。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昌吉州退役军人事务局</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30万元。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：2021年</w:t>
      </w:r>
      <w:r>
        <w:rPr>
          <w:rFonts w:hint="eastAsia" w:ascii="仿宋_GB2312" w:hAnsi="宋体" w:eastAsia="仿宋_GB2312" w:cs="宋体"/>
          <w:kern w:val="0"/>
          <w:sz w:val="32"/>
          <w:szCs w:val="32"/>
        </w:rPr>
        <w:t>1月-12月</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3..就业创业服务经费10万元</w:t>
      </w:r>
    </w:p>
    <w:p>
      <w:pPr>
        <w:pStyle w:val="2"/>
        <w:ind w:firstLine="642"/>
        <w:rPr>
          <w:rFonts w:ascii="仿宋_GB2312" w:hAnsi="仿宋_GB2312" w:eastAsia="仿宋_GB2312" w:cs="仿宋_GB2312"/>
          <w:b w:val="0"/>
          <w:bCs w:val="0"/>
          <w:spacing w:val="2"/>
          <w:sz w:val="32"/>
        </w:rPr>
      </w:pPr>
      <w:r>
        <w:rPr>
          <w:rFonts w:hint="eastAsia" w:ascii="仿宋_GB2312" w:hAnsi="黑体" w:eastAsia="仿宋_GB2312"/>
          <w:b w:val="0"/>
          <w:bCs w:val="0"/>
          <w:sz w:val="32"/>
        </w:rPr>
        <w:t>设立的政策依据：</w:t>
      </w:r>
      <w:r>
        <w:rPr>
          <w:rFonts w:hint="eastAsia" w:ascii="仿宋" w:hAnsi="仿宋" w:eastAsia="仿宋"/>
          <w:b w:val="0"/>
          <w:bCs w:val="0"/>
          <w:sz w:val="32"/>
        </w:rPr>
        <w:t>根据</w:t>
      </w:r>
      <w:r>
        <w:rPr>
          <w:rFonts w:hint="eastAsia" w:ascii="仿宋_GB2312" w:hAnsi="仿宋_GB2312" w:eastAsia="仿宋_GB2312" w:cs="仿宋_GB2312"/>
          <w:b w:val="0"/>
          <w:bCs w:val="0"/>
          <w:spacing w:val="2"/>
          <w:sz w:val="32"/>
        </w:rPr>
        <w:t>《关于促进新时代退役军人就业创业工作的实施意见》（新退役军人发〔2018〕4号）：</w:t>
      </w:r>
      <w:r>
        <w:rPr>
          <w:rFonts w:hint="eastAsia" w:ascii="仿宋_GB2312" w:hAnsi="仿宋_GB2312" w:eastAsia="仿宋_GB2312" w:cs="仿宋_GB2312"/>
          <w:b w:val="0"/>
          <w:bCs w:val="0"/>
          <w:sz w:val="32"/>
        </w:rPr>
        <w:t>每年开展1-2次“送政策进军营”活动，</w:t>
      </w:r>
      <w:r>
        <w:rPr>
          <w:rFonts w:hint="eastAsia" w:ascii="仿宋_GB2312" w:hAnsi="仿宋_GB2312" w:eastAsia="仿宋_GB2312" w:cs="仿宋_GB2312"/>
          <w:b w:val="0"/>
          <w:bCs w:val="0"/>
          <w:spacing w:val="2"/>
          <w:sz w:val="32"/>
        </w:rPr>
        <w:t>县级以上人民政府每年至少召开2次专场招聘会。预计组织招聘会、送政策进军营活动经费10万元。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昌吉州退役军人事务局</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10万元。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：2021年</w:t>
      </w:r>
      <w:r>
        <w:rPr>
          <w:rFonts w:hint="eastAsia" w:ascii="仿宋_GB2312" w:hAnsi="宋体" w:eastAsia="仿宋_GB2312" w:cs="宋体"/>
          <w:kern w:val="0"/>
          <w:sz w:val="32"/>
          <w:szCs w:val="32"/>
        </w:rPr>
        <w:t>1月-12月</w:t>
      </w:r>
    </w:p>
    <w:p/>
    <w:p>
      <w:pPr>
        <w:spacing w:line="54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4.双拥工作经费10万元</w:t>
      </w:r>
    </w:p>
    <w:p>
      <w:pPr>
        <w:spacing w:line="540" w:lineRule="exact"/>
        <w:ind w:firstLine="630"/>
        <w:jc w:val="left"/>
        <w:rPr>
          <w:rFonts w:ascii="仿宋_GB2312" w:hAnsi="仿宋" w:eastAsia="仿宋_GB2312"/>
          <w:sz w:val="32"/>
          <w:szCs w:val="32"/>
        </w:rPr>
      </w:pPr>
      <w:r>
        <w:rPr>
          <w:rFonts w:hint="eastAsia" w:ascii="仿宋_GB2312" w:hAnsi="黑体" w:eastAsia="仿宋_GB2312"/>
          <w:sz w:val="32"/>
          <w:szCs w:val="32"/>
        </w:rPr>
        <w:t>设立的政策依据：</w:t>
      </w:r>
      <w:r>
        <w:rPr>
          <w:rFonts w:hint="eastAsia" w:ascii="仿宋_GB2312" w:hAnsi="仿宋" w:eastAsia="仿宋_GB2312"/>
          <w:sz w:val="32"/>
          <w:szCs w:val="32"/>
        </w:rPr>
        <w:t>根据《退役军人保障法》《双拥模范城（县）创建命名管理办法暨考评标准》和根据自治区退役军人事务厅《关于做好为立功受奖现役军人家庭庆送喜报工作的通知》县级以上退役军人事务部门负责本行政区域内为立功受奖现役军人家庭庆松喜报工作。对家庭贫困的及时给予帮扶援助，及时解决实际困难。</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昌吉州退役军人事务局</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10万元。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：2021年</w:t>
      </w:r>
      <w:r>
        <w:rPr>
          <w:rFonts w:hint="eastAsia" w:ascii="仿宋_GB2312" w:hAnsi="宋体" w:eastAsia="仿宋_GB2312" w:cs="宋体"/>
          <w:kern w:val="0"/>
          <w:sz w:val="32"/>
          <w:szCs w:val="32"/>
        </w:rPr>
        <w:t>1月-12月</w:t>
      </w:r>
    </w:p>
    <w:p>
      <w:pPr>
        <w:spacing w:line="540" w:lineRule="exact"/>
        <w:ind w:firstLine="643" w:firstLineChars="200"/>
        <w:rPr>
          <w:rFonts w:ascii="仿宋_GB2312" w:eastAsia="仿宋_GB2312"/>
          <w:b/>
          <w:bCs/>
          <w:sz w:val="32"/>
          <w:szCs w:val="32"/>
        </w:rPr>
      </w:pPr>
      <w:r>
        <w:rPr>
          <w:rFonts w:hint="eastAsia" w:ascii="仿宋_GB2312" w:eastAsia="仿宋_GB2312"/>
          <w:b/>
          <w:bCs/>
          <w:sz w:val="32"/>
          <w:szCs w:val="32"/>
        </w:rPr>
        <w:t>5.业务宣传经费20万元</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根据《关于印发自治区退役军人事务厅2019年工作要点的通知》（新退役军人发〔2019〕4号）要求各级开通退役军人事务微信公众号和加强退役军人先进典型宣传运营“昌吉退役军人”微信公众号，推送国家退役军人事务部、自治区退役军人事务厅的国家政策，宣传党的理论、加强党的建设，宣传 “最美退役军人”。发布各县市退役军人事务工作动态、就业信息、办理事项、办理流程，收集意见建议、把握苗头信息、注重舆论导向，发挥正能量。微信公众号维护运行费5万元。</w:t>
      </w:r>
    </w:p>
    <w:p>
      <w:pPr>
        <w:pStyle w:val="28"/>
        <w:spacing w:line="540" w:lineRule="exact"/>
        <w:ind w:firstLine="640"/>
        <w:rPr>
          <w:rFonts w:hint="eastAsia" w:ascii="仿宋_GB2312" w:eastAsia="仿宋_GB2312"/>
          <w:sz w:val="32"/>
          <w:szCs w:val="32"/>
        </w:rPr>
      </w:pPr>
      <w:r>
        <w:rPr>
          <w:rFonts w:hint="eastAsia" w:ascii="仿宋_GB2312" w:eastAsia="仿宋_GB2312"/>
          <w:sz w:val="32"/>
          <w:szCs w:val="32"/>
        </w:rPr>
        <w:t>在昌吉日报、昌吉电台、电视台宣传退役军人政策、“最美退役军人”、退役军人工作动态。通过报纸有专版、电台有声音、电视有图像，营浓厚的服务保障退役军人氛围，让军人成为全社会尊崇的职业，凝聚退役军人力量，为自治州社会稳定长治久安发挥正能量。需要昌吉日报设置专版、电台和电视台节目录制经费15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昌吉州退役军人事务局</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：2021年</w:t>
      </w:r>
      <w:r>
        <w:rPr>
          <w:rFonts w:hint="eastAsia" w:ascii="仿宋_GB2312" w:hAnsi="宋体" w:eastAsia="仿宋_GB2312" w:cs="宋体"/>
          <w:kern w:val="0"/>
          <w:sz w:val="32"/>
          <w:szCs w:val="32"/>
        </w:rPr>
        <w:t>1月-12月</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八、关于昌吉州退役军人事务局2021年一般公共预算“三公”经费预算情况说明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_GB2312" w:hAnsi="宋体" w:eastAsia="仿宋_GB2312"/>
          <w:kern w:val="0"/>
          <w:sz w:val="32"/>
          <w:szCs w:val="32"/>
        </w:rPr>
        <w:t>退役军人事务局</w:t>
      </w:r>
      <w:r>
        <w:rPr>
          <w:rFonts w:hint="eastAsia" w:ascii="仿宋_GB2312" w:hAnsi="宋体" w:eastAsia="仿宋_GB2312" w:cs="宋体"/>
          <w:kern w:val="0"/>
          <w:sz w:val="32"/>
          <w:szCs w:val="32"/>
        </w:rPr>
        <w:t>2021年一般公共预算“三公”经费数为3.18万元，其中：因公出国（境）费0万元，公务用车购置0万元，公务用车运行费3.0万元，公务接待费0.18万元。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减少0.02万元，其中：因公出国（境）费增加0万元，主要原因是我单位无因公出国业务，未安排预算；公务用车购置费增加0万元，未安排预算。公务用车运行费增加0万元，主要原因是严格车辆管理，确保公车运行费用只减不增；公务接待费减少0.02万元，主要原因是压缩公务接待，严格做到无公函不接待。</w:t>
      </w:r>
    </w:p>
    <w:p>
      <w:pPr>
        <w:spacing w:line="560" w:lineRule="exact"/>
        <w:ind w:firstLine="640" w:firstLineChars="200"/>
        <w:rPr>
          <w:rFonts w:ascii="黑体" w:hAnsi="黑体" w:eastAsia="黑体" w:cs="黑体"/>
          <w:kern w:val="0"/>
          <w:sz w:val="32"/>
          <w:szCs w:val="32"/>
        </w:rPr>
      </w:pPr>
      <w:r>
        <w:rPr>
          <w:rFonts w:hint="eastAsia" w:ascii="黑体" w:hAnsi="宋体" w:eastAsia="黑体" w:cs="宋体"/>
          <w:kern w:val="0"/>
          <w:sz w:val="32"/>
          <w:szCs w:val="32"/>
        </w:rPr>
        <w:t>九、</w:t>
      </w:r>
      <w:r>
        <w:rPr>
          <w:rFonts w:hint="eastAsia" w:ascii="黑体" w:hAnsi="黑体" w:eastAsia="黑体" w:cs="黑体"/>
          <w:kern w:val="0"/>
          <w:sz w:val="32"/>
          <w:szCs w:val="32"/>
        </w:rPr>
        <w:t>关于昌吉州退役军人事务局2021年政府性基金预算拨款情况说明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_GB2312" w:hAnsi="宋体" w:eastAsia="仿宋_GB2312"/>
          <w:kern w:val="0"/>
          <w:sz w:val="32"/>
          <w:szCs w:val="32"/>
        </w:rPr>
        <w:t>退役军人事务局</w:t>
      </w:r>
      <w:r>
        <w:rPr>
          <w:rFonts w:hint="eastAsia" w:ascii="仿宋_GB2312" w:hAnsi="宋体" w:eastAsia="仿宋_GB2312" w:cs="宋体"/>
          <w:kern w:val="0"/>
          <w:sz w:val="32"/>
          <w:szCs w:val="32"/>
        </w:rPr>
        <w:t>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2021年，昌吉州退役军人事务局的机关运行经费财政拨款预算29.59万元，比上年预算增加10.62万元，增长56%。主要原因是人员充分到位，预算支出增加。</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2021年，昌吉州退役军人事务局政府采购预算13.99万元，其中：政府采购货物预算5.69万元，政府采购工程预算0万元，政府采购服务预算8.30万元。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2021年度本部门（单位）面向中小企业预留政府采购项目预算金额13.99万元，其中：面向小微企业预留政府采购项目预算金额13.99万元。</w:t>
      </w:r>
    </w:p>
    <w:p>
      <w:pPr>
        <w:spacing w:line="56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（三）国有资产占用使用情况</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截至2020年底，昌吉州退役军人事务局占用使用国有资产总体情况为</w:t>
      </w:r>
      <w:r>
        <w:rPr>
          <w:rFonts w:hint="eastAsia" w:ascii="仿宋_GB2312" w:hAnsi="宋体" w:eastAsia="仿宋_GB2312" w:cs="宋体"/>
          <w:kern w:val="0"/>
          <w:sz w:val="32"/>
          <w:szCs w:val="32"/>
          <w:lang w:eastAsia="zh-CN"/>
        </w:rPr>
        <w:t>：</w:t>
      </w:r>
    </w:p>
    <w:p>
      <w:pPr>
        <w:spacing w:line="560" w:lineRule="exact"/>
        <w:ind w:firstLine="640" w:firstLineChars="200"/>
        <w:rPr>
          <w:rFonts w:ascii="仿宋_GB2312" w:hAnsi="宋体" w:eastAsia="仿宋_GB2312" w:cs="宋体"/>
          <w:kern w:val="0"/>
          <w:sz w:val="32"/>
          <w:szCs w:val="32"/>
          <w:highlight w:val="yellow"/>
        </w:rPr>
      </w:pPr>
      <w:r>
        <w:rPr>
          <w:rFonts w:hint="eastAsia" w:ascii="仿宋_GB2312" w:hAnsi="宋体" w:eastAsia="仿宋_GB2312" w:cs="宋体"/>
          <w:kern w:val="0"/>
          <w:sz w:val="32"/>
          <w:szCs w:val="32"/>
          <w:highlight w:val="none"/>
        </w:rPr>
        <w:t>1.</w:t>
      </w:r>
      <w:r>
        <w:rPr>
          <w:rFonts w:hint="eastAsia" w:ascii="仿宋_GB2312" w:hAnsi="仿宋_GB2312" w:eastAsia="仿宋_GB2312" w:cs="仿宋_GB2312"/>
          <w:kern w:val="0"/>
          <w:sz w:val="32"/>
          <w:szCs w:val="32"/>
          <w:lang w:eastAsia="zh-CN"/>
        </w:rPr>
        <w:t>昌吉州退役军人事务局办公</w:t>
      </w:r>
      <w:r>
        <w:rPr>
          <w:rFonts w:hint="eastAsia" w:ascii="仿宋_GB2312" w:hAnsi="仿宋_GB2312" w:eastAsia="仿宋_GB2312" w:cs="仿宋_GB2312"/>
          <w:kern w:val="0"/>
          <w:sz w:val="32"/>
          <w:szCs w:val="32"/>
        </w:rPr>
        <w:t>房屋</w:t>
      </w:r>
      <w:r>
        <w:rPr>
          <w:rFonts w:hint="eastAsia" w:ascii="仿宋_GB2312" w:hAnsi="仿宋_GB2312" w:eastAsia="仿宋_GB2312" w:cs="仿宋_GB2312"/>
          <w:kern w:val="0"/>
          <w:sz w:val="32"/>
          <w:szCs w:val="32"/>
          <w:lang w:val="en-US" w:eastAsia="zh-CN"/>
        </w:rPr>
        <w:t>731</w:t>
      </w:r>
      <w:r>
        <w:rPr>
          <w:rFonts w:hint="eastAsia" w:ascii="仿宋_GB2312" w:hAnsi="仿宋_GB2312" w:eastAsia="仿宋_GB2312" w:cs="仿宋_GB2312"/>
          <w:kern w:val="0"/>
          <w:sz w:val="32"/>
          <w:szCs w:val="32"/>
        </w:rPr>
        <w:t>平方米，价值</w:t>
      </w:r>
      <w:r>
        <w:rPr>
          <w:rFonts w:hint="eastAsia" w:ascii="仿宋_GB2312" w:hAnsi="仿宋_GB2312" w:eastAsia="仿宋_GB2312" w:cs="仿宋_GB2312"/>
          <w:kern w:val="0"/>
          <w:sz w:val="32"/>
          <w:szCs w:val="32"/>
          <w:lang w:val="en-US" w:eastAsia="zh-CN"/>
        </w:rPr>
        <w:t>731</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（所有权属为昌吉州机关事务局）</w:t>
      </w:r>
      <w:r>
        <w:rPr>
          <w:rFonts w:hint="eastAsia" w:ascii="仿宋_GB2312" w:hAnsi="仿宋_GB2312" w:eastAsia="仿宋_GB2312" w:cs="仿宋_GB2312"/>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2.车辆3辆，价值93.15万元；其中：一般公务用车3辆，价值93.15万元；执法执勤用车0辆，价值0万元；其他车辆0辆，价值0万元。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3.办公家具价值9.18万元。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4.其他资产价值45.98万元。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2021年昌吉州退役军人事务局部门预算未安排购置车辆经费，安排购置50万元以上大型设备0台（套），单位价值100万元以上大型设备0台（套）。</w:t>
      </w:r>
    </w:p>
    <w:p>
      <w:pPr>
        <w:pStyle w:val="2"/>
      </w:pPr>
      <w:r>
        <w:rPr>
          <w:rFonts w:hint="eastAsia" w:ascii="仿宋_GB2312" w:hAnsi="宋体" w:eastAsia="仿宋_GB2312" w:cs="宋体"/>
          <w:kern w:val="0"/>
          <w:sz w:val="32"/>
        </w:rPr>
        <w:t xml:space="preserve">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5个，涉及预算金额77.50万元。具体情况见下表（按项目分别填报）：</w:t>
      </w:r>
    </w:p>
    <w:p>
      <w:pPr>
        <w:pStyle w:val="2"/>
        <w:rPr>
          <w:rFonts w:ascii="仿宋_GB2312" w:hAnsi="宋体" w:eastAsia="仿宋_GB2312" w:cs="宋体"/>
          <w:kern w:val="0"/>
          <w:sz w:val="32"/>
        </w:rPr>
      </w:pPr>
    </w:p>
    <w:tbl>
      <w:tblPr>
        <w:tblStyle w:val="7"/>
        <w:tblW w:w="8325" w:type="dxa"/>
        <w:tblInd w:w="0" w:type="dxa"/>
        <w:tblLayout w:type="autofit"/>
        <w:tblCellMar>
          <w:top w:w="0" w:type="dxa"/>
          <w:left w:w="0" w:type="dxa"/>
          <w:bottom w:w="0" w:type="dxa"/>
          <w:right w:w="0" w:type="dxa"/>
        </w:tblCellMar>
      </w:tblPr>
      <w:tblGrid>
        <w:gridCol w:w="735"/>
        <w:gridCol w:w="675"/>
        <w:gridCol w:w="885"/>
        <w:gridCol w:w="3600"/>
        <w:gridCol w:w="2430"/>
      </w:tblGrid>
      <w:tr>
        <w:tblPrEx>
          <w:tblCellMar>
            <w:top w:w="0" w:type="dxa"/>
            <w:left w:w="0" w:type="dxa"/>
            <w:bottom w:w="0" w:type="dxa"/>
            <w:right w:w="0" w:type="dxa"/>
          </w:tblCellMar>
        </w:tblPrEx>
        <w:trPr>
          <w:trHeight w:val="400" w:hRule="atLeast"/>
        </w:trPr>
        <w:tc>
          <w:tcPr>
            <w:tcW w:w="8326" w:type="dxa"/>
            <w:gridSpan w:val="5"/>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部门预算项目支出绩效目标表</w:t>
            </w:r>
          </w:p>
        </w:tc>
      </w:tr>
      <w:tr>
        <w:tblPrEx>
          <w:tblCellMar>
            <w:top w:w="0" w:type="dxa"/>
            <w:left w:w="0" w:type="dxa"/>
            <w:bottom w:w="0" w:type="dxa"/>
            <w:right w:w="0" w:type="dxa"/>
          </w:tblCellMar>
        </w:tblPrEx>
        <w:trPr>
          <w:trHeight w:val="400" w:hRule="atLeast"/>
        </w:trPr>
        <w:tc>
          <w:tcPr>
            <w:tcW w:w="8326" w:type="dxa"/>
            <w:gridSpan w:val="5"/>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（2021年度）</w:t>
            </w:r>
          </w:p>
        </w:tc>
      </w:tr>
      <w:tr>
        <w:tblPrEx>
          <w:tblCellMar>
            <w:top w:w="0" w:type="dxa"/>
            <w:left w:w="0" w:type="dxa"/>
            <w:bottom w:w="0" w:type="dxa"/>
            <w:right w:w="0" w:type="dxa"/>
          </w:tblCellMar>
        </w:tblPrEx>
        <w:trPr>
          <w:trHeight w:val="400" w:hRule="atLeast"/>
        </w:trPr>
        <w:tc>
          <w:tcPr>
            <w:tcW w:w="229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项目名称</w:t>
            </w:r>
          </w:p>
        </w:tc>
        <w:tc>
          <w:tcPr>
            <w:tcW w:w="60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退役军人安置业务补助经费</w:t>
            </w:r>
          </w:p>
        </w:tc>
      </w:tr>
      <w:tr>
        <w:tblPrEx>
          <w:tblCellMar>
            <w:top w:w="0" w:type="dxa"/>
            <w:left w:w="0" w:type="dxa"/>
            <w:bottom w:w="0" w:type="dxa"/>
            <w:right w:w="0" w:type="dxa"/>
          </w:tblCellMar>
        </w:tblPrEx>
        <w:trPr>
          <w:trHeight w:val="400" w:hRule="atLeast"/>
        </w:trPr>
        <w:tc>
          <w:tcPr>
            <w:tcW w:w="229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预算单位</w:t>
            </w:r>
          </w:p>
        </w:tc>
        <w:tc>
          <w:tcPr>
            <w:tcW w:w="60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昌吉州退役军人事务局</w:t>
            </w:r>
          </w:p>
        </w:tc>
      </w:tr>
      <w:tr>
        <w:tblPrEx>
          <w:tblCellMar>
            <w:top w:w="0" w:type="dxa"/>
            <w:left w:w="0" w:type="dxa"/>
            <w:bottom w:w="0" w:type="dxa"/>
            <w:right w:w="0" w:type="dxa"/>
          </w:tblCellMar>
        </w:tblPrEx>
        <w:trPr>
          <w:trHeight w:val="400" w:hRule="atLeast"/>
        </w:trPr>
        <w:tc>
          <w:tcPr>
            <w:tcW w:w="229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项目资金</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（万元）</w:t>
            </w:r>
          </w:p>
        </w:tc>
        <w:tc>
          <w:tcPr>
            <w:tcW w:w="60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年度资金总额：7.5</w:t>
            </w:r>
          </w:p>
        </w:tc>
      </w:tr>
      <w:tr>
        <w:tblPrEx>
          <w:tblCellMar>
            <w:top w:w="0" w:type="dxa"/>
            <w:left w:w="0" w:type="dxa"/>
            <w:bottom w:w="0" w:type="dxa"/>
            <w:right w:w="0" w:type="dxa"/>
          </w:tblCellMar>
        </w:tblPrEx>
        <w:trPr>
          <w:trHeight w:val="400" w:hRule="atLeast"/>
        </w:trPr>
        <w:tc>
          <w:tcPr>
            <w:tcW w:w="229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60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其中：财政拨款:7.5</w:t>
            </w:r>
          </w:p>
        </w:tc>
      </w:tr>
      <w:tr>
        <w:tblPrEx>
          <w:tblCellMar>
            <w:top w:w="0" w:type="dxa"/>
            <w:left w:w="0" w:type="dxa"/>
            <w:bottom w:w="0" w:type="dxa"/>
            <w:right w:w="0" w:type="dxa"/>
          </w:tblCellMar>
        </w:tblPrEx>
        <w:trPr>
          <w:trHeight w:val="400" w:hRule="atLeast"/>
        </w:trPr>
        <w:tc>
          <w:tcPr>
            <w:tcW w:w="229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60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其他资金：0</w:t>
            </w:r>
          </w:p>
        </w:tc>
      </w:tr>
      <w:tr>
        <w:tblPrEx>
          <w:tblCellMar>
            <w:top w:w="0" w:type="dxa"/>
            <w:left w:w="0" w:type="dxa"/>
            <w:bottom w:w="0" w:type="dxa"/>
            <w:right w:w="0" w:type="dxa"/>
          </w:tblCellMar>
        </w:tblPrEx>
        <w:trPr>
          <w:trHeight w:val="400" w:hRule="atLeast"/>
        </w:trPr>
        <w:tc>
          <w:tcPr>
            <w:tcW w:w="7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总</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体</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目</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标</w:t>
            </w:r>
          </w:p>
        </w:tc>
        <w:tc>
          <w:tcPr>
            <w:tcW w:w="75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年度目标</w:t>
            </w:r>
          </w:p>
        </w:tc>
      </w:tr>
      <w:tr>
        <w:tblPrEx>
          <w:tblCellMar>
            <w:top w:w="0" w:type="dxa"/>
            <w:left w:w="0" w:type="dxa"/>
            <w:bottom w:w="0" w:type="dxa"/>
            <w:right w:w="0" w:type="dxa"/>
          </w:tblCellMar>
        </w:tblPrEx>
        <w:trPr>
          <w:trHeight w:val="142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5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ascii="宋体" w:hAnsi="宋体" w:cs="宋体"/>
                <w:color w:val="000000"/>
                <w:sz w:val="20"/>
                <w:szCs w:val="20"/>
              </w:rPr>
            </w:pPr>
            <w:r>
              <w:rPr>
                <w:rFonts w:hint="eastAsia" w:ascii="宋体" w:hAnsi="宋体" w:cs="宋体"/>
                <w:color w:val="000000"/>
                <w:kern w:val="0"/>
                <w:sz w:val="20"/>
                <w:szCs w:val="20"/>
                <w:lang w:bidi="ar"/>
              </w:rPr>
              <w:t>单位职能：贯彻落实党中央关于退役军人的方针政策和区州党委对退役军人工作要求，加强党对退役军人工作的集中统一领导。                                                                                                                           项目目标：完成2021年军转干部、符合政府安排工作退役士兵安置任务和自主就业退役士兵接收工作，编印移政策汇编、举办安置政策培训班和退役军人返乡欢迎仪式。</w:t>
            </w:r>
          </w:p>
        </w:tc>
      </w:tr>
      <w:tr>
        <w:tblPrEx>
          <w:tblCellMar>
            <w:top w:w="0" w:type="dxa"/>
            <w:left w:w="0" w:type="dxa"/>
            <w:bottom w:w="0" w:type="dxa"/>
            <w:right w:w="0" w:type="dxa"/>
          </w:tblCellMar>
        </w:tblPrEx>
        <w:trPr>
          <w:trHeight w:val="560" w:hRule="atLeast"/>
        </w:trPr>
        <w:tc>
          <w:tcPr>
            <w:tcW w:w="736"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绩</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效</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标</w:t>
            </w:r>
          </w:p>
        </w:tc>
        <w:tc>
          <w:tcPr>
            <w:tcW w:w="67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一级指标</w:t>
            </w:r>
          </w:p>
        </w:tc>
        <w:tc>
          <w:tcPr>
            <w:tcW w:w="88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二级指标</w:t>
            </w:r>
          </w:p>
        </w:tc>
        <w:tc>
          <w:tcPr>
            <w:tcW w:w="360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三级指标</w:t>
            </w:r>
          </w:p>
        </w:tc>
        <w:tc>
          <w:tcPr>
            <w:tcW w:w="2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指标值（包含数字及文字描述）</w:t>
            </w:r>
          </w:p>
        </w:tc>
      </w:tr>
      <w:tr>
        <w:tblPrEx>
          <w:tblCellMar>
            <w:top w:w="0" w:type="dxa"/>
            <w:left w:w="0" w:type="dxa"/>
            <w:bottom w:w="0" w:type="dxa"/>
            <w:right w:w="0" w:type="dxa"/>
          </w:tblCellMar>
        </w:tblPrEx>
        <w:trPr>
          <w:trHeight w:val="560" w:hRule="atLeast"/>
        </w:trPr>
        <w:tc>
          <w:tcPr>
            <w:tcW w:w="736"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产出指标</w:t>
            </w:r>
          </w:p>
        </w:tc>
        <w:tc>
          <w:tcPr>
            <w:tcW w:w="88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数量指标</w:t>
            </w: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2021年安置军转干部（人）</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50人</w:t>
            </w:r>
          </w:p>
        </w:tc>
      </w:tr>
      <w:tr>
        <w:tblPrEx>
          <w:tblCellMar>
            <w:top w:w="0" w:type="dxa"/>
            <w:left w:w="0" w:type="dxa"/>
            <w:bottom w:w="0" w:type="dxa"/>
            <w:right w:w="0" w:type="dxa"/>
          </w:tblCellMar>
        </w:tblPrEx>
        <w:trPr>
          <w:trHeight w:val="560" w:hRule="atLeast"/>
        </w:trPr>
        <w:tc>
          <w:tcPr>
            <w:tcW w:w="736"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2021年安置退役士兵（人）</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10人</w:t>
            </w:r>
          </w:p>
        </w:tc>
      </w:tr>
      <w:tr>
        <w:tblPrEx>
          <w:tblCellMar>
            <w:top w:w="0" w:type="dxa"/>
            <w:left w:w="0" w:type="dxa"/>
            <w:bottom w:w="0" w:type="dxa"/>
            <w:right w:w="0" w:type="dxa"/>
          </w:tblCellMar>
        </w:tblPrEx>
        <w:trPr>
          <w:trHeight w:val="560" w:hRule="atLeast"/>
        </w:trPr>
        <w:tc>
          <w:tcPr>
            <w:tcW w:w="736"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2021年接收退役士兵（人）</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≥300人</w:t>
            </w:r>
          </w:p>
        </w:tc>
      </w:tr>
      <w:tr>
        <w:tblPrEx>
          <w:tblCellMar>
            <w:top w:w="0" w:type="dxa"/>
            <w:left w:w="0" w:type="dxa"/>
            <w:bottom w:w="0" w:type="dxa"/>
            <w:right w:w="0" w:type="dxa"/>
          </w:tblCellMar>
        </w:tblPrEx>
        <w:trPr>
          <w:trHeight w:val="560" w:hRule="atLeast"/>
        </w:trPr>
        <w:tc>
          <w:tcPr>
            <w:tcW w:w="736"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质量指标</w:t>
            </w: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下拨经费符合相关政策规定比率（%）</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100%</w:t>
            </w:r>
          </w:p>
        </w:tc>
      </w:tr>
      <w:tr>
        <w:tblPrEx>
          <w:tblCellMar>
            <w:top w:w="0" w:type="dxa"/>
            <w:left w:w="0" w:type="dxa"/>
            <w:bottom w:w="0" w:type="dxa"/>
            <w:right w:w="0" w:type="dxa"/>
          </w:tblCellMar>
        </w:tblPrEx>
        <w:trPr>
          <w:trHeight w:val="560" w:hRule="atLeast"/>
        </w:trPr>
        <w:tc>
          <w:tcPr>
            <w:tcW w:w="736"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时效指标</w:t>
            </w: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举办退役士兵返乡欢迎仪式</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2021年11月20日前</w:t>
            </w:r>
          </w:p>
        </w:tc>
      </w:tr>
      <w:tr>
        <w:tblPrEx>
          <w:tblCellMar>
            <w:top w:w="0" w:type="dxa"/>
            <w:left w:w="0" w:type="dxa"/>
            <w:bottom w:w="0" w:type="dxa"/>
            <w:right w:w="0" w:type="dxa"/>
          </w:tblCellMar>
        </w:tblPrEx>
        <w:trPr>
          <w:trHeight w:val="560" w:hRule="atLeast"/>
        </w:trPr>
        <w:tc>
          <w:tcPr>
            <w:tcW w:w="736"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成本指标</w:t>
            </w:r>
          </w:p>
        </w:tc>
        <w:tc>
          <w:tcPr>
            <w:tcW w:w="36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退役军人安置业务补助总成本（万元）</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≤7.5万元</w:t>
            </w:r>
          </w:p>
        </w:tc>
      </w:tr>
      <w:tr>
        <w:tblPrEx>
          <w:tblCellMar>
            <w:top w:w="0" w:type="dxa"/>
            <w:left w:w="0" w:type="dxa"/>
            <w:bottom w:w="0" w:type="dxa"/>
            <w:right w:w="0" w:type="dxa"/>
          </w:tblCellMar>
        </w:tblPrEx>
        <w:trPr>
          <w:trHeight w:val="560" w:hRule="atLeast"/>
        </w:trPr>
        <w:tc>
          <w:tcPr>
            <w:tcW w:w="736"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效益指标</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社会效益指标</w:t>
            </w: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退役军人获得感、荣誉感</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提高</w:t>
            </w:r>
          </w:p>
        </w:tc>
      </w:tr>
      <w:tr>
        <w:tblPrEx>
          <w:tblCellMar>
            <w:top w:w="0" w:type="dxa"/>
            <w:left w:w="0" w:type="dxa"/>
            <w:bottom w:w="0" w:type="dxa"/>
            <w:right w:w="0" w:type="dxa"/>
          </w:tblCellMar>
        </w:tblPrEx>
        <w:trPr>
          <w:trHeight w:val="560" w:hRule="atLeast"/>
        </w:trPr>
        <w:tc>
          <w:tcPr>
            <w:tcW w:w="736"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可持续影响指标</w:t>
            </w: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服务退役军人能力得到提升，促进社会和谐、无信访事件</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长期</w:t>
            </w:r>
          </w:p>
        </w:tc>
      </w:tr>
      <w:tr>
        <w:tblPrEx>
          <w:tblCellMar>
            <w:top w:w="0" w:type="dxa"/>
            <w:left w:w="0" w:type="dxa"/>
            <w:bottom w:w="0" w:type="dxa"/>
            <w:right w:w="0" w:type="dxa"/>
          </w:tblCellMar>
        </w:tblPrEx>
        <w:trPr>
          <w:trHeight w:val="560" w:hRule="atLeast"/>
        </w:trPr>
        <w:tc>
          <w:tcPr>
            <w:tcW w:w="736"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满意度指标</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满意度指标</w:t>
            </w: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军转干部满意度（%）</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w:t>
            </w:r>
            <w:r>
              <w:rPr>
                <w:rFonts w:hint="eastAsia" w:ascii="宋体" w:hAnsi="宋体" w:cs="宋体"/>
                <w:color w:val="000000"/>
                <w:kern w:val="0"/>
                <w:sz w:val="20"/>
                <w:szCs w:val="20"/>
                <w:lang w:bidi="ar"/>
              </w:rPr>
              <w:t>95%</w:t>
            </w:r>
          </w:p>
        </w:tc>
      </w:tr>
    </w:tbl>
    <w:p/>
    <w:p>
      <w:pPr>
        <w:pStyle w:val="2"/>
        <w:jc w:val="center"/>
        <w:rPr>
          <w:rFonts w:ascii="宋体" w:hAnsi="宋体" w:cs="宋体"/>
          <w:color w:val="000000"/>
          <w:kern w:val="0"/>
          <w:sz w:val="20"/>
          <w:szCs w:val="20"/>
          <w:lang w:bidi="ar"/>
        </w:rPr>
      </w:pPr>
    </w:p>
    <w:p>
      <w:pPr>
        <w:pStyle w:val="2"/>
        <w:jc w:val="center"/>
        <w:rPr>
          <w:rFonts w:ascii="宋体" w:hAnsi="宋体" w:cs="宋体"/>
          <w:color w:val="000000"/>
          <w:kern w:val="0"/>
          <w:sz w:val="20"/>
          <w:szCs w:val="20"/>
          <w:lang w:bidi="ar"/>
        </w:rPr>
      </w:pPr>
    </w:p>
    <w:p>
      <w:pPr>
        <w:pStyle w:val="2"/>
        <w:jc w:val="center"/>
        <w:rPr>
          <w:rFonts w:ascii="仿宋_GB2312" w:hAnsi="宋体" w:eastAsia="仿宋_GB2312" w:cs="宋体"/>
          <w:kern w:val="0"/>
          <w:sz w:val="32"/>
        </w:rPr>
      </w:pPr>
      <w:r>
        <w:rPr>
          <w:rFonts w:hint="eastAsia" w:ascii="宋体" w:hAnsi="宋体" w:cs="宋体"/>
          <w:color w:val="000000"/>
          <w:kern w:val="0"/>
          <w:sz w:val="20"/>
          <w:szCs w:val="20"/>
          <w:lang w:bidi="ar"/>
        </w:rPr>
        <w:t>部门预算项目支出绩效目标表</w:t>
      </w:r>
    </w:p>
    <w:tbl>
      <w:tblPr>
        <w:tblStyle w:val="7"/>
        <w:tblW w:w="8505" w:type="dxa"/>
        <w:tblInd w:w="0" w:type="dxa"/>
        <w:tblLayout w:type="autofit"/>
        <w:tblCellMar>
          <w:top w:w="0" w:type="dxa"/>
          <w:left w:w="0" w:type="dxa"/>
          <w:bottom w:w="0" w:type="dxa"/>
          <w:right w:w="0" w:type="dxa"/>
        </w:tblCellMar>
      </w:tblPr>
      <w:tblGrid>
        <w:gridCol w:w="990"/>
        <w:gridCol w:w="1050"/>
        <w:gridCol w:w="1050"/>
        <w:gridCol w:w="1740"/>
        <w:gridCol w:w="1740"/>
        <w:gridCol w:w="645"/>
        <w:gridCol w:w="645"/>
        <w:gridCol w:w="645"/>
      </w:tblGrid>
      <w:tr>
        <w:tblPrEx>
          <w:tblCellMar>
            <w:top w:w="0" w:type="dxa"/>
            <w:left w:w="0" w:type="dxa"/>
            <w:bottom w:w="0" w:type="dxa"/>
            <w:right w:w="0" w:type="dxa"/>
          </w:tblCellMar>
        </w:tblPrEx>
        <w:trPr>
          <w:trHeight w:val="360" w:hRule="atLeast"/>
        </w:trPr>
        <w:tc>
          <w:tcPr>
            <w:tcW w:w="990" w:type="dxa"/>
            <w:tcBorders>
              <w:top w:val="nil"/>
              <w:left w:val="nil"/>
              <w:bottom w:val="nil"/>
              <w:right w:val="nil"/>
            </w:tcBorders>
            <w:shd w:val="clear" w:color="auto" w:fill="auto"/>
            <w:noWrap/>
            <w:tcMar>
              <w:top w:w="15" w:type="dxa"/>
              <w:left w:w="15" w:type="dxa"/>
              <w:right w:w="15" w:type="dxa"/>
            </w:tcMar>
            <w:vAlign w:val="bottom"/>
          </w:tcPr>
          <w:p>
            <w:pPr>
              <w:jc w:val="center"/>
              <w:rPr>
                <w:rFonts w:ascii="宋体" w:hAnsi="宋体" w:cs="宋体"/>
                <w:b/>
                <w:color w:val="000000"/>
                <w:sz w:val="20"/>
                <w:szCs w:val="20"/>
              </w:rPr>
            </w:pPr>
          </w:p>
        </w:tc>
        <w:tc>
          <w:tcPr>
            <w:tcW w:w="1050" w:type="dxa"/>
            <w:tcBorders>
              <w:top w:val="nil"/>
              <w:left w:val="nil"/>
              <w:bottom w:val="nil"/>
              <w:right w:val="nil"/>
            </w:tcBorders>
            <w:shd w:val="clear" w:color="auto" w:fill="auto"/>
            <w:noWrap/>
            <w:tcMar>
              <w:top w:w="15" w:type="dxa"/>
              <w:left w:w="15" w:type="dxa"/>
              <w:right w:w="15" w:type="dxa"/>
            </w:tcMar>
            <w:vAlign w:val="bottom"/>
          </w:tcPr>
          <w:p>
            <w:pPr>
              <w:jc w:val="center"/>
              <w:rPr>
                <w:rFonts w:ascii="宋体" w:hAnsi="宋体" w:cs="宋体"/>
                <w:b/>
                <w:color w:val="000000"/>
                <w:sz w:val="20"/>
                <w:szCs w:val="20"/>
              </w:rPr>
            </w:pPr>
          </w:p>
        </w:tc>
        <w:tc>
          <w:tcPr>
            <w:tcW w:w="1050" w:type="dxa"/>
            <w:tcBorders>
              <w:top w:val="nil"/>
              <w:left w:val="nil"/>
              <w:bottom w:val="nil"/>
              <w:right w:val="nil"/>
            </w:tcBorders>
            <w:shd w:val="clear" w:color="auto" w:fill="auto"/>
            <w:noWrap/>
            <w:tcMar>
              <w:top w:w="15" w:type="dxa"/>
              <w:left w:w="15" w:type="dxa"/>
              <w:right w:w="15" w:type="dxa"/>
            </w:tcMar>
            <w:vAlign w:val="bottom"/>
          </w:tcPr>
          <w:p>
            <w:pPr>
              <w:jc w:val="center"/>
              <w:rPr>
                <w:rFonts w:ascii="宋体" w:hAnsi="宋体" w:cs="宋体"/>
                <w:b/>
                <w:color w:val="000000"/>
                <w:sz w:val="20"/>
                <w:szCs w:val="20"/>
              </w:rPr>
            </w:pPr>
          </w:p>
        </w:tc>
        <w:tc>
          <w:tcPr>
            <w:tcW w:w="1740" w:type="dxa"/>
            <w:tcBorders>
              <w:top w:val="nil"/>
              <w:left w:val="nil"/>
              <w:bottom w:val="nil"/>
              <w:right w:val="nil"/>
            </w:tcBorders>
            <w:shd w:val="clear" w:color="auto" w:fill="auto"/>
            <w:noWrap/>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lang w:bidi="ar"/>
              </w:rPr>
              <w:t>（2021年度）</w:t>
            </w:r>
          </w:p>
        </w:tc>
        <w:tc>
          <w:tcPr>
            <w:tcW w:w="1740" w:type="dxa"/>
            <w:tcBorders>
              <w:top w:val="nil"/>
              <w:left w:val="nil"/>
              <w:bottom w:val="nil"/>
              <w:right w:val="nil"/>
            </w:tcBorders>
            <w:shd w:val="clear" w:color="auto" w:fill="auto"/>
            <w:noWrap/>
            <w:tcMar>
              <w:top w:w="15" w:type="dxa"/>
              <w:left w:w="15" w:type="dxa"/>
              <w:right w:w="15" w:type="dxa"/>
            </w:tcMar>
            <w:vAlign w:val="bottom"/>
          </w:tcPr>
          <w:p>
            <w:pPr>
              <w:jc w:val="center"/>
              <w:rPr>
                <w:rFonts w:ascii="宋体" w:hAnsi="宋体" w:cs="宋体"/>
                <w:b/>
                <w:color w:val="000000"/>
                <w:sz w:val="20"/>
                <w:szCs w:val="20"/>
              </w:rPr>
            </w:pPr>
          </w:p>
        </w:tc>
        <w:tc>
          <w:tcPr>
            <w:tcW w:w="645" w:type="dxa"/>
            <w:tcBorders>
              <w:top w:val="nil"/>
              <w:left w:val="nil"/>
              <w:bottom w:val="nil"/>
              <w:right w:val="nil"/>
            </w:tcBorders>
            <w:shd w:val="clear" w:color="auto" w:fill="auto"/>
            <w:noWrap/>
            <w:tcMar>
              <w:top w:w="15" w:type="dxa"/>
              <w:left w:w="15" w:type="dxa"/>
              <w:right w:w="15" w:type="dxa"/>
            </w:tcMar>
            <w:vAlign w:val="bottom"/>
          </w:tcPr>
          <w:p>
            <w:pPr>
              <w:jc w:val="center"/>
              <w:rPr>
                <w:rFonts w:ascii="宋体" w:hAnsi="宋体" w:cs="宋体"/>
                <w:b/>
                <w:color w:val="000000"/>
                <w:sz w:val="20"/>
                <w:szCs w:val="20"/>
              </w:rPr>
            </w:pPr>
          </w:p>
        </w:tc>
        <w:tc>
          <w:tcPr>
            <w:tcW w:w="645" w:type="dxa"/>
            <w:tcBorders>
              <w:top w:val="nil"/>
              <w:left w:val="nil"/>
              <w:bottom w:val="nil"/>
              <w:right w:val="nil"/>
            </w:tcBorders>
            <w:shd w:val="clear" w:color="auto" w:fill="auto"/>
            <w:noWrap/>
            <w:tcMar>
              <w:top w:w="15" w:type="dxa"/>
              <w:left w:w="15" w:type="dxa"/>
              <w:right w:w="15" w:type="dxa"/>
            </w:tcMar>
            <w:vAlign w:val="bottom"/>
          </w:tcPr>
          <w:p>
            <w:pPr>
              <w:jc w:val="center"/>
              <w:rPr>
                <w:rFonts w:ascii="宋体" w:hAnsi="宋体" w:cs="宋体"/>
                <w:b/>
                <w:color w:val="000000"/>
                <w:sz w:val="20"/>
                <w:szCs w:val="20"/>
              </w:rPr>
            </w:pPr>
          </w:p>
        </w:tc>
        <w:tc>
          <w:tcPr>
            <w:tcW w:w="645" w:type="dxa"/>
            <w:tcBorders>
              <w:top w:val="nil"/>
              <w:left w:val="nil"/>
              <w:bottom w:val="nil"/>
              <w:right w:val="nil"/>
            </w:tcBorders>
            <w:shd w:val="clear" w:color="auto" w:fill="auto"/>
            <w:noWrap/>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360"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项目名称</w:t>
            </w:r>
          </w:p>
        </w:tc>
        <w:tc>
          <w:tcPr>
            <w:tcW w:w="751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退役军人就业创业补助</w:t>
            </w:r>
          </w:p>
        </w:tc>
      </w:tr>
      <w:tr>
        <w:tblPrEx>
          <w:tblCellMar>
            <w:top w:w="0" w:type="dxa"/>
            <w:left w:w="0" w:type="dxa"/>
            <w:bottom w:w="0" w:type="dxa"/>
            <w:right w:w="0" w:type="dxa"/>
          </w:tblCellMar>
        </w:tblPrEx>
        <w:trPr>
          <w:trHeight w:val="360"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预算单位</w:t>
            </w:r>
          </w:p>
        </w:tc>
        <w:tc>
          <w:tcPr>
            <w:tcW w:w="751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昌吉州退役军人事务局</w:t>
            </w:r>
          </w:p>
        </w:tc>
      </w:tr>
      <w:tr>
        <w:tblPrEx>
          <w:tblCellMar>
            <w:top w:w="0" w:type="dxa"/>
            <w:left w:w="0" w:type="dxa"/>
            <w:bottom w:w="0" w:type="dxa"/>
            <w:right w:w="0" w:type="dxa"/>
          </w:tblCellMar>
        </w:tblPrEx>
        <w:trPr>
          <w:trHeight w:val="36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项目资金（万元）</w:t>
            </w:r>
          </w:p>
        </w:tc>
        <w:tc>
          <w:tcPr>
            <w:tcW w:w="751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年度资金总额：10</w:t>
            </w:r>
          </w:p>
        </w:tc>
      </w:tr>
      <w:tr>
        <w:tblPrEx>
          <w:tblCellMar>
            <w:top w:w="0" w:type="dxa"/>
            <w:left w:w="0" w:type="dxa"/>
            <w:bottom w:w="0" w:type="dxa"/>
            <w:right w:w="0" w:type="dxa"/>
          </w:tblCellMar>
        </w:tblPrEx>
        <w:trPr>
          <w:trHeight w:val="36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51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其中：财政拨款：10</w:t>
            </w:r>
          </w:p>
        </w:tc>
      </w:tr>
      <w:tr>
        <w:tblPrEx>
          <w:tblCellMar>
            <w:top w:w="0" w:type="dxa"/>
            <w:left w:w="0" w:type="dxa"/>
            <w:bottom w:w="0" w:type="dxa"/>
            <w:right w:w="0" w:type="dxa"/>
          </w:tblCellMar>
        </w:tblPrEx>
        <w:trPr>
          <w:trHeight w:val="36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51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其他资金：0</w:t>
            </w:r>
          </w:p>
        </w:tc>
      </w:tr>
      <w:tr>
        <w:tblPrEx>
          <w:tblCellMar>
            <w:top w:w="0" w:type="dxa"/>
            <w:left w:w="0" w:type="dxa"/>
            <w:bottom w:w="0" w:type="dxa"/>
            <w:right w:w="0" w:type="dxa"/>
          </w:tblCellMar>
        </w:tblPrEx>
        <w:trPr>
          <w:trHeight w:val="36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总体目标</w:t>
            </w:r>
          </w:p>
        </w:tc>
        <w:tc>
          <w:tcPr>
            <w:tcW w:w="751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年度目标</w:t>
            </w:r>
          </w:p>
        </w:tc>
      </w:tr>
      <w:tr>
        <w:tblPrEx>
          <w:tblCellMar>
            <w:top w:w="0" w:type="dxa"/>
            <w:left w:w="0" w:type="dxa"/>
            <w:bottom w:w="0" w:type="dxa"/>
            <w:right w:w="0" w:type="dxa"/>
          </w:tblCellMar>
        </w:tblPrEx>
        <w:trPr>
          <w:trHeight w:val="36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515" w:type="dxa"/>
            <w:gridSpan w:val="7"/>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单位职能：贯彻落实党中央关于退役军人的方针政策和区州党委对退役军人工作要求，加强党对退役军人工作的集中统一领导。                                项目目标：协调扶持退役军人和随调家属就业创业，宣传退役军人就业创业政策，开展送政策进军营活动，举办退役军人专场招聘会2场，举办昌吉州退役军人创业创新大赛、表彰奖励吸纳退役军人就业企业及自主创业模范。</w:t>
            </w:r>
          </w:p>
        </w:tc>
      </w:tr>
      <w:tr>
        <w:tblPrEx>
          <w:tblCellMar>
            <w:top w:w="0" w:type="dxa"/>
            <w:left w:w="0" w:type="dxa"/>
            <w:bottom w:w="0" w:type="dxa"/>
            <w:right w:w="0" w:type="dxa"/>
          </w:tblCellMar>
        </w:tblPrEx>
        <w:trPr>
          <w:trHeight w:val="36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515"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20"/>
                <w:szCs w:val="20"/>
              </w:rPr>
            </w:pPr>
          </w:p>
        </w:tc>
      </w:tr>
      <w:tr>
        <w:tblPrEx>
          <w:tblCellMar>
            <w:top w:w="0" w:type="dxa"/>
            <w:left w:w="0" w:type="dxa"/>
            <w:bottom w:w="0" w:type="dxa"/>
            <w:right w:w="0" w:type="dxa"/>
          </w:tblCellMar>
        </w:tblPrEx>
        <w:trPr>
          <w:trHeight w:val="84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515"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20"/>
                <w:szCs w:val="20"/>
              </w:rPr>
            </w:pPr>
          </w:p>
        </w:tc>
      </w:tr>
      <w:tr>
        <w:tblPrEx>
          <w:tblCellMar>
            <w:top w:w="0" w:type="dxa"/>
            <w:left w:w="0" w:type="dxa"/>
            <w:bottom w:w="0" w:type="dxa"/>
            <w:right w:w="0" w:type="dxa"/>
          </w:tblCellMar>
        </w:tblPrEx>
        <w:trPr>
          <w:trHeight w:val="36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绩</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效</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标</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一级指标</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二级指标</w:t>
            </w: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三级指标</w:t>
            </w:r>
          </w:p>
        </w:tc>
        <w:tc>
          <w:tcPr>
            <w:tcW w:w="19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预期指标值</w:t>
            </w:r>
          </w:p>
        </w:tc>
      </w:tr>
      <w:tr>
        <w:tblPrEx>
          <w:tblCellMar>
            <w:top w:w="0" w:type="dxa"/>
            <w:left w:w="0" w:type="dxa"/>
            <w:bottom w:w="0" w:type="dxa"/>
            <w:right w:w="0" w:type="dxa"/>
          </w:tblCellMar>
        </w:tblPrEx>
        <w:trPr>
          <w:trHeight w:val="4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产出指标</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数量指标</w:t>
            </w: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开展送政策进军营次数（次）</w:t>
            </w:r>
          </w:p>
        </w:tc>
        <w:tc>
          <w:tcPr>
            <w:tcW w:w="19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r>
      <w:tr>
        <w:tblPrEx>
          <w:tblCellMar>
            <w:top w:w="0" w:type="dxa"/>
            <w:left w:w="0" w:type="dxa"/>
            <w:bottom w:w="0" w:type="dxa"/>
            <w:right w:w="0" w:type="dxa"/>
          </w:tblCellMar>
        </w:tblPrEx>
        <w:trPr>
          <w:trHeight w:val="4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举办退役军人专场招聘会（场）</w:t>
            </w:r>
          </w:p>
        </w:tc>
        <w:tc>
          <w:tcPr>
            <w:tcW w:w="19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r>
      <w:tr>
        <w:tblPrEx>
          <w:tblCellMar>
            <w:top w:w="0" w:type="dxa"/>
            <w:left w:w="0" w:type="dxa"/>
            <w:bottom w:w="0" w:type="dxa"/>
            <w:right w:w="0" w:type="dxa"/>
          </w:tblCellMar>
        </w:tblPrEx>
        <w:trPr>
          <w:trHeight w:val="4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参加招聘会人次（人次）</w:t>
            </w:r>
          </w:p>
        </w:tc>
        <w:tc>
          <w:tcPr>
            <w:tcW w:w="19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800</w:t>
            </w:r>
          </w:p>
        </w:tc>
      </w:tr>
      <w:tr>
        <w:tblPrEx>
          <w:tblCellMar>
            <w:top w:w="0" w:type="dxa"/>
            <w:left w:w="0" w:type="dxa"/>
            <w:bottom w:w="0" w:type="dxa"/>
            <w:right w:w="0" w:type="dxa"/>
          </w:tblCellMar>
        </w:tblPrEx>
        <w:trPr>
          <w:trHeight w:val="4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送政策进军营宣传政策参与人数（人）</w:t>
            </w:r>
          </w:p>
        </w:tc>
        <w:tc>
          <w:tcPr>
            <w:tcW w:w="19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500</w:t>
            </w:r>
          </w:p>
        </w:tc>
      </w:tr>
      <w:tr>
        <w:tblPrEx>
          <w:tblCellMar>
            <w:top w:w="0" w:type="dxa"/>
            <w:left w:w="0" w:type="dxa"/>
            <w:bottom w:w="0" w:type="dxa"/>
            <w:right w:w="0" w:type="dxa"/>
          </w:tblCellMar>
        </w:tblPrEx>
        <w:trPr>
          <w:trHeight w:val="4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印制政策宣传册（册）</w:t>
            </w:r>
          </w:p>
        </w:tc>
        <w:tc>
          <w:tcPr>
            <w:tcW w:w="19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1000</w:t>
            </w:r>
          </w:p>
        </w:tc>
      </w:tr>
      <w:tr>
        <w:tblPrEx>
          <w:tblCellMar>
            <w:top w:w="0" w:type="dxa"/>
            <w:left w:w="0" w:type="dxa"/>
            <w:bottom w:w="0" w:type="dxa"/>
            <w:right w:w="0" w:type="dxa"/>
          </w:tblCellMar>
        </w:tblPrEx>
        <w:trPr>
          <w:trHeight w:val="4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质量指标</w:t>
            </w: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下拨经费符合相关政策规定比率（%）</w:t>
            </w:r>
          </w:p>
        </w:tc>
        <w:tc>
          <w:tcPr>
            <w:tcW w:w="19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100%</w:t>
            </w:r>
          </w:p>
        </w:tc>
      </w:tr>
      <w:tr>
        <w:tblPrEx>
          <w:tblCellMar>
            <w:top w:w="0" w:type="dxa"/>
            <w:left w:w="0" w:type="dxa"/>
            <w:bottom w:w="0" w:type="dxa"/>
            <w:right w:w="0" w:type="dxa"/>
          </w:tblCellMar>
        </w:tblPrEx>
        <w:trPr>
          <w:trHeight w:val="5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时效指标</w:t>
            </w: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9月30日之前完成送政策进军营活动（%）</w:t>
            </w:r>
          </w:p>
        </w:tc>
        <w:tc>
          <w:tcPr>
            <w:tcW w:w="19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100%</w:t>
            </w:r>
          </w:p>
        </w:tc>
      </w:tr>
      <w:tr>
        <w:tblPrEx>
          <w:tblCellMar>
            <w:top w:w="0" w:type="dxa"/>
            <w:left w:w="0" w:type="dxa"/>
            <w:bottom w:w="0" w:type="dxa"/>
            <w:right w:w="0" w:type="dxa"/>
          </w:tblCellMar>
        </w:tblPrEx>
        <w:trPr>
          <w:trHeight w:val="4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项目开展时间</w:t>
            </w:r>
          </w:p>
        </w:tc>
        <w:tc>
          <w:tcPr>
            <w:tcW w:w="19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2021年1月-12月</w:t>
            </w:r>
          </w:p>
        </w:tc>
      </w:tr>
      <w:tr>
        <w:tblPrEx>
          <w:tblCellMar>
            <w:top w:w="0" w:type="dxa"/>
            <w:left w:w="0" w:type="dxa"/>
            <w:bottom w:w="0" w:type="dxa"/>
            <w:right w:w="0" w:type="dxa"/>
          </w:tblCellMar>
        </w:tblPrEx>
        <w:trPr>
          <w:trHeight w:val="5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成本指标</w:t>
            </w: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退役军人就业创业工作开展成本（万元）</w:t>
            </w:r>
          </w:p>
        </w:tc>
        <w:tc>
          <w:tcPr>
            <w:tcW w:w="19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≤10万元</w:t>
            </w:r>
          </w:p>
        </w:tc>
      </w:tr>
      <w:tr>
        <w:tblPrEx>
          <w:tblCellMar>
            <w:top w:w="0" w:type="dxa"/>
            <w:left w:w="0" w:type="dxa"/>
            <w:bottom w:w="0" w:type="dxa"/>
            <w:right w:w="0" w:type="dxa"/>
          </w:tblCellMar>
        </w:tblPrEx>
        <w:trPr>
          <w:trHeight w:val="5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效益指标</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社会效益指标</w:t>
            </w: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宣传退役军人就业创业政策，提高就业创业率</w:t>
            </w:r>
          </w:p>
        </w:tc>
        <w:tc>
          <w:tcPr>
            <w:tcW w:w="19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提升</w:t>
            </w:r>
          </w:p>
        </w:tc>
      </w:tr>
      <w:tr>
        <w:tblPrEx>
          <w:tblCellMar>
            <w:top w:w="0" w:type="dxa"/>
            <w:left w:w="0" w:type="dxa"/>
            <w:bottom w:w="0" w:type="dxa"/>
            <w:right w:w="0" w:type="dxa"/>
          </w:tblCellMar>
        </w:tblPrEx>
        <w:trPr>
          <w:trHeight w:val="5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可持续影响指标</w:t>
            </w: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服务退役军人能力得到提升，促进社会和谐，无信访事件</w:t>
            </w:r>
          </w:p>
        </w:tc>
        <w:tc>
          <w:tcPr>
            <w:tcW w:w="19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长期</w:t>
            </w:r>
          </w:p>
        </w:tc>
      </w:tr>
      <w:tr>
        <w:tblPrEx>
          <w:tblCellMar>
            <w:top w:w="0" w:type="dxa"/>
            <w:left w:w="0" w:type="dxa"/>
            <w:bottom w:w="0" w:type="dxa"/>
            <w:right w:w="0" w:type="dxa"/>
          </w:tblCellMar>
        </w:tblPrEx>
        <w:trPr>
          <w:trHeight w:val="4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满意度指标</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满意度指标</w:t>
            </w: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就业补贴人员满意度（%）</w:t>
            </w:r>
          </w:p>
        </w:tc>
        <w:tc>
          <w:tcPr>
            <w:tcW w:w="19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≥95%</w:t>
            </w:r>
          </w:p>
        </w:tc>
      </w:tr>
    </w:tbl>
    <w:p/>
    <w:p/>
    <w:p>
      <w:pPr>
        <w:pStyle w:val="2"/>
      </w:pPr>
    </w:p>
    <w:tbl>
      <w:tblPr>
        <w:tblStyle w:val="7"/>
        <w:tblW w:w="8655" w:type="dxa"/>
        <w:tblInd w:w="0" w:type="dxa"/>
        <w:tblLayout w:type="autofit"/>
        <w:tblCellMar>
          <w:top w:w="0" w:type="dxa"/>
          <w:left w:w="0" w:type="dxa"/>
          <w:bottom w:w="0" w:type="dxa"/>
          <w:right w:w="0" w:type="dxa"/>
        </w:tblCellMar>
      </w:tblPr>
      <w:tblGrid>
        <w:gridCol w:w="735"/>
        <w:gridCol w:w="735"/>
        <w:gridCol w:w="1485"/>
        <w:gridCol w:w="3855"/>
        <w:gridCol w:w="1845"/>
      </w:tblGrid>
      <w:tr>
        <w:tblPrEx>
          <w:tblCellMar>
            <w:top w:w="0" w:type="dxa"/>
            <w:left w:w="0" w:type="dxa"/>
            <w:bottom w:w="0" w:type="dxa"/>
            <w:right w:w="0" w:type="dxa"/>
          </w:tblCellMar>
        </w:tblPrEx>
        <w:trPr>
          <w:trHeight w:val="400" w:hRule="atLeast"/>
        </w:trPr>
        <w:tc>
          <w:tcPr>
            <w:tcW w:w="8655" w:type="dxa"/>
            <w:gridSpan w:val="5"/>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部门预算项目支出绩效目标表</w:t>
            </w:r>
          </w:p>
        </w:tc>
      </w:tr>
      <w:tr>
        <w:tblPrEx>
          <w:tblCellMar>
            <w:top w:w="0" w:type="dxa"/>
            <w:left w:w="0" w:type="dxa"/>
            <w:bottom w:w="0" w:type="dxa"/>
            <w:right w:w="0" w:type="dxa"/>
          </w:tblCellMar>
        </w:tblPrEx>
        <w:trPr>
          <w:trHeight w:val="400" w:hRule="atLeast"/>
        </w:trPr>
        <w:tc>
          <w:tcPr>
            <w:tcW w:w="8655" w:type="dxa"/>
            <w:gridSpan w:val="5"/>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r>
              <w:rPr>
                <w:color w:val="000000"/>
                <w:kern w:val="0"/>
                <w:sz w:val="20"/>
                <w:szCs w:val="20"/>
                <w:lang w:bidi="ar"/>
              </w:rPr>
              <w:t xml:space="preserve"> 2021</w:t>
            </w:r>
            <w:r>
              <w:rPr>
                <w:rFonts w:hint="eastAsia" w:ascii="宋体" w:hAnsi="宋体" w:cs="宋体"/>
                <w:color w:val="000000"/>
                <w:kern w:val="0"/>
                <w:sz w:val="20"/>
                <w:szCs w:val="20"/>
                <w:lang w:bidi="ar"/>
              </w:rPr>
              <w:t>年度）</w:t>
            </w:r>
          </w:p>
        </w:tc>
      </w:tr>
      <w:tr>
        <w:tblPrEx>
          <w:tblCellMar>
            <w:top w:w="0" w:type="dxa"/>
            <w:left w:w="0" w:type="dxa"/>
            <w:bottom w:w="0" w:type="dxa"/>
            <w:right w:w="0" w:type="dxa"/>
          </w:tblCellMar>
        </w:tblPrEx>
        <w:trPr>
          <w:trHeight w:val="400" w:hRule="atLeast"/>
        </w:trPr>
        <w:tc>
          <w:tcPr>
            <w:tcW w:w="2955"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项目名称</w:t>
            </w:r>
          </w:p>
        </w:tc>
        <w:tc>
          <w:tcPr>
            <w:tcW w:w="57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双拥工作经费</w:t>
            </w:r>
          </w:p>
        </w:tc>
      </w:tr>
      <w:tr>
        <w:tblPrEx>
          <w:tblCellMar>
            <w:top w:w="0" w:type="dxa"/>
            <w:left w:w="0" w:type="dxa"/>
            <w:bottom w:w="0" w:type="dxa"/>
            <w:right w:w="0" w:type="dxa"/>
          </w:tblCellMar>
        </w:tblPrEx>
        <w:trPr>
          <w:trHeight w:val="400" w:hRule="atLeast"/>
        </w:trPr>
        <w:tc>
          <w:tcPr>
            <w:tcW w:w="2955"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预算单位</w:t>
            </w:r>
          </w:p>
        </w:tc>
        <w:tc>
          <w:tcPr>
            <w:tcW w:w="57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昌吉州退役军人事务局</w:t>
            </w:r>
          </w:p>
        </w:tc>
      </w:tr>
      <w:tr>
        <w:tblPrEx>
          <w:tblCellMar>
            <w:top w:w="0" w:type="dxa"/>
            <w:left w:w="0" w:type="dxa"/>
            <w:bottom w:w="0" w:type="dxa"/>
            <w:right w:w="0" w:type="dxa"/>
          </w:tblCellMar>
        </w:tblPrEx>
        <w:trPr>
          <w:trHeight w:val="400" w:hRule="atLeast"/>
        </w:trPr>
        <w:tc>
          <w:tcPr>
            <w:tcW w:w="295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项目资金</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（万元）</w:t>
            </w:r>
          </w:p>
        </w:tc>
        <w:tc>
          <w:tcPr>
            <w:tcW w:w="57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年度资金总额：10</w:t>
            </w:r>
          </w:p>
        </w:tc>
      </w:tr>
      <w:tr>
        <w:tblPrEx>
          <w:tblCellMar>
            <w:top w:w="0" w:type="dxa"/>
            <w:left w:w="0" w:type="dxa"/>
            <w:bottom w:w="0" w:type="dxa"/>
            <w:right w:w="0" w:type="dxa"/>
          </w:tblCellMar>
        </w:tblPrEx>
        <w:trPr>
          <w:trHeight w:val="400" w:hRule="atLeast"/>
        </w:trPr>
        <w:tc>
          <w:tcPr>
            <w:tcW w:w="295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7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其中：财政拨款：10</w:t>
            </w:r>
          </w:p>
        </w:tc>
      </w:tr>
      <w:tr>
        <w:tblPrEx>
          <w:tblCellMar>
            <w:top w:w="0" w:type="dxa"/>
            <w:left w:w="0" w:type="dxa"/>
            <w:bottom w:w="0" w:type="dxa"/>
            <w:right w:w="0" w:type="dxa"/>
          </w:tblCellMar>
        </w:tblPrEx>
        <w:trPr>
          <w:trHeight w:val="400" w:hRule="atLeast"/>
        </w:trPr>
        <w:tc>
          <w:tcPr>
            <w:tcW w:w="295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7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其他资金</w:t>
            </w:r>
          </w:p>
        </w:tc>
      </w:tr>
      <w:tr>
        <w:tblPrEx>
          <w:tblCellMar>
            <w:top w:w="0" w:type="dxa"/>
            <w:left w:w="0" w:type="dxa"/>
            <w:bottom w:w="0" w:type="dxa"/>
            <w:right w:w="0" w:type="dxa"/>
          </w:tblCellMar>
        </w:tblPrEx>
        <w:trPr>
          <w:trHeight w:val="400" w:hRule="atLeast"/>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总</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体</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目</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标</w:t>
            </w:r>
          </w:p>
        </w:tc>
        <w:tc>
          <w:tcPr>
            <w:tcW w:w="79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年度目标</w:t>
            </w:r>
          </w:p>
        </w:tc>
      </w:tr>
      <w:tr>
        <w:tblPrEx>
          <w:tblCellMar>
            <w:top w:w="0" w:type="dxa"/>
            <w:left w:w="0" w:type="dxa"/>
            <w:bottom w:w="0" w:type="dxa"/>
            <w:right w:w="0" w:type="dxa"/>
          </w:tblCellMar>
        </w:tblPrEx>
        <w:trPr>
          <w:trHeight w:val="138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9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ascii="宋体" w:hAnsi="宋体" w:cs="宋体"/>
                <w:color w:val="000000"/>
                <w:sz w:val="20"/>
                <w:szCs w:val="20"/>
              </w:rPr>
            </w:pPr>
            <w:r>
              <w:rPr>
                <w:rFonts w:hint="eastAsia" w:ascii="宋体" w:hAnsi="宋体" w:cs="宋体"/>
                <w:color w:val="000000"/>
                <w:kern w:val="0"/>
                <w:sz w:val="20"/>
                <w:szCs w:val="20"/>
                <w:lang w:bidi="ar"/>
              </w:rPr>
              <w:t>单位职能：贯彻落实党中央关于退役军人的方针政策和区州党委对退役军人工作要求，加强党对退役军人工作的集中统一领导。</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项目目标 ：贯彻落实党中央关于退役军人的方针政策和区州党委对退役军人工作要求，按照《双拥模范城（县）创建命名管理办法暨考评标准》，经费保障满足双拥工作需要并根据经济社会发展水平逐步增加，双拥活动坚持经常，提升军人尊崇感。</w:t>
            </w:r>
          </w:p>
        </w:tc>
      </w:tr>
      <w:tr>
        <w:tblPrEx>
          <w:tblCellMar>
            <w:top w:w="0" w:type="dxa"/>
            <w:left w:w="0" w:type="dxa"/>
            <w:bottom w:w="0" w:type="dxa"/>
            <w:right w:w="0" w:type="dxa"/>
          </w:tblCellMar>
        </w:tblPrEx>
        <w:trPr>
          <w:trHeight w:val="400" w:hRule="atLeast"/>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绩</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效</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标</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一级</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指标</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二级指标</w:t>
            </w:r>
          </w:p>
        </w:tc>
        <w:tc>
          <w:tcPr>
            <w:tcW w:w="3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三级指标</w:t>
            </w:r>
          </w:p>
        </w:tc>
        <w:tc>
          <w:tcPr>
            <w:tcW w:w="1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指标值（包含数字及文字描述）</w:t>
            </w:r>
          </w:p>
        </w:tc>
      </w:tr>
      <w:tr>
        <w:tblPrEx>
          <w:tblCellMar>
            <w:top w:w="0" w:type="dxa"/>
            <w:left w:w="0" w:type="dxa"/>
            <w:bottom w:w="0" w:type="dxa"/>
            <w:right w:w="0" w:type="dxa"/>
          </w:tblCellMar>
        </w:tblPrEx>
        <w:trPr>
          <w:trHeight w:val="4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项目完成</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数量指标</w:t>
            </w:r>
          </w:p>
        </w:tc>
        <w:tc>
          <w:tcPr>
            <w:tcW w:w="3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为现役军人立功受奖送喜报并送慰问金人数</w:t>
            </w:r>
          </w:p>
        </w:tc>
        <w:tc>
          <w:tcPr>
            <w:tcW w:w="1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5人</w:t>
            </w:r>
          </w:p>
        </w:tc>
      </w:tr>
      <w:tr>
        <w:tblPrEx>
          <w:tblCellMar>
            <w:top w:w="0" w:type="dxa"/>
            <w:left w:w="0" w:type="dxa"/>
            <w:bottom w:w="0" w:type="dxa"/>
            <w:right w:w="0" w:type="dxa"/>
          </w:tblCellMar>
        </w:tblPrEx>
        <w:trPr>
          <w:trHeight w:val="4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3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开展双拥活动次数</w:t>
            </w:r>
          </w:p>
        </w:tc>
        <w:tc>
          <w:tcPr>
            <w:tcW w:w="1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w:t>
            </w:r>
            <w:r>
              <w:rPr>
                <w:rFonts w:hint="eastAsia" w:ascii="宋体" w:hAnsi="宋体" w:cs="宋体"/>
                <w:color w:val="000000"/>
                <w:kern w:val="0"/>
                <w:sz w:val="20"/>
                <w:szCs w:val="20"/>
                <w:lang w:bidi="ar"/>
              </w:rPr>
              <w:t>5次</w:t>
            </w:r>
          </w:p>
        </w:tc>
      </w:tr>
      <w:tr>
        <w:tblPrEx>
          <w:tblCellMar>
            <w:top w:w="0" w:type="dxa"/>
            <w:left w:w="0" w:type="dxa"/>
            <w:bottom w:w="0" w:type="dxa"/>
            <w:right w:w="0" w:type="dxa"/>
          </w:tblCellMar>
        </w:tblPrEx>
        <w:trPr>
          <w:trHeight w:val="6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3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维护退役军人信息采集系统，做好光荣牌悬挂人数</w:t>
            </w:r>
          </w:p>
        </w:tc>
        <w:tc>
          <w:tcPr>
            <w:tcW w:w="1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3.1万人</w:t>
            </w:r>
          </w:p>
        </w:tc>
      </w:tr>
      <w:tr>
        <w:tblPrEx>
          <w:tblCellMar>
            <w:top w:w="0" w:type="dxa"/>
            <w:left w:w="0" w:type="dxa"/>
            <w:bottom w:w="0" w:type="dxa"/>
            <w:right w:w="0" w:type="dxa"/>
          </w:tblCellMar>
        </w:tblPrEx>
        <w:trPr>
          <w:trHeight w:val="4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质量指标</w:t>
            </w:r>
          </w:p>
        </w:tc>
        <w:tc>
          <w:tcPr>
            <w:tcW w:w="3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资金执行率</w:t>
            </w:r>
          </w:p>
        </w:tc>
        <w:tc>
          <w:tcPr>
            <w:tcW w:w="1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100%</w:t>
            </w:r>
          </w:p>
        </w:tc>
      </w:tr>
      <w:tr>
        <w:tblPrEx>
          <w:tblCellMar>
            <w:top w:w="0" w:type="dxa"/>
            <w:left w:w="0" w:type="dxa"/>
            <w:bottom w:w="0" w:type="dxa"/>
            <w:right w:w="0" w:type="dxa"/>
          </w:tblCellMar>
        </w:tblPrEx>
        <w:trPr>
          <w:trHeight w:val="4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时效指标</w:t>
            </w:r>
          </w:p>
        </w:tc>
        <w:tc>
          <w:tcPr>
            <w:tcW w:w="3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2021年2月28日前完成春节慰问</w:t>
            </w:r>
          </w:p>
        </w:tc>
        <w:tc>
          <w:tcPr>
            <w:tcW w:w="1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100%</w:t>
            </w:r>
          </w:p>
        </w:tc>
      </w:tr>
      <w:tr>
        <w:tblPrEx>
          <w:tblCellMar>
            <w:top w:w="0" w:type="dxa"/>
            <w:left w:w="0" w:type="dxa"/>
            <w:bottom w:w="0" w:type="dxa"/>
            <w:right w:w="0" w:type="dxa"/>
          </w:tblCellMar>
        </w:tblPrEx>
        <w:trPr>
          <w:trHeight w:val="4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3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2021年4月11日前完成清明节慰问</w:t>
            </w:r>
          </w:p>
        </w:tc>
        <w:tc>
          <w:tcPr>
            <w:tcW w:w="1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100%</w:t>
            </w:r>
          </w:p>
        </w:tc>
      </w:tr>
      <w:tr>
        <w:tblPrEx>
          <w:tblCellMar>
            <w:top w:w="0" w:type="dxa"/>
            <w:left w:w="0" w:type="dxa"/>
            <w:bottom w:w="0" w:type="dxa"/>
            <w:right w:w="0" w:type="dxa"/>
          </w:tblCellMar>
        </w:tblPrEx>
        <w:trPr>
          <w:trHeight w:val="4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3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2021年8月1日前完成开展八一慰问</w:t>
            </w:r>
          </w:p>
        </w:tc>
        <w:tc>
          <w:tcPr>
            <w:tcW w:w="1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100%</w:t>
            </w:r>
          </w:p>
        </w:tc>
      </w:tr>
      <w:tr>
        <w:tblPrEx>
          <w:tblCellMar>
            <w:top w:w="0" w:type="dxa"/>
            <w:left w:w="0" w:type="dxa"/>
            <w:bottom w:w="0" w:type="dxa"/>
            <w:right w:w="0" w:type="dxa"/>
          </w:tblCellMar>
        </w:tblPrEx>
        <w:trPr>
          <w:trHeight w:val="4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3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9·30烈士纪念日开展慰问</w:t>
            </w:r>
          </w:p>
        </w:tc>
        <w:tc>
          <w:tcPr>
            <w:tcW w:w="1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100%</w:t>
            </w:r>
          </w:p>
        </w:tc>
      </w:tr>
      <w:tr>
        <w:tblPrEx>
          <w:tblCellMar>
            <w:top w:w="0" w:type="dxa"/>
            <w:left w:w="0" w:type="dxa"/>
            <w:bottom w:w="0" w:type="dxa"/>
            <w:right w:w="0" w:type="dxa"/>
          </w:tblCellMar>
        </w:tblPrEx>
        <w:trPr>
          <w:trHeight w:val="6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3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12月31日前完成对现役军人立功受奖送喜报并送慰问金</w:t>
            </w:r>
          </w:p>
        </w:tc>
        <w:tc>
          <w:tcPr>
            <w:tcW w:w="1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100%</w:t>
            </w:r>
          </w:p>
        </w:tc>
      </w:tr>
      <w:tr>
        <w:tblPrEx>
          <w:tblCellMar>
            <w:top w:w="0" w:type="dxa"/>
            <w:left w:w="0" w:type="dxa"/>
            <w:bottom w:w="0" w:type="dxa"/>
            <w:right w:w="0" w:type="dxa"/>
          </w:tblCellMar>
        </w:tblPrEx>
        <w:trPr>
          <w:trHeight w:val="4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3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项目开展时间</w:t>
            </w:r>
          </w:p>
        </w:tc>
        <w:tc>
          <w:tcPr>
            <w:tcW w:w="1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2021年1月-12月</w:t>
            </w:r>
          </w:p>
        </w:tc>
      </w:tr>
      <w:tr>
        <w:tblPrEx>
          <w:tblCellMar>
            <w:top w:w="0" w:type="dxa"/>
            <w:left w:w="0" w:type="dxa"/>
            <w:bottom w:w="0" w:type="dxa"/>
            <w:right w:w="0" w:type="dxa"/>
          </w:tblCellMar>
        </w:tblPrEx>
        <w:trPr>
          <w:trHeight w:val="6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成本指标</w:t>
            </w:r>
          </w:p>
        </w:tc>
        <w:tc>
          <w:tcPr>
            <w:tcW w:w="3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开展双拥活动、立功送喜报、其他双拥工作总成本（万元）</w:t>
            </w:r>
          </w:p>
        </w:tc>
        <w:tc>
          <w:tcPr>
            <w:tcW w:w="1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≤10万元</w:t>
            </w:r>
          </w:p>
        </w:tc>
      </w:tr>
      <w:tr>
        <w:tblPrEx>
          <w:tblCellMar>
            <w:top w:w="0" w:type="dxa"/>
            <w:left w:w="0" w:type="dxa"/>
            <w:bottom w:w="0" w:type="dxa"/>
            <w:right w:w="0" w:type="dxa"/>
          </w:tblCellMar>
        </w:tblPrEx>
        <w:trPr>
          <w:trHeight w:val="4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项目效益</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社会效益</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指标</w:t>
            </w:r>
          </w:p>
        </w:tc>
        <w:tc>
          <w:tcPr>
            <w:tcW w:w="3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弘扬双拥优良传统、做好双拥工作</w:t>
            </w:r>
          </w:p>
        </w:tc>
        <w:tc>
          <w:tcPr>
            <w:tcW w:w="1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100%</w:t>
            </w:r>
          </w:p>
        </w:tc>
      </w:tr>
      <w:tr>
        <w:tblPrEx>
          <w:tblCellMar>
            <w:top w:w="0" w:type="dxa"/>
            <w:left w:w="0" w:type="dxa"/>
            <w:bottom w:w="0" w:type="dxa"/>
            <w:right w:w="0" w:type="dxa"/>
          </w:tblCellMar>
        </w:tblPrEx>
        <w:trPr>
          <w:trHeight w:val="4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可持续影响</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指标</w:t>
            </w:r>
          </w:p>
        </w:tc>
        <w:tc>
          <w:tcPr>
            <w:tcW w:w="3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军政、军民关系融洽</w:t>
            </w:r>
          </w:p>
        </w:tc>
        <w:tc>
          <w:tcPr>
            <w:tcW w:w="1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长期</w:t>
            </w:r>
          </w:p>
        </w:tc>
      </w:tr>
      <w:tr>
        <w:tblPrEx>
          <w:tblCellMar>
            <w:top w:w="0" w:type="dxa"/>
            <w:left w:w="0" w:type="dxa"/>
            <w:bottom w:w="0" w:type="dxa"/>
            <w:right w:w="0" w:type="dxa"/>
          </w:tblCellMar>
        </w:tblPrEx>
        <w:trPr>
          <w:trHeight w:val="4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满意度指标</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满意度指标</w:t>
            </w:r>
          </w:p>
        </w:tc>
        <w:tc>
          <w:tcPr>
            <w:tcW w:w="3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双拥及优抚对象满意度</w:t>
            </w:r>
          </w:p>
        </w:tc>
        <w:tc>
          <w:tcPr>
            <w:tcW w:w="1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≥95%</w:t>
            </w:r>
          </w:p>
        </w:tc>
      </w:tr>
    </w:tbl>
    <w:p>
      <w:pPr>
        <w:pStyle w:val="2"/>
      </w:pPr>
    </w:p>
    <w:p/>
    <w:tbl>
      <w:tblPr>
        <w:tblStyle w:val="7"/>
        <w:tblW w:w="8745" w:type="dxa"/>
        <w:tblInd w:w="0" w:type="dxa"/>
        <w:tblLayout w:type="autofit"/>
        <w:tblCellMar>
          <w:top w:w="0" w:type="dxa"/>
          <w:left w:w="0" w:type="dxa"/>
          <w:bottom w:w="0" w:type="dxa"/>
          <w:right w:w="0" w:type="dxa"/>
        </w:tblCellMar>
      </w:tblPr>
      <w:tblGrid>
        <w:gridCol w:w="736"/>
        <w:gridCol w:w="149"/>
        <w:gridCol w:w="737"/>
        <w:gridCol w:w="223"/>
        <w:gridCol w:w="1263"/>
        <w:gridCol w:w="12"/>
        <w:gridCol w:w="3690"/>
        <w:gridCol w:w="138"/>
        <w:gridCol w:w="1152"/>
        <w:gridCol w:w="543"/>
        <w:gridCol w:w="102"/>
      </w:tblGrid>
      <w:tr>
        <w:tblPrEx>
          <w:tblCellMar>
            <w:top w:w="0" w:type="dxa"/>
            <w:left w:w="0" w:type="dxa"/>
            <w:bottom w:w="0" w:type="dxa"/>
            <w:right w:w="0" w:type="dxa"/>
          </w:tblCellMar>
        </w:tblPrEx>
        <w:trPr>
          <w:trHeight w:val="400" w:hRule="atLeast"/>
        </w:trPr>
        <w:tc>
          <w:tcPr>
            <w:tcW w:w="8100" w:type="dxa"/>
            <w:gridSpan w:val="9"/>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部门预算项目支出绩效目标表</w:t>
            </w:r>
          </w:p>
        </w:tc>
        <w:tc>
          <w:tcPr>
            <w:tcW w:w="645" w:type="dxa"/>
            <w:gridSpan w:val="2"/>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0"/>
                <w:szCs w:val="20"/>
              </w:rPr>
            </w:pPr>
          </w:p>
        </w:tc>
      </w:tr>
      <w:tr>
        <w:tblPrEx>
          <w:tblCellMar>
            <w:top w:w="0" w:type="dxa"/>
            <w:left w:w="0" w:type="dxa"/>
            <w:bottom w:w="0" w:type="dxa"/>
            <w:right w:w="0" w:type="dxa"/>
          </w:tblCellMar>
        </w:tblPrEx>
        <w:trPr>
          <w:trHeight w:val="400" w:hRule="atLeast"/>
        </w:trPr>
        <w:tc>
          <w:tcPr>
            <w:tcW w:w="8100" w:type="dxa"/>
            <w:gridSpan w:val="9"/>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r>
              <w:rPr>
                <w:color w:val="000000"/>
                <w:kern w:val="0"/>
                <w:sz w:val="20"/>
                <w:szCs w:val="20"/>
                <w:lang w:bidi="ar"/>
              </w:rPr>
              <w:t xml:space="preserve"> 2021</w:t>
            </w:r>
            <w:r>
              <w:rPr>
                <w:rStyle w:val="29"/>
                <w:rFonts w:hint="default"/>
                <w:lang w:bidi="ar"/>
              </w:rPr>
              <w:t>年度）</w:t>
            </w:r>
          </w:p>
        </w:tc>
        <w:tc>
          <w:tcPr>
            <w:tcW w:w="645" w:type="dxa"/>
            <w:gridSpan w:val="2"/>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0"/>
                <w:szCs w:val="20"/>
              </w:rPr>
            </w:pPr>
          </w:p>
        </w:tc>
      </w:tr>
      <w:tr>
        <w:tblPrEx>
          <w:tblCellMar>
            <w:top w:w="0" w:type="dxa"/>
            <w:left w:w="0" w:type="dxa"/>
            <w:bottom w:w="0" w:type="dxa"/>
            <w:right w:w="0" w:type="dxa"/>
          </w:tblCellMar>
        </w:tblPrEx>
        <w:trPr>
          <w:trHeight w:val="400" w:hRule="atLeast"/>
        </w:trPr>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项目名称</w:t>
            </w:r>
          </w:p>
        </w:tc>
        <w:tc>
          <w:tcPr>
            <w:tcW w:w="7860"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退役军人教育培训经费</w:t>
            </w:r>
          </w:p>
        </w:tc>
      </w:tr>
      <w:tr>
        <w:tblPrEx>
          <w:tblCellMar>
            <w:top w:w="0" w:type="dxa"/>
            <w:left w:w="0" w:type="dxa"/>
            <w:bottom w:w="0" w:type="dxa"/>
            <w:right w:w="0" w:type="dxa"/>
          </w:tblCellMar>
        </w:tblPrEx>
        <w:trPr>
          <w:trHeight w:val="400" w:hRule="atLeast"/>
        </w:trPr>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预算单位</w:t>
            </w:r>
          </w:p>
        </w:tc>
        <w:tc>
          <w:tcPr>
            <w:tcW w:w="7860"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昌吉州退役军人事务局</w:t>
            </w:r>
          </w:p>
        </w:tc>
      </w:tr>
      <w:tr>
        <w:tblPrEx>
          <w:tblCellMar>
            <w:top w:w="0" w:type="dxa"/>
            <w:left w:w="0" w:type="dxa"/>
            <w:bottom w:w="0" w:type="dxa"/>
            <w:right w:w="0" w:type="dxa"/>
          </w:tblCellMar>
        </w:tblPrEx>
        <w:trPr>
          <w:trHeight w:val="400" w:hRule="atLeast"/>
        </w:trPr>
        <w:tc>
          <w:tcPr>
            <w:tcW w:w="88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项目资金</w:t>
            </w:r>
          </w:p>
        </w:tc>
        <w:tc>
          <w:tcPr>
            <w:tcW w:w="7860"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年度资金总额：30</w:t>
            </w:r>
          </w:p>
        </w:tc>
      </w:tr>
      <w:tr>
        <w:tblPrEx>
          <w:tblCellMar>
            <w:top w:w="0" w:type="dxa"/>
            <w:left w:w="0" w:type="dxa"/>
            <w:bottom w:w="0" w:type="dxa"/>
            <w:right w:w="0" w:type="dxa"/>
          </w:tblCellMar>
        </w:tblPrEx>
        <w:trPr>
          <w:trHeight w:val="400" w:hRule="atLeast"/>
        </w:trPr>
        <w:tc>
          <w:tcPr>
            <w:tcW w:w="8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860"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其中：财政拨款：30</w:t>
            </w:r>
          </w:p>
        </w:tc>
      </w:tr>
      <w:tr>
        <w:tblPrEx>
          <w:tblCellMar>
            <w:top w:w="0" w:type="dxa"/>
            <w:left w:w="0" w:type="dxa"/>
            <w:bottom w:w="0" w:type="dxa"/>
            <w:right w:w="0" w:type="dxa"/>
          </w:tblCellMar>
        </w:tblPrEx>
        <w:trPr>
          <w:trHeight w:val="400" w:hRule="atLeast"/>
        </w:trPr>
        <w:tc>
          <w:tcPr>
            <w:tcW w:w="8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860"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其他资金：0</w:t>
            </w:r>
          </w:p>
        </w:tc>
      </w:tr>
      <w:tr>
        <w:tblPrEx>
          <w:tblCellMar>
            <w:top w:w="0" w:type="dxa"/>
            <w:left w:w="0" w:type="dxa"/>
            <w:bottom w:w="0" w:type="dxa"/>
            <w:right w:w="0" w:type="dxa"/>
          </w:tblCellMar>
        </w:tblPrEx>
        <w:trPr>
          <w:trHeight w:val="400" w:hRule="atLeast"/>
        </w:trPr>
        <w:tc>
          <w:tcPr>
            <w:tcW w:w="88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总体目标</w:t>
            </w:r>
          </w:p>
        </w:tc>
        <w:tc>
          <w:tcPr>
            <w:tcW w:w="7860"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年度目标</w:t>
            </w:r>
          </w:p>
        </w:tc>
      </w:tr>
      <w:tr>
        <w:tblPrEx>
          <w:tblCellMar>
            <w:top w:w="0" w:type="dxa"/>
            <w:left w:w="0" w:type="dxa"/>
            <w:bottom w:w="0" w:type="dxa"/>
            <w:right w:w="0" w:type="dxa"/>
          </w:tblCellMar>
        </w:tblPrEx>
        <w:trPr>
          <w:trHeight w:val="400" w:hRule="atLeast"/>
        </w:trPr>
        <w:tc>
          <w:tcPr>
            <w:tcW w:w="8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7860" w:type="dxa"/>
            <w:gridSpan w:val="9"/>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单位职能：贯彻落实党中央关于退役军人的方针政策和区州党委对退役军人工作要求，加强党对退役军人工作的集中统一领导。                                   项目目标：贯彻落实党中央关于退役军人的方针政策和区州党委对退役军人工作要求，加强党对退役军人工作的集中统一领导。开展自主择业军转干部、退役士兵教育培训。</w:t>
            </w:r>
          </w:p>
        </w:tc>
      </w:tr>
      <w:tr>
        <w:tblPrEx>
          <w:tblCellMar>
            <w:top w:w="0" w:type="dxa"/>
            <w:left w:w="0" w:type="dxa"/>
            <w:bottom w:w="0" w:type="dxa"/>
            <w:right w:w="0" w:type="dxa"/>
          </w:tblCellMar>
        </w:tblPrEx>
        <w:trPr>
          <w:trHeight w:val="400" w:hRule="atLeast"/>
        </w:trPr>
        <w:tc>
          <w:tcPr>
            <w:tcW w:w="8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7860" w:type="dxa"/>
            <w:gridSpan w:val="9"/>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20"/>
                <w:szCs w:val="20"/>
              </w:rPr>
            </w:pPr>
          </w:p>
        </w:tc>
      </w:tr>
      <w:tr>
        <w:tblPrEx>
          <w:tblCellMar>
            <w:top w:w="0" w:type="dxa"/>
            <w:left w:w="0" w:type="dxa"/>
            <w:bottom w:w="0" w:type="dxa"/>
            <w:right w:w="0" w:type="dxa"/>
          </w:tblCellMar>
        </w:tblPrEx>
        <w:trPr>
          <w:trHeight w:val="400" w:hRule="atLeast"/>
        </w:trPr>
        <w:tc>
          <w:tcPr>
            <w:tcW w:w="8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7860" w:type="dxa"/>
            <w:gridSpan w:val="9"/>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20"/>
                <w:szCs w:val="20"/>
              </w:rPr>
            </w:pPr>
          </w:p>
        </w:tc>
      </w:tr>
      <w:tr>
        <w:tblPrEx>
          <w:tblCellMar>
            <w:top w:w="0" w:type="dxa"/>
            <w:left w:w="0" w:type="dxa"/>
            <w:bottom w:w="0" w:type="dxa"/>
            <w:right w:w="0" w:type="dxa"/>
          </w:tblCellMar>
        </w:tblPrEx>
        <w:trPr>
          <w:trHeight w:val="400" w:hRule="atLeast"/>
        </w:trPr>
        <w:tc>
          <w:tcPr>
            <w:tcW w:w="88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绩</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效</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标</w:t>
            </w:r>
          </w:p>
        </w:tc>
        <w:tc>
          <w:tcPr>
            <w:tcW w:w="9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一级指标</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二级指标</w:t>
            </w:r>
          </w:p>
        </w:tc>
        <w:tc>
          <w:tcPr>
            <w:tcW w:w="3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三级指标</w:t>
            </w:r>
          </w:p>
        </w:tc>
        <w:tc>
          <w:tcPr>
            <w:tcW w:w="193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预期指标值</w:t>
            </w:r>
          </w:p>
        </w:tc>
      </w:tr>
      <w:tr>
        <w:tblPrEx>
          <w:tblCellMar>
            <w:top w:w="0" w:type="dxa"/>
            <w:left w:w="0" w:type="dxa"/>
            <w:bottom w:w="0" w:type="dxa"/>
            <w:right w:w="0" w:type="dxa"/>
          </w:tblCellMar>
        </w:tblPrEx>
        <w:trPr>
          <w:trHeight w:val="400" w:hRule="atLeast"/>
        </w:trPr>
        <w:tc>
          <w:tcPr>
            <w:tcW w:w="8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产出指标</w:t>
            </w:r>
          </w:p>
        </w:tc>
        <w:tc>
          <w:tcPr>
            <w:tcW w:w="1275"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数量指标</w:t>
            </w:r>
          </w:p>
        </w:tc>
        <w:tc>
          <w:tcPr>
            <w:tcW w:w="36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开展培训自主择业军转干部培训（人）</w:t>
            </w:r>
          </w:p>
        </w:tc>
        <w:tc>
          <w:tcPr>
            <w:tcW w:w="193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≧30人</w:t>
            </w:r>
          </w:p>
        </w:tc>
      </w:tr>
      <w:tr>
        <w:tblPrEx>
          <w:tblCellMar>
            <w:top w:w="0" w:type="dxa"/>
            <w:left w:w="0" w:type="dxa"/>
            <w:bottom w:w="0" w:type="dxa"/>
            <w:right w:w="0" w:type="dxa"/>
          </w:tblCellMar>
        </w:tblPrEx>
        <w:trPr>
          <w:trHeight w:val="400" w:hRule="atLeast"/>
        </w:trPr>
        <w:tc>
          <w:tcPr>
            <w:tcW w:w="8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27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36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组织退役士兵职业技能培训（人）</w:t>
            </w:r>
          </w:p>
        </w:tc>
        <w:tc>
          <w:tcPr>
            <w:tcW w:w="193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≧100人</w:t>
            </w:r>
          </w:p>
        </w:tc>
      </w:tr>
      <w:tr>
        <w:tblPrEx>
          <w:tblCellMar>
            <w:top w:w="0" w:type="dxa"/>
            <w:left w:w="0" w:type="dxa"/>
            <w:bottom w:w="0" w:type="dxa"/>
            <w:right w:w="0" w:type="dxa"/>
          </w:tblCellMar>
        </w:tblPrEx>
        <w:trPr>
          <w:trHeight w:val="400" w:hRule="atLeast"/>
        </w:trPr>
        <w:tc>
          <w:tcPr>
            <w:tcW w:w="8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质量指标</w:t>
            </w:r>
          </w:p>
        </w:tc>
        <w:tc>
          <w:tcPr>
            <w:tcW w:w="36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下拨经费符合相关政策规定比率（%）</w:t>
            </w:r>
          </w:p>
        </w:tc>
        <w:tc>
          <w:tcPr>
            <w:tcW w:w="193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100%</w:t>
            </w:r>
          </w:p>
        </w:tc>
      </w:tr>
      <w:tr>
        <w:tblPrEx>
          <w:tblCellMar>
            <w:top w:w="0" w:type="dxa"/>
            <w:left w:w="0" w:type="dxa"/>
            <w:bottom w:w="0" w:type="dxa"/>
            <w:right w:w="0" w:type="dxa"/>
          </w:tblCellMar>
        </w:tblPrEx>
        <w:trPr>
          <w:trHeight w:val="600" w:hRule="atLeast"/>
        </w:trPr>
        <w:tc>
          <w:tcPr>
            <w:tcW w:w="8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275"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时效指标</w:t>
            </w:r>
          </w:p>
        </w:tc>
        <w:tc>
          <w:tcPr>
            <w:tcW w:w="36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12月20日之前组织退役士兵职业技能（创业培训）</w:t>
            </w:r>
          </w:p>
        </w:tc>
        <w:tc>
          <w:tcPr>
            <w:tcW w:w="193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100%</w:t>
            </w:r>
          </w:p>
        </w:tc>
      </w:tr>
      <w:tr>
        <w:tblPrEx>
          <w:tblCellMar>
            <w:top w:w="0" w:type="dxa"/>
            <w:left w:w="0" w:type="dxa"/>
            <w:bottom w:w="0" w:type="dxa"/>
            <w:right w:w="0" w:type="dxa"/>
          </w:tblCellMar>
        </w:tblPrEx>
        <w:trPr>
          <w:trHeight w:val="400" w:hRule="atLeast"/>
        </w:trPr>
        <w:tc>
          <w:tcPr>
            <w:tcW w:w="8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27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36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项目开展时间</w:t>
            </w:r>
          </w:p>
        </w:tc>
        <w:tc>
          <w:tcPr>
            <w:tcW w:w="193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2021年1月-12月</w:t>
            </w:r>
          </w:p>
        </w:tc>
      </w:tr>
      <w:tr>
        <w:tblPrEx>
          <w:tblCellMar>
            <w:top w:w="0" w:type="dxa"/>
            <w:left w:w="0" w:type="dxa"/>
            <w:bottom w:w="0" w:type="dxa"/>
            <w:right w:w="0" w:type="dxa"/>
          </w:tblCellMar>
        </w:tblPrEx>
        <w:trPr>
          <w:trHeight w:val="400" w:hRule="atLeast"/>
        </w:trPr>
        <w:tc>
          <w:tcPr>
            <w:tcW w:w="8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275"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成本指标</w:t>
            </w:r>
          </w:p>
        </w:tc>
        <w:tc>
          <w:tcPr>
            <w:tcW w:w="36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人均培训经费支出（元）</w:t>
            </w:r>
          </w:p>
        </w:tc>
        <w:tc>
          <w:tcPr>
            <w:tcW w:w="193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≦3900元</w:t>
            </w:r>
          </w:p>
        </w:tc>
      </w:tr>
      <w:tr>
        <w:tblPrEx>
          <w:tblCellMar>
            <w:top w:w="0" w:type="dxa"/>
            <w:left w:w="0" w:type="dxa"/>
            <w:bottom w:w="0" w:type="dxa"/>
            <w:right w:w="0" w:type="dxa"/>
          </w:tblCellMar>
        </w:tblPrEx>
        <w:trPr>
          <w:trHeight w:val="600" w:hRule="atLeast"/>
        </w:trPr>
        <w:tc>
          <w:tcPr>
            <w:tcW w:w="8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27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36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退役军人教育培训工作开展总成本（万元）</w:t>
            </w:r>
          </w:p>
        </w:tc>
        <w:tc>
          <w:tcPr>
            <w:tcW w:w="193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≤30万元</w:t>
            </w:r>
          </w:p>
        </w:tc>
      </w:tr>
      <w:tr>
        <w:tblPrEx>
          <w:tblCellMar>
            <w:top w:w="0" w:type="dxa"/>
            <w:left w:w="0" w:type="dxa"/>
            <w:bottom w:w="0" w:type="dxa"/>
            <w:right w:w="0" w:type="dxa"/>
          </w:tblCellMar>
        </w:tblPrEx>
        <w:trPr>
          <w:trHeight w:val="400" w:hRule="atLeast"/>
        </w:trPr>
        <w:tc>
          <w:tcPr>
            <w:tcW w:w="8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效益指标</w:t>
            </w:r>
          </w:p>
        </w:tc>
        <w:tc>
          <w:tcPr>
            <w:tcW w:w="12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社会效益指标</w:t>
            </w:r>
          </w:p>
        </w:tc>
        <w:tc>
          <w:tcPr>
            <w:tcW w:w="3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参加培训退役军人就业创业率（%）</w:t>
            </w:r>
          </w:p>
        </w:tc>
        <w:tc>
          <w:tcPr>
            <w:tcW w:w="193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≥80%</w:t>
            </w:r>
          </w:p>
        </w:tc>
      </w:tr>
      <w:tr>
        <w:tblPrEx>
          <w:tblCellMar>
            <w:top w:w="0" w:type="dxa"/>
            <w:left w:w="0" w:type="dxa"/>
            <w:bottom w:w="0" w:type="dxa"/>
            <w:right w:w="0" w:type="dxa"/>
          </w:tblCellMar>
        </w:tblPrEx>
        <w:trPr>
          <w:trHeight w:val="400" w:hRule="atLeast"/>
        </w:trPr>
        <w:tc>
          <w:tcPr>
            <w:tcW w:w="8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2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3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退役军人获得感、幸福感</w:t>
            </w:r>
          </w:p>
        </w:tc>
        <w:tc>
          <w:tcPr>
            <w:tcW w:w="193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提高</w:t>
            </w:r>
          </w:p>
        </w:tc>
      </w:tr>
      <w:tr>
        <w:tblPrEx>
          <w:tblCellMar>
            <w:top w:w="0" w:type="dxa"/>
            <w:left w:w="0" w:type="dxa"/>
            <w:bottom w:w="0" w:type="dxa"/>
            <w:right w:w="0" w:type="dxa"/>
          </w:tblCellMar>
        </w:tblPrEx>
        <w:trPr>
          <w:trHeight w:val="600" w:hRule="atLeast"/>
        </w:trPr>
        <w:tc>
          <w:tcPr>
            <w:tcW w:w="8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可持续影响指标</w:t>
            </w:r>
          </w:p>
        </w:tc>
        <w:tc>
          <w:tcPr>
            <w:tcW w:w="3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服务退役军人能力得到提升，促进社会和谐、无上访事件</w:t>
            </w:r>
          </w:p>
        </w:tc>
        <w:tc>
          <w:tcPr>
            <w:tcW w:w="193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长期</w:t>
            </w:r>
          </w:p>
        </w:tc>
      </w:tr>
      <w:tr>
        <w:tblPrEx>
          <w:tblCellMar>
            <w:top w:w="0" w:type="dxa"/>
            <w:left w:w="0" w:type="dxa"/>
            <w:bottom w:w="0" w:type="dxa"/>
            <w:right w:w="0" w:type="dxa"/>
          </w:tblCellMar>
        </w:tblPrEx>
        <w:trPr>
          <w:trHeight w:val="400" w:hRule="atLeast"/>
        </w:trPr>
        <w:tc>
          <w:tcPr>
            <w:tcW w:w="8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满意度指标</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满意度指标</w:t>
            </w:r>
          </w:p>
        </w:tc>
        <w:tc>
          <w:tcPr>
            <w:tcW w:w="3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服务对象满意度（%）</w:t>
            </w:r>
          </w:p>
        </w:tc>
        <w:tc>
          <w:tcPr>
            <w:tcW w:w="193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≥95%</w:t>
            </w:r>
          </w:p>
        </w:tc>
      </w:tr>
      <w:tr>
        <w:tblPrEx>
          <w:tblCellMar>
            <w:top w:w="0" w:type="dxa"/>
            <w:left w:w="0" w:type="dxa"/>
            <w:bottom w:w="0" w:type="dxa"/>
            <w:right w:w="0" w:type="dxa"/>
          </w:tblCellMar>
        </w:tblPrEx>
        <w:trPr>
          <w:gridAfter w:val="1"/>
          <w:wAfter w:w="102" w:type="dxa"/>
          <w:trHeight w:val="400" w:hRule="atLeast"/>
        </w:trPr>
        <w:tc>
          <w:tcPr>
            <w:tcW w:w="8643" w:type="dxa"/>
            <w:gridSpan w:val="10"/>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预算项目支出绩效目标表</w:t>
            </w:r>
          </w:p>
        </w:tc>
      </w:tr>
      <w:tr>
        <w:tblPrEx>
          <w:tblCellMar>
            <w:top w:w="0" w:type="dxa"/>
            <w:left w:w="0" w:type="dxa"/>
            <w:bottom w:w="0" w:type="dxa"/>
            <w:right w:w="0" w:type="dxa"/>
          </w:tblCellMar>
        </w:tblPrEx>
        <w:trPr>
          <w:gridAfter w:val="1"/>
          <w:wAfter w:w="102" w:type="dxa"/>
          <w:trHeight w:val="400" w:hRule="atLeast"/>
        </w:trPr>
        <w:tc>
          <w:tcPr>
            <w:tcW w:w="8643" w:type="dxa"/>
            <w:gridSpan w:val="10"/>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（2021年度）</w:t>
            </w:r>
          </w:p>
        </w:tc>
      </w:tr>
      <w:tr>
        <w:tblPrEx>
          <w:tblCellMar>
            <w:top w:w="0" w:type="dxa"/>
            <w:left w:w="0" w:type="dxa"/>
            <w:bottom w:w="0" w:type="dxa"/>
            <w:right w:w="0" w:type="dxa"/>
          </w:tblCellMar>
        </w:tblPrEx>
        <w:trPr>
          <w:gridAfter w:val="1"/>
          <w:wAfter w:w="102" w:type="dxa"/>
          <w:trHeight w:val="400" w:hRule="atLeast"/>
        </w:trPr>
        <w:tc>
          <w:tcPr>
            <w:tcW w:w="310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项目名称</w:t>
            </w:r>
          </w:p>
        </w:tc>
        <w:tc>
          <w:tcPr>
            <w:tcW w:w="553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业务宣传经费</w:t>
            </w:r>
          </w:p>
        </w:tc>
      </w:tr>
      <w:tr>
        <w:tblPrEx>
          <w:tblCellMar>
            <w:top w:w="0" w:type="dxa"/>
            <w:left w:w="0" w:type="dxa"/>
            <w:bottom w:w="0" w:type="dxa"/>
            <w:right w:w="0" w:type="dxa"/>
          </w:tblCellMar>
        </w:tblPrEx>
        <w:trPr>
          <w:gridAfter w:val="1"/>
          <w:wAfter w:w="102" w:type="dxa"/>
          <w:trHeight w:val="400" w:hRule="atLeast"/>
        </w:trPr>
        <w:tc>
          <w:tcPr>
            <w:tcW w:w="310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预算单位</w:t>
            </w:r>
          </w:p>
        </w:tc>
        <w:tc>
          <w:tcPr>
            <w:tcW w:w="553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昌吉州退役军人事务局</w:t>
            </w:r>
          </w:p>
        </w:tc>
      </w:tr>
      <w:tr>
        <w:tblPrEx>
          <w:tblCellMar>
            <w:top w:w="0" w:type="dxa"/>
            <w:left w:w="0" w:type="dxa"/>
            <w:bottom w:w="0" w:type="dxa"/>
            <w:right w:w="0" w:type="dxa"/>
          </w:tblCellMar>
        </w:tblPrEx>
        <w:trPr>
          <w:gridAfter w:val="1"/>
          <w:wAfter w:w="102" w:type="dxa"/>
          <w:trHeight w:val="400" w:hRule="atLeast"/>
        </w:trPr>
        <w:tc>
          <w:tcPr>
            <w:tcW w:w="3108"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项目资金</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（万元）</w:t>
            </w:r>
          </w:p>
        </w:tc>
        <w:tc>
          <w:tcPr>
            <w:tcW w:w="553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年度资金总额：20</w:t>
            </w:r>
          </w:p>
        </w:tc>
      </w:tr>
      <w:tr>
        <w:tblPrEx>
          <w:tblCellMar>
            <w:top w:w="0" w:type="dxa"/>
            <w:left w:w="0" w:type="dxa"/>
            <w:bottom w:w="0" w:type="dxa"/>
            <w:right w:w="0" w:type="dxa"/>
          </w:tblCellMar>
        </w:tblPrEx>
        <w:trPr>
          <w:gridAfter w:val="1"/>
          <w:wAfter w:w="102" w:type="dxa"/>
          <w:trHeight w:val="400" w:hRule="atLeast"/>
        </w:trPr>
        <w:tc>
          <w:tcPr>
            <w:tcW w:w="310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53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其中：财政拨款:20</w:t>
            </w:r>
          </w:p>
        </w:tc>
      </w:tr>
      <w:tr>
        <w:tblPrEx>
          <w:tblCellMar>
            <w:top w:w="0" w:type="dxa"/>
            <w:left w:w="0" w:type="dxa"/>
            <w:bottom w:w="0" w:type="dxa"/>
            <w:right w:w="0" w:type="dxa"/>
          </w:tblCellMar>
        </w:tblPrEx>
        <w:trPr>
          <w:gridAfter w:val="1"/>
          <w:wAfter w:w="102" w:type="dxa"/>
          <w:trHeight w:val="400" w:hRule="atLeast"/>
        </w:trPr>
        <w:tc>
          <w:tcPr>
            <w:tcW w:w="310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53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其他资金:0</w:t>
            </w:r>
          </w:p>
        </w:tc>
      </w:tr>
      <w:tr>
        <w:tblPrEx>
          <w:tblCellMar>
            <w:top w:w="0" w:type="dxa"/>
            <w:left w:w="0" w:type="dxa"/>
            <w:bottom w:w="0" w:type="dxa"/>
            <w:right w:w="0" w:type="dxa"/>
          </w:tblCellMar>
        </w:tblPrEx>
        <w:trPr>
          <w:gridAfter w:val="1"/>
          <w:wAfter w:w="102" w:type="dxa"/>
          <w:trHeight w:val="400" w:hRule="atLeast"/>
        </w:trPr>
        <w:tc>
          <w:tcPr>
            <w:tcW w:w="7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总</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体</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目</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标</w:t>
            </w:r>
          </w:p>
        </w:tc>
        <w:tc>
          <w:tcPr>
            <w:tcW w:w="7907"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年度目标</w:t>
            </w:r>
          </w:p>
        </w:tc>
      </w:tr>
      <w:tr>
        <w:tblPrEx>
          <w:tblCellMar>
            <w:top w:w="0" w:type="dxa"/>
            <w:left w:w="0" w:type="dxa"/>
            <w:bottom w:w="0" w:type="dxa"/>
            <w:right w:w="0" w:type="dxa"/>
          </w:tblCellMar>
        </w:tblPrEx>
        <w:trPr>
          <w:gridAfter w:val="1"/>
          <w:wAfter w:w="102" w:type="dxa"/>
          <w:trHeight w:val="122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907"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ascii="宋体" w:hAnsi="宋体" w:cs="宋体"/>
                <w:color w:val="000000"/>
                <w:sz w:val="20"/>
                <w:szCs w:val="20"/>
              </w:rPr>
            </w:pPr>
            <w:r>
              <w:rPr>
                <w:rFonts w:hint="eastAsia" w:ascii="宋体" w:hAnsi="宋体" w:cs="宋体"/>
                <w:color w:val="000000"/>
                <w:kern w:val="0"/>
                <w:sz w:val="20"/>
                <w:szCs w:val="20"/>
                <w:lang w:bidi="ar"/>
              </w:rPr>
              <w:t>单位职能：贯彻落实党中央关于退役军人的方针政策和区州党委对退役军人工作要求，加强党对退役军人工作的集中统一领导。                  项目目标 ：1.建立退役军人公众号，宣传退役军人政策法规、退役军人先进典型事迹，传播社会正能量，形成全社会关心支持退役军人工作氛围。2.与昌吉州电视台等媒体合作，宣传报道退役军人工作。</w:t>
            </w:r>
          </w:p>
        </w:tc>
      </w:tr>
      <w:tr>
        <w:tblPrEx>
          <w:tblCellMar>
            <w:top w:w="0" w:type="dxa"/>
            <w:left w:w="0" w:type="dxa"/>
            <w:bottom w:w="0" w:type="dxa"/>
            <w:right w:w="0" w:type="dxa"/>
          </w:tblCellMar>
        </w:tblPrEx>
        <w:trPr>
          <w:gridAfter w:val="1"/>
          <w:wAfter w:w="102" w:type="dxa"/>
          <w:trHeight w:val="400" w:hRule="atLeast"/>
        </w:trPr>
        <w:tc>
          <w:tcPr>
            <w:tcW w:w="7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经济指标</w:t>
            </w:r>
          </w:p>
        </w:tc>
        <w:tc>
          <w:tcPr>
            <w:tcW w:w="8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一级指标</w:t>
            </w:r>
          </w:p>
        </w:tc>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二级指标</w:t>
            </w:r>
          </w:p>
        </w:tc>
        <w:tc>
          <w:tcPr>
            <w:tcW w:w="38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三级指标</w:t>
            </w:r>
          </w:p>
        </w:tc>
        <w:tc>
          <w:tcPr>
            <w:tcW w:w="16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预期指标值</w:t>
            </w:r>
          </w:p>
        </w:tc>
      </w:tr>
      <w:tr>
        <w:tblPrEx>
          <w:tblCellMar>
            <w:top w:w="0" w:type="dxa"/>
            <w:left w:w="0" w:type="dxa"/>
            <w:bottom w:w="0" w:type="dxa"/>
            <w:right w:w="0" w:type="dxa"/>
          </w:tblCellMar>
        </w:tblPrEx>
        <w:trPr>
          <w:gridAfter w:val="1"/>
          <w:wAfter w:w="102" w:type="dxa"/>
          <w:trHeight w:val="40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88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产出指标</w:t>
            </w:r>
          </w:p>
        </w:tc>
        <w:tc>
          <w:tcPr>
            <w:tcW w:w="148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数量指标</w:t>
            </w:r>
          </w:p>
        </w:tc>
        <w:tc>
          <w:tcPr>
            <w:tcW w:w="3840"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公众号每周信息发布（次）</w:t>
            </w:r>
          </w:p>
        </w:tc>
        <w:tc>
          <w:tcPr>
            <w:tcW w:w="1695"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144次</w:t>
            </w:r>
          </w:p>
        </w:tc>
      </w:tr>
      <w:tr>
        <w:tblPrEx>
          <w:tblCellMar>
            <w:top w:w="0" w:type="dxa"/>
            <w:left w:w="0" w:type="dxa"/>
            <w:bottom w:w="0" w:type="dxa"/>
            <w:right w:w="0" w:type="dxa"/>
          </w:tblCellMar>
        </w:tblPrEx>
        <w:trPr>
          <w:gridAfter w:val="1"/>
          <w:wAfter w:w="102" w:type="dxa"/>
          <w:trHeight w:val="40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8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4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3840"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公众号运行维护（次）</w:t>
            </w:r>
          </w:p>
        </w:tc>
        <w:tc>
          <w:tcPr>
            <w:tcW w:w="1695"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48次</w:t>
            </w:r>
          </w:p>
        </w:tc>
      </w:tr>
      <w:tr>
        <w:tblPrEx>
          <w:tblCellMar>
            <w:top w:w="0" w:type="dxa"/>
            <w:left w:w="0" w:type="dxa"/>
            <w:bottom w:w="0" w:type="dxa"/>
            <w:right w:w="0" w:type="dxa"/>
          </w:tblCellMar>
        </w:tblPrEx>
        <w:trPr>
          <w:gridAfter w:val="1"/>
          <w:wAfter w:w="102" w:type="dxa"/>
          <w:trHeight w:val="40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8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质量指标</w:t>
            </w:r>
          </w:p>
        </w:tc>
        <w:tc>
          <w:tcPr>
            <w:tcW w:w="3840"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退役军人宣传工作完成率（%）</w:t>
            </w:r>
          </w:p>
        </w:tc>
        <w:tc>
          <w:tcPr>
            <w:tcW w:w="16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100%</w:t>
            </w:r>
          </w:p>
        </w:tc>
      </w:tr>
      <w:tr>
        <w:tblPrEx>
          <w:tblCellMar>
            <w:top w:w="0" w:type="dxa"/>
            <w:left w:w="0" w:type="dxa"/>
            <w:bottom w:w="0" w:type="dxa"/>
            <w:right w:w="0" w:type="dxa"/>
          </w:tblCellMar>
        </w:tblPrEx>
        <w:trPr>
          <w:gridAfter w:val="1"/>
          <w:wAfter w:w="102" w:type="dxa"/>
          <w:trHeight w:val="40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8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时效指标</w:t>
            </w:r>
          </w:p>
        </w:tc>
        <w:tc>
          <w:tcPr>
            <w:tcW w:w="38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退役军人宣传工作开展时间（月）</w:t>
            </w:r>
          </w:p>
        </w:tc>
        <w:tc>
          <w:tcPr>
            <w:tcW w:w="16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2021年1月-12月</w:t>
            </w:r>
          </w:p>
        </w:tc>
      </w:tr>
      <w:tr>
        <w:tblPrEx>
          <w:tblCellMar>
            <w:top w:w="0" w:type="dxa"/>
            <w:left w:w="0" w:type="dxa"/>
            <w:bottom w:w="0" w:type="dxa"/>
            <w:right w:w="0" w:type="dxa"/>
          </w:tblCellMar>
        </w:tblPrEx>
        <w:trPr>
          <w:gridAfter w:val="1"/>
          <w:wAfter w:w="102" w:type="dxa"/>
          <w:trHeight w:val="40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8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486"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成本指标</w:t>
            </w:r>
          </w:p>
        </w:tc>
        <w:tc>
          <w:tcPr>
            <w:tcW w:w="38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微信公众号维护运行费（万元）</w:t>
            </w:r>
          </w:p>
        </w:tc>
        <w:tc>
          <w:tcPr>
            <w:tcW w:w="16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≤5万元</w:t>
            </w:r>
          </w:p>
        </w:tc>
      </w:tr>
      <w:tr>
        <w:tblPrEx>
          <w:tblCellMar>
            <w:top w:w="0" w:type="dxa"/>
            <w:left w:w="0" w:type="dxa"/>
            <w:bottom w:w="0" w:type="dxa"/>
            <w:right w:w="0" w:type="dxa"/>
          </w:tblCellMar>
        </w:tblPrEx>
        <w:trPr>
          <w:gridAfter w:val="1"/>
          <w:wAfter w:w="102" w:type="dxa"/>
          <w:trHeight w:val="60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8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486"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38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昌吉日报设置专版、电台和电视台节目录制经费（万元）</w:t>
            </w:r>
          </w:p>
        </w:tc>
        <w:tc>
          <w:tcPr>
            <w:tcW w:w="16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≤15万元</w:t>
            </w:r>
          </w:p>
        </w:tc>
      </w:tr>
      <w:tr>
        <w:tblPrEx>
          <w:tblCellMar>
            <w:top w:w="0" w:type="dxa"/>
            <w:left w:w="0" w:type="dxa"/>
            <w:bottom w:w="0" w:type="dxa"/>
            <w:right w:w="0" w:type="dxa"/>
          </w:tblCellMar>
        </w:tblPrEx>
        <w:trPr>
          <w:gridAfter w:val="1"/>
          <w:wAfter w:w="102" w:type="dxa"/>
          <w:trHeight w:val="60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88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效益指标</w:t>
            </w:r>
          </w:p>
        </w:tc>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社会效益指标</w:t>
            </w:r>
          </w:p>
        </w:tc>
        <w:tc>
          <w:tcPr>
            <w:tcW w:w="38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宣传政策、传播社会正能量，营造尊崇军人的社会环境</w:t>
            </w:r>
          </w:p>
        </w:tc>
        <w:tc>
          <w:tcPr>
            <w:tcW w:w="16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较好</w:t>
            </w:r>
          </w:p>
        </w:tc>
      </w:tr>
      <w:tr>
        <w:tblPrEx>
          <w:tblCellMar>
            <w:top w:w="0" w:type="dxa"/>
            <w:left w:w="0" w:type="dxa"/>
            <w:bottom w:w="0" w:type="dxa"/>
            <w:right w:w="0" w:type="dxa"/>
          </w:tblCellMar>
        </w:tblPrEx>
        <w:trPr>
          <w:gridAfter w:val="1"/>
          <w:wAfter w:w="102" w:type="dxa"/>
          <w:trHeight w:val="60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8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可持续影响指标</w:t>
            </w:r>
          </w:p>
        </w:tc>
        <w:tc>
          <w:tcPr>
            <w:tcW w:w="38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传播社会正能量，形成全社会关心支持退役军人工作氛围</w:t>
            </w:r>
          </w:p>
        </w:tc>
        <w:tc>
          <w:tcPr>
            <w:tcW w:w="16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长期</w:t>
            </w:r>
          </w:p>
        </w:tc>
      </w:tr>
      <w:tr>
        <w:tblPrEx>
          <w:tblCellMar>
            <w:top w:w="0" w:type="dxa"/>
            <w:left w:w="0" w:type="dxa"/>
            <w:bottom w:w="0" w:type="dxa"/>
            <w:right w:w="0" w:type="dxa"/>
          </w:tblCellMar>
        </w:tblPrEx>
        <w:trPr>
          <w:gridAfter w:val="1"/>
          <w:wAfter w:w="102" w:type="dxa"/>
          <w:trHeight w:val="40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8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满意度指标</w:t>
            </w:r>
          </w:p>
        </w:tc>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满意度指标</w:t>
            </w:r>
          </w:p>
        </w:tc>
        <w:tc>
          <w:tcPr>
            <w:tcW w:w="38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服务对象满意度</w:t>
            </w:r>
          </w:p>
        </w:tc>
        <w:tc>
          <w:tcPr>
            <w:tcW w:w="16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≥95%</w:t>
            </w:r>
          </w:p>
        </w:tc>
      </w:tr>
    </w:tbl>
    <w:p/>
    <w:p>
      <w:pPr>
        <w:widowControl/>
        <w:spacing w:line="480" w:lineRule="exact"/>
        <w:ind w:firstLine="321" w:firstLineChars="1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黑体" w:hAnsi="黑体" w:eastAsia="黑体"/>
          <w:kern w:val="0"/>
          <w:sz w:val="32"/>
          <w:szCs w:val="32"/>
        </w:rPr>
      </w:pPr>
      <w:r>
        <w:rPr>
          <w:rFonts w:hint="eastAsia" w:ascii="仿宋_GB2312" w:hAnsi="宋体" w:eastAsia="仿宋_GB2312" w:cs="宋体"/>
          <w:kern w:val="0"/>
          <w:sz w:val="32"/>
          <w:szCs w:val="32"/>
        </w:rPr>
        <w:t>无其他需要说明的事项。</w:t>
      </w: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bookmarkStart w:id="0" w:name="_GoBack"/>
      <w:bookmarkEnd w:id="0"/>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ind w:left="5120" w:hanging="5120" w:hangingChars="16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昌吉州退役军人事务局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roma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54486"/>
    <w:rsid w:val="000C6FBF"/>
    <w:rsid w:val="000D531A"/>
    <w:rsid w:val="000F3B60"/>
    <w:rsid w:val="0011450F"/>
    <w:rsid w:val="0014232C"/>
    <w:rsid w:val="001747C9"/>
    <w:rsid w:val="00223EA5"/>
    <w:rsid w:val="00261065"/>
    <w:rsid w:val="002E7530"/>
    <w:rsid w:val="00321E8A"/>
    <w:rsid w:val="003679D2"/>
    <w:rsid w:val="00452A86"/>
    <w:rsid w:val="004B7E40"/>
    <w:rsid w:val="005320EE"/>
    <w:rsid w:val="005602EA"/>
    <w:rsid w:val="00567073"/>
    <w:rsid w:val="0059125F"/>
    <w:rsid w:val="005E5E91"/>
    <w:rsid w:val="006E145A"/>
    <w:rsid w:val="007200AE"/>
    <w:rsid w:val="00760458"/>
    <w:rsid w:val="007D7119"/>
    <w:rsid w:val="007E5ACA"/>
    <w:rsid w:val="00885E18"/>
    <w:rsid w:val="008910BE"/>
    <w:rsid w:val="008A4B03"/>
    <w:rsid w:val="008E4F9E"/>
    <w:rsid w:val="00944B81"/>
    <w:rsid w:val="00951A65"/>
    <w:rsid w:val="00977253"/>
    <w:rsid w:val="00997CE4"/>
    <w:rsid w:val="009B654C"/>
    <w:rsid w:val="009B6FA3"/>
    <w:rsid w:val="00A13D75"/>
    <w:rsid w:val="00A43293"/>
    <w:rsid w:val="00A57575"/>
    <w:rsid w:val="00AB1984"/>
    <w:rsid w:val="00B94A73"/>
    <w:rsid w:val="00D85033"/>
    <w:rsid w:val="00DA2829"/>
    <w:rsid w:val="00E51C21"/>
    <w:rsid w:val="00F105A9"/>
    <w:rsid w:val="013435B5"/>
    <w:rsid w:val="02493B95"/>
    <w:rsid w:val="02D167B7"/>
    <w:rsid w:val="031F5345"/>
    <w:rsid w:val="038806B7"/>
    <w:rsid w:val="03F27DAF"/>
    <w:rsid w:val="050A7DC2"/>
    <w:rsid w:val="073C31C4"/>
    <w:rsid w:val="0878022B"/>
    <w:rsid w:val="08941FDD"/>
    <w:rsid w:val="0A061210"/>
    <w:rsid w:val="0AE70B80"/>
    <w:rsid w:val="0C8964AB"/>
    <w:rsid w:val="0CE50021"/>
    <w:rsid w:val="0D5A7A76"/>
    <w:rsid w:val="0DC161D1"/>
    <w:rsid w:val="0E731547"/>
    <w:rsid w:val="0F175BA6"/>
    <w:rsid w:val="0F6D4FD8"/>
    <w:rsid w:val="0F9B0CA3"/>
    <w:rsid w:val="0FEC6DB6"/>
    <w:rsid w:val="10FD795E"/>
    <w:rsid w:val="124D6841"/>
    <w:rsid w:val="12FA0272"/>
    <w:rsid w:val="13CB6A41"/>
    <w:rsid w:val="140F5E7F"/>
    <w:rsid w:val="147F5711"/>
    <w:rsid w:val="14887A48"/>
    <w:rsid w:val="16181AD0"/>
    <w:rsid w:val="17922AE6"/>
    <w:rsid w:val="188045CA"/>
    <w:rsid w:val="18AD6283"/>
    <w:rsid w:val="19831C7F"/>
    <w:rsid w:val="1A906D5D"/>
    <w:rsid w:val="1C081F0D"/>
    <w:rsid w:val="1CCD32C8"/>
    <w:rsid w:val="1D9311A1"/>
    <w:rsid w:val="1DD652CC"/>
    <w:rsid w:val="1E3A19BD"/>
    <w:rsid w:val="1EA719F2"/>
    <w:rsid w:val="1FC422C4"/>
    <w:rsid w:val="2064565B"/>
    <w:rsid w:val="214312C2"/>
    <w:rsid w:val="227F371E"/>
    <w:rsid w:val="23DC3D38"/>
    <w:rsid w:val="24C15C4F"/>
    <w:rsid w:val="25203CCD"/>
    <w:rsid w:val="25B16EAE"/>
    <w:rsid w:val="25F50CB6"/>
    <w:rsid w:val="26EB208E"/>
    <w:rsid w:val="26EC6649"/>
    <w:rsid w:val="28DB0B49"/>
    <w:rsid w:val="290E448E"/>
    <w:rsid w:val="291B6597"/>
    <w:rsid w:val="2AA8367D"/>
    <w:rsid w:val="2B30453E"/>
    <w:rsid w:val="2B537471"/>
    <w:rsid w:val="2B632B65"/>
    <w:rsid w:val="2C711768"/>
    <w:rsid w:val="2C730B86"/>
    <w:rsid w:val="2E474078"/>
    <w:rsid w:val="2E5A3DAC"/>
    <w:rsid w:val="2E771A00"/>
    <w:rsid w:val="2EB165AF"/>
    <w:rsid w:val="2ECF5AE2"/>
    <w:rsid w:val="2F3831A5"/>
    <w:rsid w:val="30071D11"/>
    <w:rsid w:val="319055AA"/>
    <w:rsid w:val="31A0241D"/>
    <w:rsid w:val="321B08EB"/>
    <w:rsid w:val="335D4BA6"/>
    <w:rsid w:val="33A241EF"/>
    <w:rsid w:val="34AE3E9C"/>
    <w:rsid w:val="35236482"/>
    <w:rsid w:val="35B0727D"/>
    <w:rsid w:val="35D5640E"/>
    <w:rsid w:val="36767BF1"/>
    <w:rsid w:val="372907BF"/>
    <w:rsid w:val="384955CC"/>
    <w:rsid w:val="39C70AAE"/>
    <w:rsid w:val="3A127ABD"/>
    <w:rsid w:val="3B2A64A1"/>
    <w:rsid w:val="3B652BBC"/>
    <w:rsid w:val="3CBE1B54"/>
    <w:rsid w:val="3E1F7E03"/>
    <w:rsid w:val="41264B4B"/>
    <w:rsid w:val="42132491"/>
    <w:rsid w:val="43750423"/>
    <w:rsid w:val="443C265C"/>
    <w:rsid w:val="447B7955"/>
    <w:rsid w:val="44882F8F"/>
    <w:rsid w:val="455518DA"/>
    <w:rsid w:val="4661505B"/>
    <w:rsid w:val="49686258"/>
    <w:rsid w:val="4B706FEB"/>
    <w:rsid w:val="4D1F0243"/>
    <w:rsid w:val="4D5429CB"/>
    <w:rsid w:val="4D7B3E9B"/>
    <w:rsid w:val="4DEE01A2"/>
    <w:rsid w:val="4EBC7D13"/>
    <w:rsid w:val="4F4C0700"/>
    <w:rsid w:val="4FF661BE"/>
    <w:rsid w:val="502D6B68"/>
    <w:rsid w:val="50AB44E3"/>
    <w:rsid w:val="51080FFD"/>
    <w:rsid w:val="510E154F"/>
    <w:rsid w:val="510E627A"/>
    <w:rsid w:val="51391F7D"/>
    <w:rsid w:val="51825DC1"/>
    <w:rsid w:val="528A1B10"/>
    <w:rsid w:val="53017CD2"/>
    <w:rsid w:val="531F6234"/>
    <w:rsid w:val="53DB6CFD"/>
    <w:rsid w:val="54B92E6F"/>
    <w:rsid w:val="55837192"/>
    <w:rsid w:val="56462CE4"/>
    <w:rsid w:val="59EB4293"/>
    <w:rsid w:val="59EC76FE"/>
    <w:rsid w:val="5A32008C"/>
    <w:rsid w:val="5AEC3708"/>
    <w:rsid w:val="5D0A3A87"/>
    <w:rsid w:val="5D536C89"/>
    <w:rsid w:val="5E032122"/>
    <w:rsid w:val="5E10042A"/>
    <w:rsid w:val="5EBD581C"/>
    <w:rsid w:val="5F9E149B"/>
    <w:rsid w:val="60D1764E"/>
    <w:rsid w:val="62045801"/>
    <w:rsid w:val="62374481"/>
    <w:rsid w:val="62CF5E0F"/>
    <w:rsid w:val="62E01DCA"/>
    <w:rsid w:val="635D6A67"/>
    <w:rsid w:val="636447A9"/>
    <w:rsid w:val="64AB6578"/>
    <w:rsid w:val="657A3AAE"/>
    <w:rsid w:val="65EE6502"/>
    <w:rsid w:val="65FF4E92"/>
    <w:rsid w:val="660F7664"/>
    <w:rsid w:val="666078FE"/>
    <w:rsid w:val="666D4F18"/>
    <w:rsid w:val="669A2427"/>
    <w:rsid w:val="689C44E5"/>
    <w:rsid w:val="698C6808"/>
    <w:rsid w:val="69EB1780"/>
    <w:rsid w:val="6AC36259"/>
    <w:rsid w:val="6AD77F57"/>
    <w:rsid w:val="6AF64881"/>
    <w:rsid w:val="6B5334B1"/>
    <w:rsid w:val="6B9E2823"/>
    <w:rsid w:val="6BA14F59"/>
    <w:rsid w:val="6E407718"/>
    <w:rsid w:val="6EC22E90"/>
    <w:rsid w:val="71BD3D57"/>
    <w:rsid w:val="720E0702"/>
    <w:rsid w:val="72CF521D"/>
    <w:rsid w:val="72FF3F89"/>
    <w:rsid w:val="73676ECF"/>
    <w:rsid w:val="73C97CAE"/>
    <w:rsid w:val="76004250"/>
    <w:rsid w:val="7629080A"/>
    <w:rsid w:val="76F95C7E"/>
    <w:rsid w:val="76FA7D4C"/>
    <w:rsid w:val="77816E10"/>
    <w:rsid w:val="78B13B95"/>
    <w:rsid w:val="78E026CC"/>
    <w:rsid w:val="79227521"/>
    <w:rsid w:val="792D47A0"/>
    <w:rsid w:val="79DE7C47"/>
    <w:rsid w:val="79E41D48"/>
    <w:rsid w:val="7A6304E8"/>
    <w:rsid w:val="7B0E0B73"/>
    <w:rsid w:val="7B317ED4"/>
    <w:rsid w:val="7B9673E0"/>
    <w:rsid w:val="7B98103C"/>
    <w:rsid w:val="7CE64029"/>
    <w:rsid w:val="7DF12C86"/>
    <w:rsid w:val="7E1E2A41"/>
    <w:rsid w:val="7FC62753"/>
    <w:rsid w:val="7FD40F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99"/>
    <w:pPr>
      <w:keepNext/>
      <w:keepLines/>
      <w:outlineLvl w:val="2"/>
    </w:pPr>
    <w:rPr>
      <w:b/>
      <w:bCs/>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semiHidden/>
    <w:qFormat/>
    <w:uiPriority w:val="0"/>
    <w:rPr>
      <w:rFonts w:asciiTheme="minorHAnsi" w:hAnsiTheme="minorHAnsi" w:eastAsiaTheme="minorEastAsia" w:cstheme="minorBidi"/>
      <w:sz w:val="18"/>
      <w:szCs w:val="18"/>
    </w:rPr>
  </w:style>
  <w:style w:type="paragraph" w:styleId="4">
    <w:name w:val="footer"/>
    <w:basedOn w:val="1"/>
    <w:link w:val="10"/>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Body Text Indent 3"/>
    <w:basedOn w:val="1"/>
    <w:link w:val="9"/>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9">
    <w:name w:val="正文文本缩进 3 Char"/>
    <w:link w:val="6"/>
    <w:qFormat/>
    <w:uiPriority w:val="0"/>
    <w:rPr>
      <w:rFonts w:eastAsia="仿宋_GB2312"/>
      <w:sz w:val="32"/>
      <w:szCs w:val="24"/>
    </w:rPr>
  </w:style>
  <w:style w:type="character" w:customStyle="1" w:styleId="10">
    <w:name w:val="页脚 Char"/>
    <w:link w:val="4"/>
    <w:qFormat/>
    <w:uiPriority w:val="99"/>
    <w:rPr>
      <w:rFonts w:eastAsia="黑体"/>
      <w:sz w:val="18"/>
      <w:szCs w:val="18"/>
    </w:rPr>
  </w:style>
  <w:style w:type="character" w:customStyle="1" w:styleId="11">
    <w:name w:val="批注框文本 Char"/>
    <w:link w:val="3"/>
    <w:semiHidden/>
    <w:qFormat/>
    <w:uiPriority w:val="0"/>
    <w:rPr>
      <w:sz w:val="18"/>
      <w:szCs w:val="18"/>
    </w:rPr>
  </w:style>
  <w:style w:type="character" w:customStyle="1" w:styleId="12">
    <w:name w:val="页眉 Char"/>
    <w:link w:val="5"/>
    <w:qFormat/>
    <w:uiPriority w:val="0"/>
    <w:rPr>
      <w:sz w:val="18"/>
      <w:szCs w:val="18"/>
    </w:rPr>
  </w:style>
  <w:style w:type="character" w:customStyle="1" w:styleId="13">
    <w:name w:val="页眉 Char1"/>
    <w:basedOn w:val="8"/>
    <w:semiHidden/>
    <w:qFormat/>
    <w:uiPriority w:val="99"/>
    <w:rPr>
      <w:rFonts w:ascii="Times New Roman" w:hAnsi="Times New Roman" w:eastAsia="宋体" w:cs="Times New Roman"/>
      <w:sz w:val="18"/>
      <w:szCs w:val="18"/>
    </w:rPr>
  </w:style>
  <w:style w:type="character" w:customStyle="1" w:styleId="14">
    <w:name w:val="正文文本缩进 3 Char1"/>
    <w:basedOn w:val="8"/>
    <w:semiHidden/>
    <w:qFormat/>
    <w:uiPriority w:val="99"/>
    <w:rPr>
      <w:rFonts w:ascii="Times New Roman" w:hAnsi="Times New Roman" w:eastAsia="宋体" w:cs="Times New Roman"/>
      <w:sz w:val="16"/>
      <w:szCs w:val="16"/>
    </w:rPr>
  </w:style>
  <w:style w:type="character" w:customStyle="1" w:styleId="15">
    <w:name w:val="页脚 Char1"/>
    <w:basedOn w:val="8"/>
    <w:semiHidden/>
    <w:qFormat/>
    <w:uiPriority w:val="99"/>
    <w:rPr>
      <w:rFonts w:ascii="Times New Roman" w:hAnsi="Times New Roman" w:eastAsia="宋体" w:cs="Times New Roman"/>
      <w:sz w:val="18"/>
      <w:szCs w:val="18"/>
    </w:rPr>
  </w:style>
  <w:style w:type="character" w:customStyle="1" w:styleId="16">
    <w:name w:val="批注框文本 Char1"/>
    <w:basedOn w:val="8"/>
    <w:semiHidden/>
    <w:qFormat/>
    <w:uiPriority w:val="99"/>
    <w:rPr>
      <w:rFonts w:ascii="Times New Roman" w:hAnsi="Times New Roman" w:eastAsia="宋体" w:cs="Times New Roman"/>
      <w:sz w:val="18"/>
      <w:szCs w:val="18"/>
    </w:rPr>
  </w:style>
  <w:style w:type="character" w:customStyle="1" w:styleId="17">
    <w:name w:val="font31"/>
    <w:basedOn w:val="8"/>
    <w:qFormat/>
    <w:uiPriority w:val="0"/>
    <w:rPr>
      <w:rFonts w:hint="eastAsia" w:ascii="宋体" w:hAnsi="宋体" w:eastAsia="宋体" w:cs="宋体"/>
      <w:color w:val="000000"/>
      <w:sz w:val="16"/>
      <w:szCs w:val="16"/>
      <w:u w:val="none"/>
    </w:rPr>
  </w:style>
  <w:style w:type="character" w:customStyle="1" w:styleId="18">
    <w:name w:val="font71"/>
    <w:basedOn w:val="8"/>
    <w:qFormat/>
    <w:uiPriority w:val="0"/>
    <w:rPr>
      <w:rFonts w:ascii="Calibri" w:hAnsi="Calibri" w:cs="Calibri"/>
      <w:color w:val="000000"/>
      <w:sz w:val="16"/>
      <w:szCs w:val="16"/>
      <w:u w:val="none"/>
    </w:rPr>
  </w:style>
  <w:style w:type="character" w:customStyle="1" w:styleId="19">
    <w:name w:val="font101"/>
    <w:basedOn w:val="8"/>
    <w:qFormat/>
    <w:uiPriority w:val="0"/>
    <w:rPr>
      <w:rFonts w:ascii="Arial" w:hAnsi="Arial" w:cs="Arial"/>
      <w:color w:val="000000"/>
      <w:sz w:val="20"/>
      <w:szCs w:val="20"/>
      <w:u w:val="none"/>
    </w:rPr>
  </w:style>
  <w:style w:type="character" w:customStyle="1" w:styleId="20">
    <w:name w:val="font11"/>
    <w:basedOn w:val="8"/>
    <w:qFormat/>
    <w:uiPriority w:val="0"/>
    <w:rPr>
      <w:rFonts w:hint="eastAsia" w:ascii="宋体" w:hAnsi="宋体" w:eastAsia="宋体" w:cs="宋体"/>
      <w:color w:val="000000"/>
      <w:sz w:val="20"/>
      <w:szCs w:val="20"/>
      <w:u w:val="none"/>
    </w:rPr>
  </w:style>
  <w:style w:type="character" w:customStyle="1" w:styleId="21">
    <w:name w:val="font51"/>
    <w:basedOn w:val="8"/>
    <w:qFormat/>
    <w:uiPriority w:val="0"/>
    <w:rPr>
      <w:rFonts w:hint="eastAsia" w:ascii="宋体" w:hAnsi="宋体" w:eastAsia="宋体" w:cs="宋体"/>
      <w:color w:val="000000"/>
      <w:sz w:val="16"/>
      <w:szCs w:val="16"/>
      <w:u w:val="none"/>
    </w:rPr>
  </w:style>
  <w:style w:type="character" w:customStyle="1" w:styleId="22">
    <w:name w:val="font121"/>
    <w:basedOn w:val="8"/>
    <w:qFormat/>
    <w:uiPriority w:val="0"/>
    <w:rPr>
      <w:rFonts w:hint="default" w:ascii="Calibri" w:hAnsi="Calibri" w:cs="Calibri"/>
      <w:color w:val="000000"/>
      <w:sz w:val="16"/>
      <w:szCs w:val="16"/>
      <w:u w:val="none"/>
    </w:rPr>
  </w:style>
  <w:style w:type="character" w:customStyle="1" w:styleId="23">
    <w:name w:val="font41"/>
    <w:basedOn w:val="8"/>
    <w:qFormat/>
    <w:uiPriority w:val="0"/>
    <w:rPr>
      <w:rFonts w:hint="eastAsia" w:ascii="宋体" w:hAnsi="宋体" w:eastAsia="宋体" w:cs="宋体"/>
      <w:color w:val="000000"/>
      <w:sz w:val="16"/>
      <w:szCs w:val="16"/>
      <w:u w:val="none"/>
    </w:rPr>
  </w:style>
  <w:style w:type="character" w:customStyle="1" w:styleId="24">
    <w:name w:val="font81"/>
    <w:basedOn w:val="8"/>
    <w:qFormat/>
    <w:uiPriority w:val="0"/>
    <w:rPr>
      <w:rFonts w:hint="eastAsia" w:ascii="宋体" w:hAnsi="宋体" w:eastAsia="宋体" w:cs="宋体"/>
      <w:color w:val="000000"/>
      <w:sz w:val="16"/>
      <w:szCs w:val="16"/>
      <w:u w:val="none"/>
    </w:rPr>
  </w:style>
  <w:style w:type="character" w:customStyle="1" w:styleId="25">
    <w:name w:val="font131"/>
    <w:basedOn w:val="8"/>
    <w:qFormat/>
    <w:uiPriority w:val="0"/>
    <w:rPr>
      <w:rFonts w:hint="default" w:ascii="Calibri" w:hAnsi="Calibri" w:cs="Calibri"/>
      <w:color w:val="000000"/>
      <w:sz w:val="16"/>
      <w:szCs w:val="16"/>
      <w:u w:val="none"/>
    </w:rPr>
  </w:style>
  <w:style w:type="character" w:customStyle="1" w:styleId="26">
    <w:name w:val="font21"/>
    <w:basedOn w:val="8"/>
    <w:qFormat/>
    <w:uiPriority w:val="0"/>
    <w:rPr>
      <w:rFonts w:hint="eastAsia" w:ascii="宋体" w:hAnsi="宋体" w:eastAsia="宋体" w:cs="宋体"/>
      <w:color w:val="000000"/>
      <w:sz w:val="24"/>
      <w:szCs w:val="24"/>
      <w:u w:val="none"/>
    </w:rPr>
  </w:style>
  <w:style w:type="character" w:customStyle="1" w:styleId="27">
    <w:name w:val="font91"/>
    <w:basedOn w:val="8"/>
    <w:qFormat/>
    <w:uiPriority w:val="0"/>
    <w:rPr>
      <w:rFonts w:ascii="Calibri" w:hAnsi="Calibri" w:cs="Calibri"/>
      <w:color w:val="000000"/>
      <w:sz w:val="16"/>
      <w:szCs w:val="16"/>
      <w:u w:val="none"/>
    </w:rPr>
  </w:style>
  <w:style w:type="paragraph" w:styleId="28">
    <w:name w:val="List Paragraph"/>
    <w:basedOn w:val="1"/>
    <w:qFormat/>
    <w:uiPriority w:val="99"/>
    <w:pPr>
      <w:ind w:firstLine="420" w:firstLineChars="200"/>
    </w:pPr>
  </w:style>
  <w:style w:type="character" w:customStyle="1" w:styleId="29">
    <w:name w:val="font61"/>
    <w:basedOn w:val="8"/>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66CD44-B806-421D-91B8-4DE866241DF2}">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29</Pages>
  <Words>10656</Words>
  <Characters>12536</Characters>
  <Lines>109</Lines>
  <Paragraphs>30</Paragraphs>
  <TotalTime>5</TotalTime>
  <ScaleCrop>false</ScaleCrop>
  <LinksUpToDate>false</LinksUpToDate>
  <CharactersWithSpaces>13454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娟子</cp:lastModifiedBy>
  <cp:lastPrinted>2021-05-09T11:53:00Z</cp:lastPrinted>
  <dcterms:modified xsi:type="dcterms:W3CDTF">2022-04-08T09:55:24Z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068406838BA6460B85562347BFDC6007</vt:lpwstr>
  </property>
</Properties>
</file>