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昌吉州医疗保障局2021年部门预算公开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outlineLvl w:val="1"/>
        <w:rPr>
          <w:rFonts w:ascii="黑体" w:hAnsi="黑体" w:eastAsia="黑体"/>
          <w:kern w:val="0"/>
          <w:sz w:val="36"/>
          <w:szCs w:val="32"/>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昌吉州医疗保障局概况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一、昌吉州医疗保障局收支总体情况表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二、昌吉州医疗保障局收入总体情况表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三、昌吉州医疗保障局支出总体情况表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一、关于昌吉州医疗保障局2021年收支预算情况的总体说明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二、关于昌吉州医疗保障局2021年收入预算情况说明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三、关于昌吉州医疗保障局2021年支出预算情况说明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昌吉州医疗保障局2021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五、关于昌吉州医疗保障局2021年一般公共预算当年拨款情况说明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六、关于昌吉州医疗保障局2021年一般公共预算基本支出情况说明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七、关于昌吉州医疗保障局2021年一般公共预算项目支出情况说明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八、关于昌吉州医疗保障局2021年一般公共预算“三公”经费预算情况说明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九、关于昌吉州医疗保障局2021年政府性基金预算拨款情况说明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昌吉州医疗保障局单位概况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(1）贯彻落实国家和自治区医疗保险、生育保险、人身意外伤害保险、医疗救助等医疗保障政策，拟订医疗保障制度的规章草案、政策措施、规划和标准并组织实施；拟订医疗保险、生育保险、大病保险、大额医疗补助、公务员医疗补助、企事业单位补充医疗保险、长期护理保险、医疗救助、享受国务院特殊津贴专家、离休人员和优抚对象医疗保障等政策措施、管理办法并组织实施。</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（2）组织制定并实施医疗保障基金监督管理办法，建立健全医疗保障基金安全防控机制，承担推进医疗保障基金支付方式改革工作，编制自治州医疗保障基金预决算草案。</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（3）组织拟订医疗保障筹资和待遇政策措施，完善动态调整，统筹城乡医疗保障待遇标准，建立健全与筹资水平相适应的待遇调整机制。拟订贯彻长期护理保险制度改革的方案并组织实施。</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4）组织拟订药品、医用耗材价格和医疗服务项目、医疗服务设施收费等政策措施并监督实施，执行自治区制定的药品、医用耗材的招标采购政策并监督实施，建立医保支付医药服务价格合理确定和动态调整机制，建立市场主导的社会医药服务价格形成机制，建立医药服务价格信息监测和信息发布制度。</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（5）组织制定药品、医用耗材、医疗服务项目、医疗服务设施等医保目录和支付标准，建立动态调整机制。</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6）制定定点医药机构协议和支付管理办法并组织实施，建立健全医疗保障信用评价体系和信息技露制度，监督管理纳入医保范围内的医疗服务行为和医疗费用，依法查处医疗保障、生育保险领域违法违规行为。</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7）负责医疗保障经办管理、公共服务体系和信息化建设。贯彻落实国家和自治区跨省异地就医管理和费用结算政策，组织制定异地就医和费用结算政策措施。建立健全医疗保障关系转移接续制度。指导医疗保障经办机构开展业务工作。</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（8）完成自治州党委、自治州人民政府交办的其他任务。</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9）职能转变。自治州医疗保障局应完善统一的城乡居民基本医疗保险制度和大病保险制度，建立健全覆盖全民、城乡统筹的多层次医疗保障体系，不断提高医疗保障水平，确保医保资金合理使用、安全可控，推进医疗、医保、医药“三医联动”改革，更好保障人民群众就医需求、减轻医药费用负担。</w:t>
      </w:r>
    </w:p>
    <w:p>
      <w:pPr>
        <w:pStyle w:val="3"/>
        <w:tabs>
          <w:tab w:val="left" w:pos="5060"/>
        </w:tabs>
        <w:autoSpaceDE w:val="0"/>
        <w:autoSpaceDN w:val="0"/>
        <w:spacing w:line="600" w:lineRule="exact"/>
        <w:ind w:firstLine="640" w:firstLineChars="200"/>
        <w:rPr>
          <w:rFonts w:ascii="仿宋_GB2312" w:eastAsia="仿宋_GB2312"/>
        </w:rPr>
      </w:pPr>
      <w:r>
        <w:rPr>
          <w:rFonts w:hint="eastAsia" w:ascii="仿宋_GB2312" w:eastAsia="仿宋_GB2312"/>
        </w:rPr>
        <w:t>（10）与自治州卫生健康委员会的有关职责分工。自治州卫生健康委员会、自治州医疗保障局等部门在医疗、医保、医药等方面加强制度、政策衔接，建立沟通协商机制，协同推进改革，提高医疗资源使用效率和医疗保障水平。</w:t>
      </w:r>
    </w:p>
    <w:p>
      <w:pPr>
        <w:pStyle w:val="3"/>
        <w:tabs>
          <w:tab w:val="left" w:pos="5060"/>
        </w:tabs>
        <w:autoSpaceDE w:val="0"/>
        <w:autoSpaceDN w:val="0"/>
        <w:spacing w:line="600" w:lineRule="exact"/>
        <w:ind w:firstLine="636"/>
        <w:rPr>
          <w:rFonts w:ascii="仿宋_GB2312" w:eastAsia="仿宋_GB2312"/>
        </w:rPr>
      </w:pPr>
      <w:r>
        <w:rPr>
          <w:rFonts w:hint="eastAsia" w:ascii="仿宋_GB2312" w:eastAsia="仿宋_GB2312"/>
        </w:rPr>
        <w:t>州医保局医疗保障经办服务中心负责综合管理全州医疗保险、生育保险和医疗救助经办服务、长期护理保险失能评定、人身意外伤害保险人员核定等，以及各保险的档案管理、基金管理、稽核、信息系统维护、政策宣传等。</w:t>
      </w:r>
    </w:p>
    <w:p>
      <w:pPr>
        <w:widowControl/>
        <w:spacing w:line="48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昌吉州医疗保障局</w:t>
      </w:r>
      <w:r>
        <w:rPr>
          <w:rFonts w:hint="eastAsia" w:ascii="仿宋_GB2312" w:hAnsi="黑体" w:eastAsia="仿宋_GB2312" w:cs="宋体"/>
          <w:bCs/>
          <w:kern w:val="0"/>
          <w:sz w:val="32"/>
          <w:szCs w:val="32"/>
        </w:rPr>
        <w:t>无下属预算单位，下设四个科室，分别是：</w:t>
      </w:r>
      <w:r>
        <w:rPr>
          <w:rFonts w:hint="eastAsia" w:ascii="仿宋_GB2312" w:eastAsia="仿宋_GB2312"/>
          <w:sz w:val="32"/>
          <w:szCs w:val="32"/>
        </w:rPr>
        <w:t>办公室、基金监管科、保障管理科、经办服务中心。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昌吉州医疗保障局编制数28，实有人数26人，其中：在职26人，增加0人；退休0人，增加0人；离休0人，增加0人。</w:t>
      </w:r>
    </w:p>
    <w:p>
      <w:pPr>
        <w:widowControl/>
        <w:spacing w:line="480" w:lineRule="exact"/>
        <w:jc w:val="left"/>
        <w:rPr>
          <w:rFonts w:ascii="仿宋_GB2312" w:hAnsi="宋体" w:eastAsia="仿宋_GB2312" w:cs="宋体"/>
          <w:kern w:val="0"/>
          <w:sz w:val="32"/>
          <w:szCs w:val="32"/>
        </w:rPr>
      </w:pPr>
    </w:p>
    <w:p>
      <w:pPr>
        <w:widowControl/>
        <w:spacing w:line="480" w:lineRule="exact"/>
        <w:ind w:firstLine="640"/>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pStyle w:val="2"/>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昌吉州医疗保障局                         单位：万元</w:t>
      </w:r>
    </w:p>
    <w:tbl>
      <w:tblPr>
        <w:tblStyle w:val="9"/>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1573.6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1573.6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32.01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1541.59</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1573.6　</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1573.6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编制部门（单位）：昌吉州医疗保障局                               单位：万元</w:t>
      </w:r>
    </w:p>
    <w:tbl>
      <w:tblPr>
        <w:tblStyle w:val="9"/>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合计</w:t>
            </w:r>
          </w:p>
        </w:tc>
        <w:tc>
          <w:tcPr>
            <w:tcW w:w="101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1573.6</w:t>
            </w:r>
          </w:p>
        </w:tc>
        <w:tc>
          <w:tcPr>
            <w:tcW w:w="85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1573.6</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社会保障和就业支出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32.01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32.01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行政事业单位养老支出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32.01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32.01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05</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32.01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32.01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val="en-US" w:eastAsia="zh-CN"/>
              </w:rPr>
              <w:t>1541.59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val="en-US" w:eastAsia="zh-CN"/>
              </w:rPr>
              <w:t>1541.59</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val="en-US" w:eastAsia="zh-CN"/>
              </w:rPr>
              <w:t>25.56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val="en-US" w:eastAsia="zh-CN"/>
              </w:rPr>
              <w:t>25.56</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01</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19</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03</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6</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99</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0.56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0.56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15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eastAsia="zh-CN"/>
              </w:rPr>
              <w:t>医疗保障管理事务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1516.03</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kern w:val="0"/>
                <w:sz w:val="18"/>
                <w:szCs w:val="18"/>
                <w:lang w:val="en-US" w:eastAsia="zh-CN"/>
              </w:rPr>
              <w:t>1516.03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01</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行政运行</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329.53</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329.53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02</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 xml:space="preserve">            100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 xml:space="preserve">            100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99</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其他医疗保障管理事务支出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1086.5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1086.5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编制部门（单位）：昌吉州医疗保障局                               单位：万元</w:t>
      </w:r>
    </w:p>
    <w:tbl>
      <w:tblPr>
        <w:tblStyle w:val="9"/>
        <w:tblW w:w="9420" w:type="dxa"/>
        <w:tblInd w:w="-240" w:type="dxa"/>
        <w:tblLayout w:type="fixed"/>
        <w:tblCellMar>
          <w:top w:w="0" w:type="dxa"/>
          <w:left w:w="108" w:type="dxa"/>
          <w:bottom w:w="0" w:type="dxa"/>
          <w:right w:w="108" w:type="dxa"/>
        </w:tblCellMar>
      </w:tblPr>
      <w:tblGrid>
        <w:gridCol w:w="494"/>
        <w:gridCol w:w="453"/>
        <w:gridCol w:w="464"/>
        <w:gridCol w:w="239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41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39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9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39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p>
        </w:tc>
        <w:tc>
          <w:tcPr>
            <w:tcW w:w="4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p>
        </w:tc>
        <w:tc>
          <w:tcPr>
            <w:tcW w:w="239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合计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1573.6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387.1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1186.5</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208</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b w:val="0"/>
                <w:bCs w:val="0"/>
                <w:color w:val="000000"/>
                <w:sz w:val="18"/>
                <w:szCs w:val="18"/>
                <w:lang w:eastAsia="zh-CN"/>
              </w:rPr>
            </w:pPr>
            <w:r>
              <w:rPr>
                <w:rFonts w:hint="eastAsia" w:ascii="仿宋_GB2312" w:hAnsi="宋体" w:eastAsia="仿宋_GB2312" w:cs="宋体"/>
                <w:b w:val="0"/>
                <w:bCs w:val="0"/>
                <w:color w:val="000000"/>
                <w:sz w:val="18"/>
                <w:szCs w:val="18"/>
                <w:lang w:eastAsia="zh-CN"/>
              </w:rPr>
              <w:t>社会保障和就业支出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32.01</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32.01</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208</w:t>
            </w:r>
          </w:p>
        </w:tc>
        <w:tc>
          <w:tcPr>
            <w:tcW w:w="45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b w:val="0"/>
                <w:bCs w:val="0"/>
                <w:color w:val="000000"/>
                <w:sz w:val="18"/>
                <w:szCs w:val="18"/>
                <w:lang w:eastAsia="zh-CN"/>
              </w:rPr>
            </w:pPr>
            <w:r>
              <w:rPr>
                <w:rFonts w:hint="eastAsia" w:ascii="仿宋_GB2312" w:hAnsi="宋体" w:eastAsia="仿宋_GB2312" w:cs="宋体"/>
                <w:b w:val="0"/>
                <w:bCs w:val="0"/>
                <w:color w:val="000000"/>
                <w:sz w:val="18"/>
                <w:szCs w:val="18"/>
                <w:lang w:eastAsia="zh-CN"/>
              </w:rPr>
              <w:t>行政事业单位养老支出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32.01</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32.01</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208</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05</w:t>
            </w: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32.01</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32.01</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210</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b w:val="0"/>
                <w:bCs w:val="0"/>
                <w:color w:val="000000"/>
                <w:sz w:val="18"/>
                <w:szCs w:val="18"/>
                <w:lang w:eastAsia="zh-CN"/>
              </w:rPr>
            </w:pPr>
            <w:r>
              <w:rPr>
                <w:rFonts w:hint="eastAsia" w:ascii="仿宋_GB2312" w:hAnsi="宋体" w:eastAsia="仿宋_GB2312" w:cs="宋体"/>
                <w:b w:val="0"/>
                <w:bCs w:val="0"/>
                <w:color w:val="000000"/>
                <w:sz w:val="18"/>
                <w:szCs w:val="18"/>
                <w:lang w:eastAsia="zh-CN"/>
              </w:rPr>
              <w:t>卫生健康支出</w:t>
            </w:r>
          </w:p>
        </w:tc>
        <w:tc>
          <w:tcPr>
            <w:tcW w:w="185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1541.59</w:t>
            </w:r>
          </w:p>
        </w:tc>
        <w:tc>
          <w:tcPr>
            <w:tcW w:w="185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355.09</w:t>
            </w:r>
          </w:p>
        </w:tc>
        <w:tc>
          <w:tcPr>
            <w:tcW w:w="190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1186.5</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210</w:t>
            </w:r>
          </w:p>
        </w:tc>
        <w:tc>
          <w:tcPr>
            <w:tcW w:w="45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b w:val="0"/>
                <w:bCs w:val="0"/>
                <w:color w:val="000000"/>
                <w:sz w:val="18"/>
                <w:szCs w:val="18"/>
                <w:lang w:eastAsia="zh-CN"/>
              </w:rPr>
            </w:pPr>
            <w:r>
              <w:rPr>
                <w:rFonts w:hint="eastAsia" w:ascii="仿宋_GB2312" w:hAnsi="宋体" w:eastAsia="仿宋_GB2312" w:cs="宋体"/>
                <w:b w:val="0"/>
                <w:bCs w:val="0"/>
                <w:color w:val="000000"/>
                <w:sz w:val="18"/>
                <w:szCs w:val="18"/>
                <w:lang w:eastAsia="zh-CN"/>
              </w:rPr>
              <w:t>行政事业单位医疗</w:t>
            </w:r>
          </w:p>
        </w:tc>
        <w:tc>
          <w:tcPr>
            <w:tcW w:w="185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25.56</w:t>
            </w:r>
          </w:p>
        </w:tc>
        <w:tc>
          <w:tcPr>
            <w:tcW w:w="1856"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25.56</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210</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01</w:t>
            </w: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行政单位医疗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19</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19</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210</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03</w:t>
            </w: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6</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210</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11</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99</w:t>
            </w: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0.56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0.56</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210</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15</w:t>
            </w:r>
          </w:p>
        </w:tc>
        <w:tc>
          <w:tcPr>
            <w:tcW w:w="4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p>
        </w:tc>
        <w:tc>
          <w:tcPr>
            <w:tcW w:w="239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b w:val="0"/>
                <w:bCs w:val="0"/>
                <w:color w:val="000000"/>
                <w:kern w:val="0"/>
                <w:sz w:val="18"/>
                <w:szCs w:val="18"/>
                <w:lang w:eastAsia="zh-CN"/>
              </w:rPr>
            </w:pPr>
            <w:r>
              <w:rPr>
                <w:rFonts w:hint="eastAsia" w:ascii="仿宋_GB2312" w:hAnsi="宋体" w:eastAsia="仿宋_GB2312" w:cs="宋体"/>
                <w:b w:val="0"/>
                <w:bCs w:val="0"/>
                <w:color w:val="000000"/>
                <w:kern w:val="0"/>
                <w:sz w:val="18"/>
                <w:szCs w:val="18"/>
                <w:lang w:eastAsia="zh-CN"/>
              </w:rPr>
              <w:t>医疗保障管理事务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1516.03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329.53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1186.5</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sz w:val="18"/>
                <w:szCs w:val="18"/>
              </w:rPr>
              <w:t>210</w:t>
            </w:r>
          </w:p>
        </w:tc>
        <w:tc>
          <w:tcPr>
            <w:tcW w:w="45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sz w:val="18"/>
                <w:szCs w:val="18"/>
              </w:rPr>
              <w:t>15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01</w:t>
            </w:r>
          </w:p>
        </w:tc>
        <w:tc>
          <w:tcPr>
            <w:tcW w:w="2394"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b w:val="0"/>
                <w:bCs w:val="0"/>
                <w:color w:val="000000"/>
                <w:kern w:val="0"/>
                <w:sz w:val="18"/>
                <w:szCs w:val="18"/>
                <w:lang w:eastAsia="zh-CN"/>
              </w:rPr>
            </w:pPr>
            <w:r>
              <w:rPr>
                <w:rFonts w:hint="eastAsia" w:ascii="仿宋_GB2312" w:hAnsi="宋体" w:eastAsia="仿宋_GB2312" w:cs="宋体"/>
                <w:b w:val="0"/>
                <w:bCs w:val="0"/>
                <w:color w:val="000000"/>
                <w:sz w:val="18"/>
                <w:szCs w:val="18"/>
              </w:rPr>
              <w:t>行政运行</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329.53</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329.53</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210</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02</w:t>
            </w: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一般行政管理事务</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 xml:space="preserve">            100</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 xml:space="preserve">              0</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100</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210</w:t>
            </w: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15</w:t>
            </w: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99</w:t>
            </w: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其他医疗保障管理事务支出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1086.5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 xml:space="preserve"> 0</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sz w:val="18"/>
                <w:szCs w:val="18"/>
              </w:rPr>
              <w:t>1086.5</w:t>
            </w: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9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94"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  计</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387.1</w:t>
            </w:r>
          </w:p>
        </w:tc>
        <w:tc>
          <w:tcPr>
            <w:tcW w:w="19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1186.5</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昌吉州医疗保障局 </w:t>
      </w:r>
      <w:r>
        <w:rPr>
          <w:rFonts w:hint="eastAsia" w:ascii="仿宋_GB2312" w:hAnsi="宋体" w:eastAsia="仿宋_GB2312"/>
          <w:kern w:val="0"/>
          <w:szCs w:val="21"/>
        </w:rPr>
        <w:t xml:space="preserve">                                  单位：万元</w:t>
      </w:r>
    </w:p>
    <w:tbl>
      <w:tblPr>
        <w:tblStyle w:val="9"/>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1573.6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1573.6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32.01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32.01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1541.59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1541.59</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1573.6</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1573.6　</w:t>
            </w:r>
          </w:p>
        </w:tc>
        <w:tc>
          <w:tcPr>
            <w:tcW w:w="96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1573.6　</w:t>
            </w:r>
          </w:p>
        </w:tc>
        <w:tc>
          <w:tcPr>
            <w:tcW w:w="102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9214" w:type="dxa"/>
        <w:tblInd w:w="-34" w:type="dxa"/>
        <w:tblLayout w:type="fixed"/>
        <w:tblCellMar>
          <w:top w:w="0" w:type="dxa"/>
          <w:left w:w="108" w:type="dxa"/>
          <w:bottom w:w="0" w:type="dxa"/>
          <w:right w:w="108" w:type="dxa"/>
        </w:tblCellMar>
      </w:tblPr>
      <w:tblGrid>
        <w:gridCol w:w="568"/>
        <w:gridCol w:w="492"/>
        <w:gridCol w:w="417"/>
        <w:gridCol w:w="2901"/>
        <w:gridCol w:w="269"/>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378"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昌吉州医疗保障局 </w:t>
            </w:r>
          </w:p>
        </w:tc>
        <w:tc>
          <w:tcPr>
            <w:tcW w:w="269"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37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836"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29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119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9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社会保障和就业支出</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sz w:val="18"/>
                <w:szCs w:val="18"/>
              </w:rPr>
              <w:t>32.01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sz w:val="18"/>
                <w:szCs w:val="18"/>
              </w:rPr>
              <w:t>32.01</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行政事业单位养老支出</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32.01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32.01</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05</w:t>
            </w: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机关事业单位基本养老保险缴费支出</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32.01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32.01</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卫生健康支出</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1541.59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355.09</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1186.5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lang w:eastAsia="zh-CN"/>
              </w:rPr>
              <w:t>行政事业单位医疗</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25.56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lang w:val="en-US" w:eastAsia="zh-CN"/>
              </w:rPr>
              <w:t>25.56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01</w:t>
            </w: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行政单位医疗</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19</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03</w:t>
            </w: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b w:val="0"/>
                <w:bCs w:val="0"/>
                <w:color w:val="000000"/>
                <w:sz w:val="18"/>
                <w:szCs w:val="18"/>
              </w:rPr>
              <w:t>公务员医疗补助</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99</w:t>
            </w: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其他行政事业单位医疗支出</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0.56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0.56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eastAsia="zh-CN"/>
              </w:rPr>
              <w:t>医疗保障管理事务</w:t>
            </w:r>
          </w:p>
        </w:tc>
        <w:tc>
          <w:tcPr>
            <w:tcW w:w="1293"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1516.03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329.53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1186.5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01</w:t>
            </w: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行政运行</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329.53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329.53</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02</w:t>
            </w: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一般行政管理事务</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 xml:space="preserve">            100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 xml:space="preserve">              0</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99</w:t>
            </w: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其他医疗保障管理事务支出</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1086.5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 xml:space="preserve"> 0</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b w:val="0"/>
                <w:bCs w:val="0"/>
                <w:color w:val="000000"/>
                <w:sz w:val="18"/>
                <w:szCs w:val="18"/>
              </w:rPr>
              <w:t>1086.5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29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29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29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29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29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29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29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1"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  计</w:t>
            </w:r>
          </w:p>
        </w:tc>
        <w:tc>
          <w:tcPr>
            <w:tcW w:w="1293"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387.1</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1186.5</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昌吉州医疗保障局</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6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387.1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351.49</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35.61</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351.49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351.49</w:t>
            </w:r>
          </w:p>
        </w:tc>
        <w:tc>
          <w:tcPr>
            <w:tcW w:w="1701" w:type="dxa"/>
            <w:tcBorders>
              <w:top w:val="nil"/>
              <w:left w:val="nil"/>
              <w:bottom w:val="single" w:color="auto" w:sz="4" w:space="0"/>
              <w:right w:val="single" w:color="auto" w:sz="4" w:space="0"/>
            </w:tcBorders>
            <w:vAlign w:val="center"/>
          </w:tcPr>
          <w:p>
            <w:pPr>
              <w:widowControl/>
              <w:jc w:val="right"/>
              <w:textAlignment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121.57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121.57</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26.81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26.81</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8.32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8.32</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32.76</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32.76</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45.92</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其它工资福利支出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34.54</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34.54</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32.01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32.01</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0.56</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0.56</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35.61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35.61</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w:t>
            </w:r>
            <w:r>
              <w:rPr>
                <w:rFonts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rPr>
              <w:t>护</w:t>
            </w:r>
            <w:r>
              <w:rPr>
                <w:rFonts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rPr>
              <w:t>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0.65</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公务招待费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2.43</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2.43</w:t>
            </w:r>
          </w:p>
        </w:tc>
      </w:tr>
      <w:tr>
        <w:tblPrEx>
          <w:tblLayout w:type="fixed"/>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5.59</w:t>
            </w:r>
          </w:p>
        </w:tc>
      </w:tr>
      <w:tr>
        <w:tblPrEx>
          <w:tblLayout w:type="fixed"/>
          <w:tblCellMar>
            <w:top w:w="0" w:type="dxa"/>
            <w:left w:w="108" w:type="dxa"/>
            <w:bottom w:w="0" w:type="dxa"/>
            <w:right w:w="108" w:type="dxa"/>
          </w:tblCellMar>
        </w:tblPrEx>
        <w:trPr>
          <w:trHeight w:val="309"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2.18</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2.18</w:t>
            </w:r>
          </w:p>
        </w:tc>
      </w:tr>
      <w:tr>
        <w:tblPrEx>
          <w:tblLayout w:type="fixed"/>
          <w:tblCellMar>
            <w:top w:w="0" w:type="dxa"/>
            <w:left w:w="108" w:type="dxa"/>
            <w:bottom w:w="0" w:type="dxa"/>
            <w:right w:w="108" w:type="dxa"/>
          </w:tblCellMar>
        </w:tblPrEx>
        <w:trPr>
          <w:trHeight w:val="309"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2.43</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9540" w:type="dxa"/>
        <w:tblInd w:w="-360" w:type="dxa"/>
        <w:tblLayout w:type="fixed"/>
        <w:tblCellMar>
          <w:top w:w="0" w:type="dxa"/>
          <w:left w:w="108" w:type="dxa"/>
          <w:bottom w:w="0" w:type="dxa"/>
          <w:right w:w="108" w:type="dxa"/>
        </w:tblCellMar>
      </w:tblPr>
      <w:tblGrid>
        <w:gridCol w:w="8"/>
        <w:gridCol w:w="519"/>
        <w:gridCol w:w="475"/>
        <w:gridCol w:w="443"/>
        <w:gridCol w:w="1219"/>
        <w:gridCol w:w="1144"/>
        <w:gridCol w:w="766"/>
        <w:gridCol w:w="362"/>
        <w:gridCol w:w="652"/>
        <w:gridCol w:w="829"/>
        <w:gridCol w:w="361"/>
        <w:gridCol w:w="257"/>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566"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编制部门（单位）：昌吉州医疗保障局</w:t>
            </w:r>
          </w:p>
        </w:tc>
        <w:tc>
          <w:tcPr>
            <w:tcW w:w="1014"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447"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45"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19"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44"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6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82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6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5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2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7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43"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19"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4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6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6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2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6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tcBorders>
              <w:top w:val="single" w:color="auto" w:sz="4" w:space="0"/>
              <w:left w:val="single" w:color="auto" w:sz="4" w:space="0"/>
              <w:bottom w:val="single" w:color="auto" w:sz="4" w:space="0"/>
              <w:right w:val="nil"/>
            </w:tcBorders>
            <w:vAlign w:val="center"/>
          </w:tcPr>
          <w:p>
            <w:pPr>
              <w:widowControl/>
              <w:jc w:val="center"/>
              <w:outlineLvl w:val="1"/>
              <w:rPr>
                <w:rFonts w:ascii="仿宋_GB2312" w:hAnsi="宋体" w:eastAsia="仿宋_GB2312"/>
                <w:kern w:val="0"/>
                <w:sz w:val="18"/>
                <w:szCs w:val="18"/>
              </w:rPr>
            </w:pPr>
          </w:p>
        </w:tc>
        <w:tc>
          <w:tcPr>
            <w:tcW w:w="475" w:type="dxa"/>
            <w:tcBorders>
              <w:top w:val="single" w:color="auto" w:sz="4" w:space="0"/>
              <w:left w:val="nil"/>
              <w:bottom w:val="single" w:color="auto" w:sz="4" w:space="0"/>
              <w:right w:val="nil"/>
            </w:tcBorders>
            <w:vAlign w:val="center"/>
          </w:tcPr>
          <w:p>
            <w:pPr>
              <w:widowControl/>
              <w:jc w:val="center"/>
              <w:outlineLvl w:val="1"/>
              <w:rPr>
                <w:rFonts w:ascii="仿宋_GB2312" w:hAnsi="宋体" w:eastAsia="仿宋_GB2312"/>
                <w:kern w:val="0"/>
                <w:sz w:val="18"/>
                <w:szCs w:val="18"/>
              </w:rPr>
            </w:pPr>
          </w:p>
        </w:tc>
        <w:tc>
          <w:tcPr>
            <w:tcW w:w="443" w:type="dxa"/>
            <w:tcBorders>
              <w:top w:val="single" w:color="auto" w:sz="4" w:space="0"/>
              <w:left w:val="nil"/>
              <w:bottom w:val="single" w:color="auto" w:sz="4" w:space="0"/>
              <w:right w:val="nil"/>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合</w:t>
            </w:r>
          </w:p>
        </w:tc>
        <w:tc>
          <w:tcPr>
            <w:tcW w:w="1219" w:type="dxa"/>
            <w:tcBorders>
              <w:top w:val="single" w:color="auto" w:sz="4" w:space="0"/>
              <w:left w:val="nil"/>
              <w:bottom w:val="single" w:color="auto" w:sz="4" w:space="0"/>
              <w:right w:val="single" w:color="auto" w:sz="4" w:space="0"/>
            </w:tcBorders>
            <w:vAlign w:val="center"/>
          </w:tcPr>
          <w:p>
            <w:pPr>
              <w:widowControl/>
              <w:jc w:val="left"/>
              <w:textAlignment w:val="center"/>
              <w:rPr>
                <w:rFonts w:ascii="仿宋_GB2312" w:hAnsi="宋体" w:eastAsia="仿宋_GB2312"/>
                <w:kern w:val="0"/>
                <w:sz w:val="18"/>
                <w:szCs w:val="18"/>
              </w:rPr>
            </w:pPr>
            <w:r>
              <w:rPr>
                <w:rFonts w:hint="eastAsia" w:ascii="仿宋_GB2312" w:hAnsi="宋体" w:eastAsia="仿宋_GB2312"/>
                <w:kern w:val="0"/>
                <w:sz w:val="18"/>
                <w:szCs w:val="18"/>
              </w:rPr>
              <w:t>计</w:t>
            </w:r>
          </w:p>
        </w:tc>
        <w:tc>
          <w:tcPr>
            <w:tcW w:w="1144" w:type="dxa"/>
            <w:tcBorders>
              <w:left w:val="single" w:color="auto" w:sz="4" w:space="0"/>
            </w:tcBorders>
            <w:vAlign w:val="center"/>
          </w:tcPr>
          <w:p>
            <w:pPr>
              <w:widowControl/>
              <w:jc w:val="left"/>
              <w:textAlignment w:val="center"/>
              <w:rPr>
                <w:rFonts w:ascii="仿宋_GB2312" w:hAnsi="宋体" w:eastAsia="仿宋_GB2312"/>
                <w:kern w:val="0"/>
                <w:sz w:val="18"/>
                <w:szCs w:val="18"/>
              </w:rPr>
            </w:pP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1186.5</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1086.5</w:t>
            </w:r>
          </w:p>
        </w:tc>
        <w:tc>
          <w:tcPr>
            <w:tcW w:w="36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5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578"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6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tcBorders>
              <w:top w:val="single" w:color="auto" w:sz="4" w:space="0"/>
            </w:tcBorders>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210</w:t>
            </w:r>
          </w:p>
        </w:tc>
        <w:tc>
          <w:tcPr>
            <w:tcW w:w="475" w:type="dxa"/>
            <w:tcBorders>
              <w:top w:val="single" w:color="auto" w:sz="4" w:space="0"/>
            </w:tcBorders>
            <w:vAlign w:val="center"/>
          </w:tcPr>
          <w:p>
            <w:pPr>
              <w:widowControl/>
              <w:jc w:val="center"/>
              <w:outlineLvl w:val="1"/>
              <w:rPr>
                <w:rFonts w:hint="eastAsia" w:ascii="仿宋_GB2312" w:hAnsi="宋体" w:eastAsia="仿宋_GB2312"/>
                <w:kern w:val="0"/>
                <w:sz w:val="18"/>
                <w:szCs w:val="18"/>
              </w:rPr>
            </w:pPr>
          </w:p>
        </w:tc>
        <w:tc>
          <w:tcPr>
            <w:tcW w:w="443" w:type="dxa"/>
            <w:tcBorders>
              <w:top w:val="single" w:color="auto" w:sz="4" w:space="0"/>
            </w:tcBorders>
            <w:vAlign w:val="center"/>
          </w:tcPr>
          <w:p>
            <w:pPr>
              <w:widowControl/>
              <w:jc w:val="center"/>
              <w:outlineLvl w:val="1"/>
              <w:rPr>
                <w:rFonts w:hint="eastAsia" w:ascii="仿宋_GB2312" w:hAnsi="宋体" w:eastAsia="仿宋_GB2312"/>
                <w:kern w:val="0"/>
                <w:sz w:val="18"/>
                <w:szCs w:val="18"/>
              </w:rPr>
            </w:pPr>
          </w:p>
        </w:tc>
        <w:tc>
          <w:tcPr>
            <w:tcW w:w="1219" w:type="dxa"/>
            <w:tcBorders>
              <w:top w:val="single" w:color="auto" w:sz="4" w:space="0"/>
            </w:tcBorders>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卫生健康支出</w:t>
            </w:r>
          </w:p>
        </w:tc>
        <w:tc>
          <w:tcPr>
            <w:tcW w:w="1144" w:type="dxa"/>
            <w:vAlign w:val="center"/>
          </w:tcPr>
          <w:p>
            <w:pPr>
              <w:widowControl/>
              <w:jc w:val="center"/>
              <w:outlineLvl w:val="1"/>
              <w:rPr>
                <w:rFonts w:hint="eastAsia" w:ascii="仿宋_GB2312" w:hAnsi="宋体" w:eastAsia="仿宋_GB2312"/>
                <w:kern w:val="0"/>
                <w:sz w:val="18"/>
                <w:szCs w:val="18"/>
              </w:rPr>
            </w:pPr>
          </w:p>
        </w:tc>
        <w:tc>
          <w:tcPr>
            <w:tcW w:w="766"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1186.5</w:t>
            </w:r>
          </w:p>
        </w:tc>
        <w:tc>
          <w:tcPr>
            <w:tcW w:w="362"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100</w:t>
            </w:r>
          </w:p>
        </w:tc>
        <w:tc>
          <w:tcPr>
            <w:tcW w:w="829"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1086.5</w:t>
            </w:r>
          </w:p>
        </w:tc>
        <w:tc>
          <w:tcPr>
            <w:tcW w:w="361"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57"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578"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6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tcBorders>
              <w:top w:val="single" w:color="auto" w:sz="4" w:space="0"/>
            </w:tcBorders>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210</w:t>
            </w:r>
          </w:p>
        </w:tc>
        <w:tc>
          <w:tcPr>
            <w:tcW w:w="475" w:type="dxa"/>
            <w:tcBorders>
              <w:top w:val="single" w:color="auto" w:sz="4" w:space="0"/>
            </w:tcBorders>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443" w:type="dxa"/>
            <w:tcBorders>
              <w:top w:val="single" w:color="auto" w:sz="4" w:space="0"/>
            </w:tcBorders>
            <w:vAlign w:val="center"/>
          </w:tcPr>
          <w:p>
            <w:pPr>
              <w:widowControl/>
              <w:jc w:val="center"/>
              <w:outlineLvl w:val="1"/>
              <w:rPr>
                <w:rFonts w:hint="eastAsia" w:ascii="仿宋_GB2312" w:hAnsi="宋体" w:eastAsia="仿宋_GB2312"/>
                <w:kern w:val="0"/>
                <w:sz w:val="18"/>
                <w:szCs w:val="18"/>
              </w:rPr>
            </w:pPr>
          </w:p>
        </w:tc>
        <w:tc>
          <w:tcPr>
            <w:tcW w:w="1219" w:type="dxa"/>
            <w:tcBorders>
              <w:top w:val="single" w:color="auto" w:sz="4" w:space="0"/>
            </w:tcBorders>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医疗保障管理事务</w:t>
            </w:r>
          </w:p>
        </w:tc>
        <w:tc>
          <w:tcPr>
            <w:tcW w:w="1144" w:type="dxa"/>
            <w:vAlign w:val="center"/>
          </w:tcPr>
          <w:p>
            <w:pPr>
              <w:widowControl/>
              <w:jc w:val="center"/>
              <w:outlineLvl w:val="1"/>
              <w:rPr>
                <w:rFonts w:hint="eastAsia" w:ascii="仿宋_GB2312" w:hAnsi="宋体" w:eastAsia="仿宋_GB2312"/>
                <w:kern w:val="0"/>
                <w:sz w:val="18"/>
                <w:szCs w:val="18"/>
              </w:rPr>
            </w:pPr>
          </w:p>
        </w:tc>
        <w:tc>
          <w:tcPr>
            <w:tcW w:w="766"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1186.5</w:t>
            </w:r>
          </w:p>
        </w:tc>
        <w:tc>
          <w:tcPr>
            <w:tcW w:w="362"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100</w:t>
            </w:r>
          </w:p>
        </w:tc>
        <w:tc>
          <w:tcPr>
            <w:tcW w:w="829" w:type="dxa"/>
            <w:vAlign w:val="center"/>
          </w:tcPr>
          <w:p>
            <w:pPr>
              <w:widowControl/>
              <w:jc w:val="center"/>
              <w:outlineLvl w:val="1"/>
              <w:rPr>
                <w:rFonts w:hint="eastAsia" w:ascii="仿宋_GB2312" w:hAnsi="宋体" w:eastAsia="仿宋_GB2312"/>
                <w:kern w:val="0"/>
                <w:sz w:val="18"/>
                <w:szCs w:val="18"/>
              </w:rPr>
            </w:pPr>
            <w:r>
              <w:rPr>
                <w:rFonts w:hint="eastAsia" w:ascii="仿宋_GB2312" w:hAnsi="宋体" w:eastAsia="仿宋_GB2312"/>
                <w:kern w:val="0"/>
                <w:sz w:val="18"/>
                <w:szCs w:val="18"/>
              </w:rPr>
              <w:t>1086.5</w:t>
            </w:r>
          </w:p>
        </w:tc>
        <w:tc>
          <w:tcPr>
            <w:tcW w:w="361"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5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578"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6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tcBorders>
              <w:top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75" w:type="dxa"/>
            <w:tcBorders>
              <w:top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43" w:type="dxa"/>
            <w:tcBorders>
              <w:top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1219" w:type="dxa"/>
            <w:tcBorders>
              <w:top w:val="single" w:color="auto" w:sz="4" w:space="0"/>
            </w:tcBorders>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医保局医保经办中心公共耗材及工作经费</w:t>
            </w: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361" w:type="dxa"/>
            <w:vAlign w:val="center"/>
          </w:tcPr>
          <w:p>
            <w:pPr>
              <w:widowControl/>
              <w:jc w:val="center"/>
              <w:outlineLvl w:val="1"/>
              <w:rPr>
                <w:rFonts w:hint="eastAsia" w:ascii="仿宋_GB2312" w:hAnsi="宋体" w:eastAsia="仿宋_GB2312"/>
                <w:kern w:val="0"/>
                <w:sz w:val="18"/>
                <w:szCs w:val="18"/>
                <w:lang w:val="en-US" w:eastAsia="zh-CN"/>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7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12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长期护理保险工作经费</w:t>
            </w: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7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12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医疗基金监管工作经费</w:t>
            </w:r>
          </w:p>
        </w:tc>
        <w:tc>
          <w:tcPr>
            <w:tcW w:w="766" w:type="dxa"/>
            <w:vAlign w:val="center"/>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30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7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2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其他医疗保障管理事务支出</w:t>
            </w: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地州级退休人员医疗补助经费</w:t>
            </w: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265</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265</w:t>
            </w: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7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2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其他医疗保障管理事务支出</w:t>
            </w: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国务院特殊津贴专家保健医疗费</w:t>
            </w: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40</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40</w:t>
            </w: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7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2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其他医疗保障管理事务支出</w:t>
            </w: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国务院特殊津贴专家保健医疗周转金</w:t>
            </w: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8.5</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8.5</w:t>
            </w: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210</w:t>
            </w:r>
          </w:p>
        </w:tc>
        <w:tc>
          <w:tcPr>
            <w:tcW w:w="47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4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21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其他医疗保障管理事务支出</w:t>
            </w: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离休人员医疗费</w:t>
            </w: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773</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773</w:t>
            </w: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trPr>
        <w:tc>
          <w:tcPr>
            <w:tcW w:w="527" w:type="dxa"/>
            <w:gridSpan w:val="2"/>
            <w:vAlign w:val="center"/>
          </w:tcPr>
          <w:p>
            <w:pPr>
              <w:widowControl/>
              <w:jc w:val="center"/>
              <w:outlineLvl w:val="1"/>
              <w:rPr>
                <w:rFonts w:ascii="仿宋_GB2312" w:hAnsi="宋体" w:eastAsia="仿宋_GB2312"/>
                <w:kern w:val="0"/>
                <w:sz w:val="18"/>
                <w:szCs w:val="18"/>
              </w:rPr>
            </w:pPr>
          </w:p>
        </w:tc>
        <w:tc>
          <w:tcPr>
            <w:tcW w:w="475" w:type="dxa"/>
            <w:vAlign w:val="center"/>
          </w:tcPr>
          <w:p>
            <w:pPr>
              <w:widowControl/>
              <w:jc w:val="center"/>
              <w:outlineLvl w:val="1"/>
              <w:rPr>
                <w:rFonts w:ascii="仿宋_GB2312" w:hAnsi="宋体" w:eastAsia="仿宋_GB2312"/>
                <w:kern w:val="0"/>
                <w:sz w:val="18"/>
                <w:szCs w:val="18"/>
              </w:rPr>
            </w:pPr>
          </w:p>
        </w:tc>
        <w:tc>
          <w:tcPr>
            <w:tcW w:w="443" w:type="dxa"/>
            <w:vAlign w:val="center"/>
          </w:tcPr>
          <w:p>
            <w:pPr>
              <w:widowControl/>
              <w:jc w:val="center"/>
              <w:outlineLvl w:val="1"/>
              <w:rPr>
                <w:rFonts w:ascii="仿宋_GB2312" w:hAnsi="宋体" w:eastAsia="仿宋_GB2312"/>
                <w:kern w:val="0"/>
                <w:sz w:val="18"/>
                <w:szCs w:val="18"/>
              </w:rPr>
            </w:pPr>
          </w:p>
        </w:tc>
        <w:tc>
          <w:tcPr>
            <w:tcW w:w="1219" w:type="dxa"/>
            <w:vAlign w:val="center"/>
          </w:tcPr>
          <w:p>
            <w:pPr>
              <w:widowControl/>
              <w:jc w:val="center"/>
              <w:outlineLvl w:val="1"/>
              <w:rPr>
                <w:rFonts w:ascii="仿宋_GB2312" w:hAnsi="宋体" w:eastAsia="仿宋_GB2312"/>
                <w:kern w:val="0"/>
                <w:sz w:val="18"/>
                <w:szCs w:val="18"/>
              </w:rPr>
            </w:pPr>
          </w:p>
        </w:tc>
        <w:tc>
          <w:tcPr>
            <w:tcW w:w="1144" w:type="dxa"/>
            <w:vAlign w:val="center"/>
          </w:tcPr>
          <w:p>
            <w:pPr>
              <w:widowControl/>
              <w:jc w:val="center"/>
              <w:outlineLvl w:val="1"/>
              <w:rPr>
                <w:rFonts w:ascii="仿宋_GB2312" w:hAnsi="宋体" w:eastAsia="仿宋_GB2312"/>
                <w:kern w:val="0"/>
                <w:sz w:val="18"/>
                <w:szCs w:val="18"/>
              </w:rPr>
            </w:pPr>
          </w:p>
        </w:tc>
        <w:tc>
          <w:tcPr>
            <w:tcW w:w="766" w:type="dxa"/>
            <w:vAlign w:val="center"/>
          </w:tcPr>
          <w:p>
            <w:pPr>
              <w:widowControl/>
              <w:jc w:val="center"/>
              <w:outlineLvl w:val="1"/>
              <w:rPr>
                <w:rFonts w:ascii="仿宋_GB2312" w:hAnsi="宋体" w:eastAsia="仿宋_GB2312"/>
                <w:kern w:val="0"/>
                <w:sz w:val="18"/>
                <w:szCs w:val="18"/>
              </w:rPr>
            </w:pPr>
          </w:p>
        </w:tc>
        <w:tc>
          <w:tcPr>
            <w:tcW w:w="36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829" w:type="dxa"/>
            <w:vAlign w:val="center"/>
          </w:tcPr>
          <w:p>
            <w:pPr>
              <w:widowControl/>
              <w:jc w:val="center"/>
              <w:outlineLvl w:val="1"/>
              <w:rPr>
                <w:rFonts w:ascii="仿宋_GB2312" w:hAnsi="宋体" w:eastAsia="仿宋_GB2312"/>
                <w:kern w:val="0"/>
                <w:sz w:val="18"/>
                <w:szCs w:val="18"/>
              </w:rPr>
            </w:pP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527" w:type="dxa"/>
            <w:gridSpan w:val="2"/>
            <w:vAlign w:val="center"/>
          </w:tcPr>
          <w:p>
            <w:pPr>
              <w:widowControl/>
              <w:jc w:val="center"/>
              <w:outlineLvl w:val="1"/>
              <w:rPr>
                <w:rFonts w:ascii="仿宋_GB2312" w:hAnsi="宋体" w:eastAsia="仿宋_GB2312"/>
                <w:kern w:val="0"/>
                <w:sz w:val="18"/>
                <w:szCs w:val="18"/>
              </w:rPr>
            </w:pPr>
          </w:p>
        </w:tc>
        <w:tc>
          <w:tcPr>
            <w:tcW w:w="475" w:type="dxa"/>
            <w:vAlign w:val="center"/>
          </w:tcPr>
          <w:p>
            <w:pPr>
              <w:widowControl/>
              <w:jc w:val="center"/>
              <w:outlineLvl w:val="1"/>
              <w:rPr>
                <w:rFonts w:ascii="仿宋_GB2312" w:hAnsi="宋体" w:eastAsia="仿宋_GB2312"/>
                <w:kern w:val="0"/>
                <w:sz w:val="18"/>
                <w:szCs w:val="18"/>
              </w:rPr>
            </w:pPr>
          </w:p>
        </w:tc>
        <w:tc>
          <w:tcPr>
            <w:tcW w:w="443" w:type="dxa"/>
            <w:vAlign w:val="center"/>
          </w:tcPr>
          <w:p>
            <w:pPr>
              <w:widowControl/>
              <w:jc w:val="center"/>
              <w:outlineLvl w:val="1"/>
              <w:rPr>
                <w:rFonts w:ascii="仿宋_GB2312" w:hAnsi="宋体" w:eastAsia="仿宋_GB2312"/>
                <w:kern w:val="0"/>
                <w:sz w:val="18"/>
                <w:szCs w:val="18"/>
              </w:rPr>
            </w:pPr>
          </w:p>
        </w:tc>
        <w:tc>
          <w:tcPr>
            <w:tcW w:w="1219" w:type="dxa"/>
            <w:vAlign w:val="center"/>
          </w:tcPr>
          <w:p>
            <w:pPr>
              <w:widowControl/>
              <w:jc w:val="center"/>
              <w:outlineLvl w:val="1"/>
              <w:rPr>
                <w:rFonts w:ascii="仿宋_GB2312" w:hAnsi="宋体" w:eastAsia="仿宋_GB2312"/>
                <w:kern w:val="0"/>
                <w:sz w:val="18"/>
                <w:szCs w:val="18"/>
              </w:rPr>
            </w:pPr>
          </w:p>
        </w:tc>
        <w:tc>
          <w:tcPr>
            <w:tcW w:w="1144" w:type="dxa"/>
            <w:vAlign w:val="center"/>
          </w:tcPr>
          <w:p>
            <w:pPr>
              <w:widowControl/>
              <w:jc w:val="center"/>
              <w:outlineLvl w:val="1"/>
              <w:rPr>
                <w:rFonts w:ascii="仿宋_GB2312" w:hAnsi="宋体" w:eastAsia="仿宋_GB2312"/>
                <w:kern w:val="0"/>
                <w:sz w:val="18"/>
                <w:szCs w:val="18"/>
              </w:rPr>
            </w:pPr>
          </w:p>
        </w:tc>
        <w:tc>
          <w:tcPr>
            <w:tcW w:w="766" w:type="dxa"/>
            <w:vAlign w:val="center"/>
          </w:tcPr>
          <w:p>
            <w:pPr>
              <w:widowControl/>
              <w:jc w:val="center"/>
              <w:outlineLvl w:val="1"/>
              <w:rPr>
                <w:rFonts w:ascii="仿宋_GB2312" w:hAnsi="宋体" w:eastAsia="仿宋_GB2312"/>
                <w:kern w:val="0"/>
                <w:sz w:val="18"/>
                <w:szCs w:val="18"/>
              </w:rPr>
            </w:pPr>
          </w:p>
        </w:tc>
        <w:tc>
          <w:tcPr>
            <w:tcW w:w="36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829" w:type="dxa"/>
            <w:vAlign w:val="center"/>
          </w:tcPr>
          <w:p>
            <w:pPr>
              <w:widowControl/>
              <w:jc w:val="center"/>
              <w:outlineLvl w:val="1"/>
              <w:rPr>
                <w:rFonts w:ascii="仿宋_GB2312" w:hAnsi="宋体" w:eastAsia="仿宋_GB2312"/>
                <w:kern w:val="0"/>
                <w:sz w:val="18"/>
                <w:szCs w:val="18"/>
              </w:rPr>
            </w:pP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trPr>
        <w:tc>
          <w:tcPr>
            <w:tcW w:w="527" w:type="dxa"/>
            <w:gridSpan w:val="2"/>
            <w:vAlign w:val="center"/>
          </w:tcPr>
          <w:p>
            <w:pPr>
              <w:widowControl/>
              <w:jc w:val="center"/>
              <w:outlineLvl w:val="1"/>
              <w:rPr>
                <w:rFonts w:ascii="仿宋_GB2312" w:hAnsi="宋体" w:eastAsia="仿宋_GB2312"/>
                <w:kern w:val="0"/>
                <w:sz w:val="18"/>
                <w:szCs w:val="18"/>
              </w:rPr>
            </w:pPr>
          </w:p>
        </w:tc>
        <w:tc>
          <w:tcPr>
            <w:tcW w:w="475" w:type="dxa"/>
            <w:vAlign w:val="center"/>
          </w:tcPr>
          <w:p>
            <w:pPr>
              <w:widowControl/>
              <w:jc w:val="center"/>
              <w:outlineLvl w:val="1"/>
              <w:rPr>
                <w:rFonts w:ascii="仿宋_GB2312" w:hAnsi="宋体" w:eastAsia="仿宋_GB2312"/>
                <w:kern w:val="0"/>
                <w:sz w:val="18"/>
                <w:szCs w:val="18"/>
              </w:rPr>
            </w:pPr>
          </w:p>
        </w:tc>
        <w:tc>
          <w:tcPr>
            <w:tcW w:w="443" w:type="dxa"/>
            <w:vAlign w:val="center"/>
          </w:tcPr>
          <w:p>
            <w:pPr>
              <w:widowControl/>
              <w:jc w:val="center"/>
              <w:outlineLvl w:val="1"/>
              <w:rPr>
                <w:rFonts w:ascii="仿宋_GB2312" w:hAnsi="宋体" w:eastAsia="仿宋_GB2312"/>
                <w:kern w:val="0"/>
                <w:sz w:val="18"/>
                <w:szCs w:val="18"/>
              </w:rPr>
            </w:pPr>
          </w:p>
        </w:tc>
        <w:tc>
          <w:tcPr>
            <w:tcW w:w="1219" w:type="dxa"/>
            <w:vAlign w:val="center"/>
          </w:tcPr>
          <w:p>
            <w:pPr>
              <w:widowControl/>
              <w:jc w:val="center"/>
              <w:outlineLvl w:val="1"/>
              <w:rPr>
                <w:rFonts w:ascii="仿宋_GB2312" w:hAnsi="宋体" w:eastAsia="仿宋_GB2312"/>
                <w:kern w:val="0"/>
                <w:sz w:val="18"/>
                <w:szCs w:val="18"/>
              </w:rPr>
            </w:pPr>
          </w:p>
        </w:tc>
        <w:tc>
          <w:tcPr>
            <w:tcW w:w="1144" w:type="dxa"/>
            <w:vAlign w:val="center"/>
          </w:tcPr>
          <w:p>
            <w:pPr>
              <w:widowControl/>
              <w:jc w:val="center"/>
              <w:outlineLvl w:val="1"/>
              <w:rPr>
                <w:rFonts w:ascii="仿宋_GB2312" w:hAnsi="宋体" w:eastAsia="仿宋_GB2312"/>
                <w:kern w:val="0"/>
                <w:sz w:val="18"/>
                <w:szCs w:val="18"/>
              </w:rPr>
            </w:pPr>
          </w:p>
        </w:tc>
        <w:tc>
          <w:tcPr>
            <w:tcW w:w="766" w:type="dxa"/>
            <w:vAlign w:val="center"/>
          </w:tcPr>
          <w:p>
            <w:pPr>
              <w:widowControl/>
              <w:jc w:val="center"/>
              <w:outlineLvl w:val="1"/>
              <w:rPr>
                <w:rFonts w:ascii="仿宋_GB2312" w:hAnsi="宋体" w:eastAsia="仿宋_GB2312"/>
                <w:kern w:val="0"/>
                <w:sz w:val="18"/>
                <w:szCs w:val="18"/>
              </w:rPr>
            </w:pPr>
          </w:p>
        </w:tc>
        <w:tc>
          <w:tcPr>
            <w:tcW w:w="36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829" w:type="dxa"/>
            <w:vAlign w:val="center"/>
          </w:tcPr>
          <w:p>
            <w:pPr>
              <w:widowControl/>
              <w:jc w:val="center"/>
              <w:outlineLvl w:val="1"/>
              <w:rPr>
                <w:rFonts w:ascii="仿宋_GB2312" w:hAnsi="宋体" w:eastAsia="仿宋_GB2312"/>
                <w:kern w:val="0"/>
                <w:sz w:val="18"/>
                <w:szCs w:val="18"/>
              </w:rPr>
            </w:pPr>
          </w:p>
        </w:tc>
        <w:tc>
          <w:tcPr>
            <w:tcW w:w="361" w:type="dxa"/>
            <w:vAlign w:val="center"/>
          </w:tcPr>
          <w:p>
            <w:pPr>
              <w:widowControl/>
              <w:jc w:val="center"/>
              <w:outlineLvl w:val="1"/>
              <w:rPr>
                <w:rFonts w:ascii="仿宋_GB2312" w:hAnsi="宋体" w:eastAsia="仿宋_GB2312"/>
                <w:kern w:val="0"/>
                <w:sz w:val="18"/>
                <w:szCs w:val="18"/>
              </w:rPr>
            </w:pPr>
          </w:p>
        </w:tc>
        <w:tc>
          <w:tcPr>
            <w:tcW w:w="457"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527" w:type="dxa"/>
            <w:gridSpan w:val="2"/>
            <w:vAlign w:val="center"/>
          </w:tcPr>
          <w:p>
            <w:pPr>
              <w:widowControl/>
              <w:jc w:val="center"/>
              <w:outlineLvl w:val="1"/>
              <w:rPr>
                <w:rFonts w:ascii="仿宋_GB2312" w:hAnsi="宋体" w:eastAsia="仿宋_GB2312"/>
                <w:kern w:val="0"/>
                <w:sz w:val="18"/>
                <w:szCs w:val="18"/>
              </w:rPr>
            </w:pPr>
          </w:p>
        </w:tc>
        <w:tc>
          <w:tcPr>
            <w:tcW w:w="475" w:type="dxa"/>
            <w:vAlign w:val="center"/>
          </w:tcPr>
          <w:p>
            <w:pPr>
              <w:widowControl/>
              <w:jc w:val="center"/>
              <w:outlineLvl w:val="1"/>
              <w:rPr>
                <w:rFonts w:ascii="仿宋_GB2312" w:hAnsi="宋体" w:eastAsia="仿宋_GB2312"/>
                <w:kern w:val="0"/>
                <w:sz w:val="18"/>
                <w:szCs w:val="18"/>
              </w:rPr>
            </w:pPr>
          </w:p>
        </w:tc>
        <w:tc>
          <w:tcPr>
            <w:tcW w:w="443" w:type="dxa"/>
            <w:vAlign w:val="center"/>
          </w:tcPr>
          <w:p>
            <w:pPr>
              <w:widowControl/>
              <w:jc w:val="center"/>
              <w:outlineLvl w:val="1"/>
              <w:rPr>
                <w:rFonts w:ascii="仿宋_GB2312" w:hAnsi="宋体" w:eastAsia="仿宋_GB2312"/>
                <w:kern w:val="0"/>
                <w:sz w:val="18"/>
                <w:szCs w:val="18"/>
              </w:rPr>
            </w:pPr>
          </w:p>
        </w:tc>
        <w:tc>
          <w:tcPr>
            <w:tcW w:w="1219" w:type="dxa"/>
            <w:vAlign w:val="center"/>
          </w:tcPr>
          <w:p>
            <w:pPr>
              <w:widowControl/>
              <w:jc w:val="center"/>
              <w:outlineLvl w:val="1"/>
              <w:rPr>
                <w:rFonts w:ascii="仿宋_GB2312" w:hAnsi="宋体" w:eastAsia="仿宋_GB2312"/>
                <w:kern w:val="0"/>
                <w:sz w:val="18"/>
                <w:szCs w:val="18"/>
              </w:rPr>
            </w:pPr>
          </w:p>
        </w:tc>
        <w:tc>
          <w:tcPr>
            <w:tcW w:w="114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6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1186.5</w:t>
            </w:r>
          </w:p>
        </w:tc>
        <w:tc>
          <w:tcPr>
            <w:tcW w:w="3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65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82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1086.5</w:t>
            </w:r>
          </w:p>
        </w:tc>
        <w:tc>
          <w:tcPr>
            <w:tcW w:w="361"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57"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6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bl>
    <w:p>
      <w:pPr>
        <w:widowControl/>
        <w:jc w:val="left"/>
        <w:outlineLvl w:val="1"/>
        <w:rPr>
          <w:rFonts w:ascii="仿宋_GB2312" w:hAnsi="宋体" w:eastAsia="仿宋_GB2312"/>
          <w:b/>
          <w:kern w:val="0"/>
          <w:sz w:val="32"/>
          <w:szCs w:val="32"/>
        </w:rPr>
      </w:pPr>
    </w:p>
    <w:p>
      <w:pPr>
        <w:pStyle w:val="2"/>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昌吉州医疗保障局                             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2.18</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2.18</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pStyle w:val="2"/>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编制部门（单位）：昌吉州医疗保障局                              单位：万元</w:t>
      </w:r>
    </w:p>
    <w:tbl>
      <w:tblPr>
        <w:tblStyle w:val="9"/>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2021年昌吉州医疗保障局预算情况说明</w:t>
      </w:r>
    </w:p>
    <w:p>
      <w:pPr>
        <w:spacing w:line="560" w:lineRule="exact"/>
        <w:jc w:val="center"/>
        <w:rPr>
          <w:rFonts w:ascii="黑体" w:hAnsi="黑体" w:eastAsia="黑体"/>
          <w:kern w:val="0"/>
          <w:sz w:val="32"/>
          <w:szCs w:val="32"/>
        </w:rPr>
      </w:pPr>
    </w:p>
    <w:p>
      <w:pPr>
        <w:spacing w:line="560" w:lineRule="exact"/>
        <w:ind w:firstLine="320" w:firstLineChars="1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昌吉州医疗保障局2021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按照全口径预算的原则，昌吉州医疗保障局2021年所有收入和支出均纳入部门（单位）预算管理。根据《关于下达昌吉州本级预算单位2021年部门预算的通知》（昌州财社[2021]3号），2021年收支总预算为1573.6万元。其中收入预算包括：一般公共预算拨款。支出预算包括：社会保障和就业支出、医疗卫生健康支出。</w:t>
      </w:r>
    </w:p>
    <w:p>
      <w:pPr>
        <w:spacing w:line="560" w:lineRule="exact"/>
        <w:ind w:firstLine="320" w:firstLineChars="1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昌吉州医疗保障局2021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昌吉州医疗保障局收入预算 1573.6万元，其中：一般公共预算1573.6万元，占100%，比上年预算增加 1286.06万元，主要原因是：1、因新增人员，基本经费增加201.56万元；2、因新增项目，项目经费增加1084.5万元。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320" w:firstLineChars="1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昌吉州医疗保障局2021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昌吉州医疗保障局2021年支出预算1573.6万元，其中：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基本支出387.1万元，占24.6%，比上年预算增加201.56万元，主要原因是我单位为2020年6月，因人员划转新增人员增加基本支出。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项目支出1186.5万元，占75.4%，比上年预算增加1084.5万元，主要原因是今年比去年新增4个项目，增加项目支出。</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昌吉州医疗保障局2021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2021年财政拨款收支总预算1573.6万元。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收入预算包括：一般公共预算拨款1573.6万元。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一般公共预算支出包括：一般预算支出1573.6万元，主要用于208社会保障和就业支出32.01万元，210卫生健康支出1541.59万元。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昌吉州医疗保障局2021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医疗保障局2021年一般公共预算拨款合计1573.6万元，其中：基本支出387.1万元，比上年预算增加201.56万元，增长108.63%。主要原因是：因我单位为2020年6月，因人员划转新增人员增加基本支出。项目支出1186.5万元，比上年预算增加1084.5万元，增长1063%。主要原因是：今年比去年新增4个项目，增加项目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1.2101501行政运行329.53万元，占</w:t>
      </w:r>
      <w:r>
        <w:rPr>
          <w:rFonts w:hint="eastAsia" w:ascii="仿宋_GB2312" w:hAnsi="宋体" w:eastAsia="仿宋_GB2312" w:cs="宋体"/>
          <w:kern w:val="0"/>
          <w:sz w:val="32"/>
          <w:szCs w:val="32"/>
        </w:rPr>
        <w:t>一般公共预算支出的</w:t>
      </w:r>
      <w:r>
        <w:rPr>
          <w:rFonts w:hint="eastAsia" w:ascii="仿宋_GB2312" w:eastAsia="仿宋_GB2312"/>
          <w:sz w:val="32"/>
          <w:szCs w:val="32"/>
        </w:rPr>
        <w:t>20.94%；</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2.2101101行政单位医疗19万元，</w:t>
      </w:r>
      <w:r>
        <w:rPr>
          <w:rFonts w:hint="eastAsia" w:ascii="仿宋_GB2312" w:eastAsia="仿宋_GB2312"/>
          <w:sz w:val="32"/>
          <w:szCs w:val="32"/>
        </w:rPr>
        <w:t>占</w:t>
      </w:r>
      <w:r>
        <w:rPr>
          <w:rFonts w:hint="eastAsia" w:ascii="仿宋_GB2312" w:hAnsi="宋体" w:eastAsia="仿宋_GB2312" w:cs="宋体"/>
          <w:kern w:val="0"/>
          <w:sz w:val="32"/>
          <w:szCs w:val="32"/>
        </w:rPr>
        <w:t>一般公共预算支出的</w:t>
      </w:r>
      <w:r>
        <w:rPr>
          <w:rFonts w:hint="eastAsia" w:ascii="仿宋_GB2312" w:eastAsia="仿宋_GB2312"/>
          <w:sz w:val="32"/>
          <w:szCs w:val="32"/>
        </w:rPr>
        <w:t>1.21%；</w:t>
      </w:r>
    </w:p>
    <w:p>
      <w:pPr>
        <w:pStyle w:val="2"/>
        <w:ind w:firstLine="640"/>
        <w:jc w:val="both"/>
        <w:rPr>
          <w:rFonts w:ascii="仿宋_GB2312" w:eastAsia="仿宋_GB2312"/>
          <w:sz w:val="32"/>
          <w:szCs w:val="32"/>
        </w:rPr>
      </w:pPr>
      <w:r>
        <w:rPr>
          <w:rFonts w:hint="eastAsia" w:ascii="仿宋_GB2312" w:eastAsia="仿宋_GB2312"/>
          <w:sz w:val="32"/>
          <w:szCs w:val="32"/>
        </w:rPr>
        <w:t>3.2101103公务员医疗补助6万元，占</w:t>
      </w:r>
      <w:r>
        <w:rPr>
          <w:rFonts w:hint="eastAsia" w:ascii="仿宋_GB2312" w:hAnsi="宋体" w:eastAsia="仿宋_GB2312" w:cs="宋体"/>
          <w:kern w:val="0"/>
          <w:sz w:val="32"/>
          <w:szCs w:val="32"/>
        </w:rPr>
        <w:t>一般公共预算支出的</w:t>
      </w:r>
      <w:r>
        <w:rPr>
          <w:rFonts w:hint="eastAsia" w:ascii="仿宋_GB2312" w:eastAsia="仿宋_GB2312"/>
          <w:sz w:val="32"/>
          <w:szCs w:val="32"/>
        </w:rPr>
        <w:t>0.38%；</w:t>
      </w:r>
    </w:p>
    <w:p>
      <w:pPr>
        <w:ind w:firstLine="640" w:firstLineChars="200"/>
        <w:rPr>
          <w:rFonts w:ascii="仿宋_GB2312" w:eastAsia="仿宋_GB2312"/>
          <w:sz w:val="32"/>
          <w:szCs w:val="32"/>
        </w:rPr>
      </w:pPr>
      <w:r>
        <w:rPr>
          <w:rFonts w:hint="eastAsia" w:ascii="仿宋_GB2312" w:hAnsi="宋体" w:eastAsia="仿宋_GB2312" w:cs="宋体"/>
          <w:kern w:val="0"/>
          <w:sz w:val="32"/>
          <w:szCs w:val="32"/>
        </w:rPr>
        <w:t>4.2101199其他行政事业单位医疗支出0.56万元，</w:t>
      </w:r>
      <w:r>
        <w:rPr>
          <w:rFonts w:hint="eastAsia" w:ascii="仿宋_GB2312" w:eastAsia="仿宋_GB2312"/>
          <w:sz w:val="32"/>
          <w:szCs w:val="32"/>
        </w:rPr>
        <w:t>占</w:t>
      </w:r>
      <w:r>
        <w:rPr>
          <w:rFonts w:hint="eastAsia" w:ascii="仿宋_GB2312" w:hAnsi="宋体" w:eastAsia="仿宋_GB2312" w:cs="宋体"/>
          <w:kern w:val="0"/>
          <w:sz w:val="32"/>
          <w:szCs w:val="32"/>
        </w:rPr>
        <w:t>一般公共预算支出的</w:t>
      </w:r>
      <w:r>
        <w:rPr>
          <w:rFonts w:hint="eastAsia" w:ascii="仿宋_GB2312" w:eastAsia="仿宋_GB2312"/>
          <w:sz w:val="32"/>
          <w:szCs w:val="32"/>
        </w:rPr>
        <w:t>0.04%；</w:t>
      </w:r>
    </w:p>
    <w:p>
      <w:pPr>
        <w:ind w:firstLine="640" w:firstLineChars="200"/>
        <w:rPr>
          <w:rFonts w:ascii="仿宋_GB2312" w:eastAsia="仿宋_GB2312"/>
          <w:sz w:val="32"/>
          <w:szCs w:val="32"/>
        </w:rPr>
      </w:pPr>
      <w:r>
        <w:rPr>
          <w:rFonts w:hint="eastAsia" w:ascii="仿宋_GB2312" w:hAnsi="宋体" w:eastAsia="仿宋_GB2312" w:cs="宋体"/>
          <w:kern w:val="0"/>
          <w:sz w:val="32"/>
          <w:szCs w:val="32"/>
        </w:rPr>
        <w:t>5.2101502一般行政管理事务100万元，</w:t>
      </w:r>
      <w:r>
        <w:rPr>
          <w:rFonts w:hint="eastAsia" w:ascii="仿宋_GB2312" w:eastAsia="仿宋_GB2312"/>
          <w:sz w:val="32"/>
          <w:szCs w:val="32"/>
        </w:rPr>
        <w:t>占</w:t>
      </w:r>
      <w:r>
        <w:rPr>
          <w:rFonts w:hint="eastAsia" w:ascii="仿宋_GB2312" w:hAnsi="宋体" w:eastAsia="仿宋_GB2312" w:cs="宋体"/>
          <w:kern w:val="0"/>
          <w:sz w:val="32"/>
          <w:szCs w:val="32"/>
        </w:rPr>
        <w:t>一般公共预算支出的</w:t>
      </w:r>
      <w:r>
        <w:rPr>
          <w:rFonts w:hint="eastAsia" w:ascii="仿宋_GB2312" w:eastAsia="仿宋_GB2312"/>
          <w:sz w:val="32"/>
          <w:szCs w:val="32"/>
        </w:rPr>
        <w:t>6.35%；</w:t>
      </w:r>
    </w:p>
    <w:p>
      <w:pPr>
        <w:ind w:firstLine="640" w:firstLineChars="200"/>
        <w:rPr>
          <w:rFonts w:ascii="仿宋_GB2312" w:eastAsia="仿宋_GB2312"/>
          <w:sz w:val="32"/>
          <w:szCs w:val="32"/>
        </w:rPr>
      </w:pPr>
      <w:r>
        <w:rPr>
          <w:rFonts w:hint="eastAsia" w:ascii="仿宋_GB2312" w:hAnsi="宋体" w:eastAsia="仿宋_GB2312" w:cs="宋体"/>
          <w:kern w:val="0"/>
          <w:sz w:val="32"/>
          <w:szCs w:val="32"/>
        </w:rPr>
        <w:t>6.2101599其他医疗保障管理事务支出1086.5万元，</w:t>
      </w:r>
      <w:r>
        <w:rPr>
          <w:rFonts w:hint="eastAsia" w:ascii="仿宋_GB2312" w:eastAsia="仿宋_GB2312"/>
          <w:sz w:val="32"/>
          <w:szCs w:val="32"/>
        </w:rPr>
        <w:t>占</w:t>
      </w:r>
      <w:r>
        <w:rPr>
          <w:rFonts w:hint="eastAsia" w:ascii="仿宋_GB2312" w:hAnsi="宋体" w:eastAsia="仿宋_GB2312" w:cs="宋体"/>
          <w:kern w:val="0"/>
          <w:sz w:val="32"/>
          <w:szCs w:val="32"/>
        </w:rPr>
        <w:t>一般公共预算支出的</w:t>
      </w:r>
      <w:r>
        <w:rPr>
          <w:rFonts w:hint="eastAsia" w:ascii="仿宋_GB2312" w:eastAsia="仿宋_GB2312"/>
          <w:sz w:val="32"/>
          <w:szCs w:val="32"/>
        </w:rPr>
        <w:t>69.05%；</w:t>
      </w:r>
    </w:p>
    <w:p>
      <w:pPr>
        <w:pStyle w:val="2"/>
        <w:jc w:val="both"/>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7.2080505机关事业单位基本养老保险缴费支出32.01万元，</w:t>
      </w:r>
      <w:r>
        <w:rPr>
          <w:rFonts w:hint="eastAsia" w:ascii="仿宋_GB2312" w:eastAsia="仿宋_GB2312"/>
          <w:sz w:val="32"/>
          <w:szCs w:val="32"/>
        </w:rPr>
        <w:t>占</w:t>
      </w:r>
      <w:r>
        <w:rPr>
          <w:rFonts w:hint="eastAsia" w:ascii="仿宋_GB2312" w:hAnsi="宋体" w:eastAsia="仿宋_GB2312" w:cs="宋体"/>
          <w:kern w:val="0"/>
          <w:sz w:val="32"/>
          <w:szCs w:val="32"/>
        </w:rPr>
        <w:t>一般公共预算支出的</w:t>
      </w:r>
      <w:r>
        <w:rPr>
          <w:rFonts w:hint="eastAsia" w:ascii="仿宋_GB2312" w:eastAsia="仿宋_GB2312"/>
          <w:sz w:val="32"/>
          <w:szCs w:val="32"/>
        </w:rPr>
        <w:t>2.03%。</w:t>
      </w:r>
    </w:p>
    <w:p>
      <w:pPr>
        <w:spacing w:line="560" w:lineRule="exact"/>
        <w:ind w:firstLine="321" w:firstLineChars="1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 2101501行政运行</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329.53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比上年预算数增加143.99万元，增长77.61%，主要原因是：新增人员行政运行经费增加；</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2101101行政单位医疗预算数为19万元，比上年预算数增加19万元，增长100%，主要原因是：新增此功能分类项目，去年无此分类；</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3.2101103公务员医疗补助预算数为6万元，比上年预算数增加6万元，增长100%，主要原因是：新增此功能分类项目，去年无此分类；</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4.2101199其他行政事业单位医疗支出预算数为0.56万元，比上年预算数增加0.56万元，增长100%，主要原因是：新增功能分类项目，去年无此分类；</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5.2101502一般行政管理事务预算数为100万元，比上年预算数减少2万元，减少2%，主要原因是：今年医保经办中心公共耗材及工作经费比去年下降2万元；</w:t>
      </w:r>
    </w:p>
    <w:p>
      <w:pPr>
        <w:pStyle w:val="2"/>
        <w:jc w:val="both"/>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6.2101599其他医疗保障管理事务支出1086.5万元，比上年预算数增加1086.5万元，增长100%，主要原因是：新增功能分类项目，去年无此分类，今年新增项目支出；</w:t>
      </w:r>
    </w:p>
    <w:p>
      <w:pPr>
        <w:ind w:firstLine="640" w:firstLineChars="200"/>
      </w:pPr>
      <w:r>
        <w:rPr>
          <w:rFonts w:hint="eastAsia" w:ascii="仿宋_GB2312" w:hAnsi="宋体" w:eastAsia="仿宋_GB2312" w:cs="宋体"/>
          <w:kern w:val="0"/>
          <w:sz w:val="32"/>
          <w:szCs w:val="32"/>
        </w:rPr>
        <w:t>7.2080505机关事业单位基本养老保险缴费支出32.01万元，比上年预算数增加32.01万元，增长100%，主要原因是：新增功能分类项目，去年无此分类。</w:t>
      </w:r>
    </w:p>
    <w:p>
      <w:pPr>
        <w:spacing w:line="560" w:lineRule="exact"/>
        <w:rPr>
          <w:rFonts w:ascii="黑体" w:hAnsi="宋体" w:eastAsia="黑体" w:cs="宋体"/>
          <w:kern w:val="0"/>
          <w:sz w:val="32"/>
          <w:szCs w:val="32"/>
        </w:rPr>
      </w:pPr>
      <w:r>
        <w:rPr>
          <w:rFonts w:hint="eastAsia" w:ascii="黑体" w:hAnsi="宋体" w:eastAsia="黑体" w:cs="宋体"/>
          <w:kern w:val="0"/>
          <w:sz w:val="32"/>
          <w:szCs w:val="32"/>
        </w:rPr>
        <w:t>六、关于昌吉州医疗保障局2021年一般公共预算基本支出情况说明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昌吉州医疗保障局2021年一般公共预算基本支出387.1万元，其中：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351.49万元，主要包括：基本工资121.57万元、津贴补贴26.81万元、奖金8.32万元、伙食补助费32.76万元、绩效工资45.92万元、其他工资福利支出34.54万元、机关事业单位基本养老保险缴费32.01万元、职工基本医疗保险缴费19万元、公务员医疗补助缴费6万元、其他社会保障缴费0.56万元、住房公积金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35.61万元，主要包括：办公费7万元、印刷费1.08万元、水费1.8万元、电费1.8万元、邮电费0.6万元、物业管理费3.5万元、差旅费3.5万元、维修（护）费0.65万元、培训费0.35万元、公务接待费0.2万元、劳务费2.5万元、工会经费2.43万元、福利费5.59万元、公务用车运行维护费2.18万元、商品和服务支出2.43万元。</w:t>
      </w:r>
    </w:p>
    <w:p>
      <w:pPr>
        <w:numPr>
          <w:ilvl w:val="0"/>
          <w:numId w:val="1"/>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关于昌吉州医疗保障局2021年一般公共预算项目支出情况说明</w:t>
      </w:r>
    </w:p>
    <w:p>
      <w:pPr>
        <w:spacing w:line="560" w:lineRule="exact"/>
        <w:ind w:firstLine="420" w:firstLineChars="200"/>
        <w:rPr>
          <w:rFonts w:ascii="仿宋_GB2312" w:hAnsi="黑体" w:eastAsia="仿宋_GB2312"/>
          <w:sz w:val="32"/>
          <w:szCs w:val="32"/>
        </w:rPr>
      </w:pPr>
      <w:r>
        <w:rPr>
          <w:rFonts w:hint="eastAsia"/>
        </w:rPr>
        <w:t xml:space="preserve">  </w:t>
      </w: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：医保局医保经办中心公共耗材及工作经费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设立的政策依据</w:t>
      </w:r>
      <w:r>
        <w:rPr>
          <w:rFonts w:hint="eastAsia" w:ascii="仿宋_GB2312" w:hAnsi="黑体" w:eastAsia="仿宋_GB2312"/>
          <w:sz w:val="32"/>
          <w:szCs w:val="32"/>
        </w:rPr>
        <w:t>：《关于设置自治医保经办中心的通知》昌州党机编发</w:t>
      </w:r>
      <w:r>
        <w:rPr>
          <w:rFonts w:hint="eastAsia" w:ascii="仿宋_GB2312" w:hAnsi="仿宋_GB2312" w:eastAsia="仿宋_GB2312" w:cs="仿宋_GB2312"/>
          <w:sz w:val="32"/>
          <w:szCs w:val="32"/>
        </w:rPr>
        <w:t>〔</w:t>
      </w:r>
      <w:r>
        <w:rPr>
          <w:rFonts w:hint="eastAsia" w:ascii="仿宋_GB2312" w:hAnsi="黑体" w:eastAsia="仿宋_GB2312"/>
          <w:sz w:val="32"/>
          <w:szCs w:val="32"/>
        </w:rPr>
        <w:t>2019</w:t>
      </w:r>
      <w:r>
        <w:rPr>
          <w:rFonts w:hint="eastAsia" w:ascii="仿宋_GB2312" w:hAnsi="仿宋_GB2312" w:eastAsia="仿宋_GB2312" w:cs="仿宋_GB2312"/>
          <w:sz w:val="32"/>
          <w:szCs w:val="32"/>
        </w:rPr>
        <w:t>〕</w:t>
      </w:r>
      <w:r>
        <w:rPr>
          <w:rFonts w:hint="eastAsia" w:ascii="仿宋_GB2312" w:hAnsi="黑体" w:eastAsia="仿宋_GB2312"/>
          <w:sz w:val="32"/>
          <w:szCs w:val="32"/>
        </w:rPr>
        <w:t>13号、&lt;自治区医疗保障局关于印发《自治区医疗保障信息平台建设实施方案》的通知&gt;新医保</w:t>
      </w:r>
      <w:r>
        <w:rPr>
          <w:rFonts w:hint="eastAsia" w:ascii="仿宋_GB2312" w:hAnsi="仿宋_GB2312" w:eastAsia="仿宋_GB2312" w:cs="仿宋_GB2312"/>
          <w:sz w:val="32"/>
          <w:szCs w:val="32"/>
        </w:rPr>
        <w:t>〔</w:t>
      </w:r>
      <w:r>
        <w:rPr>
          <w:rFonts w:hint="eastAsia" w:ascii="仿宋_GB2312" w:hAnsi="黑体" w:eastAsia="仿宋_GB2312"/>
          <w:sz w:val="32"/>
          <w:szCs w:val="32"/>
        </w:rPr>
        <w:t>2020</w:t>
      </w:r>
      <w:r>
        <w:rPr>
          <w:rFonts w:hint="eastAsia" w:ascii="仿宋_GB2312" w:hAnsi="仿宋_GB2312" w:eastAsia="仿宋_GB2312" w:cs="仿宋_GB2312"/>
          <w:sz w:val="32"/>
          <w:szCs w:val="32"/>
        </w:rPr>
        <w:t>〕</w:t>
      </w:r>
      <w:r>
        <w:rPr>
          <w:rFonts w:hint="eastAsia" w:ascii="仿宋_GB2312" w:hAnsi="黑体" w:eastAsia="仿宋_GB2312"/>
          <w:sz w:val="32"/>
          <w:szCs w:val="32"/>
        </w:rPr>
        <w:t>107号。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办公设备12万元、办公家具1万元、医保培训费2万元、特殊慢性病鉴定申请表2.4万元、定点零售药店医疗服务协议书3万元、政务服务专线2.4万元，系统运行维护费10万元、医保宣传资料印刷15万元，物业管理聘用人员7万元、办公耗材5.2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宋体" w:eastAsia="仿宋_GB2312" w:cs="宋体"/>
          <w:kern w:val="0"/>
          <w:sz w:val="32"/>
          <w:szCs w:val="32"/>
        </w:rPr>
      </w:pPr>
    </w:p>
    <w:p>
      <w:pPr>
        <w:spacing w:line="560" w:lineRule="exact"/>
        <w:ind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：长期护理保险工作经费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：《昌吉回族自治州人民政府办公室关于印发自治州城镇职工长期护理保险实施方案的通知》昌州政办发</w:t>
      </w:r>
      <w:r>
        <w:rPr>
          <w:rFonts w:hint="eastAsia" w:ascii="仿宋_GB2312" w:hAnsi="仿宋_GB2312" w:eastAsia="仿宋_GB2312" w:cs="仿宋_GB2312"/>
          <w:sz w:val="32"/>
          <w:szCs w:val="32"/>
        </w:rPr>
        <w:t>〔</w:t>
      </w:r>
      <w:r>
        <w:rPr>
          <w:rFonts w:hint="eastAsia" w:ascii="仿宋_GB2312" w:hAnsi="黑体" w:eastAsia="仿宋_GB2312"/>
          <w:sz w:val="32"/>
          <w:szCs w:val="32"/>
        </w:rPr>
        <w:t>2017</w:t>
      </w:r>
      <w:r>
        <w:rPr>
          <w:rFonts w:hint="eastAsia" w:ascii="仿宋_GB2312" w:hAnsi="仿宋_GB2312" w:eastAsia="仿宋_GB2312" w:cs="仿宋_GB2312"/>
          <w:sz w:val="32"/>
          <w:szCs w:val="32"/>
        </w:rPr>
        <w:t>〕</w:t>
      </w:r>
      <w:r>
        <w:rPr>
          <w:rFonts w:hint="eastAsia" w:ascii="仿宋_GB2312" w:hAnsi="黑体" w:eastAsia="仿宋_GB2312"/>
          <w:sz w:val="32"/>
          <w:szCs w:val="32"/>
        </w:rPr>
        <w:t>106号、《关于开展长期护理保险制度试点的指导意见》人社厅发</w:t>
      </w:r>
      <w:r>
        <w:rPr>
          <w:rFonts w:hint="eastAsia" w:ascii="仿宋_GB2312" w:hAnsi="仿宋_GB2312" w:eastAsia="仿宋_GB2312" w:cs="仿宋_GB2312"/>
          <w:sz w:val="32"/>
          <w:szCs w:val="32"/>
        </w:rPr>
        <w:t>〔</w:t>
      </w:r>
      <w:r>
        <w:rPr>
          <w:rFonts w:hint="eastAsia" w:ascii="仿宋_GB2312" w:hAnsi="黑体" w:eastAsia="仿宋_GB2312"/>
          <w:sz w:val="32"/>
          <w:szCs w:val="32"/>
        </w:rPr>
        <w:t>2016</w:t>
      </w:r>
      <w:r>
        <w:rPr>
          <w:rFonts w:hint="eastAsia" w:ascii="仿宋_GB2312" w:hAnsi="仿宋_GB2312" w:eastAsia="仿宋_GB2312" w:cs="仿宋_GB2312"/>
          <w:sz w:val="32"/>
          <w:szCs w:val="32"/>
        </w:rPr>
        <w:t>〕</w:t>
      </w:r>
      <w:r>
        <w:rPr>
          <w:rFonts w:hint="eastAsia" w:ascii="仿宋_GB2312" w:hAnsi="黑体" w:eastAsia="仿宋_GB2312"/>
          <w:sz w:val="32"/>
          <w:szCs w:val="32"/>
        </w:rPr>
        <w:t>80号、《关于印发&lt;自治州促进康养产业发展实施意见&gt;的通知》昌州党办发</w:t>
      </w:r>
      <w:r>
        <w:rPr>
          <w:rFonts w:hint="eastAsia" w:ascii="仿宋_GB2312" w:hAnsi="仿宋_GB2312" w:eastAsia="仿宋_GB2312" w:cs="仿宋_GB2312"/>
          <w:sz w:val="32"/>
          <w:szCs w:val="32"/>
        </w:rPr>
        <w:t>〔</w:t>
      </w:r>
      <w:r>
        <w:rPr>
          <w:rFonts w:hint="eastAsia" w:ascii="仿宋_GB2312" w:hAnsi="黑体" w:eastAsia="仿宋_GB2312"/>
          <w:sz w:val="32"/>
          <w:szCs w:val="32"/>
        </w:rPr>
        <w:t>2017</w:t>
      </w:r>
      <w:r>
        <w:rPr>
          <w:rFonts w:hint="eastAsia" w:ascii="仿宋_GB2312" w:hAnsi="仿宋_GB2312" w:eastAsia="仿宋_GB2312" w:cs="仿宋_GB2312"/>
          <w:sz w:val="32"/>
          <w:szCs w:val="32"/>
        </w:rPr>
        <w:t>〕</w:t>
      </w:r>
      <w:r>
        <w:rPr>
          <w:rFonts w:hint="eastAsia" w:ascii="仿宋_GB2312" w:hAnsi="黑体" w:eastAsia="仿宋_GB2312"/>
          <w:sz w:val="32"/>
          <w:szCs w:val="32"/>
        </w:rPr>
        <w:t>1号、《关于印发&lt;自治州推进医疗卫生与养老服务相结合的实施方案&gt;的通知》昌州政办发</w:t>
      </w:r>
      <w:r>
        <w:rPr>
          <w:rFonts w:hint="eastAsia" w:ascii="仿宋_GB2312" w:hAnsi="仿宋_GB2312" w:eastAsia="仿宋_GB2312" w:cs="仿宋_GB2312"/>
          <w:sz w:val="32"/>
          <w:szCs w:val="32"/>
        </w:rPr>
        <w:t>〔</w:t>
      </w:r>
      <w:r>
        <w:rPr>
          <w:rFonts w:hint="eastAsia" w:ascii="仿宋_GB2312" w:hAnsi="黑体" w:eastAsia="仿宋_GB2312"/>
          <w:sz w:val="32"/>
          <w:szCs w:val="32"/>
        </w:rPr>
        <w:t>2017</w:t>
      </w:r>
      <w:r>
        <w:rPr>
          <w:rFonts w:hint="eastAsia" w:ascii="仿宋_GB2312" w:hAnsi="仿宋_GB2312" w:eastAsia="仿宋_GB2312" w:cs="仿宋_GB2312"/>
          <w:sz w:val="32"/>
          <w:szCs w:val="32"/>
        </w:rPr>
        <w:t>〕</w:t>
      </w:r>
      <w:r>
        <w:rPr>
          <w:rFonts w:hint="eastAsia" w:ascii="仿宋_GB2312" w:hAnsi="黑体" w:eastAsia="仿宋_GB2312"/>
          <w:sz w:val="32"/>
          <w:szCs w:val="32"/>
        </w:rPr>
        <w:t>83号。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昌吉州医疗保障局</w:t>
      </w:r>
    </w:p>
    <w:p>
      <w:pPr>
        <w:spacing w:line="560" w:lineRule="exact"/>
        <w:ind w:left="2878" w:leftChars="304" w:hanging="2240" w:hangingChars="7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：长期护理保险失能人员评定费1.5万元、</w:t>
      </w:r>
    </w:p>
    <w:p>
      <w:pPr>
        <w:spacing w:line="560" w:lineRule="exact"/>
        <w:ind w:left="2878" w:leftChars="304" w:hanging="2240" w:hangingChars="700"/>
        <w:rPr>
          <w:rFonts w:ascii="仿宋_GB2312" w:hAnsi="黑体" w:eastAsia="仿宋_GB2312"/>
          <w:sz w:val="32"/>
          <w:szCs w:val="32"/>
        </w:rPr>
      </w:pPr>
      <w:r>
        <w:rPr>
          <w:rFonts w:hint="eastAsia" w:ascii="仿宋_GB2312" w:hAnsi="黑体" w:eastAsia="仿宋_GB2312"/>
          <w:sz w:val="32"/>
          <w:szCs w:val="32"/>
        </w:rPr>
        <w:t>长期护理保险工作经费8.5万元。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：医疗基金监管工作经费</w:t>
      </w:r>
    </w:p>
    <w:p>
      <w:pPr>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设立的政策依据</w:t>
      </w:r>
      <w:r>
        <w:rPr>
          <w:rFonts w:hint="eastAsia" w:ascii="仿宋_GB2312" w:hAnsi="黑体" w:eastAsia="仿宋_GB2312"/>
          <w:sz w:val="32"/>
          <w:szCs w:val="32"/>
        </w:rPr>
        <w:t>：《新疆维吾尔自治区医疗保障局 新疆维吾尔自治区财政厅关于印发&lt;新疆维吾尔自治区打击欺诈骗取医疗保障基金行为举报奖励暂行办法&gt;的通知》新医保</w:t>
      </w:r>
      <w:r>
        <w:rPr>
          <w:rFonts w:hint="eastAsia" w:ascii="仿宋_GB2312" w:hAnsi="仿宋_GB2312" w:eastAsia="仿宋_GB2312" w:cs="仿宋_GB2312"/>
          <w:sz w:val="32"/>
          <w:szCs w:val="32"/>
        </w:rPr>
        <w:t>〔</w:t>
      </w:r>
      <w:r>
        <w:rPr>
          <w:rFonts w:hint="eastAsia" w:ascii="仿宋_GB2312" w:hAnsi="黑体" w:eastAsia="仿宋_GB2312"/>
          <w:sz w:val="32"/>
          <w:szCs w:val="32"/>
        </w:rPr>
        <w:t>2019</w:t>
      </w:r>
      <w:r>
        <w:rPr>
          <w:rFonts w:hint="eastAsia" w:ascii="仿宋_GB2312" w:hAnsi="仿宋_GB2312" w:eastAsia="仿宋_GB2312" w:cs="仿宋_GB2312"/>
          <w:sz w:val="32"/>
          <w:szCs w:val="32"/>
        </w:rPr>
        <w:t>〕</w:t>
      </w:r>
      <w:r>
        <w:rPr>
          <w:rFonts w:hint="eastAsia" w:ascii="仿宋_GB2312" w:hAnsi="黑体" w:eastAsia="仿宋_GB2312"/>
          <w:sz w:val="32"/>
          <w:szCs w:val="32"/>
        </w:rPr>
        <w:t>53号、《自治区医疗保障局关于做好2021年医疗保障基金监管工作的通知》、《关于推进医疗保障基金监管制度体系改革的实施意见》。</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：打击欺诈骗取医保基金举报奖励资金2万元、购买第三方服务18.5万元、基金监管巡查费6万元、宣传费3.5万元。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pStyle w:val="2"/>
        <w:jc w:val="both"/>
        <w:rPr>
          <w:rFonts w:eastAsia="仿宋_GB2312"/>
        </w:rPr>
      </w:pPr>
    </w:p>
    <w:p>
      <w:pPr>
        <w:pStyle w:val="2"/>
        <w:jc w:val="both"/>
        <w:rPr>
          <w:rFonts w:eastAsia="仿宋_GB2312"/>
        </w:rPr>
      </w:pP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地州级退休人员医疗补助经费</w:t>
      </w:r>
    </w:p>
    <w:p>
      <w:pPr>
        <w:spacing w:line="560" w:lineRule="exact"/>
        <w:ind w:firstLine="640" w:firstLineChars="200"/>
        <w:rPr>
          <w:rFonts w:ascii="仿宋_GB2312" w:hAnsi="仿宋_GB2312" w:eastAsia="仿宋_GB2312" w:cs="仿宋_GB2312"/>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《关于对昌吉回族自治州副州级退休国家公务员实行医疗补助的意见》昌州劳社发</w:t>
      </w:r>
      <w:r>
        <w:rPr>
          <w:rFonts w:hint="eastAsia" w:ascii="仿宋_GB2312" w:hAnsi="仿宋_GB2312" w:eastAsia="仿宋_GB2312" w:cs="仿宋_GB2312"/>
          <w:kern w:val="0"/>
          <w:sz w:val="32"/>
          <w:szCs w:val="32"/>
        </w:rPr>
        <w:t>〔2005〕134号。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265万元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昌吉州医疗保障局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地州级离退休干部体检费8万元，医疗门诊费180万元，医疗住院费77万元。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59人</w:t>
      </w:r>
    </w:p>
    <w:p>
      <w:pPr>
        <w:spacing w:line="560" w:lineRule="exact"/>
        <w:ind w:firstLine="640" w:firstLineChars="200"/>
        <w:rPr>
          <w:rFonts w:ascii="仿宋_GB2312" w:hAnsi="黑体" w:eastAsia="仿宋_GB2312"/>
          <w:sz w:val="32"/>
          <w:szCs w:val="32"/>
        </w:rPr>
      </w:pPr>
      <w:r>
        <w:rPr>
          <w:rFonts w:ascii="仿宋_GB2312" w:hAnsi="宋体" w:eastAsia="仿宋_GB2312"/>
          <w:sz w:val="32"/>
          <w:szCs w:val="22"/>
        </w:rPr>
        <w:t>补贴标准</w:t>
      </w:r>
      <w:r>
        <w:rPr>
          <w:rFonts w:hint="eastAsia" w:ascii="仿宋_GB2312" w:hAnsi="黑体" w:eastAsia="仿宋_GB2312"/>
          <w:sz w:val="32"/>
          <w:szCs w:val="32"/>
        </w:rPr>
        <w:t>：自治州副州级退休国家公务员，在门诊（含慢性病）发生的医疗费用，先由个人账户支付，个人账户不足时，由本人垫付，凭医疗费发票和医疗费发生的数额依次按基本医疗保险、公务员医疗补助、大病医疗补助的顺序报销完后，差额部分给予医疗补助；自治州副州级退休国家公务员住院发生的医疗费用，凭医疗费发票和医疗费发生的数额依次按基本医疗保险、公务员医疗补助、大病医疗补助的顺序报销完后，差额部分给予医疗补助。</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自治州党委、人大、政府、政协、审判机关、检察机关等工作的副州级退休国家公务员。</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及时报销门诊、住院医疗费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发放程序：每月业务科室核算医疗费用结算票据，通过基金账户进行发放。</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享受地州级退休人员医疗补助经费59人，提高地州级退休人员生活质量。</w:t>
      </w:r>
    </w:p>
    <w:p>
      <w:pPr>
        <w:spacing w:line="560" w:lineRule="exact"/>
        <w:ind w:firstLine="640" w:firstLineChars="200"/>
        <w:rPr>
          <w:rFonts w:ascii="仿宋_GB2312" w:hAnsi="黑体" w:eastAsia="仿宋_GB2312"/>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国务院特殊津贴专家保健医疗费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《州劳动和社会保障局财政局关于享受国务院特殊津贴专家实行保健医疗待遇实施办法》（昌州政办发</w:t>
      </w:r>
      <w:r>
        <w:rPr>
          <w:rFonts w:hint="eastAsia" w:ascii="仿宋_GB2312" w:hAnsi="仿宋_GB2312" w:eastAsia="仿宋_GB2312" w:cs="仿宋_GB2312"/>
          <w:sz w:val="32"/>
          <w:szCs w:val="32"/>
        </w:rPr>
        <w:t>〔</w:t>
      </w:r>
      <w:r>
        <w:rPr>
          <w:rFonts w:hint="eastAsia" w:ascii="仿宋_GB2312" w:hAnsi="黑体" w:eastAsia="仿宋_GB2312"/>
          <w:sz w:val="32"/>
          <w:szCs w:val="32"/>
        </w:rPr>
        <w:t>2003</w:t>
      </w:r>
      <w:r>
        <w:rPr>
          <w:rFonts w:hint="eastAsia" w:ascii="仿宋_GB2312" w:hAnsi="仿宋_GB2312" w:eastAsia="仿宋_GB2312" w:cs="仿宋_GB2312"/>
          <w:sz w:val="32"/>
          <w:szCs w:val="32"/>
        </w:rPr>
        <w:t>〕</w:t>
      </w:r>
      <w:r>
        <w:rPr>
          <w:rFonts w:hint="eastAsia" w:ascii="仿宋_GB2312" w:hAnsi="宋体" w:eastAsia="仿宋_GB2312" w:cs="宋体"/>
          <w:kern w:val="0"/>
          <w:sz w:val="32"/>
          <w:szCs w:val="32"/>
        </w:rPr>
        <w:t>30号）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专家所需医疗费按上年度每位专家发生的医疗费实际支出额进行分配。</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10人</w:t>
      </w:r>
    </w:p>
    <w:p>
      <w:pPr>
        <w:spacing w:line="560" w:lineRule="exact"/>
        <w:ind w:left="2238" w:leftChars="304" w:hanging="1600" w:hangingChars="500"/>
        <w:rPr>
          <w:rFonts w:ascii="仿宋_GB2312" w:hAnsi="宋体" w:eastAsia="仿宋_GB2312" w:cs="宋体"/>
          <w:kern w:val="0"/>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专家所需医疗费按上年度专家医疗费实际支出额计算。</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国务院特殊津贴专家保健医疗费享受人员</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报销门诊、住院医疗费</w:t>
      </w:r>
    </w:p>
    <w:p>
      <w:pPr>
        <w:spacing w:line="560" w:lineRule="exact"/>
        <w:ind w:left="3518" w:leftChars="304" w:hanging="2880" w:hangingChars="900"/>
        <w:rPr>
          <w:rFonts w:ascii="仿宋_GB2312" w:hAnsi="宋体" w:eastAsia="仿宋_GB2312" w:cs="宋体"/>
          <w:kern w:val="0"/>
          <w:sz w:val="32"/>
          <w:szCs w:val="32"/>
        </w:rPr>
      </w:pPr>
      <w:r>
        <w:rPr>
          <w:rFonts w:hint="eastAsia" w:ascii="仿宋_GB2312" w:hAnsi="宋体" w:eastAsia="仿宋_GB2312" w:cs="宋体"/>
          <w:kern w:val="0"/>
          <w:sz w:val="32"/>
          <w:szCs w:val="32"/>
        </w:rPr>
        <w:t>发放程序：业务科室核算上年度专家医疗费用结算票</w:t>
      </w:r>
    </w:p>
    <w:p>
      <w:pPr>
        <w:spacing w:line="560" w:lineRule="exact"/>
        <w:ind w:left="3518" w:leftChars="304" w:hanging="2880" w:hangingChars="900"/>
        <w:rPr>
          <w:rFonts w:ascii="仿宋_GB2312" w:hAnsi="宋体" w:eastAsia="仿宋_GB2312" w:cs="宋体"/>
          <w:kern w:val="0"/>
          <w:sz w:val="32"/>
          <w:szCs w:val="32"/>
        </w:rPr>
      </w:pPr>
      <w:r>
        <w:rPr>
          <w:rFonts w:hint="eastAsia" w:ascii="仿宋_GB2312" w:hAnsi="宋体" w:eastAsia="仿宋_GB2312" w:cs="宋体"/>
          <w:kern w:val="0"/>
          <w:sz w:val="32"/>
          <w:szCs w:val="32"/>
        </w:rPr>
        <w:t>据，通过单位账户进行发放。</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国务院特殊津贴专家保健医疗费享受人员，提高国务院特殊津贴专家生活质量</w:t>
      </w:r>
    </w:p>
    <w:p>
      <w:pPr>
        <w:spacing w:line="560" w:lineRule="exact"/>
        <w:ind w:left="-832" w:leftChars="-396" w:firstLine="1280" w:firstLineChars="400"/>
        <w:rPr>
          <w:rFonts w:ascii="仿宋_GB2312" w:hAnsi="黑体" w:eastAsia="仿宋_GB2312"/>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国务院特殊津贴专家保健医疗周转金</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《州劳动和社会保障局财政局关于享受国务院特殊津贴专家实行保健医疗待遇实施办法》（昌州政办发</w:t>
      </w:r>
      <w:r>
        <w:rPr>
          <w:rFonts w:hint="eastAsia" w:ascii="仿宋_GB2312" w:hAnsi="仿宋_GB2312" w:eastAsia="仿宋_GB2312" w:cs="仿宋_GB2312"/>
          <w:sz w:val="32"/>
          <w:szCs w:val="32"/>
        </w:rPr>
        <w:t>〔</w:t>
      </w:r>
      <w:r>
        <w:rPr>
          <w:rFonts w:hint="eastAsia" w:ascii="仿宋_GB2312" w:hAnsi="黑体" w:eastAsia="仿宋_GB2312"/>
          <w:sz w:val="32"/>
          <w:szCs w:val="32"/>
        </w:rPr>
        <w:t>2003</w:t>
      </w:r>
      <w:r>
        <w:rPr>
          <w:rFonts w:hint="eastAsia" w:ascii="仿宋_GB2312" w:hAnsi="仿宋_GB2312" w:eastAsia="仿宋_GB2312" w:cs="仿宋_GB2312"/>
          <w:sz w:val="32"/>
          <w:szCs w:val="32"/>
        </w:rPr>
        <w:t>〕</w:t>
      </w:r>
      <w:r>
        <w:rPr>
          <w:rFonts w:hint="eastAsia" w:ascii="仿宋_GB2312" w:hAnsi="宋体" w:eastAsia="仿宋_GB2312" w:cs="宋体"/>
          <w:kern w:val="0"/>
          <w:sz w:val="32"/>
          <w:szCs w:val="32"/>
        </w:rPr>
        <w:t>30号）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昌吉州医疗保障局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：10位专家</w:t>
      </w:r>
      <w:r>
        <w:rPr>
          <w:rFonts w:hint="eastAsia" w:ascii="仿宋_GB2312" w:hAnsi="宋体" w:eastAsia="仿宋_GB2312" w:cs="宋体"/>
          <w:kern w:val="0"/>
          <w:sz w:val="32"/>
          <w:szCs w:val="32"/>
        </w:rPr>
        <w:t>周转金按每人每年8500元拨付</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10人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周转金按每人每年8500元拨付（含每年一次500元常规体检费和疗养期间的检查费、医疗费）</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享受国务院特殊津贴专家保健医疗周转金人员</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：专家医疗保健经费使用实行</w:t>
      </w:r>
      <w:r>
        <w:rPr>
          <w:rFonts w:hint="eastAsia" w:ascii="仿宋_GB2312" w:hAnsi="宋体" w:eastAsia="仿宋_GB2312" w:cs="宋体"/>
          <w:kern w:val="0"/>
          <w:sz w:val="32"/>
          <w:szCs w:val="32"/>
        </w:rPr>
        <w:t>发放周转金，节约归己。</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发放程序：10位特贴专家按每人每年8500元通过单位账户进行发放。</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享受国务院特殊津贴专家保健医疗周转金10人，提高国务院特殊津贴专家生活质量</w:t>
      </w:r>
    </w:p>
    <w:p>
      <w:pPr>
        <w:pStyle w:val="2"/>
        <w:jc w:val="both"/>
        <w:rPr>
          <w:rFonts w:eastAsia="仿宋_GB2312"/>
        </w:rPr>
      </w:pPr>
    </w:p>
    <w:p>
      <w:pPr>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2"/>
        </w:rPr>
        <w:t>7</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离休人员医疗费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773万元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昌吉州医疗保障局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离休人员医疗周转金5</w:t>
      </w:r>
      <w:bookmarkStart w:id="0" w:name="_GoBack"/>
      <w:r>
        <w:rPr>
          <w:rFonts w:hint="eastAsia" w:ascii="仿宋_GB2312" w:hAnsi="宋体" w:eastAsia="仿宋_GB2312" w:cs="宋体"/>
          <w:kern w:val="0"/>
          <w:sz w:val="32"/>
          <w:szCs w:val="32"/>
        </w:rPr>
        <w:t>8</w:t>
      </w:r>
      <w:bookmarkEnd w:id="0"/>
      <w:r>
        <w:rPr>
          <w:rFonts w:hint="eastAsia" w:ascii="仿宋_GB2312" w:hAnsi="宋体" w:eastAsia="仿宋_GB2312" w:cs="宋体"/>
          <w:kern w:val="0"/>
          <w:sz w:val="32"/>
          <w:szCs w:val="32"/>
        </w:rPr>
        <w:t>.5万元，离休人员门诊医疗费571.6万元，离休人员住院医疗费142.9万元。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94人</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：规定范围内发生的</w:t>
      </w:r>
      <w:r>
        <w:rPr>
          <w:rFonts w:hint="eastAsia" w:ascii="仿宋_GB2312" w:hAnsi="宋体" w:eastAsia="仿宋_GB2312" w:cs="宋体"/>
          <w:kern w:val="0"/>
          <w:sz w:val="32"/>
          <w:szCs w:val="32"/>
        </w:rPr>
        <w:t>医疗费实报实销</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离休人员医疗费享受人员</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报销门诊、住院医疗费</w:t>
      </w:r>
    </w:p>
    <w:p>
      <w:pPr>
        <w:spacing w:line="560" w:lineRule="exact"/>
        <w:ind w:left="2238" w:leftChars="304" w:hanging="1600" w:hangingChars="500"/>
        <w:rPr>
          <w:rFonts w:ascii="仿宋_GB2312" w:hAnsi="宋体" w:eastAsia="仿宋_GB2312"/>
          <w:sz w:val="32"/>
          <w:szCs w:val="22"/>
        </w:rPr>
      </w:pPr>
      <w:r>
        <w:rPr>
          <w:rFonts w:hint="eastAsia" w:ascii="仿宋_GB2312" w:hAnsi="宋体" w:eastAsia="仿宋_GB2312" w:cs="宋体"/>
          <w:kern w:val="0"/>
          <w:sz w:val="32"/>
          <w:szCs w:val="32"/>
        </w:rPr>
        <w:t>发放程序：每月业务科室核算医疗费用结算票据，通过基金账户进行发放。</w:t>
      </w:r>
    </w:p>
    <w:p>
      <w:pPr>
        <w:spacing w:line="560" w:lineRule="exact"/>
        <w:ind w:left="3838" w:leftChars="304" w:hanging="3200" w:hangingChars="1000"/>
        <w:rPr>
          <w:rFonts w:ascii="仿宋_GB2312" w:hAnsi="宋体" w:eastAsia="仿宋_GB2312"/>
          <w:sz w:val="32"/>
          <w:szCs w:val="2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离休人员医疗费享受人员94人，提高离休人员生活质量。</w:t>
      </w:r>
    </w:p>
    <w:p>
      <w:pPr>
        <w:spacing w:line="560" w:lineRule="exact"/>
        <w:ind w:firstLine="640" w:firstLineChars="200"/>
        <w:rPr>
          <w:rFonts w:ascii="仿宋_GB2312" w:hAnsi="宋体" w:eastAsia="仿宋_GB2312" w:cs="宋体"/>
          <w:kern w:val="0"/>
          <w:sz w:val="32"/>
          <w:szCs w:val="32"/>
        </w:rPr>
      </w:pPr>
    </w:p>
    <w:p>
      <w:pPr>
        <w:pStyle w:val="2"/>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八、关于昌吉州医疗保障局2021年一般公共预算“三公”经费预算情况说明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昌吉州医疗保障局2021年一般公共预算“三公”经费数为2.38万元，其中：因公出国（境）费0万元，公务用车购置0万元，公务用车运行费2.18万元，公务接待费0.2万元。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与上年数据一致，其中：因公出国（境）费未发生，主要原因是我单位无因公出国业务；公务用车购置费增加0万元，未安排预算；公务用车运行费增加0万元，主要原因是严格公务用车管理，压减公车运行费只减不增；公务接待费增加0万元，主要原因是严格执行八项规定，严格控制公务接待。</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九、关于昌吉州医疗保障局2021年政府性基金预算拨款情况说明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昌吉州医疗保障局2021年没有使用政府性基金预算拨款安排的支出，政府性基金预算支出情况表为空表。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2021年，昌吉州医疗保障局的机关运行经费财政拨款预算35.61万元，比上年预算增加16.45万元，增长85.86%。主要原因是人员增加导致公用经费开支加大。</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2021年，昌吉州医疗保障局政府采购预算110.23万元，其中：政府采购货物预算39.86万元，政府采购工程预算0万元，政府采购服务预算70.37万元。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截至2020年底，昌吉州医疗保障局占用使用国有资产总体情况为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1.房屋0平方米，价值0万元。本单位为联合办公用房，无房屋资产，本单位实际使用办公室用房805平方米。</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2.车辆1辆，价值19.77万元；其中：一般公务用车1辆，价值19.77万元；执法执勤用车0辆，价值0万元；调配使用其他车辆1辆，价值0.5万元。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3.办公家具价值6.12万元。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4.其他资产价值135.93万元。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2021年昌吉州医疗保障局部门预算未安排购置车辆经费，安排购置50万元以上大型设备0台（套），单位价值100万元以上大型设备0台（套）。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2021年度，本年度实行绩效管理的一般公共预算项目7   个，涉及预算金额1186.5万元。具体情况见下表（按项目分别填报）：</w:t>
      </w:r>
    </w:p>
    <w:p/>
    <w:tbl>
      <w:tblPr>
        <w:tblStyle w:val="9"/>
        <w:tblW w:w="8330" w:type="dxa"/>
        <w:tblInd w:w="0" w:type="dxa"/>
        <w:tblLayout w:type="fixed"/>
        <w:tblCellMar>
          <w:top w:w="0" w:type="dxa"/>
          <w:left w:w="0" w:type="dxa"/>
          <w:bottom w:w="0" w:type="dxa"/>
          <w:right w:w="0" w:type="dxa"/>
        </w:tblCellMar>
      </w:tblPr>
      <w:tblGrid>
        <w:gridCol w:w="1517"/>
        <w:gridCol w:w="1417"/>
        <w:gridCol w:w="500"/>
        <w:gridCol w:w="1417"/>
        <w:gridCol w:w="886"/>
        <w:gridCol w:w="2200"/>
        <w:gridCol w:w="393"/>
      </w:tblGrid>
      <w:tr>
        <w:tblPrEx>
          <w:tblLayout w:type="fixed"/>
          <w:tblCellMar>
            <w:top w:w="0" w:type="dxa"/>
            <w:left w:w="0" w:type="dxa"/>
            <w:bottom w:w="0" w:type="dxa"/>
            <w:right w:w="0" w:type="dxa"/>
          </w:tblCellMar>
        </w:tblPrEx>
        <w:trPr>
          <w:trHeight w:val="480" w:hRule="atLeast"/>
        </w:trPr>
        <w:tc>
          <w:tcPr>
            <w:tcW w:w="833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离休人员医疗费支出绩效目标表</w:t>
            </w:r>
          </w:p>
        </w:tc>
      </w:tr>
      <w:tr>
        <w:tblPrEx>
          <w:tblLayout w:type="fixed"/>
          <w:tblCellMar>
            <w:top w:w="0" w:type="dxa"/>
            <w:left w:w="0" w:type="dxa"/>
            <w:bottom w:w="0" w:type="dxa"/>
            <w:right w:w="0" w:type="dxa"/>
          </w:tblCellMar>
        </w:tblPrEx>
        <w:trPr>
          <w:trHeight w:val="380" w:hRule="atLeast"/>
        </w:trPr>
        <w:tc>
          <w:tcPr>
            <w:tcW w:w="833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782" w:hRule="atLeast"/>
        </w:trPr>
        <w:tc>
          <w:tcPr>
            <w:tcW w:w="15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33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昌吉回族自治州医疗保障局本级</w:t>
            </w:r>
          </w:p>
        </w:tc>
        <w:tc>
          <w:tcPr>
            <w:tcW w:w="8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离休人员医疗费</w:t>
            </w:r>
          </w:p>
        </w:tc>
      </w:tr>
      <w:tr>
        <w:tblPrEx>
          <w:tblLayout w:type="fixed"/>
          <w:tblCellMar>
            <w:top w:w="0" w:type="dxa"/>
            <w:left w:w="0" w:type="dxa"/>
            <w:bottom w:w="0" w:type="dxa"/>
            <w:right w:w="0" w:type="dxa"/>
          </w:tblCellMar>
        </w:tblPrEx>
        <w:trPr>
          <w:trHeight w:val="800" w:hRule="atLeast"/>
        </w:trPr>
        <w:tc>
          <w:tcPr>
            <w:tcW w:w="15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5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773</w:t>
            </w: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8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773</w:t>
            </w:r>
          </w:p>
        </w:tc>
        <w:tc>
          <w:tcPr>
            <w:tcW w:w="220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39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717" w:hRule="atLeast"/>
        </w:trPr>
        <w:tc>
          <w:tcPr>
            <w:tcW w:w="15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6813"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负责区、州统筹的社会保险基金的管理和运营，指导县市级统筹的社会保险基金的经办管理；项目目标：以建立社会保险全覆盖体系为目标，提高州直离休人员生活质量，使参保人员的幸福感、获得感、安全感不断增强。</w:t>
            </w:r>
          </w:p>
        </w:tc>
      </w:tr>
      <w:tr>
        <w:tblPrEx>
          <w:tblLayout w:type="fixed"/>
          <w:tblCellMar>
            <w:top w:w="0" w:type="dxa"/>
            <w:left w:w="0" w:type="dxa"/>
            <w:bottom w:w="0" w:type="dxa"/>
            <w:right w:w="0" w:type="dxa"/>
          </w:tblCellMar>
        </w:tblPrEx>
        <w:trPr>
          <w:trHeight w:val="480" w:hRule="atLeast"/>
        </w:trPr>
        <w:tc>
          <w:tcPr>
            <w:tcW w:w="15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593"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711" w:hRule="atLeast"/>
        </w:trPr>
        <w:tc>
          <w:tcPr>
            <w:tcW w:w="151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205"/>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核定离休人员医疗费享受人数</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=94</w:t>
            </w:r>
          </w:p>
        </w:tc>
      </w:tr>
      <w:tr>
        <w:tblPrEx>
          <w:tblLayout w:type="fixed"/>
          <w:tblCellMar>
            <w:top w:w="0" w:type="dxa"/>
            <w:left w:w="0" w:type="dxa"/>
            <w:bottom w:w="0" w:type="dxa"/>
            <w:right w:w="0" w:type="dxa"/>
          </w:tblCellMar>
        </w:tblPrEx>
        <w:trPr>
          <w:trHeight w:val="651" w:hRule="atLeast"/>
        </w:trPr>
        <w:tc>
          <w:tcPr>
            <w:tcW w:w="15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补助覆盖率</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674" w:hRule="atLeast"/>
        </w:trPr>
        <w:tc>
          <w:tcPr>
            <w:tcW w:w="15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1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及时报销门诊、住院医疗费</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628" w:hRule="atLeast"/>
        </w:trPr>
        <w:tc>
          <w:tcPr>
            <w:tcW w:w="15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全年补助发放时间</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678" w:hRule="atLeast"/>
        </w:trPr>
        <w:tc>
          <w:tcPr>
            <w:tcW w:w="15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离休人员医疗费（万元）</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≦773</w:t>
            </w:r>
          </w:p>
        </w:tc>
      </w:tr>
      <w:tr>
        <w:tblPrEx>
          <w:tblLayout w:type="fixed"/>
          <w:tblCellMar>
            <w:top w:w="0" w:type="dxa"/>
            <w:left w:w="0" w:type="dxa"/>
            <w:bottom w:w="0" w:type="dxa"/>
            <w:right w:w="0" w:type="dxa"/>
          </w:tblCellMar>
        </w:tblPrEx>
        <w:trPr>
          <w:trHeight w:val="684" w:hRule="atLeast"/>
        </w:trPr>
        <w:tc>
          <w:tcPr>
            <w:tcW w:w="15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提高离休人员生活质量</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1162" w:hRule="atLeast"/>
        </w:trPr>
        <w:tc>
          <w:tcPr>
            <w:tcW w:w="15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增强参保人员的幸福感、获得感、安全感</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854" w:hRule="atLeast"/>
        </w:trPr>
        <w:tc>
          <w:tcPr>
            <w:tcW w:w="15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280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离休人员满意度</w:t>
            </w:r>
          </w:p>
        </w:tc>
        <w:tc>
          <w:tcPr>
            <w:tcW w:w="259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p>
    <w:tbl>
      <w:tblPr>
        <w:tblStyle w:val="9"/>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国务院特殊津贴专家保健医疗费支出绩效目标表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昌吉回族自治州医疗保障局本级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国务院特殊津贴专家保健医疗费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负责区、州统筹的社会保险基金的管理和运营，指导县市级统筹的社会保险基金的经办管理；项目目标：以建立社会保险全覆盖体系为目标，提高国务院特殊津贴专家的生活质量，使国务院特殊津贴专家的幸福感、获得感、安全感不断增强。</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711"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824"/>
              </w:tabs>
              <w:spacing w:line="480" w:lineRule="exact"/>
              <w:jc w:val="left"/>
              <w:rPr>
                <w:rFonts w:ascii="宋体" w:hAnsi="宋体" w:cs="宋体"/>
                <w:color w:val="000000"/>
                <w:sz w:val="18"/>
                <w:szCs w:val="18"/>
              </w:rPr>
            </w:pPr>
            <w:r>
              <w:rPr>
                <w:rFonts w:hint="eastAsia" w:ascii="宋体" w:hAnsi="宋体" w:cs="宋体"/>
                <w:color w:val="000000"/>
                <w:sz w:val="18"/>
                <w:szCs w:val="18"/>
              </w:rPr>
              <w:t>核定国务院特殊津贴专家保健医疗费享受人数（人次）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=10人</w:t>
            </w:r>
          </w:p>
        </w:tc>
      </w:tr>
      <w:tr>
        <w:tblPrEx>
          <w:tblLayout w:type="fixed"/>
          <w:tblCellMar>
            <w:top w:w="0" w:type="dxa"/>
            <w:left w:w="0" w:type="dxa"/>
            <w:bottom w:w="0" w:type="dxa"/>
            <w:right w:w="0" w:type="dxa"/>
          </w:tblCellMar>
        </w:tblPrEx>
        <w:trPr>
          <w:trHeight w:val="77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371"/>
              </w:tabs>
              <w:spacing w:line="480" w:lineRule="exact"/>
              <w:jc w:val="left"/>
              <w:rPr>
                <w:rFonts w:ascii="宋体" w:hAnsi="宋体" w:cs="宋体"/>
                <w:color w:val="000000"/>
                <w:sz w:val="18"/>
                <w:szCs w:val="18"/>
              </w:rPr>
            </w:pPr>
            <w:r>
              <w:rPr>
                <w:rFonts w:hint="eastAsia" w:ascii="宋体" w:hAnsi="宋体" w:cs="宋体"/>
                <w:color w:val="000000"/>
                <w:sz w:val="18"/>
                <w:szCs w:val="18"/>
              </w:rPr>
              <w:t>享受补助人员覆盖率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64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报销门诊、住院医疗费及时性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69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全年补助发放时间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67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835"/>
              </w:tabs>
              <w:spacing w:line="480" w:lineRule="exact"/>
              <w:jc w:val="left"/>
              <w:rPr>
                <w:rFonts w:ascii="宋体" w:hAnsi="宋体" w:cs="宋体"/>
                <w:color w:val="000000"/>
                <w:sz w:val="18"/>
                <w:szCs w:val="18"/>
              </w:rPr>
            </w:pPr>
            <w:r>
              <w:rPr>
                <w:rFonts w:hint="eastAsia" w:ascii="宋体" w:hAnsi="宋体" w:cs="宋体"/>
                <w:color w:val="000000"/>
                <w:sz w:val="18"/>
                <w:szCs w:val="18"/>
              </w:rPr>
              <w:t>国务院特殊津贴专家保健医疗费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≦40万元</w:t>
            </w:r>
          </w:p>
        </w:tc>
      </w:tr>
      <w:tr>
        <w:tblPrEx>
          <w:tblLayout w:type="fixed"/>
          <w:tblCellMar>
            <w:top w:w="0" w:type="dxa"/>
            <w:left w:w="0" w:type="dxa"/>
            <w:bottom w:w="0" w:type="dxa"/>
            <w:right w:w="0" w:type="dxa"/>
          </w:tblCellMar>
        </w:tblPrEx>
        <w:trPr>
          <w:trHeight w:val="773"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996"/>
              </w:tabs>
              <w:spacing w:line="480" w:lineRule="exact"/>
              <w:jc w:val="left"/>
              <w:rPr>
                <w:rFonts w:ascii="宋体" w:hAnsi="宋体" w:cs="宋体"/>
                <w:color w:val="000000"/>
                <w:sz w:val="18"/>
                <w:szCs w:val="18"/>
              </w:rPr>
            </w:pPr>
            <w:r>
              <w:rPr>
                <w:rFonts w:hint="eastAsia" w:ascii="宋体" w:hAnsi="宋体" w:cs="宋体"/>
                <w:color w:val="000000"/>
                <w:sz w:val="18"/>
                <w:szCs w:val="18"/>
              </w:rPr>
              <w:t>提高国务院特殊津贴专家生活质量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69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增强国务院特殊津贴专家的幸福感、获得感、安全感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83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国务院特殊津贴专家满意度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长期护理保险工作经费支出绩效目标表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长期护理保险工作经费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2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40" w:lineRule="exact"/>
              <w:jc w:val="left"/>
              <w:rPr>
                <w:rFonts w:ascii="宋体" w:hAnsi="宋体" w:cs="宋体"/>
                <w:color w:val="000000"/>
                <w:sz w:val="18"/>
                <w:szCs w:val="18"/>
              </w:rPr>
            </w:pPr>
            <w:r>
              <w:rPr>
                <w:rFonts w:hint="eastAsia" w:ascii="宋体" w:hAnsi="宋体" w:cs="宋体"/>
                <w:color w:val="000000"/>
                <w:sz w:val="18"/>
                <w:szCs w:val="18"/>
              </w:rPr>
              <w:t>单位职能：贯彻落实国家和自治区医疗保险、生育保险、人身意外伤害保险、医疗救助等医疗保障制度，提出自治州医疗保障制度的规章草案、政策、规划和标准并组织实施；</w:t>
            </w:r>
          </w:p>
          <w:p>
            <w:pPr>
              <w:spacing w:line="340" w:lineRule="exact"/>
              <w:jc w:val="left"/>
              <w:rPr>
                <w:rFonts w:ascii="宋体" w:hAnsi="宋体" w:cs="宋体"/>
                <w:color w:val="000000"/>
                <w:sz w:val="18"/>
                <w:szCs w:val="18"/>
              </w:rPr>
            </w:pPr>
            <w:r>
              <w:rPr>
                <w:rFonts w:hint="eastAsia" w:ascii="宋体" w:hAnsi="宋体" w:cs="宋体"/>
                <w:color w:val="000000"/>
                <w:sz w:val="18"/>
                <w:szCs w:val="18"/>
              </w:rPr>
              <w:t>项目目标：在我州范围内建立多层次的社会保障体系，积极应对人口老龄化，保障失能人员基本生活权益，切实解决自治州职工基本医疗参保人员中的长期失能人员，不断增加人民群众在共建共享发展中的认同感和幸福感，促进经济社会协调发展。</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长期护理保险享受人数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100人</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长期护理保险鉴定次数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12次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813"/>
              </w:tabs>
              <w:spacing w:line="620" w:lineRule="exact"/>
              <w:jc w:val="left"/>
              <w:rPr>
                <w:rFonts w:ascii="宋体" w:hAnsi="宋体" w:cs="宋体"/>
                <w:color w:val="000000"/>
                <w:sz w:val="18"/>
                <w:szCs w:val="18"/>
              </w:rPr>
            </w:pPr>
            <w:r>
              <w:rPr>
                <w:rFonts w:hint="eastAsia" w:ascii="宋体" w:hAnsi="宋体" w:cs="宋体"/>
                <w:color w:val="000000"/>
                <w:sz w:val="18"/>
                <w:szCs w:val="18"/>
              </w:rPr>
              <w:t>符合政策要求的鉴定工作完成率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各项工作完成时间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2021年12月31日</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试点长期护理保险失能人员评定费（万元）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≦1.5万元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日常工作经费（万元）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≦8.5万元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改善失能老人长期护理问题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改善</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left"/>
              <w:rPr>
                <w:rFonts w:ascii="宋体" w:hAnsi="宋体" w:cs="宋体"/>
                <w:color w:val="000000"/>
                <w:sz w:val="18"/>
                <w:szCs w:val="18"/>
              </w:rPr>
            </w:pPr>
            <w:r>
              <w:rPr>
                <w:rFonts w:hint="eastAsia" w:ascii="宋体" w:hAnsi="宋体" w:cs="宋体"/>
                <w:color w:val="000000"/>
                <w:sz w:val="18"/>
                <w:szCs w:val="18"/>
              </w:rPr>
              <w:t>提高自治州城镇职工长期护理保险实施方案执行力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left"/>
              <w:rPr>
                <w:rFonts w:ascii="宋体" w:hAnsi="宋体" w:cs="宋体"/>
                <w:color w:val="000000"/>
                <w:sz w:val="18"/>
                <w:szCs w:val="18"/>
              </w:rPr>
            </w:pPr>
            <w:r>
              <w:rPr>
                <w:rFonts w:hint="eastAsia" w:ascii="宋体" w:hAnsi="宋体" w:cs="宋体"/>
                <w:color w:val="000000"/>
                <w:sz w:val="18"/>
                <w:szCs w:val="18"/>
              </w:rPr>
              <w:t>享受长期护理保险的参保人满意度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textAlignment w:val="bottom"/>
              <w:rPr>
                <w:rFonts w:ascii="仿宋_GB2312" w:hAnsi="宋体" w:eastAsia="仿宋_GB2312" w:cs="仿宋_GB2312"/>
                <w:b/>
                <w:color w:val="000000"/>
                <w:kern w:val="0"/>
                <w:sz w:val="32"/>
                <w:szCs w:val="32"/>
                <w:lang w:bidi="ar"/>
              </w:rPr>
            </w:pPr>
          </w:p>
          <w:p>
            <w:pPr>
              <w:pStyle w:val="2"/>
              <w:rPr>
                <w:rFonts w:ascii="仿宋_GB2312" w:hAnsi="宋体" w:eastAsia="仿宋_GB2312" w:cs="仿宋_GB2312"/>
                <w:b/>
                <w:color w:val="000000"/>
                <w:kern w:val="0"/>
                <w:sz w:val="32"/>
                <w:szCs w:val="32"/>
                <w:lang w:bidi="ar"/>
              </w:rPr>
            </w:pPr>
          </w:p>
          <w:p/>
          <w:p>
            <w:pPr>
              <w:widowControl/>
              <w:spacing w:line="480" w:lineRule="exact"/>
              <w:ind w:firstLine="1606" w:firstLineChars="5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医疗基金监管工作经费支出绩效目标表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医疗基金监管工作经费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40" w:lineRule="exact"/>
              <w:jc w:val="left"/>
              <w:rPr>
                <w:rFonts w:ascii="宋体" w:hAnsi="宋体" w:cs="宋体"/>
                <w:color w:val="000000"/>
                <w:sz w:val="18"/>
                <w:szCs w:val="18"/>
              </w:rPr>
            </w:pPr>
            <w:r>
              <w:rPr>
                <w:rFonts w:hint="eastAsia" w:ascii="宋体" w:hAnsi="宋体" w:cs="宋体"/>
                <w:color w:val="000000"/>
                <w:sz w:val="18"/>
                <w:szCs w:val="18"/>
              </w:rPr>
              <w:t>单位职能：组织制定并实施医疗保障基金监督管理办法，建立健全医疗保障基金安全防控机制，承担推进医疗保障基金支付方式改革工作，编制自治州医疗保障基金预决算草案。项目目标：按加强基金监管队伍建设，提高基金监管质量。加强打击欺诈骗保工作力度、切实保障医保基金合理有效使用，确保医保基金安全，保障人民群众的切身利益，提升群众满意度。</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检查监管全州医疗机构个数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927家</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交叉检查抽查率10%</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形成处罚决定书下达率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举报案件处理及时率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项目开展时间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医保基金稽核、监管资金成本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≦30万元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left"/>
              <w:rPr>
                <w:rFonts w:ascii="宋体" w:hAnsi="宋体" w:cs="宋体"/>
                <w:color w:val="000000"/>
                <w:sz w:val="18"/>
                <w:szCs w:val="18"/>
              </w:rPr>
            </w:pPr>
            <w:r>
              <w:rPr>
                <w:rFonts w:hint="eastAsia" w:ascii="宋体" w:hAnsi="宋体" w:cs="宋体"/>
                <w:color w:val="000000"/>
                <w:sz w:val="18"/>
                <w:szCs w:val="18"/>
              </w:rPr>
              <w:t>加强基金监管队伍建设，提高基金监管质量,保障人民群众的切身利益。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医保基金监管政策执行力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欺诈骗保事件处理举报人满意度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地州级退休人员医疗补助经费支出绩效目标表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昌吉回族自治州医疗保障局本级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地州级退休人员医疗补助经费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265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265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负责区、州统筹的社会保险基金的管理和运营，指导县市级统筹的社会保险基金的经办管理；项目目标：以建立社会保险全覆盖体系为目标，提高地州级退休人员生活质量，使参保人员的幸福感、获得感、安全感不断增强。</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865"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核定地州级退休人员医疗补助经费享受人数（人次）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=59人</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享受补助人员覆盖率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及时报销门诊、住院医疗费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全年补助发放时间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地州级退休人员医疗补助费（万元）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≦265万元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提高地州级退休人员生活质量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392"/>
              </w:tabs>
              <w:spacing w:line="620" w:lineRule="exact"/>
              <w:jc w:val="left"/>
              <w:rPr>
                <w:rFonts w:ascii="宋体" w:hAnsi="宋体" w:cs="宋体"/>
                <w:color w:val="000000"/>
                <w:sz w:val="18"/>
                <w:szCs w:val="18"/>
              </w:rPr>
            </w:pPr>
            <w:r>
              <w:rPr>
                <w:rFonts w:hint="eastAsia" w:ascii="宋体" w:hAnsi="宋体" w:cs="宋体"/>
                <w:color w:val="000000"/>
                <w:sz w:val="18"/>
                <w:szCs w:val="18"/>
              </w:rPr>
              <w:t>增强地州级退休人员的幸福感、获得感、安全感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地州级退休人员满意度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医保局医保经办中心公共耗材及工作经费绩效目标表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昌吉州医疗保障局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医保局医保经办中心公共耗材及工作经费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提升经办管理服务水平，全州统一的医保服务事项和办事指南，推进我州医保公共服务标准化规范化，确保服务更加便捷。积极推动建档立卡贫困人口参保，符合政策的建档立卡贫困人口均已参保，参保率达到100%。扎实有效推进医疗保障事业各项工作。全州范围内实现基本医疗保险、大病保险、医疗救助“一站式服务、一窗口办理、一单制结算”。</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5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继续实施全民参保计划，巩固基本医疗保险参保覆盖面，确保企业职工应保尽保。2021年自治州城乡居民医疗保障参保率保持在96%以上。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≧107万人</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rPr>
                <w:rFonts w:ascii="宋体" w:hAnsi="宋体" w:cs="宋体"/>
                <w:color w:val="000000"/>
                <w:sz w:val="18"/>
                <w:szCs w:val="18"/>
              </w:rPr>
            </w:pPr>
            <w:r>
              <w:rPr>
                <w:rFonts w:hint="eastAsia" w:ascii="宋体" w:hAnsi="宋体" w:cs="宋体"/>
                <w:color w:val="000000"/>
                <w:sz w:val="18"/>
                <w:szCs w:val="18"/>
              </w:rPr>
              <w:t>医疗费用报销合规性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rPr>
                <w:rFonts w:ascii="宋体" w:hAnsi="宋体" w:cs="宋体"/>
                <w:color w:val="000000"/>
                <w:sz w:val="18"/>
                <w:szCs w:val="18"/>
              </w:rPr>
            </w:pPr>
            <w:r>
              <w:rPr>
                <w:rFonts w:hint="eastAsia" w:ascii="宋体" w:hAnsi="宋体" w:cs="宋体"/>
                <w:color w:val="000000"/>
                <w:sz w:val="18"/>
                <w:szCs w:val="18"/>
              </w:rPr>
              <w:t xml:space="preserve">财务制度健全性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85"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rPr>
                <w:rFonts w:ascii="宋体" w:hAnsi="宋体" w:cs="宋体"/>
                <w:color w:val="000000"/>
                <w:sz w:val="18"/>
                <w:szCs w:val="18"/>
              </w:rPr>
            </w:pPr>
            <w:r>
              <w:rPr>
                <w:rFonts w:hint="eastAsia" w:ascii="宋体" w:hAnsi="宋体" w:cs="宋体"/>
                <w:color w:val="000000"/>
                <w:sz w:val="18"/>
                <w:szCs w:val="18"/>
              </w:rPr>
              <w:t>医疗费用报销及时性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rPr>
                <w:rFonts w:ascii="宋体" w:hAnsi="宋体" w:cs="宋体"/>
                <w:color w:val="000000"/>
                <w:sz w:val="18"/>
                <w:szCs w:val="18"/>
              </w:rPr>
            </w:pPr>
            <w:r>
              <w:rPr>
                <w:rFonts w:hint="eastAsia" w:ascii="宋体" w:hAnsi="宋体" w:cs="宋体"/>
                <w:color w:val="000000"/>
                <w:sz w:val="18"/>
                <w:szCs w:val="18"/>
              </w:rPr>
              <w:t>项目开展时间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完成医保经办中心正常工作，本年度支出不超预算收入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≦60万元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提高办事效率，办事程序公开，办事时间缩短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rPr>
                <w:rFonts w:ascii="宋体" w:hAnsi="宋体" w:cs="宋体"/>
                <w:color w:val="000000"/>
                <w:sz w:val="18"/>
                <w:szCs w:val="18"/>
              </w:rPr>
            </w:pPr>
            <w:r>
              <w:rPr>
                <w:rFonts w:hint="eastAsia" w:ascii="宋体" w:hAnsi="宋体" w:cs="宋体"/>
                <w:color w:val="000000"/>
                <w:sz w:val="18"/>
                <w:szCs w:val="18"/>
              </w:rPr>
              <w:t>经办中心服务事项一次性办结率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4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5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5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ind w:firstLine="1606" w:firstLineChars="500"/>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国务院特殊津贴专家保健医疗周转金支出绩效目标表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昌吉回族自治州医疗保障局本级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国务院特殊津贴专家保健医疗周转金</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负责区、州统筹的社会保险基金的管理和运营，指导县市级统筹的社会保险基金的经办管理；项目目标：以建立社会保险全覆盖体系为目标，提高国务院特贴专家的生活质量，使特贴专家的幸福感、获得感、安全感不断增强。</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62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核定国务院特殊津贴专家保健医疗周转金享受人数（人次）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=10人</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享受补助人员覆盖率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及时报销门诊、住院医疗费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全年补助发放时间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1018"/>
              </w:tabs>
              <w:spacing w:line="620" w:lineRule="exact"/>
              <w:jc w:val="left"/>
              <w:rPr>
                <w:rFonts w:ascii="宋体" w:hAnsi="宋体" w:cs="宋体"/>
                <w:color w:val="000000"/>
                <w:sz w:val="18"/>
                <w:szCs w:val="18"/>
              </w:rPr>
            </w:pPr>
            <w:r>
              <w:rPr>
                <w:rFonts w:hint="eastAsia" w:ascii="宋体" w:hAnsi="宋体" w:cs="宋体"/>
                <w:color w:val="000000"/>
                <w:sz w:val="18"/>
                <w:szCs w:val="18"/>
              </w:rPr>
              <w:t>国务院特殊津贴专家保健医疗周转金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≦8.5万元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提高国务院特殊津贴专家生活质量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增强特贴专家的幸福感、获得感、安全感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6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rPr>
                <w:rFonts w:ascii="宋体" w:hAnsi="宋体" w:cs="宋体"/>
                <w:color w:val="000000"/>
                <w:sz w:val="18"/>
                <w:szCs w:val="18"/>
              </w:rPr>
            </w:pPr>
            <w:r>
              <w:rPr>
                <w:rFonts w:hint="eastAsia" w:ascii="宋体" w:hAnsi="宋体" w:cs="宋体"/>
                <w:color w:val="000000"/>
                <w:sz w:val="18"/>
                <w:szCs w:val="18"/>
              </w:rPr>
              <w:t>国务院特殊津贴专家满意度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62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jc w:val="left"/>
        <w:rPr>
          <w:rFonts w:ascii="楷体_GB2312" w:hAnsi="宋体" w:eastAsia="楷体_GB2312" w:cs="宋体"/>
          <w:b/>
          <w:kern w:val="0"/>
          <w:sz w:val="32"/>
          <w:szCs w:val="32"/>
        </w:rPr>
      </w:pPr>
    </w:p>
    <w:p>
      <w:pPr>
        <w:pStyle w:val="2"/>
        <w:jc w:val="both"/>
      </w:pPr>
    </w:p>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760" w:hanging="5760" w:hangingChars="18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昌吉州医疗保障局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FDFFE"/>
    <w:multiLevelType w:val="singleLevel"/>
    <w:tmpl w:val="4A3FDFF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1B2B92"/>
    <w:rsid w:val="00223EA5"/>
    <w:rsid w:val="00261065"/>
    <w:rsid w:val="00267D58"/>
    <w:rsid w:val="002E7530"/>
    <w:rsid w:val="00321E8A"/>
    <w:rsid w:val="003679D2"/>
    <w:rsid w:val="00387434"/>
    <w:rsid w:val="00452A86"/>
    <w:rsid w:val="005320EE"/>
    <w:rsid w:val="005602EA"/>
    <w:rsid w:val="00567073"/>
    <w:rsid w:val="0059125F"/>
    <w:rsid w:val="006B2417"/>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1422D7D"/>
    <w:rsid w:val="0193094D"/>
    <w:rsid w:val="01CF6A3F"/>
    <w:rsid w:val="02A532F0"/>
    <w:rsid w:val="02CD384A"/>
    <w:rsid w:val="0327480E"/>
    <w:rsid w:val="032D6184"/>
    <w:rsid w:val="038341A2"/>
    <w:rsid w:val="04255CA5"/>
    <w:rsid w:val="04332BF4"/>
    <w:rsid w:val="04A54C62"/>
    <w:rsid w:val="055D479D"/>
    <w:rsid w:val="07466F51"/>
    <w:rsid w:val="07681C3D"/>
    <w:rsid w:val="079C5EEB"/>
    <w:rsid w:val="07BC07FF"/>
    <w:rsid w:val="07E379B5"/>
    <w:rsid w:val="07E5131B"/>
    <w:rsid w:val="08B16669"/>
    <w:rsid w:val="08FE2158"/>
    <w:rsid w:val="096F01C4"/>
    <w:rsid w:val="097544E7"/>
    <w:rsid w:val="09886BF9"/>
    <w:rsid w:val="09967B52"/>
    <w:rsid w:val="0A95318D"/>
    <w:rsid w:val="0A9A62A4"/>
    <w:rsid w:val="0AC43EF2"/>
    <w:rsid w:val="0C954ED0"/>
    <w:rsid w:val="0CE9323D"/>
    <w:rsid w:val="0D5503B2"/>
    <w:rsid w:val="0DB00DE7"/>
    <w:rsid w:val="0EA34686"/>
    <w:rsid w:val="0F661793"/>
    <w:rsid w:val="0FF22B3D"/>
    <w:rsid w:val="108246CA"/>
    <w:rsid w:val="10A03B54"/>
    <w:rsid w:val="121C2EE3"/>
    <w:rsid w:val="129E6E29"/>
    <w:rsid w:val="130C613F"/>
    <w:rsid w:val="136C6FCE"/>
    <w:rsid w:val="159171FF"/>
    <w:rsid w:val="173F2754"/>
    <w:rsid w:val="17D33F93"/>
    <w:rsid w:val="180D6D7D"/>
    <w:rsid w:val="185013CC"/>
    <w:rsid w:val="18624A52"/>
    <w:rsid w:val="189E48D4"/>
    <w:rsid w:val="19DF2FFB"/>
    <w:rsid w:val="1A163881"/>
    <w:rsid w:val="1A192F62"/>
    <w:rsid w:val="1A250823"/>
    <w:rsid w:val="1A362F15"/>
    <w:rsid w:val="1AC44BB1"/>
    <w:rsid w:val="1AD76885"/>
    <w:rsid w:val="1AF713B0"/>
    <w:rsid w:val="1B7862A7"/>
    <w:rsid w:val="1BC0574A"/>
    <w:rsid w:val="1C2A0013"/>
    <w:rsid w:val="1CBB3C8A"/>
    <w:rsid w:val="1E16498B"/>
    <w:rsid w:val="1E812E9C"/>
    <w:rsid w:val="1EB941CA"/>
    <w:rsid w:val="1FEB1313"/>
    <w:rsid w:val="20387E12"/>
    <w:rsid w:val="20DF60EE"/>
    <w:rsid w:val="21415649"/>
    <w:rsid w:val="223626F4"/>
    <w:rsid w:val="223A53FA"/>
    <w:rsid w:val="226E100D"/>
    <w:rsid w:val="23540160"/>
    <w:rsid w:val="240F267D"/>
    <w:rsid w:val="24107C46"/>
    <w:rsid w:val="24881379"/>
    <w:rsid w:val="254F63D9"/>
    <w:rsid w:val="27197B4E"/>
    <w:rsid w:val="274E5AEF"/>
    <w:rsid w:val="27DF31FA"/>
    <w:rsid w:val="27F93F12"/>
    <w:rsid w:val="28971890"/>
    <w:rsid w:val="28FE6A81"/>
    <w:rsid w:val="29225EE9"/>
    <w:rsid w:val="294043DD"/>
    <w:rsid w:val="296A54FD"/>
    <w:rsid w:val="2A2A4126"/>
    <w:rsid w:val="2A4D562A"/>
    <w:rsid w:val="2A917406"/>
    <w:rsid w:val="2AE56429"/>
    <w:rsid w:val="2B123696"/>
    <w:rsid w:val="2BDE0EF6"/>
    <w:rsid w:val="2D887CA9"/>
    <w:rsid w:val="2DB70B11"/>
    <w:rsid w:val="2DC85CD9"/>
    <w:rsid w:val="2ED13BBB"/>
    <w:rsid w:val="2F547448"/>
    <w:rsid w:val="2FE04B4C"/>
    <w:rsid w:val="2FED6977"/>
    <w:rsid w:val="303161C5"/>
    <w:rsid w:val="30E57618"/>
    <w:rsid w:val="310C6DFF"/>
    <w:rsid w:val="336E34EC"/>
    <w:rsid w:val="33AC48F2"/>
    <w:rsid w:val="3400297A"/>
    <w:rsid w:val="34190641"/>
    <w:rsid w:val="35492CE1"/>
    <w:rsid w:val="357B6B39"/>
    <w:rsid w:val="35C77FBA"/>
    <w:rsid w:val="36A03907"/>
    <w:rsid w:val="37D96638"/>
    <w:rsid w:val="381F7F0D"/>
    <w:rsid w:val="38615551"/>
    <w:rsid w:val="38D141DD"/>
    <w:rsid w:val="399B4463"/>
    <w:rsid w:val="3A793E61"/>
    <w:rsid w:val="3AE45031"/>
    <w:rsid w:val="3B120F77"/>
    <w:rsid w:val="3C1830DA"/>
    <w:rsid w:val="3CD36398"/>
    <w:rsid w:val="3D2E71B2"/>
    <w:rsid w:val="3D5F5380"/>
    <w:rsid w:val="3DCD39EE"/>
    <w:rsid w:val="3E4E189C"/>
    <w:rsid w:val="3F0A655D"/>
    <w:rsid w:val="3FAD2132"/>
    <w:rsid w:val="40456FE0"/>
    <w:rsid w:val="40950B6B"/>
    <w:rsid w:val="40A81B71"/>
    <w:rsid w:val="41D66CD3"/>
    <w:rsid w:val="41E90F12"/>
    <w:rsid w:val="435834B9"/>
    <w:rsid w:val="43655CC1"/>
    <w:rsid w:val="462D0280"/>
    <w:rsid w:val="467443B8"/>
    <w:rsid w:val="4678116D"/>
    <w:rsid w:val="46B54536"/>
    <w:rsid w:val="475020C9"/>
    <w:rsid w:val="47AC470B"/>
    <w:rsid w:val="481C2CD0"/>
    <w:rsid w:val="483B67B1"/>
    <w:rsid w:val="489D2EB6"/>
    <w:rsid w:val="493145B3"/>
    <w:rsid w:val="4A8C7E86"/>
    <w:rsid w:val="4AC20472"/>
    <w:rsid w:val="4AC7040A"/>
    <w:rsid w:val="4BD10464"/>
    <w:rsid w:val="4BD77D40"/>
    <w:rsid w:val="4C2E1FC2"/>
    <w:rsid w:val="4C3C6194"/>
    <w:rsid w:val="4C5B0302"/>
    <w:rsid w:val="4D7249AE"/>
    <w:rsid w:val="4D990101"/>
    <w:rsid w:val="4EEA15D4"/>
    <w:rsid w:val="4F6C22A9"/>
    <w:rsid w:val="4F6F7D29"/>
    <w:rsid w:val="4F8E7B57"/>
    <w:rsid w:val="509F678F"/>
    <w:rsid w:val="510C0A5B"/>
    <w:rsid w:val="51234D4E"/>
    <w:rsid w:val="519D5631"/>
    <w:rsid w:val="522C4686"/>
    <w:rsid w:val="53862D69"/>
    <w:rsid w:val="53A80380"/>
    <w:rsid w:val="54063995"/>
    <w:rsid w:val="55DF7FCB"/>
    <w:rsid w:val="56463646"/>
    <w:rsid w:val="566C5DCD"/>
    <w:rsid w:val="5690648B"/>
    <w:rsid w:val="569A45F4"/>
    <w:rsid w:val="56C44A24"/>
    <w:rsid w:val="57B208F6"/>
    <w:rsid w:val="580F7739"/>
    <w:rsid w:val="59B85D3C"/>
    <w:rsid w:val="5AA43951"/>
    <w:rsid w:val="5AB06EA0"/>
    <w:rsid w:val="5ABA0800"/>
    <w:rsid w:val="5B4948AD"/>
    <w:rsid w:val="5C2624A0"/>
    <w:rsid w:val="5C351ED6"/>
    <w:rsid w:val="5CBF6497"/>
    <w:rsid w:val="5D4C611A"/>
    <w:rsid w:val="5D736021"/>
    <w:rsid w:val="5DA21939"/>
    <w:rsid w:val="5DAD1D41"/>
    <w:rsid w:val="5E057B9E"/>
    <w:rsid w:val="5E431026"/>
    <w:rsid w:val="5FBA635E"/>
    <w:rsid w:val="5FFF2EE9"/>
    <w:rsid w:val="60CD319B"/>
    <w:rsid w:val="61C430F6"/>
    <w:rsid w:val="61D409C0"/>
    <w:rsid w:val="620845D5"/>
    <w:rsid w:val="633C4701"/>
    <w:rsid w:val="63753B51"/>
    <w:rsid w:val="64066FED"/>
    <w:rsid w:val="64FF26F3"/>
    <w:rsid w:val="65065764"/>
    <w:rsid w:val="6654267E"/>
    <w:rsid w:val="666608E2"/>
    <w:rsid w:val="66D0564B"/>
    <w:rsid w:val="67536469"/>
    <w:rsid w:val="67B42B8A"/>
    <w:rsid w:val="6842519C"/>
    <w:rsid w:val="68462DA5"/>
    <w:rsid w:val="685559CD"/>
    <w:rsid w:val="689B4A64"/>
    <w:rsid w:val="696E3E5B"/>
    <w:rsid w:val="699A767C"/>
    <w:rsid w:val="6B5A409D"/>
    <w:rsid w:val="6B825C96"/>
    <w:rsid w:val="6BD9166B"/>
    <w:rsid w:val="6BF15C32"/>
    <w:rsid w:val="6BFE4E11"/>
    <w:rsid w:val="6C024528"/>
    <w:rsid w:val="6C73133A"/>
    <w:rsid w:val="6C9D1931"/>
    <w:rsid w:val="6D8B6381"/>
    <w:rsid w:val="6E510197"/>
    <w:rsid w:val="6EB15A13"/>
    <w:rsid w:val="6EC50976"/>
    <w:rsid w:val="6ECB4DCA"/>
    <w:rsid w:val="700D6CB3"/>
    <w:rsid w:val="702A5152"/>
    <w:rsid w:val="70F90330"/>
    <w:rsid w:val="712B038E"/>
    <w:rsid w:val="7149438E"/>
    <w:rsid w:val="71A049DD"/>
    <w:rsid w:val="71E55ABE"/>
    <w:rsid w:val="7278105F"/>
    <w:rsid w:val="72916236"/>
    <w:rsid w:val="72EB3C6E"/>
    <w:rsid w:val="74085C56"/>
    <w:rsid w:val="74690622"/>
    <w:rsid w:val="75B07331"/>
    <w:rsid w:val="763E44EA"/>
    <w:rsid w:val="77102F25"/>
    <w:rsid w:val="77594E3E"/>
    <w:rsid w:val="78190C80"/>
    <w:rsid w:val="782B012B"/>
    <w:rsid w:val="79963F24"/>
    <w:rsid w:val="7A5D49AA"/>
    <w:rsid w:val="7A6E4130"/>
    <w:rsid w:val="7A6F587C"/>
    <w:rsid w:val="7A780336"/>
    <w:rsid w:val="7CBC3F02"/>
    <w:rsid w:val="7D1008ED"/>
    <w:rsid w:val="7D3B12DC"/>
    <w:rsid w:val="7DB762D7"/>
    <w:rsid w:val="7DE60D22"/>
    <w:rsid w:val="7F342539"/>
    <w:rsid w:val="7F3F7C74"/>
    <w:rsid w:val="7F8410ED"/>
    <w:rsid w:val="7FD61E01"/>
    <w:rsid w:val="7FE8148A"/>
    <w:rsid w:val="7FFA5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line="0" w:lineRule="atLeast"/>
      <w:jc w:val="center"/>
      <w:outlineLvl w:val="1"/>
    </w:pPr>
    <w:rPr>
      <w:sz w:val="28"/>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qFormat/>
    <w:uiPriority w:val="99"/>
    <w:rPr>
      <w:sz w:val="32"/>
      <w:szCs w:val="32"/>
    </w:rPr>
  </w:style>
  <w:style w:type="paragraph" w:styleId="4">
    <w:name w:val="Balloon Text"/>
    <w:basedOn w:val="1"/>
    <w:link w:val="12"/>
    <w:semiHidden/>
    <w:qFormat/>
    <w:uiPriority w:val="0"/>
    <w:rPr>
      <w:rFonts w:asciiTheme="minorHAnsi" w:hAnsiTheme="minorHAnsi" w:eastAsiaTheme="minorEastAsia" w:cstheme="minorBidi"/>
      <w:sz w:val="18"/>
      <w:szCs w:val="18"/>
    </w:rPr>
  </w:style>
  <w:style w:type="paragraph" w:styleId="5">
    <w:name w:val="footer"/>
    <w:basedOn w:val="1"/>
    <w:link w:val="11"/>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10">
    <w:name w:val="正文文本缩进 3 Char"/>
    <w:link w:val="7"/>
    <w:qFormat/>
    <w:uiPriority w:val="0"/>
    <w:rPr>
      <w:rFonts w:eastAsia="仿宋_GB2312"/>
      <w:sz w:val="32"/>
      <w:szCs w:val="24"/>
    </w:rPr>
  </w:style>
  <w:style w:type="character" w:customStyle="1" w:styleId="11">
    <w:name w:val="页脚 Char"/>
    <w:link w:val="5"/>
    <w:qFormat/>
    <w:uiPriority w:val="99"/>
    <w:rPr>
      <w:rFonts w:eastAsia="黑体"/>
      <w:sz w:val="18"/>
      <w:szCs w:val="18"/>
    </w:rPr>
  </w:style>
  <w:style w:type="character" w:customStyle="1" w:styleId="12">
    <w:name w:val="批注框文本 Char"/>
    <w:link w:val="4"/>
    <w:semiHidden/>
    <w:qFormat/>
    <w:uiPriority w:val="0"/>
    <w:rPr>
      <w:sz w:val="18"/>
      <w:szCs w:val="18"/>
    </w:rPr>
  </w:style>
  <w:style w:type="character" w:customStyle="1" w:styleId="13">
    <w:name w:val="页眉 Char"/>
    <w:link w:val="6"/>
    <w:qFormat/>
    <w:uiPriority w:val="0"/>
    <w:rPr>
      <w:sz w:val="18"/>
      <w:szCs w:val="18"/>
    </w:rPr>
  </w:style>
  <w:style w:type="character" w:customStyle="1" w:styleId="14">
    <w:name w:val="页眉 Char1"/>
    <w:basedOn w:val="8"/>
    <w:semiHidden/>
    <w:qFormat/>
    <w:uiPriority w:val="99"/>
    <w:rPr>
      <w:rFonts w:ascii="Times New Roman" w:hAnsi="Times New Roman" w:eastAsia="宋体" w:cs="Times New Roman"/>
      <w:sz w:val="18"/>
      <w:szCs w:val="18"/>
    </w:rPr>
  </w:style>
  <w:style w:type="character" w:customStyle="1" w:styleId="15">
    <w:name w:val="正文文本缩进 3 Char1"/>
    <w:basedOn w:val="8"/>
    <w:semiHidden/>
    <w:qFormat/>
    <w:uiPriority w:val="99"/>
    <w:rPr>
      <w:rFonts w:ascii="Times New Roman" w:hAnsi="Times New Roman" w:eastAsia="宋体" w:cs="Times New Roman"/>
      <w:sz w:val="16"/>
      <w:szCs w:val="16"/>
    </w:rPr>
  </w:style>
  <w:style w:type="character" w:customStyle="1" w:styleId="16">
    <w:name w:val="页脚 Char1"/>
    <w:basedOn w:val="8"/>
    <w:semiHidden/>
    <w:qFormat/>
    <w:uiPriority w:val="99"/>
    <w:rPr>
      <w:rFonts w:ascii="Times New Roman" w:hAnsi="Times New Roman" w:eastAsia="宋体" w:cs="Times New Roman"/>
      <w:sz w:val="18"/>
      <w:szCs w:val="18"/>
    </w:rPr>
  </w:style>
  <w:style w:type="character" w:customStyle="1" w:styleId="17">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881A8B-20E5-4EDA-A9D8-1F134C63DEB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2592</Words>
  <Characters>14778</Characters>
  <Lines>123</Lines>
  <Paragraphs>34</Paragraphs>
  <TotalTime>0</TotalTime>
  <ScaleCrop>false</ScaleCrop>
  <LinksUpToDate>false</LinksUpToDate>
  <CharactersWithSpaces>17336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1</cp:lastModifiedBy>
  <cp:lastPrinted>2021-04-06T03:46:00Z</cp:lastPrinted>
  <dcterms:modified xsi:type="dcterms:W3CDTF">2022-04-08T08:28:27Z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