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 xml:space="preserve">  </w:t>
      </w:r>
      <w:r>
        <w:rPr>
          <w:rFonts w:hint="eastAsia" w:ascii="方正小标宋_GBK" w:hAnsi="宋体" w:eastAsia="方正小标宋_GBK"/>
          <w:kern w:val="0"/>
          <w:sz w:val="44"/>
          <w:szCs w:val="44"/>
        </w:rPr>
        <w:t>昌吉州军队离退休干部休养所202</w:t>
      </w:r>
      <w:r>
        <w:rPr>
          <w:rFonts w:hint="default" w:ascii="方正小标宋_GBK" w:hAnsi="宋体" w:eastAsia="方正小标宋_GBK"/>
          <w:kern w:val="0"/>
          <w:sz w:val="44"/>
          <w:szCs w:val="44"/>
          <w:lang w:val="en-US"/>
        </w:rPr>
        <w:t>2</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部门预算公开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昌吉州军队离退休干部休养所单位</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b w:val="0"/>
          <w:bCs w:val="0"/>
          <w:kern w:val="0"/>
          <w:sz w:val="32"/>
          <w:szCs w:val="32"/>
        </w:rPr>
        <w:t>关于</w:t>
      </w:r>
      <w:r>
        <w:rPr>
          <w:rFonts w:hint="eastAsia" w:ascii="仿宋_GB2312" w:hAnsi="宋体" w:eastAsia="仿宋_GB2312"/>
          <w:b w:val="0"/>
          <w:bCs w:val="0"/>
          <w:kern w:val="0"/>
          <w:sz w:val="32"/>
          <w:szCs w:val="32"/>
        </w:rPr>
        <w:t>昌吉州军队离退休干部休养所单位</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b w:val="0"/>
          <w:bCs w:val="0"/>
          <w:kern w:val="0"/>
          <w:sz w:val="32"/>
          <w:szCs w:val="32"/>
        </w:rPr>
        <w:t>昌吉州军队离退休干部休养所</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b w:val="0"/>
          <w:bCs w:val="0"/>
          <w:kern w:val="0"/>
          <w:sz w:val="32"/>
          <w:szCs w:val="32"/>
        </w:rPr>
        <w:t>昌吉州军队离退休干部休养所</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b w:val="0"/>
          <w:bCs w:val="0"/>
          <w:kern w:val="0"/>
          <w:sz w:val="32"/>
          <w:szCs w:val="32"/>
        </w:rPr>
        <w:t>昌吉州军队离退休干部休养所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b w:val="0"/>
          <w:bCs w:val="0"/>
          <w:kern w:val="0"/>
          <w:sz w:val="32"/>
          <w:szCs w:val="32"/>
        </w:rPr>
        <w:t>昌吉州军队离退休干部休养所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b w:val="0"/>
          <w:bCs w:val="0"/>
          <w:kern w:val="0"/>
          <w:sz w:val="32"/>
          <w:szCs w:val="32"/>
        </w:rPr>
        <w:t>昌吉州军队离退休干部休养所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b w:val="0"/>
          <w:bCs w:val="0"/>
          <w:kern w:val="0"/>
          <w:sz w:val="32"/>
          <w:szCs w:val="32"/>
        </w:rPr>
        <w:t>昌吉州军队离退休干部休养所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b w:val="0"/>
          <w:bCs w:val="0"/>
          <w:kern w:val="0"/>
          <w:sz w:val="32"/>
          <w:szCs w:val="32"/>
        </w:rPr>
        <w:t>昌吉州军队离退休干部休养所</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b w:val="0"/>
          <w:bCs w:val="0"/>
          <w:kern w:val="0"/>
          <w:sz w:val="32"/>
          <w:szCs w:val="32"/>
        </w:rPr>
        <w:t>昌吉州军队离退休干部休养所</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3"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昌吉州军队离退休干部休养所</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为军队移交地方管理的军队离退休干部、军休职工等提供管理与相关服务，落实军休人员的政治待遇、生活待遇和医疗待遇及政治思想教育，组织军休人员开展文体活动及引导军休人员参加力所能及的社会活动。 </w:t>
      </w:r>
    </w:p>
    <w:p>
      <w:pPr>
        <w:widowControl/>
        <w:spacing w:line="540" w:lineRule="exact"/>
        <w:jc w:val="left"/>
        <w:rPr>
          <w:rFonts w:ascii="楷体_GB2312" w:hAnsi="楷体_GB2312" w:eastAsia="楷体_GB2312" w:cs="楷体_GB2312"/>
          <w:b/>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bCs/>
          <w:kern w:val="0"/>
          <w:sz w:val="32"/>
          <w:szCs w:val="32"/>
          <w:lang w:val="en-US" w:eastAsia="zh-CN"/>
        </w:rPr>
        <w:t xml:space="preserve">   </w:t>
      </w:r>
      <w:r>
        <w:rPr>
          <w:rFonts w:hint="eastAsia" w:ascii="楷体_GB2312" w:hAnsi="楷体_GB2312" w:eastAsia="楷体_GB2312" w:cs="楷体_GB2312"/>
          <w:b/>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昌吉州军队离退休干部休养所无下属预算单位，下设2个科室，分别是：</w:t>
      </w:r>
      <w:r>
        <w:rPr>
          <w:rFonts w:hint="eastAsia" w:ascii="仿宋_GB2312" w:hAnsi="宋体" w:eastAsia="仿宋_GB2312" w:cs="宋体"/>
          <w:kern w:val="0"/>
          <w:sz w:val="32"/>
          <w:szCs w:val="32"/>
        </w:rPr>
        <w:t>办公室、财务室。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黑体" w:eastAsia="仿宋_GB2312" w:cs="宋体"/>
          <w:bCs/>
          <w:kern w:val="0"/>
          <w:sz w:val="32"/>
          <w:szCs w:val="32"/>
        </w:rPr>
        <w:t>军队离退休干部休养所</w:t>
      </w:r>
      <w:r>
        <w:rPr>
          <w:rFonts w:hint="eastAsia" w:ascii="仿宋_GB2312" w:hAnsi="宋体" w:eastAsia="仿宋_GB2312" w:cs="宋体"/>
          <w:kern w:val="0"/>
          <w:sz w:val="32"/>
          <w:szCs w:val="32"/>
        </w:rPr>
        <w:t>编制数8人，实有人数</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人，增加0人；退休</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人，增加0人；离休0人，增加0人。</w:t>
      </w:r>
    </w:p>
    <w:p>
      <w:pPr>
        <w:widowControl/>
        <w:spacing w:line="560" w:lineRule="exact"/>
        <w:jc w:val="left"/>
        <w:rPr>
          <w:rFonts w:ascii="仿宋_GB2312" w:hAnsi="宋体" w:eastAsia="仿宋_GB2312" w:cs="宋体"/>
          <w:kern w:val="0"/>
          <w:sz w:val="32"/>
          <w:szCs w:val="32"/>
        </w:rPr>
      </w:pPr>
    </w:p>
    <w:p>
      <w:pPr>
        <w:widowControl/>
        <w:spacing w:line="540" w:lineRule="exact"/>
        <w:ind w:firstLine="640"/>
        <w:jc w:val="left"/>
        <w:rPr>
          <w:rFonts w:ascii="仿宋_GB2312" w:hAnsi="宋体" w:eastAsia="仿宋_GB2312" w:cs="宋体"/>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ind w:firstLine="1280" w:firstLineChars="400"/>
        <w:jc w:val="both"/>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:昌吉州军队离退休干部休养所</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122.97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122.97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104.09</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8.8</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10.08</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122.97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122.97</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仿宋_GB2312" w:hAnsi="宋体" w:eastAsia="仿宋_GB2312"/>
          <w:b/>
          <w:kern w:val="0"/>
          <w:sz w:val="32"/>
          <w:szCs w:val="32"/>
        </w:rPr>
      </w:pPr>
      <w:r>
        <w:rPr>
          <w:rFonts w:hint="eastAsia" w:ascii="方正小标宋_GBK" w:hAnsi="方正小标宋_GBK" w:eastAsia="方正小标宋_GBK" w:cs="方正小标宋_GBK"/>
          <w:bCs/>
          <w:kern w:val="0"/>
          <w:sz w:val="36"/>
          <w:szCs w:val="36"/>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昌吉州军队离退休干部休养所</w:t>
      </w:r>
      <w:r>
        <w:rPr>
          <w:rFonts w:hint="eastAsia" w:ascii="仿宋_GB2312" w:hAnsi="宋体" w:eastAsia="仿宋_GB2312"/>
          <w:kern w:val="0"/>
          <w:sz w:val="24"/>
        </w:rPr>
        <w:t xml:space="preserve">                   单位：万元</w:t>
      </w:r>
    </w:p>
    <w:tbl>
      <w:tblPr>
        <w:tblStyle w:val="7"/>
        <w:tblW w:w="9741" w:type="dxa"/>
        <w:tblInd w:w="-450" w:type="dxa"/>
        <w:tblLayout w:type="fixed"/>
        <w:tblCellMar>
          <w:top w:w="0" w:type="dxa"/>
          <w:left w:w="108" w:type="dxa"/>
          <w:bottom w:w="0" w:type="dxa"/>
          <w:right w:w="108" w:type="dxa"/>
        </w:tblCellMar>
      </w:tblPr>
      <w:tblGrid>
        <w:gridCol w:w="548"/>
        <w:gridCol w:w="465"/>
        <w:gridCol w:w="450"/>
        <w:gridCol w:w="3240"/>
        <w:gridCol w:w="960"/>
        <w:gridCol w:w="1050"/>
        <w:gridCol w:w="525"/>
        <w:gridCol w:w="540"/>
        <w:gridCol w:w="600"/>
        <w:gridCol w:w="480"/>
        <w:gridCol w:w="450"/>
        <w:gridCol w:w="433"/>
      </w:tblGrid>
      <w:tr>
        <w:tblPrEx>
          <w:tblCellMar>
            <w:top w:w="0" w:type="dxa"/>
            <w:left w:w="108" w:type="dxa"/>
            <w:bottom w:w="0" w:type="dxa"/>
            <w:right w:w="108" w:type="dxa"/>
          </w:tblCellMar>
        </w:tblPrEx>
        <w:trPr>
          <w:trHeight w:val="510" w:hRule="atLeast"/>
        </w:trPr>
        <w:tc>
          <w:tcPr>
            <w:tcW w:w="146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32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2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60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4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3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25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32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2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3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208</w:t>
            </w:r>
          </w:p>
        </w:tc>
        <w:tc>
          <w:tcPr>
            <w:tcW w:w="46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p>
        </w:tc>
        <w:tc>
          <w:tcPr>
            <w:tcW w:w="45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default" w:ascii="宋体" w:hAnsi="宋体" w:eastAsia="宋体" w:cs="宋体"/>
                <w:b w:val="0"/>
                <w:bCs w:val="0"/>
                <w:color w:val="000000"/>
                <w:kern w:val="0"/>
                <w:sz w:val="18"/>
                <w:szCs w:val="18"/>
                <w:lang w:val="en-US" w:eastAsia="zh-CN" w:bidi="ar-SA"/>
              </w:rPr>
            </w:pPr>
          </w:p>
        </w:tc>
        <w:tc>
          <w:tcPr>
            <w:tcW w:w="324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社会保障和就业支出</w:t>
            </w:r>
          </w:p>
        </w:tc>
        <w:tc>
          <w:tcPr>
            <w:tcW w:w="9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104.09</w:t>
            </w:r>
          </w:p>
        </w:tc>
        <w:tc>
          <w:tcPr>
            <w:tcW w:w="105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104.09</w:t>
            </w:r>
          </w:p>
        </w:tc>
        <w:tc>
          <w:tcPr>
            <w:tcW w:w="52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208</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05</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行政事业单位养老支出</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12.04</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12.04</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208</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05</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02</w:t>
            </w: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事业单位离退休</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0.9</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0.9</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208</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05</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05</w:t>
            </w: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机关事业单位基本养老保险缴费支出</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11.14</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11.14</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208</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09</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退役安置</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92.05</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92.05</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208</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09</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03</w:t>
            </w: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军队移交政府离退休干部管理机构</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92.05</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92.05</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210</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卫生健康支出</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8.8</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8.8</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210</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11</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行政事业单位医疗</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8.8</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8.8</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210</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11</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02</w:t>
            </w: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事业单位医疗</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6.61</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6.61</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210</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11</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03</w:t>
            </w: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公务员医疗补助</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2.09</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2.09</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210</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11</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99</w:t>
            </w: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其他行政事业单位医疗支出</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0.1</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0.1</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221</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住房保障支出</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10.08</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10.08</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221</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02</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住房改革支出</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10.08</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10.08</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221</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02</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01</w:t>
            </w:r>
          </w:p>
        </w:tc>
        <w:tc>
          <w:tcPr>
            <w:tcW w:w="32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eastAsia="zh-CN"/>
              </w:rPr>
              <w:t>住房公积金</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10.08</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bidi="ar-SA"/>
              </w:rPr>
            </w:pPr>
            <w:r>
              <w:rPr>
                <w:rFonts w:hint="eastAsia" w:ascii="宋体" w:hAnsi="宋体" w:eastAsia="宋体" w:cs="宋体"/>
                <w:b w:val="0"/>
                <w:bCs w:val="0"/>
                <w:color w:val="000000"/>
                <w:kern w:val="0"/>
                <w:sz w:val="18"/>
                <w:szCs w:val="18"/>
                <w:lang w:val="en-US" w:eastAsia="zh-CN"/>
              </w:rPr>
              <w:t>10.08</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2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2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2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2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122.97</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122.97</w:t>
            </w:r>
          </w:p>
        </w:tc>
        <w:tc>
          <w:tcPr>
            <w:tcW w:w="5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pStyle w:val="2"/>
        <w:rPr>
          <w:rFonts w:hint="eastAsia" w:ascii="宋体" w:hAnsi="宋体" w:cs="宋体"/>
          <w:color w:val="000000"/>
          <w:kern w:val="0"/>
          <w:sz w:val="20"/>
          <w:szCs w:val="20"/>
        </w:rPr>
      </w:pPr>
    </w:p>
    <w:p>
      <w:pPr>
        <w:rPr>
          <w:rFonts w:hint="eastAsia"/>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仿宋_GB2312" w:hAnsi="宋体" w:eastAsia="仿宋_GB2312"/>
          <w:b/>
          <w:kern w:val="0"/>
          <w:sz w:val="32"/>
          <w:szCs w:val="32"/>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昌吉州军队离退休干部休养所</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86"/>
        <w:gridCol w:w="400"/>
        <w:gridCol w:w="400"/>
        <w:gridCol w:w="4587"/>
        <w:gridCol w:w="1125"/>
        <w:gridCol w:w="1215"/>
        <w:gridCol w:w="1207"/>
      </w:tblGrid>
      <w:tr>
        <w:tblPrEx>
          <w:tblCellMar>
            <w:top w:w="0" w:type="dxa"/>
            <w:left w:w="108" w:type="dxa"/>
            <w:bottom w:w="0" w:type="dxa"/>
            <w:right w:w="108" w:type="dxa"/>
          </w:tblCellMar>
        </w:tblPrEx>
        <w:trPr>
          <w:trHeight w:val="345" w:hRule="atLeast"/>
        </w:trPr>
        <w:tc>
          <w:tcPr>
            <w:tcW w:w="587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3547"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458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12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21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20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458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12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21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20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社会保障和就业支出</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104.09</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104.09</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行政事业单位养老支出</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12.04</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12.04</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02</w:t>
            </w: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事业单位离退休</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0.9</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0.9</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05</w:t>
            </w: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机关事业单位基本养老保险缴费支出</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11.14</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11.14</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09</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退役安置</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92.05</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92.05</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09</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03</w:t>
            </w: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军队移交政府离退休干部管理机构</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92.05</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92.05</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卫生健康支出</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8.8</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8.8</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行政事业单位医疗</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8.8</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8.8</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02</w:t>
            </w: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事业单位医疗</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6.61</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6.61</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03</w:t>
            </w: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公务员医疗补助</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2.09</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2.09</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99</w:t>
            </w: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其他行政事业单位医疗支出</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0.1</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0.1</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住房保障支出</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10.08</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10.08</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住房改革支出</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10.08</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10.08</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01</w:t>
            </w: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8"/>
                <w:szCs w:val="18"/>
                <w:lang w:eastAsia="zh-CN"/>
              </w:rPr>
            </w:pPr>
            <w:r>
              <w:rPr>
                <w:rFonts w:hint="eastAsia" w:ascii="宋体" w:hAnsi="宋体" w:eastAsia="宋体" w:cs="宋体"/>
                <w:b w:val="0"/>
                <w:bCs w:val="0"/>
                <w:color w:val="000000"/>
                <w:kern w:val="0"/>
                <w:sz w:val="18"/>
                <w:szCs w:val="18"/>
                <w:lang w:eastAsia="zh-CN"/>
              </w:rPr>
              <w:t>住房公积金</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10.08</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10.08</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8"/>
                <w:szCs w:val="18"/>
              </w:rPr>
            </w:pP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8"/>
                <w:szCs w:val="18"/>
              </w:rPr>
            </w:pP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8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合  计</w:t>
            </w:r>
          </w:p>
        </w:tc>
        <w:tc>
          <w:tcPr>
            <w:tcW w:w="112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122.97</w:t>
            </w:r>
          </w:p>
        </w:tc>
        <w:tc>
          <w:tcPr>
            <w:tcW w:w="121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122.97</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lang w:val="en-US" w:eastAsia="zh-CN"/>
        </w:rPr>
        <w:t>昌吉州军队离退休干部休养所</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单位：万元</w:t>
      </w:r>
    </w:p>
    <w:tbl>
      <w:tblPr>
        <w:tblStyle w:val="7"/>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122.97</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122.97</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104.09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104.09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宋体" w:hAnsi="宋体" w:eastAsia="宋体" w:cs="宋体"/>
                <w:color w:val="000000"/>
                <w:kern w:val="0"/>
                <w:sz w:val="20"/>
                <w:szCs w:val="20"/>
                <w:lang w:val="en-US" w:eastAsia="zh-CN"/>
              </w:rPr>
              <w:t>122.97</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122.97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122.97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7"/>
        <w:tblW w:w="10420" w:type="dxa"/>
        <w:tblInd w:w="-34" w:type="dxa"/>
        <w:tblLayout w:type="fixed"/>
        <w:tblCellMar>
          <w:top w:w="0" w:type="dxa"/>
          <w:left w:w="108" w:type="dxa"/>
          <w:bottom w:w="0" w:type="dxa"/>
          <w:right w:w="108" w:type="dxa"/>
        </w:tblCellMar>
      </w:tblPr>
      <w:tblGrid>
        <w:gridCol w:w="568"/>
        <w:gridCol w:w="492"/>
        <w:gridCol w:w="426"/>
        <w:gridCol w:w="4136"/>
        <w:gridCol w:w="236"/>
        <w:gridCol w:w="949"/>
        <w:gridCol w:w="290"/>
        <w:gridCol w:w="910"/>
        <w:gridCol w:w="1207"/>
        <w:gridCol w:w="1206"/>
      </w:tblGrid>
      <w:tr>
        <w:tblPrEx>
          <w:tblCellMar>
            <w:top w:w="0" w:type="dxa"/>
            <w:left w:w="108" w:type="dxa"/>
            <w:bottom w:w="0" w:type="dxa"/>
            <w:right w:w="108" w:type="dxa"/>
          </w:tblCellMar>
        </w:tblPrEx>
        <w:trPr>
          <w:gridAfter w:val="1"/>
          <w:wAfter w:w="1206" w:type="dxa"/>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622"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val="en-US" w:eastAsia="zh-CN"/>
              </w:rPr>
              <w:t>昌吉州军队离退休干部休养所</w:t>
            </w:r>
            <w:r>
              <w:rPr>
                <w:rFonts w:hint="eastAsia" w:ascii="仿宋_GB2312" w:hAnsi="宋体" w:eastAsia="仿宋_GB2312"/>
                <w:kern w:val="0"/>
                <w:sz w:val="24"/>
              </w:rPr>
              <w:t xml:space="preserve"> </w:t>
            </w:r>
          </w:p>
        </w:tc>
        <w:tc>
          <w:tcPr>
            <w:tcW w:w="23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39"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3" w:type="dxa"/>
            <w:gridSpan w:val="3"/>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gridAfter w:val="1"/>
          <w:wAfter w:w="1206" w:type="dxa"/>
          <w:trHeight w:val="405" w:hRule="atLeast"/>
        </w:trPr>
        <w:tc>
          <w:tcPr>
            <w:tcW w:w="5622"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3592"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gridAfter w:val="1"/>
          <w:wAfter w:w="1206" w:type="dxa"/>
          <w:trHeight w:val="465" w:hRule="atLeast"/>
        </w:trPr>
        <w:tc>
          <w:tcPr>
            <w:tcW w:w="1486"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413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18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20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20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gridAfter w:val="1"/>
          <w:wAfter w:w="1206" w:type="dxa"/>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413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18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20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20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社会保障和就业支出</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104.09</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104.09</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05</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行政事业单位养老支出</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12.04</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12.04</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05</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02</w:t>
            </w: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事业单位离退休</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0.9</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0.9</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05</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05</w:t>
            </w: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机关事业单位基本养老保险缴费支出</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11.14</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11.14</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09</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退役安置</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92.05</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92.05</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09</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03</w:t>
            </w: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军队移交政府离退休干部管理机构</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92.05</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92.05</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卫生健康支出</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8.8</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8.8</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11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行政事业单位医疗</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8.8</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8.8</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11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02</w:t>
            </w: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事业单位医疗</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6.61</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6.61</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11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03</w:t>
            </w: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公务员医疗补助</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2.09</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2.09</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11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99</w:t>
            </w: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其他行政事业单位医疗支出</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0.1</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0.1</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住房保障支出</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10.08</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10.08</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02</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住房改革支出</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10.08</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10.08</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02</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01</w:t>
            </w: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住房公积金</w:t>
            </w: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10.08</w:t>
            </w: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10.08</w:t>
            </w:r>
          </w:p>
        </w:tc>
        <w:tc>
          <w:tcPr>
            <w:tcW w:w="1207"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b w:val="0"/>
                <w:bCs w:val="0"/>
                <w:color w:val="000000"/>
                <w:kern w:val="0"/>
                <w:sz w:val="21"/>
                <w:szCs w:val="21"/>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3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p>
        </w:tc>
        <w:tc>
          <w:tcPr>
            <w:tcW w:w="118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p>
        </w:tc>
        <w:tc>
          <w:tcPr>
            <w:tcW w:w="1200"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1"/>
                <w:szCs w:val="21"/>
                <w:lang w:val="en-US" w:eastAsia="zh-CN"/>
              </w:rPr>
            </w:pPr>
          </w:p>
        </w:tc>
        <w:tc>
          <w:tcPr>
            <w:tcW w:w="12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3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18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20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3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18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20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3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18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20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3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18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20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2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1206"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3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185"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122.97</w:t>
            </w:r>
          </w:p>
        </w:tc>
        <w:tc>
          <w:tcPr>
            <w:tcW w:w="1200"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122.97</w:t>
            </w:r>
          </w:p>
        </w:tc>
        <w:tc>
          <w:tcPr>
            <w:tcW w:w="12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pStyle w:val="2"/>
        <w:rPr>
          <w:rFonts w:hint="eastAsia" w:ascii="仿宋_GB2312" w:hAnsi="宋体" w:eastAsia="仿宋_GB2312"/>
          <w:b/>
          <w:kern w:val="0"/>
          <w:sz w:val="28"/>
          <w:szCs w:val="32"/>
        </w:rPr>
      </w:pPr>
    </w:p>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7"/>
        <w:tblW w:w="9645" w:type="dxa"/>
        <w:tblInd w:w="-148" w:type="dxa"/>
        <w:tblLayout w:type="fixed"/>
        <w:tblCellMar>
          <w:top w:w="0" w:type="dxa"/>
          <w:left w:w="108" w:type="dxa"/>
          <w:bottom w:w="0" w:type="dxa"/>
          <w:right w:w="108" w:type="dxa"/>
        </w:tblCellMar>
      </w:tblPr>
      <w:tblGrid>
        <w:gridCol w:w="757"/>
        <w:gridCol w:w="577"/>
        <w:gridCol w:w="3847"/>
        <w:gridCol w:w="356"/>
        <w:gridCol w:w="1069"/>
        <w:gridCol w:w="613"/>
        <w:gridCol w:w="827"/>
        <w:gridCol w:w="1282"/>
        <w:gridCol w:w="317"/>
      </w:tblGrid>
      <w:tr>
        <w:tblPrEx>
          <w:tblCellMar>
            <w:top w:w="0" w:type="dxa"/>
            <w:left w:w="108" w:type="dxa"/>
            <w:bottom w:w="0" w:type="dxa"/>
            <w:right w:w="108" w:type="dxa"/>
          </w:tblCellMar>
        </w:tblPrEx>
        <w:trPr>
          <w:gridAfter w:val="1"/>
          <w:wAfter w:w="317" w:type="dxa"/>
          <w:trHeight w:val="306" w:hRule="atLeast"/>
        </w:trPr>
        <w:tc>
          <w:tcPr>
            <w:tcW w:w="9328" w:type="dxa"/>
            <w:gridSpan w:val="8"/>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306" w:hRule="atLeast"/>
        </w:trPr>
        <w:tc>
          <w:tcPr>
            <w:tcW w:w="5181" w:type="dxa"/>
            <w:gridSpan w:val="3"/>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昌吉州军队离退休干部休养所</w:t>
            </w:r>
            <w:r>
              <w:rPr>
                <w:rFonts w:hint="eastAsia" w:ascii="仿宋_GB2312" w:hAnsi="宋体" w:eastAsia="仿宋_GB2312" w:cs="宋体"/>
                <w:color w:val="000000"/>
                <w:kern w:val="0"/>
                <w:sz w:val="24"/>
              </w:rPr>
              <w:t xml:space="preserve"> </w:t>
            </w:r>
          </w:p>
        </w:tc>
        <w:tc>
          <w:tcPr>
            <w:tcW w:w="356" w:type="dxa"/>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3"/>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firstLine="720" w:firstLineChars="300"/>
              <w:textAlignment w:val="auto"/>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gridAfter w:val="1"/>
          <w:wAfter w:w="317" w:type="dxa"/>
          <w:trHeight w:val="306" w:hRule="atLeast"/>
        </w:trPr>
        <w:tc>
          <w:tcPr>
            <w:tcW w:w="5181" w:type="dxa"/>
            <w:gridSpan w:val="3"/>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147" w:type="dxa"/>
            <w:gridSpan w:val="5"/>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gridAfter w:val="1"/>
          <w:wAfter w:w="317" w:type="dxa"/>
          <w:trHeight w:val="306" w:hRule="atLeast"/>
        </w:trPr>
        <w:tc>
          <w:tcPr>
            <w:tcW w:w="1334" w:type="dxa"/>
            <w:gridSpan w:val="2"/>
            <w:tcBorders>
              <w:top w:val="single" w:color="auto" w:sz="4" w:space="0"/>
              <w:left w:val="single" w:color="auto" w:sz="4" w:space="0"/>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847"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25" w:type="dxa"/>
            <w:gridSpan w:val="2"/>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440" w:type="dxa"/>
            <w:gridSpan w:val="2"/>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282"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847"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仿宋_GB2312" w:hAnsi="宋体" w:eastAsia="仿宋_GB2312" w:cs="宋体"/>
                <w:b/>
                <w:bCs/>
                <w:color w:val="000000"/>
                <w:kern w:val="0"/>
                <w:sz w:val="20"/>
                <w:szCs w:val="20"/>
              </w:rPr>
            </w:pPr>
          </w:p>
        </w:tc>
        <w:tc>
          <w:tcPr>
            <w:tcW w:w="1425" w:type="dxa"/>
            <w:gridSpan w:val="2"/>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b/>
                <w:bCs/>
                <w:color w:val="000000"/>
                <w:kern w:val="0"/>
                <w:sz w:val="20"/>
                <w:szCs w:val="20"/>
              </w:rPr>
            </w:pPr>
          </w:p>
        </w:tc>
        <w:tc>
          <w:tcPr>
            <w:tcW w:w="1440" w:type="dxa"/>
            <w:gridSpan w:val="2"/>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b/>
                <w:bCs/>
                <w:color w:val="000000"/>
                <w:kern w:val="0"/>
                <w:sz w:val="20"/>
                <w:szCs w:val="20"/>
              </w:rPr>
            </w:pPr>
          </w:p>
        </w:tc>
        <w:tc>
          <w:tcPr>
            <w:tcW w:w="1282"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b/>
                <w:bCs/>
                <w:color w:val="000000"/>
                <w:kern w:val="0"/>
                <w:sz w:val="20"/>
                <w:szCs w:val="20"/>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宋体" w:eastAsia="仿宋_GB2312" w:cs="宋体"/>
                <w:color w:val="000000"/>
                <w:kern w:val="0"/>
                <w:sz w:val="20"/>
                <w:szCs w:val="20"/>
              </w:rPr>
            </w:pP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工资福利支出</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100.73</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100.73</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基本工资</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34.55</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34.55</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津贴补贴</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7.42</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7.42</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奖金</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2.82</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2.82</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绩效工资</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25.62</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25.62</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机关事业单位基本养老保险缴费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11.14</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11.14</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城镇职工基本医疗保险缴费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6.61</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6.61</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公务员医疗补助缴费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2.09</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2.09</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其他社会保障缴费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0.4</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0.4</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住房公积金</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10.08</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10.08</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color w:val="000000"/>
                <w:kern w:val="0"/>
                <w:sz w:val="20"/>
                <w:szCs w:val="20"/>
              </w:rPr>
            </w:pP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商品和服务支出</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highlight w:val="yellow"/>
                <w:lang w:val="en-US" w:eastAsia="zh-CN"/>
              </w:rPr>
            </w:pPr>
            <w:r>
              <w:rPr>
                <w:rFonts w:hint="eastAsia" w:ascii="仿宋_GB2312" w:hAnsi="宋体" w:eastAsia="仿宋_GB2312" w:cs="宋体"/>
                <w:color w:val="000000"/>
                <w:kern w:val="0"/>
                <w:sz w:val="20"/>
                <w:szCs w:val="20"/>
                <w:highlight w:val="yellow"/>
                <w:lang w:val="en-US" w:eastAsia="zh-CN"/>
              </w:rPr>
              <w:t>13.64</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13.64</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办公费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highlight w:val="yellow"/>
                <w:lang w:val="en-US" w:eastAsia="zh-CN" w:bidi="ar-SA"/>
              </w:rPr>
            </w:pPr>
            <w:r>
              <w:rPr>
                <w:rFonts w:hint="eastAsia" w:ascii="仿宋_GB2312" w:hAnsi="宋体" w:eastAsia="仿宋_GB2312" w:cs="宋体"/>
                <w:color w:val="000000"/>
                <w:kern w:val="0"/>
                <w:sz w:val="20"/>
                <w:szCs w:val="20"/>
                <w:highlight w:val="yellow"/>
                <w:lang w:val="en-US" w:eastAsia="zh-CN"/>
              </w:rPr>
              <w:t>3.73</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3.73</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印刷费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highlight w:val="yellow"/>
                <w:lang w:val="en-US" w:eastAsia="zh-CN" w:bidi="ar-SA"/>
              </w:rPr>
            </w:pPr>
            <w:r>
              <w:rPr>
                <w:rFonts w:hint="eastAsia" w:ascii="仿宋_GB2312" w:hAnsi="宋体" w:eastAsia="仿宋_GB2312" w:cs="宋体"/>
                <w:color w:val="000000"/>
                <w:kern w:val="0"/>
                <w:sz w:val="20"/>
                <w:szCs w:val="20"/>
                <w:highlight w:val="yellow"/>
                <w:lang w:val="en-US" w:eastAsia="zh-CN"/>
              </w:rPr>
              <w:t>0.35</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0.35</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邮电费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highlight w:val="yellow"/>
                <w:lang w:val="en-US" w:eastAsia="zh-CN" w:bidi="ar-SA"/>
              </w:rPr>
            </w:pPr>
            <w:r>
              <w:rPr>
                <w:rFonts w:hint="eastAsia" w:ascii="仿宋_GB2312" w:hAnsi="宋体" w:eastAsia="仿宋_GB2312" w:cs="宋体"/>
                <w:color w:val="000000"/>
                <w:kern w:val="0"/>
                <w:sz w:val="20"/>
                <w:szCs w:val="20"/>
                <w:highlight w:val="yellow"/>
                <w:lang w:val="en-US" w:eastAsia="zh-CN"/>
              </w:rPr>
              <w:t>0.63</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0.63</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取暖费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highlight w:val="yellow"/>
                <w:lang w:val="en-US" w:eastAsia="zh-CN" w:bidi="ar-SA"/>
              </w:rPr>
            </w:pPr>
            <w:r>
              <w:rPr>
                <w:rFonts w:hint="eastAsia" w:ascii="仿宋_GB2312" w:hAnsi="宋体" w:eastAsia="仿宋_GB2312" w:cs="宋体"/>
                <w:color w:val="000000"/>
                <w:kern w:val="0"/>
                <w:sz w:val="20"/>
                <w:szCs w:val="20"/>
                <w:highlight w:val="yellow"/>
                <w:lang w:val="en-US" w:eastAsia="zh-CN"/>
              </w:rPr>
              <w:t>0.09</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0.09</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物业管理费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highlight w:val="yellow"/>
                <w:lang w:val="en-US" w:eastAsia="zh-CN" w:bidi="ar-SA"/>
              </w:rPr>
            </w:pPr>
            <w:r>
              <w:rPr>
                <w:rFonts w:hint="eastAsia" w:ascii="仿宋_GB2312" w:hAnsi="宋体" w:eastAsia="仿宋_GB2312" w:cs="宋体"/>
                <w:color w:val="000000"/>
                <w:kern w:val="0"/>
                <w:sz w:val="20"/>
                <w:szCs w:val="20"/>
                <w:highlight w:val="yellow"/>
                <w:lang w:val="en-US" w:eastAsia="zh-CN"/>
              </w:rPr>
              <w:t>0.15</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0.15</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维修（护）费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highlight w:val="yellow"/>
                <w:lang w:val="en-US" w:eastAsia="zh-CN" w:bidi="ar-SA"/>
              </w:rPr>
            </w:pPr>
            <w:r>
              <w:rPr>
                <w:rFonts w:hint="eastAsia" w:ascii="仿宋_GB2312" w:hAnsi="宋体" w:eastAsia="仿宋_GB2312" w:cs="宋体"/>
                <w:color w:val="000000"/>
                <w:kern w:val="0"/>
                <w:sz w:val="20"/>
                <w:szCs w:val="20"/>
                <w:highlight w:val="yellow"/>
                <w:lang w:val="en-US" w:eastAsia="zh-CN"/>
              </w:rPr>
              <w:t>0.3</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工会经费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highlight w:val="yellow"/>
                <w:lang w:val="en-US" w:eastAsia="zh-CN" w:bidi="ar-SA"/>
              </w:rPr>
            </w:pPr>
            <w:r>
              <w:rPr>
                <w:rFonts w:hint="eastAsia" w:ascii="仿宋_GB2312" w:hAnsi="宋体" w:eastAsia="仿宋_GB2312" w:cs="宋体"/>
                <w:color w:val="000000"/>
                <w:kern w:val="0"/>
                <w:sz w:val="20"/>
                <w:szCs w:val="20"/>
                <w:highlight w:val="yellow"/>
                <w:lang w:val="en-US" w:eastAsia="zh-CN"/>
              </w:rPr>
              <w:t>1.31</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1.31</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福利费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highlight w:val="yellow"/>
                <w:lang w:val="en-US" w:eastAsia="zh-CN" w:bidi="ar-SA"/>
              </w:rPr>
            </w:pPr>
            <w:r>
              <w:rPr>
                <w:rFonts w:hint="eastAsia" w:ascii="仿宋_GB2312" w:hAnsi="宋体" w:eastAsia="仿宋_GB2312" w:cs="宋体"/>
                <w:color w:val="000000"/>
                <w:kern w:val="0"/>
                <w:sz w:val="20"/>
                <w:szCs w:val="20"/>
                <w:highlight w:val="yellow"/>
                <w:lang w:val="en-US" w:eastAsia="zh-CN"/>
              </w:rPr>
              <w:t>1.18</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1.18</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公务用车运行维护费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highlight w:val="yellow"/>
                <w:lang w:val="en-US" w:eastAsia="zh-CN" w:bidi="ar-SA"/>
              </w:rPr>
            </w:pPr>
            <w:r>
              <w:rPr>
                <w:rFonts w:hint="eastAsia" w:ascii="仿宋_GB2312" w:hAnsi="宋体" w:eastAsia="仿宋_GB2312" w:cs="宋体"/>
                <w:color w:val="000000"/>
                <w:kern w:val="0"/>
                <w:sz w:val="20"/>
                <w:szCs w:val="20"/>
                <w:highlight w:val="yellow"/>
                <w:lang w:val="en-US" w:eastAsia="zh-CN"/>
              </w:rPr>
              <w:t>3.9</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3.9</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其他商品和服务支出</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highlight w:val="yellow"/>
                <w:lang w:val="en-US" w:eastAsia="zh-CN" w:bidi="ar-SA"/>
              </w:rPr>
            </w:pPr>
            <w:r>
              <w:rPr>
                <w:rFonts w:hint="eastAsia" w:ascii="仿宋_GB2312" w:hAnsi="宋体" w:eastAsia="仿宋_GB2312" w:cs="宋体"/>
                <w:color w:val="000000"/>
                <w:kern w:val="0"/>
                <w:sz w:val="20"/>
                <w:szCs w:val="20"/>
                <w:highlight w:val="yellow"/>
                <w:lang w:val="en-US" w:eastAsia="zh-CN"/>
              </w:rPr>
              <w:t>2</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w:t>
            </w: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color w:val="000000"/>
                <w:kern w:val="0"/>
                <w:sz w:val="20"/>
                <w:szCs w:val="20"/>
              </w:rPr>
            </w:pP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对个人和家庭补助</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8.61</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8.61</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离休费</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医疗费补助</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7.33</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7.33</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奖励金</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0.38</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0.38</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color w:val="000000"/>
                <w:kern w:val="0"/>
                <w:sz w:val="20"/>
                <w:szCs w:val="20"/>
              </w:rPr>
            </w:pP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宋体" w:eastAsia="仿宋_GB2312" w:cs="宋体"/>
                <w:color w:val="000000"/>
                <w:kern w:val="0"/>
                <w:sz w:val="20"/>
                <w:szCs w:val="20"/>
                <w:lang w:val="en-US" w:eastAsia="zh-CN"/>
              </w:rPr>
            </w:pPr>
          </w:p>
        </w:tc>
      </w:tr>
      <w:tr>
        <w:tblPrEx>
          <w:tblCellMar>
            <w:top w:w="0" w:type="dxa"/>
            <w:left w:w="108" w:type="dxa"/>
            <w:bottom w:w="0" w:type="dxa"/>
            <w:right w:w="108" w:type="dxa"/>
          </w:tblCellMar>
        </w:tblPrEx>
        <w:trPr>
          <w:gridAfter w:val="1"/>
          <w:wAfter w:w="317" w:type="dxa"/>
          <w:trHeight w:val="306"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color w:val="000000"/>
                <w:kern w:val="0"/>
                <w:sz w:val="20"/>
                <w:szCs w:val="20"/>
              </w:rPr>
            </w:pPr>
          </w:p>
        </w:tc>
        <w:tc>
          <w:tcPr>
            <w:tcW w:w="384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42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122.97</w:t>
            </w:r>
          </w:p>
        </w:tc>
        <w:tc>
          <w:tcPr>
            <w:tcW w:w="144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109.33</w:t>
            </w:r>
          </w:p>
        </w:tc>
        <w:tc>
          <w:tcPr>
            <w:tcW w:w="128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13.64</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pStyle w:val="2"/>
        <w:rPr>
          <w:rFonts w:hint="eastAsia" w:ascii="仿宋_GB2312" w:hAnsi="宋体" w:eastAsia="仿宋_GB2312"/>
          <w:b/>
          <w:kern w:val="0"/>
          <w:sz w:val="28"/>
          <w:szCs w:val="32"/>
        </w:rPr>
      </w:pPr>
    </w:p>
    <w:p>
      <w:pPr>
        <w:rPr>
          <w:rFonts w:hint="eastAsia" w:ascii="仿宋_GB2312" w:hAnsi="宋体" w:eastAsia="仿宋_GB2312"/>
          <w:b/>
          <w:kern w:val="0"/>
          <w:sz w:val="28"/>
          <w:szCs w:val="32"/>
        </w:rPr>
      </w:pPr>
    </w:p>
    <w:p>
      <w:pPr>
        <w:pStyle w:val="2"/>
        <w:rPr>
          <w:rFonts w:hint="eastAsia" w:ascii="仿宋_GB2312" w:hAnsi="宋体" w:eastAsia="仿宋_GB2312"/>
          <w:b/>
          <w:kern w:val="0"/>
          <w:sz w:val="28"/>
          <w:szCs w:val="32"/>
        </w:rPr>
      </w:pPr>
    </w:p>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highlight w:val="yellow"/>
                <w:lang w:val="en-US" w:eastAsia="zh-CN"/>
              </w:rPr>
              <w:t>昌吉州军队离退休干部休养所</w:t>
            </w:r>
            <w:r>
              <w:rPr>
                <w:rFonts w:hint="eastAsia" w:ascii="仿宋_GB2312" w:hAnsi="宋体" w:eastAsia="仿宋_GB2312" w:cs="宋体"/>
                <w:color w:val="000000"/>
                <w:kern w:val="0"/>
                <w:sz w:val="24"/>
                <w:highlight w:val="yellow"/>
              </w:rPr>
              <w:t xml:space="preserve"> </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ascii="仿宋_GB2312" w:hAnsi="宋体" w:eastAsia="仿宋_GB2312"/>
                <w:kern w:val="0"/>
                <w:szCs w:val="21"/>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备注：我单位无项目预算支出。</w:t>
      </w:r>
    </w:p>
    <w:p>
      <w:pPr>
        <w:pStyle w:val="2"/>
        <w:rPr>
          <w:rFonts w:hint="eastAsia" w:ascii="仿宋_GB2312" w:hAnsi="宋体" w:eastAsia="仿宋_GB2312"/>
          <w:b/>
          <w:kern w:val="0"/>
          <w:sz w:val="28"/>
          <w:szCs w:val="32"/>
        </w:rPr>
      </w:pPr>
    </w:p>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昌吉州军队离退休干部休养所</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4"/>
                <w:lang w:val="en-US"/>
              </w:rPr>
            </w:pPr>
            <w:r>
              <w:rPr>
                <w:rFonts w:hint="eastAsia" w:ascii="宋体" w:hAnsi="宋体" w:cs="宋体"/>
                <w:color w:val="000000"/>
                <w:kern w:val="0"/>
                <w:sz w:val="24"/>
                <w:lang w:val="en-US" w:eastAsia="zh-CN"/>
              </w:rPr>
              <w:t>3.90</w:t>
            </w:r>
          </w:p>
        </w:tc>
        <w:tc>
          <w:tcPr>
            <w:tcW w:w="141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3.90</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3.90</w:t>
            </w:r>
          </w:p>
        </w:tc>
        <w:tc>
          <w:tcPr>
            <w:tcW w:w="171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pStyle w:val="2"/>
      </w:pPr>
    </w:p>
    <w:p/>
    <w:p>
      <w:pPr>
        <w:pStyle w:val="2"/>
      </w:pPr>
    </w:p>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昌吉州军队离退休干部休养所</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备注：我单位无政府基金预算。</w:t>
      </w:r>
    </w:p>
    <w:p>
      <w:pPr>
        <w:widowControl/>
        <w:spacing w:line="280" w:lineRule="exact"/>
        <w:jc w:val="left"/>
        <w:outlineLvl w:val="1"/>
        <w:rPr>
          <w:rFonts w:ascii="仿宋_GB2312" w:hAnsi="宋体" w:eastAsia="仿宋_GB2312"/>
          <w:kern w:val="0"/>
          <w:sz w:val="32"/>
          <w:szCs w:val="32"/>
        </w:rPr>
        <w:sectPr>
          <w:footerReference r:id="rId4"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昌吉州军队离退休干部休养所</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按照全口径预算的原则，昌吉州军队离退休干部休养所2022年所有收入和支出均纳入部门（单位）预算管理。收支总预算</w:t>
      </w:r>
      <w:r>
        <w:rPr>
          <w:rFonts w:hint="eastAsia" w:ascii="仿宋_GB2312" w:hAnsi="宋体" w:eastAsia="仿宋_GB2312" w:cs="宋体"/>
          <w:kern w:val="0"/>
          <w:sz w:val="32"/>
          <w:szCs w:val="32"/>
          <w:lang w:val="en-US" w:eastAsia="zh-CN"/>
        </w:rPr>
        <w:t>122.97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w:t>
      </w:r>
      <w:r>
        <w:rPr>
          <w:rFonts w:hint="eastAsia" w:ascii="仿宋_GB2312" w:hAnsi="宋体" w:eastAsia="仿宋_GB2312" w:cs="宋体"/>
          <w:kern w:val="0"/>
          <w:sz w:val="32"/>
          <w:szCs w:val="32"/>
          <w:lang w:eastAsia="zh-CN"/>
        </w:rPr>
        <w:t>住房保障支出</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lang w:eastAsia="zh-CN"/>
        </w:rPr>
        <w:t>昌吉州军队离退休干部休养所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auto"/>
          <w:kern w:val="0"/>
          <w:sz w:val="32"/>
          <w:szCs w:val="32"/>
        </w:rPr>
        <w:t>昌吉州军队离退休干部休养所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122.97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122.97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13.43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12.26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2021年</w:t>
      </w:r>
      <w:r>
        <w:rPr>
          <w:rFonts w:hint="eastAsia" w:ascii="仿宋_GB2312" w:hAnsi="宋体" w:eastAsia="仿宋_GB2312" w:cs="宋体"/>
          <w:kern w:val="0"/>
          <w:sz w:val="32"/>
          <w:szCs w:val="32"/>
          <w:lang w:eastAsia="zh-CN"/>
        </w:rPr>
        <w:t>空编一人，</w:t>
      </w:r>
      <w:r>
        <w:rPr>
          <w:rFonts w:hint="eastAsia" w:ascii="仿宋_GB2312" w:hAnsi="宋体" w:eastAsia="仿宋_GB2312" w:cs="宋体"/>
          <w:kern w:val="0"/>
          <w:sz w:val="32"/>
          <w:szCs w:val="32"/>
          <w:lang w:val="en-US" w:eastAsia="zh-CN"/>
        </w:rPr>
        <w:t>2022年</w:t>
      </w:r>
      <w:r>
        <w:rPr>
          <w:rFonts w:hint="eastAsia" w:ascii="仿宋_GB2312" w:hAnsi="宋体" w:eastAsia="仿宋_GB2312" w:cs="宋体"/>
          <w:kern w:val="0"/>
          <w:sz w:val="32"/>
          <w:szCs w:val="32"/>
          <w:lang w:eastAsia="zh-CN"/>
        </w:rPr>
        <w:t>单位人员满编，人员经费、公用经费增加。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lang w:eastAsia="zh-CN"/>
        </w:rPr>
        <w:t>昌吉州军队离退休干部休养所</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b w:val="0"/>
          <w:bCs w:val="0"/>
          <w:kern w:val="0"/>
          <w:sz w:val="32"/>
          <w:szCs w:val="32"/>
        </w:rPr>
        <w:t>昌吉州军队离退休干部休养所</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122.97</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122.97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13.43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12.26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2021年</w:t>
      </w:r>
      <w:r>
        <w:rPr>
          <w:rFonts w:hint="eastAsia" w:ascii="仿宋_GB2312" w:hAnsi="宋体" w:eastAsia="仿宋_GB2312" w:cs="宋体"/>
          <w:kern w:val="0"/>
          <w:sz w:val="32"/>
          <w:szCs w:val="32"/>
          <w:lang w:eastAsia="zh-CN"/>
        </w:rPr>
        <w:t>空编一人，</w:t>
      </w:r>
      <w:r>
        <w:rPr>
          <w:rFonts w:hint="eastAsia" w:ascii="仿宋_GB2312" w:hAnsi="宋体" w:eastAsia="仿宋_GB2312" w:cs="宋体"/>
          <w:kern w:val="0"/>
          <w:sz w:val="32"/>
          <w:szCs w:val="32"/>
          <w:lang w:val="en-US" w:eastAsia="zh-CN"/>
        </w:rPr>
        <w:t>2022年</w:t>
      </w:r>
      <w:r>
        <w:rPr>
          <w:rFonts w:hint="eastAsia" w:ascii="仿宋_GB2312" w:hAnsi="宋体" w:eastAsia="仿宋_GB2312" w:cs="宋体"/>
          <w:kern w:val="0"/>
          <w:sz w:val="32"/>
          <w:szCs w:val="32"/>
          <w:lang w:eastAsia="zh-CN"/>
        </w:rPr>
        <w:t>单位人员满编，人员经费、公用经费增加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单位无项目预算资金安排</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kern w:val="0"/>
          <w:sz w:val="32"/>
          <w:szCs w:val="32"/>
          <w:lang w:eastAsia="zh-CN"/>
        </w:rPr>
        <w:t>昌吉州军队离退休干部休养所</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122.97</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122.97</w:t>
      </w:r>
      <w:r>
        <w:rPr>
          <w:rFonts w:hint="eastAsia" w:ascii="仿宋_GB2312" w:hAnsi="宋体" w:eastAsia="仿宋_GB2312" w:cs="宋体"/>
          <w:kern w:val="0"/>
          <w:sz w:val="32"/>
          <w:szCs w:val="32"/>
        </w:rPr>
        <w:t>万元。</w:t>
      </w:r>
    </w:p>
    <w:p>
      <w:pPr>
        <w:spacing w:line="560" w:lineRule="exact"/>
        <w:ind w:firstLine="640" w:firstLineChars="200"/>
        <w:rPr>
          <w:rFonts w:hint="default" w:ascii="仿宋_GB2312" w:hAnsi="宋体" w:eastAsia="仿宋_GB2312" w:cs="宋体"/>
          <w:b/>
          <w:kern w:val="0"/>
          <w:sz w:val="32"/>
          <w:szCs w:val="32"/>
          <w:lang w:val="en-US"/>
        </w:rPr>
      </w:pPr>
      <w:r>
        <w:rPr>
          <w:rFonts w:hint="eastAsia" w:ascii="仿宋_GB2312" w:hAnsi="宋体" w:eastAsia="仿宋_GB2312" w:cs="宋体"/>
          <w:kern w:val="0"/>
          <w:sz w:val="32"/>
          <w:szCs w:val="32"/>
        </w:rPr>
        <w:t>一般公共预算支出包括：</w:t>
      </w:r>
      <w:r>
        <w:rPr>
          <w:rFonts w:hint="eastAsia" w:ascii="仿宋_GB2312" w:hAnsi="宋体" w:eastAsia="仿宋_GB2312" w:cs="宋体"/>
          <w:kern w:val="0"/>
          <w:sz w:val="32"/>
          <w:szCs w:val="32"/>
          <w:lang w:val="en-US" w:eastAsia="zh-CN"/>
        </w:rPr>
        <w:t>社会保障和就业支出104.09万</w:t>
      </w:r>
      <w:r>
        <w:rPr>
          <w:rFonts w:hint="eastAsia" w:ascii="仿宋_GB2312" w:hAnsi="宋体" w:eastAsia="仿宋_GB2312" w:cs="宋体"/>
          <w:kern w:val="0"/>
          <w:sz w:val="32"/>
          <w:szCs w:val="32"/>
        </w:rPr>
        <w:t>元，主要用于</w:t>
      </w:r>
      <w:r>
        <w:rPr>
          <w:rFonts w:hint="eastAsia" w:ascii="仿宋_GB2312" w:hAnsi="宋体" w:eastAsia="仿宋_GB2312" w:cs="宋体"/>
          <w:kern w:val="0"/>
          <w:sz w:val="32"/>
          <w:szCs w:val="32"/>
          <w:lang w:val="en-US" w:eastAsia="zh-CN"/>
        </w:rPr>
        <w:t>机构人员工资待遇及日常运行。卫生健康支</w:t>
      </w:r>
      <w:r>
        <w:rPr>
          <w:rFonts w:hint="eastAsia" w:ascii="仿宋_GB2312" w:hAnsi="宋体" w:eastAsia="仿宋_GB2312" w:cs="宋体"/>
          <w:kern w:val="0"/>
          <w:sz w:val="32"/>
          <w:szCs w:val="32"/>
          <w:highlight w:val="none"/>
          <w:lang w:val="en-US" w:eastAsia="zh-CN"/>
        </w:rPr>
        <w:t>出8.8万元，</w:t>
      </w:r>
      <w:r>
        <w:rPr>
          <w:rFonts w:hint="eastAsia" w:ascii="仿宋_GB2312" w:hAnsi="宋体" w:eastAsia="仿宋_GB2312" w:cs="宋体"/>
          <w:kern w:val="0"/>
          <w:sz w:val="32"/>
          <w:szCs w:val="32"/>
          <w:highlight w:val="none"/>
        </w:rPr>
        <w:t>主要用于</w:t>
      </w:r>
      <w:r>
        <w:rPr>
          <w:rFonts w:hint="eastAsia" w:ascii="仿宋_GB2312" w:hAnsi="宋体" w:eastAsia="仿宋_GB2312" w:cs="宋体"/>
          <w:kern w:val="0"/>
          <w:sz w:val="32"/>
          <w:szCs w:val="32"/>
          <w:highlight w:val="none"/>
          <w:lang w:eastAsia="zh-CN"/>
        </w:rPr>
        <w:t>单位职工基本</w:t>
      </w:r>
      <w:r>
        <w:rPr>
          <w:rFonts w:hint="eastAsia" w:ascii="仿宋_GB2312" w:hAnsi="宋体" w:eastAsia="仿宋_GB2312" w:cs="宋体"/>
          <w:kern w:val="0"/>
          <w:sz w:val="32"/>
          <w:szCs w:val="32"/>
          <w:highlight w:val="none"/>
        </w:rPr>
        <w:t>医疗</w:t>
      </w:r>
      <w:r>
        <w:rPr>
          <w:rFonts w:hint="eastAsia" w:ascii="仿宋_GB2312" w:hAnsi="宋体" w:eastAsia="仿宋_GB2312" w:cs="宋体"/>
          <w:kern w:val="0"/>
          <w:sz w:val="32"/>
          <w:szCs w:val="32"/>
          <w:highlight w:val="none"/>
          <w:lang w:eastAsia="zh-CN"/>
        </w:rPr>
        <w:t>缴费</w:t>
      </w:r>
      <w:r>
        <w:rPr>
          <w:rFonts w:hint="eastAsia" w:ascii="仿宋_GB2312" w:hAnsi="宋体" w:eastAsia="仿宋_GB2312" w:cs="宋体"/>
          <w:kern w:val="0"/>
          <w:sz w:val="32"/>
          <w:szCs w:val="32"/>
          <w:highlight w:val="none"/>
        </w:rPr>
        <w:t>、公务员医疗补助、其他</w:t>
      </w:r>
      <w:r>
        <w:rPr>
          <w:rFonts w:hint="eastAsia" w:ascii="仿宋_GB2312" w:hAnsi="宋体" w:eastAsia="仿宋_GB2312" w:cs="宋体"/>
          <w:kern w:val="0"/>
          <w:sz w:val="32"/>
          <w:szCs w:val="32"/>
          <w:highlight w:val="none"/>
          <w:lang w:eastAsia="zh-CN"/>
        </w:rPr>
        <w:t>社会保障缴费</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highlight w:val="none"/>
          <w:lang w:val="en-US" w:eastAsia="zh-CN"/>
        </w:rPr>
        <w:t>；主要用于机构人员医疗保障。住房保障支出10.08万元，</w:t>
      </w:r>
      <w:r>
        <w:rPr>
          <w:rFonts w:hint="eastAsia" w:ascii="仿宋_GB2312" w:hAnsi="宋体" w:eastAsia="仿宋_GB2312" w:cs="宋体"/>
          <w:kern w:val="0"/>
          <w:sz w:val="32"/>
          <w:szCs w:val="32"/>
          <w:highlight w:val="none"/>
        </w:rPr>
        <w:t>主要用于</w:t>
      </w:r>
      <w:r>
        <w:rPr>
          <w:rFonts w:hint="eastAsia" w:ascii="仿宋_GB2312" w:hAnsi="宋体" w:eastAsia="仿宋_GB2312" w:cs="宋体"/>
          <w:kern w:val="0"/>
          <w:sz w:val="32"/>
          <w:szCs w:val="32"/>
          <w:highlight w:val="none"/>
          <w:lang w:eastAsia="zh-CN"/>
        </w:rPr>
        <w:t>单位职工</w:t>
      </w:r>
      <w:r>
        <w:rPr>
          <w:rFonts w:hint="eastAsia" w:ascii="仿宋_GB2312" w:hAnsi="宋体" w:eastAsia="仿宋_GB2312" w:cs="宋体"/>
          <w:kern w:val="0"/>
          <w:sz w:val="32"/>
          <w:szCs w:val="32"/>
          <w:highlight w:val="none"/>
        </w:rPr>
        <w:t>住房公积金</w:t>
      </w:r>
      <w:r>
        <w:rPr>
          <w:rFonts w:hint="eastAsia" w:ascii="仿宋_GB2312" w:hAnsi="宋体" w:eastAsia="仿宋_GB2312" w:cs="宋体"/>
          <w:kern w:val="0"/>
          <w:sz w:val="32"/>
          <w:szCs w:val="32"/>
          <w:highlight w:val="none"/>
          <w:lang w:eastAsia="zh-CN"/>
        </w:rPr>
        <w:t>缴费支出</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eastAsia="zh-CN"/>
        </w:rPr>
        <w:t>昌吉州军队离退休干部休养所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b w:val="0"/>
          <w:bCs w:val="0"/>
          <w:kern w:val="0"/>
          <w:sz w:val="32"/>
          <w:szCs w:val="32"/>
        </w:rPr>
        <w:t>昌吉州军队离退休干部休养所</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122.97</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122.97</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13.43</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12.26</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2021年</w:t>
      </w:r>
      <w:r>
        <w:rPr>
          <w:rFonts w:hint="eastAsia" w:ascii="仿宋_GB2312" w:hAnsi="宋体" w:eastAsia="仿宋_GB2312" w:cs="宋体"/>
          <w:kern w:val="0"/>
          <w:sz w:val="32"/>
          <w:szCs w:val="32"/>
          <w:lang w:eastAsia="zh-CN"/>
        </w:rPr>
        <w:t>空编一人，</w:t>
      </w:r>
      <w:r>
        <w:rPr>
          <w:rFonts w:hint="eastAsia" w:ascii="仿宋_GB2312" w:hAnsi="宋体" w:eastAsia="仿宋_GB2312" w:cs="宋体"/>
          <w:kern w:val="0"/>
          <w:sz w:val="32"/>
          <w:szCs w:val="32"/>
          <w:lang w:val="en-US" w:eastAsia="zh-CN"/>
        </w:rPr>
        <w:t>2022年</w:t>
      </w:r>
      <w:r>
        <w:rPr>
          <w:rFonts w:hint="eastAsia" w:ascii="仿宋_GB2312" w:hAnsi="宋体" w:eastAsia="仿宋_GB2312" w:cs="宋体"/>
          <w:kern w:val="0"/>
          <w:sz w:val="32"/>
          <w:szCs w:val="32"/>
          <w:lang w:eastAsia="zh-CN"/>
        </w:rPr>
        <w:t>单位人员满编，人员经费、公用经费增加</w:t>
      </w:r>
      <w:r>
        <w:rPr>
          <w:rFonts w:hint="eastAsia" w:ascii="仿宋_GB2312" w:hAnsi="宋体" w:eastAsia="仿宋_GB2312" w:cs="宋体"/>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单位无本级项目预算</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社会保障和就业支出</w:t>
      </w:r>
      <w:r>
        <w:rPr>
          <w:rFonts w:hint="eastAsia" w:ascii="仿宋_GB2312" w:hAnsi="宋体" w:eastAsia="仿宋_GB2312" w:cs="宋体"/>
          <w:kern w:val="0"/>
          <w:sz w:val="32"/>
          <w:szCs w:val="32"/>
          <w:lang w:val="en-US" w:eastAsia="zh-CN"/>
        </w:rPr>
        <w:t>104.09</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84.64</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卫生健康支出8.8万元，占7.16%</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3.住房保障支出10.08万元，占8.20%</w:t>
      </w:r>
    </w:p>
    <w:p>
      <w:pPr>
        <w:numPr>
          <w:ilvl w:val="0"/>
          <w:numId w:val="1"/>
        </w:numPr>
        <w:spacing w:line="56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一般公共预算当年拨款具体使用情况</w:t>
      </w:r>
    </w:p>
    <w:p>
      <w:pPr>
        <w:numPr>
          <w:ilvl w:val="0"/>
          <w:numId w:val="2"/>
        </w:num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仿宋_GB2312" w:eastAsia="仿宋_GB2312" w:cs="仿宋_GB2312"/>
          <w:kern w:val="0"/>
          <w:sz w:val="32"/>
          <w:szCs w:val="32"/>
          <w:lang w:val="en-US" w:eastAsia="zh-CN"/>
        </w:rPr>
        <w:t>社会保障和就业支出（类）行政事业单位养老支出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事业单位离退休（项）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0.9</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0.9</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上年度事业单位离退休未列入此款类项中。</w:t>
      </w:r>
    </w:p>
    <w:p>
      <w:pPr>
        <w:numPr>
          <w:ilvl w:val="0"/>
          <w:numId w:val="2"/>
        </w:num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仿宋_GB2312" w:eastAsia="仿宋_GB2312" w:cs="仿宋_GB2312"/>
          <w:kern w:val="0"/>
          <w:sz w:val="32"/>
          <w:szCs w:val="32"/>
          <w:lang w:val="en-US" w:eastAsia="zh-CN"/>
        </w:rPr>
        <w:t>社会保障和就业支出（类）行政事业单位养老支出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机关事业单位基本养老保险缴费支出（项）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11.14</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11.14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上年度</w:t>
      </w:r>
      <w:r>
        <w:rPr>
          <w:rFonts w:hint="eastAsia" w:ascii="仿宋_GB2312" w:hAnsi="仿宋_GB2312" w:eastAsia="仿宋_GB2312" w:cs="仿宋_GB2312"/>
          <w:kern w:val="0"/>
          <w:sz w:val="32"/>
          <w:szCs w:val="32"/>
          <w:lang w:val="en-US" w:eastAsia="zh-CN"/>
        </w:rPr>
        <w:t>机关事业单位基本养老保险缴费支出</w:t>
      </w:r>
      <w:r>
        <w:rPr>
          <w:rFonts w:hint="eastAsia" w:ascii="仿宋_GB2312" w:hAnsi="宋体" w:eastAsia="仿宋_GB2312" w:cs="宋体"/>
          <w:kern w:val="0"/>
          <w:sz w:val="32"/>
          <w:szCs w:val="32"/>
          <w:lang w:val="en-US" w:eastAsia="zh-CN"/>
        </w:rPr>
        <w:t>未列入此款类项中。</w:t>
      </w:r>
    </w:p>
    <w:p>
      <w:pPr>
        <w:numPr>
          <w:ilvl w:val="0"/>
          <w:numId w:val="2"/>
        </w:num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仿宋_GB2312" w:eastAsia="仿宋_GB2312" w:cs="仿宋_GB2312"/>
          <w:kern w:val="0"/>
          <w:sz w:val="32"/>
          <w:szCs w:val="32"/>
          <w:lang w:val="en-US" w:eastAsia="zh-CN"/>
        </w:rPr>
        <w:t>社会保障和就业支出（类）退役安置</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军队移交政府离退休干部管理机构（项）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92.05</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减少3.47</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减少3.6</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住房公积金列入住房保障支出，机构人员待遇费用减少。</w:t>
      </w:r>
    </w:p>
    <w:p>
      <w:pPr>
        <w:numPr>
          <w:ilvl w:val="0"/>
          <w:numId w:val="2"/>
        </w:num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卫生健康支出</w:t>
      </w:r>
      <w:r>
        <w:rPr>
          <w:rFonts w:hint="eastAsia" w:ascii="仿宋_GB2312" w:hAnsi="仿宋_GB2312" w:eastAsia="仿宋_GB2312" w:cs="仿宋_GB2312"/>
          <w:kern w:val="0"/>
          <w:sz w:val="32"/>
          <w:szCs w:val="32"/>
          <w:lang w:val="en-US" w:eastAsia="zh-CN"/>
        </w:rPr>
        <w:t>（类）行政事业单位医疗</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事业单位医疗（项）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6.61</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减少3.77</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减少36.32</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本年事业单位医疗比例降低</w:t>
      </w:r>
      <w:r>
        <w:rPr>
          <w:rFonts w:hint="eastAsia" w:ascii="仿宋_GB2312" w:hAnsi="宋体" w:eastAsia="仿宋_GB2312" w:cs="宋体"/>
          <w:kern w:val="0"/>
          <w:sz w:val="32"/>
          <w:szCs w:val="32"/>
          <w:lang w:val="en-US" w:eastAsia="zh-CN"/>
        </w:rPr>
        <w:t>。</w:t>
      </w:r>
    </w:p>
    <w:p>
      <w:pPr>
        <w:numPr>
          <w:ilvl w:val="0"/>
          <w:numId w:val="2"/>
        </w:num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卫生健康支出</w:t>
      </w:r>
      <w:r>
        <w:rPr>
          <w:rFonts w:hint="eastAsia" w:ascii="仿宋_GB2312" w:hAnsi="仿宋_GB2312" w:eastAsia="仿宋_GB2312" w:cs="仿宋_GB2312"/>
          <w:kern w:val="0"/>
          <w:sz w:val="32"/>
          <w:szCs w:val="32"/>
          <w:lang w:val="en-US" w:eastAsia="zh-CN"/>
        </w:rPr>
        <w:t>（类）行政事业单位医疗</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公务员医疗补助（项）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2.09</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减少1.28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减少37.98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本年公务员医疗补助比例降低</w:t>
      </w:r>
      <w:r>
        <w:rPr>
          <w:rFonts w:hint="eastAsia" w:ascii="仿宋_GB2312" w:hAnsi="宋体" w:eastAsia="仿宋_GB2312" w:cs="宋体"/>
          <w:kern w:val="0"/>
          <w:sz w:val="32"/>
          <w:szCs w:val="32"/>
          <w:lang w:val="en-US" w:eastAsia="zh-CN"/>
        </w:rPr>
        <w:t>。</w:t>
      </w:r>
    </w:p>
    <w:p>
      <w:pPr>
        <w:numPr>
          <w:ilvl w:val="0"/>
          <w:numId w:val="2"/>
        </w:num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卫生健康支出</w:t>
      </w:r>
      <w:r>
        <w:rPr>
          <w:rFonts w:hint="eastAsia" w:ascii="仿宋_GB2312" w:hAnsi="仿宋_GB2312" w:eastAsia="仿宋_GB2312" w:cs="仿宋_GB2312"/>
          <w:kern w:val="0"/>
          <w:sz w:val="32"/>
          <w:szCs w:val="32"/>
          <w:lang w:val="en-US" w:eastAsia="zh-CN"/>
        </w:rPr>
        <w:t>（类）行政事业单位医疗</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其他行政事业单位医疗支出（项）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0.1</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减少0.17</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减少62.96</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本年机关事业单位医疗比例降低</w:t>
      </w:r>
      <w:r>
        <w:rPr>
          <w:rFonts w:hint="eastAsia" w:ascii="仿宋_GB2312" w:hAnsi="宋体" w:eastAsia="仿宋_GB2312" w:cs="宋体"/>
          <w:kern w:val="0"/>
          <w:sz w:val="32"/>
          <w:szCs w:val="32"/>
          <w:lang w:val="en-US" w:eastAsia="zh-CN"/>
        </w:rPr>
        <w:t>。</w:t>
      </w:r>
    </w:p>
    <w:p>
      <w:pPr>
        <w:numPr>
          <w:ilvl w:val="0"/>
          <w:numId w:val="2"/>
        </w:num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住房保障支出</w:t>
      </w:r>
      <w:r>
        <w:rPr>
          <w:rFonts w:hint="eastAsia" w:ascii="仿宋_GB2312" w:hAnsi="仿宋_GB2312" w:eastAsia="仿宋_GB2312" w:cs="仿宋_GB2312"/>
          <w:kern w:val="0"/>
          <w:sz w:val="32"/>
          <w:szCs w:val="32"/>
          <w:lang w:val="en-US" w:eastAsia="zh-CN"/>
        </w:rPr>
        <w:t>（类）住房改革支出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住房公积金（项）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10.08</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增加10.08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增加100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上年度住房公积金未列入此款类项中。</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eastAsia="zh-CN"/>
        </w:rPr>
        <w:t>昌吉州军队离退休干部休养所</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昌吉州军队离退休干部休养所</w:t>
      </w:r>
      <w:r>
        <w:rPr>
          <w:rFonts w:hint="eastAsia" w:ascii="仿宋_GB2312" w:hAnsi="宋体" w:eastAsia="仿宋_GB2312" w:cs="宋体"/>
          <w:spacing w:val="-6"/>
          <w:kern w:val="0"/>
          <w:sz w:val="32"/>
          <w:szCs w:val="32"/>
        </w:rPr>
        <w:t>2022年一般公共预算基本支出</w:t>
      </w:r>
      <w:r>
        <w:rPr>
          <w:rFonts w:hint="default" w:ascii="仿宋_GB2312" w:hAnsi="宋体" w:eastAsia="仿宋_GB2312" w:cs="宋体"/>
          <w:spacing w:val="-6"/>
          <w:kern w:val="0"/>
          <w:sz w:val="32"/>
          <w:szCs w:val="32"/>
          <w:lang w:val="en-US"/>
        </w:rPr>
        <w:t>122.97</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109.33</w:t>
      </w:r>
      <w:r>
        <w:rPr>
          <w:rFonts w:hint="eastAsia" w:ascii="仿宋_GB2312" w:hAnsi="宋体" w:eastAsia="仿宋_GB2312" w:cs="宋体"/>
          <w:kern w:val="0"/>
          <w:sz w:val="32"/>
          <w:szCs w:val="32"/>
        </w:rPr>
        <w:t>万元，主要包括：基本工资、津贴补贴、奖金、绩效工资、机关事业单位基本养老保险缴费、职工基本医疗保险缴费、公务员医疗补助缴费、其他社会保障缴费、住房公积金、离休费、医疗费补助、奖励金。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13.64</w:t>
      </w:r>
      <w:r>
        <w:rPr>
          <w:rFonts w:hint="eastAsia" w:ascii="仿宋_GB2312" w:hAnsi="宋体" w:eastAsia="仿宋_GB2312" w:cs="宋体"/>
          <w:kern w:val="0"/>
          <w:sz w:val="32"/>
          <w:szCs w:val="32"/>
        </w:rPr>
        <w:t>万元，主要包括：办公费、印刷费、邮电费、取暖费、物业管理费、维修（护）费、工会经费、公务用车运行维护费、其他商品和服务支出。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eastAsia="zh-CN"/>
        </w:rPr>
        <w:t>昌吉州军队离退休干部休养所</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202</w:t>
      </w:r>
      <w:r>
        <w:rPr>
          <w:rFonts w:hint="default" w:ascii="仿宋_GB2312" w:hAnsi="黑体" w:eastAsia="仿宋_GB2312"/>
          <w:bCs/>
          <w:sz w:val="32"/>
          <w:szCs w:val="32"/>
          <w:lang w:val="en-US"/>
        </w:rPr>
        <w:t>2</w:t>
      </w:r>
      <w:r>
        <w:rPr>
          <w:rFonts w:hint="eastAsia" w:ascii="仿宋_GB2312" w:hAnsi="黑体" w:eastAsia="仿宋_GB2312"/>
          <w:bCs/>
          <w:sz w:val="32"/>
          <w:szCs w:val="32"/>
        </w:rPr>
        <w:t>年昌吉州军队离退休干部休养所未安排项目支出。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kern w:val="0"/>
          <w:sz w:val="32"/>
          <w:szCs w:val="32"/>
          <w:lang w:eastAsia="zh-CN"/>
        </w:rPr>
        <w:t>昌吉州军队离退休干部休养所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昌吉州军队离退休干部休养所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2022年一般公共预算“三公”经费比上年增加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单位无因公出国（境）费用预算安排</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单位未安排预算用于公务用车购置费</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公务用车运行费未变化，</w:t>
      </w:r>
      <w:r>
        <w:rPr>
          <w:rFonts w:hint="eastAsia" w:ascii="仿宋_GB2312" w:hAnsi="宋体" w:eastAsia="仿宋_GB2312" w:cs="宋体"/>
          <w:kern w:val="0"/>
          <w:sz w:val="32"/>
          <w:szCs w:val="32"/>
          <w:lang w:val="en-US" w:eastAsia="zh-CN"/>
        </w:rPr>
        <w:t>3.9万元用于保障机构2辆车正常运行</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单位未安排预算用于公务接待</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kern w:val="0"/>
          <w:sz w:val="32"/>
          <w:szCs w:val="32"/>
          <w:lang w:eastAsia="zh-CN"/>
        </w:rPr>
        <w:t>昌吉州军队离退休干部休养所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lang w:eastAsia="zh-CN"/>
        </w:rPr>
        <w:t>昌吉州军队离退休干部休养所</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lang w:eastAsia="zh-CN"/>
        </w:rPr>
        <w:t>昌吉州军队离退休干部休养所</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13.64</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0.57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4.3</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单位人员增加，公用经费增加</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lang w:eastAsia="zh-CN"/>
        </w:rPr>
        <w:t>昌吉州军队离退休干部休养所</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49</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w:t>
      </w:r>
      <w:r>
        <w:rPr>
          <w:rFonts w:hint="eastAsia" w:ascii="仿宋_GB2312" w:hAnsi="仿宋_GB2312" w:eastAsia="仿宋_GB2312" w:cs="仿宋_GB2312"/>
          <w:sz w:val="32"/>
          <w:lang w:val="en-US" w:eastAsia="zh-CN"/>
        </w:rPr>
        <w:t>49</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49</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lang w:eastAsia="zh-CN"/>
        </w:rPr>
        <w:t>昌吉州军队离退休干部休养所</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40.49</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23.06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40.91</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40.91</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42.68</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hint="eastAsia" w:ascii="黑体" w:hAnsi="黑体" w:eastAsia="黑体"/>
          <w:kern w:val="0"/>
          <w:sz w:val="32"/>
          <w:szCs w:val="32"/>
        </w:rPr>
      </w:pPr>
      <w:r>
        <w:rPr>
          <w:rFonts w:hint="eastAsia" w:ascii="仿宋_GB2312" w:hAnsi="宋体" w:eastAsia="仿宋_GB2312" w:cs="宋体"/>
          <w:kern w:val="0"/>
          <w:sz w:val="32"/>
          <w:szCs w:val="32"/>
        </w:rPr>
        <w:t>无其他需要说明的事项。</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bookmarkStart w:id="0" w:name="_GoBack"/>
      <w:bookmarkEnd w:id="0"/>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val="en-US" w:eastAsia="zh-CN"/>
        </w:rPr>
        <w:t>军队离退休干部休养所</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000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000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4098" name="文本框 9"/>
              <wp:cNvGraphicFramePr/>
              <a:graphic xmlns:a="http://schemas.openxmlformats.org/drawingml/2006/main">
                <a:graphicData uri="http://schemas.microsoft.com/office/word/2010/wordprocessingShape">
                  <wps:wsp>
                    <wps:cNvSpPr/>
                    <wps:spPr>
                      <a:xfrm>
                        <a:off x="0" y="0"/>
                        <a:ext cx="534035" cy="230505"/>
                      </a:xfrm>
                      <a:prstGeom prst="rect">
                        <a:avLst/>
                      </a:prstGeom>
                      <a:ln>
                        <a:noFill/>
                      </a:ln>
                    </wps:spPr>
                    <wps:txbx>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rect id="文本框 9" o:spid="_x0000_s1026" o:spt="1"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es4PbSAAAAAwEAAA8AAAAAAAAAAQAgAAAAIgAAAGRycy9kb3ducmV2LnhtbFBLAQIU&#10;ABQAAAAIAIdO4kC8mdUrwAEAAHkDAAAOAAAAAAAAAAEAIAAAACEBAABkcnMvZTJvRG9jLnhtbFBL&#10;BQYAAAAABgAGAFkBAABTBQAAAAA=&#10;">
              <v:fill on="f" focussize="0,0"/>
              <v:stroke on="f"/>
              <v:imagedata o:title=""/>
              <o:lock v:ext="edit" aspectratio="f"/>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rect>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4099" name="文本框 10"/>
              <wp:cNvGraphicFramePr/>
              <a:graphic xmlns:a="http://schemas.openxmlformats.org/drawingml/2006/main">
                <a:graphicData uri="http://schemas.microsoft.com/office/word/2010/wordprocessingShape">
                  <wps:wsp>
                    <wps:cNvSpPr/>
                    <wps:spPr>
                      <a:xfrm>
                        <a:off x="0" y="0"/>
                        <a:ext cx="534035" cy="230505"/>
                      </a:xfrm>
                      <a:prstGeom prst="rect">
                        <a:avLst/>
                      </a:prstGeom>
                      <a:ln>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rect id="文本框 10" o:spid="_x0000_s1026" o:spt="1"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es4PbSAAAAAwEAAA8AAAAAAAAAAQAgAAAAIgAAAGRycy9kb3ducmV2LnhtbFBLAQIU&#10;ABQAAAAIAIdO4kCSfzN+wAEAAHoDAAAOAAAAAAAAAAEAIAAAACEBAABkcnMvZTJvRG9jLnhtbFBL&#10;BQYAAAAABgAGAFkBAABTBQAAAAA=&#10;">
              <v:fill on="f" focussize="0,0"/>
              <v:stroke on="f"/>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rect>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3"/>
      <w:numFmt w:val="chineseCounting"/>
      <w:suff w:val="nothing"/>
      <w:lvlText w:val="（%1）"/>
      <w:lvlJc w:val="left"/>
      <w:rPr>
        <w:rFonts w:hint="eastAsia"/>
      </w:rPr>
    </w:lvl>
  </w:abstractNum>
  <w:abstractNum w:abstractNumId="1">
    <w:nsid w:val="00000001"/>
    <w:multiLevelType w:val="singleLevel"/>
    <w:tmpl w:val="00000001"/>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41D69"/>
    <w:rsid w:val="026F70BA"/>
    <w:rsid w:val="037E4FBC"/>
    <w:rsid w:val="068E7653"/>
    <w:rsid w:val="070F68F5"/>
    <w:rsid w:val="09395D20"/>
    <w:rsid w:val="0A4236A6"/>
    <w:rsid w:val="0CB41A4E"/>
    <w:rsid w:val="0E641F09"/>
    <w:rsid w:val="100B6FC4"/>
    <w:rsid w:val="12515DFE"/>
    <w:rsid w:val="185D743E"/>
    <w:rsid w:val="1BE86583"/>
    <w:rsid w:val="1F0B1800"/>
    <w:rsid w:val="25116DC0"/>
    <w:rsid w:val="2557586C"/>
    <w:rsid w:val="29F35729"/>
    <w:rsid w:val="2F19401C"/>
    <w:rsid w:val="31CA1DD3"/>
    <w:rsid w:val="41655A84"/>
    <w:rsid w:val="41C37A62"/>
    <w:rsid w:val="434105D4"/>
    <w:rsid w:val="47702805"/>
    <w:rsid w:val="49037A63"/>
    <w:rsid w:val="4A751EDC"/>
    <w:rsid w:val="4C833164"/>
    <w:rsid w:val="4E2F1E66"/>
    <w:rsid w:val="50032EA7"/>
    <w:rsid w:val="50AD2009"/>
    <w:rsid w:val="5644310E"/>
    <w:rsid w:val="56B706BF"/>
    <w:rsid w:val="5746095C"/>
    <w:rsid w:val="59026CC0"/>
    <w:rsid w:val="5CB93CB8"/>
    <w:rsid w:val="5DA714A6"/>
    <w:rsid w:val="60566B21"/>
    <w:rsid w:val="60DB04CD"/>
    <w:rsid w:val="65C71B7D"/>
    <w:rsid w:val="667C16FD"/>
    <w:rsid w:val="66A027BC"/>
    <w:rsid w:val="685E5BD5"/>
    <w:rsid w:val="69F12B0F"/>
    <w:rsid w:val="6C6D65A9"/>
    <w:rsid w:val="6E7C509D"/>
    <w:rsid w:val="6F15104E"/>
    <w:rsid w:val="71752277"/>
    <w:rsid w:val="726A1DE6"/>
    <w:rsid w:val="738864CE"/>
    <w:rsid w:val="77065E8B"/>
    <w:rsid w:val="7DC41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paragraph" w:styleId="2">
    <w:name w:val="heading 3"/>
    <w:basedOn w:val="1"/>
    <w:next w:val="1"/>
    <w:qFormat/>
    <w:uiPriority w:val="99"/>
    <w:pPr>
      <w:keepNext/>
      <w:keepLines/>
      <w:outlineLvl w:val="2"/>
    </w:pPr>
    <w:rPr>
      <w:b/>
      <w:bCs/>
      <w:szCs w:val="32"/>
    </w:rPr>
  </w:style>
  <w:style w:type="character" w:default="1" w:styleId="9">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4">
    <w:name w:val="Body Text"/>
    <w:basedOn w:val="1"/>
    <w:link w:val="14"/>
    <w:qFormat/>
    <w:uiPriority w:val="0"/>
    <w:rPr>
      <w:rFonts w:ascii="方正仿宋_GBK" w:hAnsi="方正仿宋_GBK" w:eastAsia="方正仿宋_GBK" w:cs="方正仿宋_GBK"/>
      <w:sz w:val="32"/>
      <w:szCs w:val="32"/>
      <w:lang w:val="zh-CN" w:bidi="zh-CN"/>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6"/>
    <w:qFormat/>
    <w:uiPriority w:val="0"/>
    <w:rPr>
      <w:sz w:val="18"/>
      <w:szCs w:val="18"/>
    </w:rPr>
  </w:style>
  <w:style w:type="character" w:customStyle="1" w:styleId="12">
    <w:name w:val="页脚 Char"/>
    <w:basedOn w:val="9"/>
    <w:link w:val="5"/>
    <w:qFormat/>
    <w:uiPriority w:val="99"/>
    <w:rPr>
      <w:sz w:val="18"/>
      <w:szCs w:val="18"/>
    </w:rPr>
  </w:style>
  <w:style w:type="character" w:customStyle="1" w:styleId="13">
    <w:name w:val="标题 2 Char"/>
    <w:basedOn w:val="9"/>
    <w:link w:val="3"/>
    <w:qFormat/>
    <w:uiPriority w:val="0"/>
    <w:rPr>
      <w:rFonts w:ascii="仿宋_GB2312" w:hAnsi="仿宋_GB2312" w:eastAsia="仿宋_GB2312" w:cs="仿宋_GB2312"/>
      <w:b/>
      <w:bCs/>
      <w:sz w:val="32"/>
      <w:szCs w:val="32"/>
      <w:lang w:val="zh-CN" w:bidi="zh-CN"/>
    </w:rPr>
  </w:style>
  <w:style w:type="character" w:customStyle="1" w:styleId="14">
    <w:name w:val="正文文本 Char"/>
    <w:basedOn w:val="9"/>
    <w:link w:val="4"/>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6416</Words>
  <Characters>7734</Characters>
  <Paragraphs>2052</Paragraphs>
  <TotalTime>9</TotalTime>
  <ScaleCrop>false</ScaleCrop>
  <LinksUpToDate>false</LinksUpToDate>
  <CharactersWithSpaces>8305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2022-04-01T10:15:00Z</cp:lastPrinted>
  <dcterms:modified xsi:type="dcterms:W3CDTF">2022-04-13T03:30:28Z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C0312F7F72014D75B58F10132778F23D</vt:lpwstr>
  </property>
</Properties>
</file>