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昌吉州紧急救援中心预算公开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昌吉州紧急救援中心概况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2022年昌吉州紧急救援中心预算公开表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2022年昌吉州紧急救援中心预算情况说明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一、关于昌吉州紧急救援中心2022年收支预算情况的总体说明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二、关于昌吉州紧急救援中心2022年收入预算情况说明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三、关于昌吉州紧急救援中心2022年支出预算情况说明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四、关于昌吉州紧急救援中心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关于昌吉州紧急救援中心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关于昌吉州紧急救援中心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关于昌吉州紧急救援中心</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八、关于昌吉州紧急救援中心2022年一般公共预算“三公”经费预算情况说明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九、关于昌吉州紧急救援中心2022年政府性基金预算拨款情况说明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昌吉州紧急救援中心概况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对外业务-医疗保健</w:t>
      </w:r>
    </w:p>
    <w:p>
      <w:pPr>
        <w:widowControl/>
        <w:spacing w:line="540" w:lineRule="exact"/>
        <w:ind w:firstLine="630"/>
        <w:jc w:val="left"/>
        <w:rPr>
          <w:rFonts w:ascii="仿宋_GB2312" w:hAnsi="宋体" w:eastAsia="仿宋_GB2312" w:cs="宋体"/>
          <w:bCs/>
          <w:kern w:val="0"/>
          <w:sz w:val="32"/>
          <w:szCs w:val="32"/>
        </w:rPr>
      </w:pPr>
      <w:r>
        <w:rPr>
          <w:rFonts w:hint="eastAsia" w:ascii="仿宋_GB2312" w:hAnsi="宋体" w:eastAsia="仿宋_GB2312" w:cs="宋体"/>
          <w:kern w:val="0"/>
          <w:sz w:val="32"/>
          <w:szCs w:val="32"/>
        </w:rPr>
        <w:t>我院是新疆昌吉地区规模最大的一所集医疗、教学、科研、预防、保健、康复、急救为一体的“三级甲等”综合医院和昌吉州医疗中心。医院是新疆医科大学、石河子大学医学院的教学医院；是新疆医科大学第一附属医院、自治区人民医院、兰州军区乌鲁木齐总医院、福建医科大学各附属医院的技术协作医院；是福建省、山西省医疗卫生机构的援疆帮扶单位；是昌吉州120紧急救援中心和昌吉州传染病医院、昌吉州精神卫生中心、昌吉州儿童医院、昌吉州住院医师规范化培训项目所在地。2021年，医院门急诊诊疗患者104.43万人次，出院患者4.15万人次，平均住院日7.15天，床位使用率82.34%，药占比为23.63%，为保障和增进新疆昌吉州各族人民的健康作出了积极贡献。</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ind w:firstLine="645"/>
        <w:jc w:val="left"/>
        <w:rPr>
          <w:rFonts w:ascii="仿宋_GB2312" w:hAnsi="黑体" w:eastAsia="仿宋_GB2312" w:cs="宋体"/>
          <w:bCs/>
          <w:kern w:val="0"/>
          <w:sz w:val="32"/>
          <w:szCs w:val="32"/>
        </w:rPr>
      </w:pPr>
      <w:r>
        <w:rPr>
          <w:rFonts w:hint="eastAsia" w:ascii="仿宋_GB2312" w:hAnsi="仿宋_GB2312" w:eastAsia="仿宋_GB2312" w:cs="仿宋_GB2312"/>
          <w:spacing w:val="-6"/>
          <w:kern w:val="0"/>
          <w:sz w:val="32"/>
          <w:szCs w:val="32"/>
        </w:rPr>
        <w:t>昌吉州紧急救援中心</w:t>
      </w:r>
      <w:r>
        <w:rPr>
          <w:rFonts w:hint="eastAsia" w:ascii="仿宋_GB2312" w:hAnsi="黑体" w:eastAsia="仿宋_GB2312" w:cs="宋体"/>
          <w:bCs/>
          <w:kern w:val="0"/>
          <w:sz w:val="32"/>
          <w:szCs w:val="32"/>
        </w:rPr>
        <w:t>无下属预算单位，下设67个科室，分别是：</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（一）党委行政职能后勤科室：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党政办（组织科）、医务部、护理部、宣传科、人事科、财务科（招标办）、经管科、纪检监察审计科、网络管理中心、院感办（公共卫生科）、医保科、总务科、物资管理科、保卫科、车队、退管科、门诊部、科教科、医疗质量控制办公室（简称质控办）、医患纠纷协调办公室（简称医调办）、病案信息统计室、工会、团委。</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（二）临床科室：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心内一科（起搏电生理）、心内二科（冠心病、外周介入）、心内三科（冠心病介入）、呼吸与危重症医学科、风湿免疫科、全科医学科、消化内科、肾病血液科、内分泌科、老年病科、神经内科、临床心理科、中医科、康复疼痛科、重症医学科、儿科（儿科急诊科、新生儿科、儿科重症医学科）、感染科、核医学科、急诊科、骨一科、骨二科、普外一科、普外二科（乳腺甲状腺）、肿瘤科、泌尿外科、神经外科、妇科（一病区、二病区）、产科、眼科、口腔科、皮肤科、麻醉手术科、耳鼻咽喉科（五官病房）、心胸外科、放疗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（三）医技科室: </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宋体" w:eastAsia="仿宋_GB2312" w:cs="宋体"/>
          <w:kern w:val="0"/>
          <w:sz w:val="32"/>
          <w:szCs w:val="32"/>
        </w:rPr>
        <w:t>设备科、健康管理中心、药剂科、检验科、超声科、放射CT科、输血科、病理科、消毒供应中心。</w:t>
      </w:r>
    </w:p>
    <w:p>
      <w:pPr>
        <w:widowControl/>
        <w:spacing w:line="540" w:lineRule="exact"/>
        <w:ind w:firstLine="640"/>
        <w:jc w:val="left"/>
        <w:rPr>
          <w:rFonts w:ascii="仿宋_GB2312" w:hAnsi="仿宋_GB2312" w:eastAsia="仿宋_GB2312" w:cs="仿宋_GB2312"/>
          <w:spacing w:val="-6"/>
          <w:kern w:val="0"/>
          <w:sz w:val="32"/>
          <w:szCs w:val="32"/>
        </w:rPr>
      </w:pPr>
    </w:p>
    <w:p>
      <w:pPr>
        <w:widowControl/>
        <w:spacing w:line="54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spacing w:val="-6"/>
          <w:kern w:val="0"/>
          <w:sz w:val="32"/>
          <w:szCs w:val="32"/>
        </w:rPr>
        <w:t>昌吉州紧急救援中心</w:t>
      </w:r>
      <w:r>
        <w:rPr>
          <w:rFonts w:hint="eastAsia" w:ascii="仿宋_GB2312" w:hAnsi="宋体" w:eastAsia="仿宋_GB2312" w:cs="宋体"/>
          <w:kern w:val="0"/>
          <w:sz w:val="32"/>
          <w:szCs w:val="32"/>
        </w:rPr>
        <w:t>编制数20个，实有人数20人，其中：在职19人，增加0人； 退休1人，增加0人；离休0人，增加0人。</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年昌吉州紧急救援中心预算公开表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昌吉州紧急救援中心收支总体情况表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编制部门（单位）：昌吉州紧急救援中心                        单位：万元</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243.59</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28.83</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23.9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226.57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21.96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272.42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272.42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昌吉州紧急救援中心收入总体情况表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编制部门（单位）：昌吉州紧急救援中心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425"/>
        <w:gridCol w:w="3339"/>
        <w:gridCol w:w="1020"/>
        <w:gridCol w:w="960"/>
        <w:gridCol w:w="480"/>
        <w:gridCol w:w="420"/>
        <w:gridCol w:w="450"/>
        <w:gridCol w:w="765"/>
        <w:gridCol w:w="450"/>
        <w:gridCol w:w="448"/>
      </w:tblGrid>
      <w:tr>
        <w:tblPrEx>
          <w:tblCellMar>
            <w:top w:w="0" w:type="dxa"/>
            <w:left w:w="108" w:type="dxa"/>
            <w:bottom w:w="0" w:type="dxa"/>
            <w:right w:w="108" w:type="dxa"/>
          </w:tblCellMar>
        </w:tblPrEx>
        <w:trPr>
          <w:trHeight w:val="510"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333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4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333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4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2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Cs/>
                <w:color w:val="000000"/>
                <w:kern w:val="0"/>
                <w:sz w:val="16"/>
                <w:szCs w:val="16"/>
              </w:rPr>
            </w:pPr>
          </w:p>
        </w:tc>
        <w:tc>
          <w:tcPr>
            <w:tcW w:w="3339"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02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9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48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事业单位离退休</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23.8</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23.8</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226.57</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197.74</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28.83</w:t>
            </w: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04</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公共卫生</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207.85</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179.02</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28.83</w:t>
            </w: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应急救治机构</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207.85</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179.02</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28.83</w:t>
            </w: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18.72</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18.72</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14.13</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14.13</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4.46</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4.46</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99</w:t>
            </w: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0.12</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0.12</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住房保障支出</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住房改革支出</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33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住房公积金</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3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2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272.42</w:t>
            </w:r>
          </w:p>
        </w:tc>
        <w:tc>
          <w:tcPr>
            <w:tcW w:w="9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243.59</w:t>
            </w: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0"/>
                <w:szCs w:val="20"/>
              </w:rPr>
            </w:pPr>
            <w:r>
              <w:rPr>
                <w:rFonts w:hint="eastAsia" w:ascii="宋体" w:hAnsi="宋体" w:cs="宋体"/>
                <w:b/>
                <w:bCs/>
                <w:color w:val="000000"/>
                <w:kern w:val="0"/>
                <w:sz w:val="20"/>
                <w:szCs w:val="20"/>
              </w:rPr>
              <w:t>28.83</w:t>
            </w:r>
          </w:p>
        </w:tc>
        <w:tc>
          <w:tcPr>
            <w:tcW w:w="4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昌吉州紧急救援中心支出总体情况表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编制部门（单位）：昌吉州紧急救援中心                     单位：万元</w:t>
      </w:r>
    </w:p>
    <w:tbl>
      <w:tblPr>
        <w:tblStyle w:val="6"/>
        <w:tblW w:w="9420" w:type="dxa"/>
        <w:tblInd w:w="-240" w:type="dxa"/>
        <w:tblLayout w:type="autofit"/>
        <w:tblCellMar>
          <w:top w:w="0" w:type="dxa"/>
          <w:left w:w="108" w:type="dxa"/>
          <w:bottom w:w="0" w:type="dxa"/>
          <w:right w:w="108" w:type="dxa"/>
        </w:tblCellMar>
      </w:tblPr>
      <w:tblGrid>
        <w:gridCol w:w="517"/>
        <w:gridCol w:w="416"/>
        <w:gridCol w:w="416"/>
        <w:gridCol w:w="4104"/>
        <w:gridCol w:w="1305"/>
        <w:gridCol w:w="1305"/>
        <w:gridCol w:w="1357"/>
      </w:tblGrid>
      <w:tr>
        <w:tblPrEx>
          <w:tblCellMar>
            <w:top w:w="0" w:type="dxa"/>
            <w:left w:w="108" w:type="dxa"/>
            <w:bottom w:w="0" w:type="dxa"/>
            <w:right w:w="108" w:type="dxa"/>
          </w:tblCellMar>
        </w:tblPrEx>
        <w:trPr>
          <w:trHeight w:val="345" w:hRule="atLeast"/>
        </w:trPr>
        <w:tc>
          <w:tcPr>
            <w:tcW w:w="545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396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1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30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30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35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1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30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30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35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事业单位离退休</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23.8</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23.8</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226.57</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226.57</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04</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公共卫生</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207.85</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207.85</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应急救治机构</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207.85</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207.85</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18.72</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18.72</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14.13</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14.13</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4.46</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4.46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99</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0.12</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0.12</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住房保障支出</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住房改革支出</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住房公积金</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jc w:val="center"/>
              <w:rPr>
                <w:rFonts w:ascii="仿宋_GB2312" w:eastAsia="仿宋_GB2312"/>
              </w:rPr>
            </w:pPr>
          </w:p>
        </w:tc>
        <w:tc>
          <w:tcPr>
            <w:tcW w:w="416" w:type="dxa"/>
            <w:tcBorders>
              <w:top w:val="nil"/>
              <w:left w:val="nil"/>
              <w:bottom w:val="single" w:color="auto" w:sz="4" w:space="0"/>
              <w:right w:val="single" w:color="auto" w:sz="4" w:space="0"/>
            </w:tcBorders>
            <w:vAlign w:val="center"/>
          </w:tcPr>
          <w:p>
            <w:pPr>
              <w:jc w:val="center"/>
              <w:rPr>
                <w:rFonts w:ascii="仿宋_GB2312" w:eastAsia="仿宋_GB2312"/>
              </w:rPr>
            </w:pPr>
          </w:p>
        </w:tc>
        <w:tc>
          <w:tcPr>
            <w:tcW w:w="416" w:type="dxa"/>
            <w:tcBorders>
              <w:top w:val="nil"/>
              <w:left w:val="nil"/>
              <w:bottom w:val="single" w:color="auto" w:sz="4" w:space="0"/>
              <w:right w:val="single" w:color="auto" w:sz="4" w:space="0"/>
            </w:tcBorders>
            <w:vAlign w:val="center"/>
          </w:tcPr>
          <w:p>
            <w:pPr>
              <w:jc w:val="center"/>
              <w:rPr>
                <w:rFonts w:ascii="仿宋_GB2312" w:eastAsia="仿宋_GB2312"/>
              </w:rPr>
            </w:pPr>
          </w:p>
        </w:tc>
        <w:tc>
          <w:tcPr>
            <w:tcW w:w="4104" w:type="dxa"/>
            <w:tcBorders>
              <w:top w:val="nil"/>
              <w:left w:val="nil"/>
              <w:bottom w:val="single" w:color="auto" w:sz="4" w:space="0"/>
              <w:right w:val="single" w:color="auto" w:sz="4" w:space="0"/>
            </w:tcBorders>
            <w:vAlign w:val="center"/>
          </w:tcPr>
          <w:p>
            <w:pPr>
              <w:jc w:val="center"/>
              <w:rPr>
                <w:rFonts w:ascii="仿宋_GB2312" w:eastAsia="仿宋_GB2312"/>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51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1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272.43</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272.43</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tabs>
          <w:tab w:val="left" w:pos="4678"/>
          <w:tab w:val="left" w:pos="7938"/>
          <w:tab w:val="left" w:pos="8647"/>
        </w:tabs>
        <w:spacing w:beforeLines="50" w:line="280" w:lineRule="exact"/>
        <w:ind w:right="762" w:rightChars="363"/>
        <w:outlineLvl w:val="1"/>
        <w:rPr>
          <w:rFonts w:ascii="仿宋_GB2312" w:hAnsi="宋体" w:eastAsia="仿宋_GB2312"/>
          <w:kern w:val="0"/>
          <w:sz w:val="24"/>
        </w:rPr>
      </w:pPr>
      <w:r>
        <w:rPr>
          <w:rFonts w:hint="eastAsia" w:ascii="仿宋_GB2312" w:hAnsi="宋体" w:eastAsia="仿宋_GB2312"/>
          <w:kern w:val="0"/>
          <w:sz w:val="24"/>
        </w:rPr>
        <w:t>编制部门（单位）：昌吉州紧急救援中心                单位：万元</w:t>
      </w:r>
    </w:p>
    <w:tbl>
      <w:tblPr>
        <w:tblStyle w:val="6"/>
        <w:tblW w:w="9449" w:type="dxa"/>
        <w:tblInd w:w="-240" w:type="dxa"/>
        <w:tblLayout w:type="autofit"/>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20"/>
              </w:rPr>
            </w:pPr>
            <w:r>
              <w:rPr>
                <w:rFonts w:hint="eastAsia" w:ascii="仿宋_GB2312" w:hAnsi="宋体" w:eastAsia="仿宋_GB2312" w:cs="宋体"/>
                <w:bCs/>
                <w:color w:val="000000"/>
                <w:kern w:val="0"/>
                <w:sz w:val="18"/>
                <w:szCs w:val="20"/>
              </w:rPr>
              <w:t>243.59</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20"/>
              </w:rPr>
            </w:pPr>
            <w:r>
              <w:rPr>
                <w:rFonts w:hint="eastAsia" w:ascii="仿宋_GB2312" w:hAnsi="宋体" w:eastAsia="仿宋_GB2312" w:cs="宋体"/>
                <w:bCs/>
                <w:color w:val="000000"/>
                <w:kern w:val="0"/>
                <w:sz w:val="18"/>
                <w:szCs w:val="20"/>
              </w:rPr>
              <w:t>243.59</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23.9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23.9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197.74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197.74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21.96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21.96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bCs/>
                <w:color w:val="000000"/>
                <w:kern w:val="0"/>
                <w:sz w:val="18"/>
                <w:szCs w:val="20"/>
              </w:rPr>
              <w:t>243.59</w:t>
            </w:r>
            <w:r>
              <w:rPr>
                <w:rFonts w:hint="eastAsia" w:ascii="仿宋_GB2312" w:hAnsi="宋体" w:eastAsia="仿宋_GB2312" w:cs="宋体"/>
                <w:color w:val="000000"/>
                <w:kern w:val="0"/>
                <w:sz w:val="20"/>
                <w:szCs w:val="20"/>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bottom"/>
          </w:tcPr>
          <w:p>
            <w:pPr>
              <w:jc w:val="center"/>
            </w:pPr>
            <w:r>
              <w:rPr>
                <w:rFonts w:hint="eastAsia" w:ascii="仿宋_GB2312" w:hAnsi="宋体" w:eastAsia="仿宋_GB2312" w:cs="宋体"/>
                <w:bCs/>
                <w:color w:val="000000"/>
                <w:kern w:val="0"/>
                <w:sz w:val="18"/>
                <w:szCs w:val="20"/>
              </w:rPr>
              <w:t>243.59</w:t>
            </w:r>
          </w:p>
        </w:tc>
        <w:tc>
          <w:tcPr>
            <w:tcW w:w="851" w:type="dxa"/>
            <w:tcBorders>
              <w:top w:val="nil"/>
              <w:left w:val="nil"/>
              <w:bottom w:val="single" w:color="auto" w:sz="4" w:space="0"/>
              <w:right w:val="single" w:color="auto" w:sz="4" w:space="0"/>
            </w:tcBorders>
            <w:vAlign w:val="bottom"/>
          </w:tcPr>
          <w:p>
            <w:pPr>
              <w:jc w:val="center"/>
            </w:pPr>
            <w:r>
              <w:rPr>
                <w:rFonts w:hint="eastAsia" w:ascii="仿宋_GB2312" w:hAnsi="宋体" w:eastAsia="仿宋_GB2312" w:cs="宋体"/>
                <w:bCs/>
                <w:color w:val="000000"/>
                <w:kern w:val="0"/>
                <w:sz w:val="18"/>
                <w:szCs w:val="20"/>
              </w:rPr>
              <w:t>243.59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781" w:type="dxa"/>
        <w:tblInd w:w="-34" w:type="dxa"/>
        <w:tblLayout w:type="autofit"/>
        <w:tblCellMar>
          <w:top w:w="0" w:type="dxa"/>
          <w:left w:w="108" w:type="dxa"/>
          <w:bottom w:w="0" w:type="dxa"/>
          <w:right w:w="108" w:type="dxa"/>
        </w:tblCellMar>
      </w:tblPr>
      <w:tblGrid>
        <w:gridCol w:w="568"/>
        <w:gridCol w:w="492"/>
        <w:gridCol w:w="417"/>
        <w:gridCol w:w="3768"/>
        <w:gridCol w:w="1134"/>
        <w:gridCol w:w="426"/>
        <w:gridCol w:w="708"/>
        <w:gridCol w:w="851"/>
        <w:gridCol w:w="1417"/>
      </w:tblGrid>
      <w:tr>
        <w:tblPrEx>
          <w:tblCellMar>
            <w:top w:w="0" w:type="dxa"/>
            <w:left w:w="108" w:type="dxa"/>
            <w:bottom w:w="0" w:type="dxa"/>
            <w:right w:w="108" w:type="dxa"/>
          </w:tblCellMar>
        </w:tblPrEx>
        <w:trPr>
          <w:trHeight w:val="450" w:hRule="atLeast"/>
        </w:trPr>
        <w:tc>
          <w:tcPr>
            <w:tcW w:w="9781"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245" w:type="dxa"/>
            <w:gridSpan w:val="4"/>
            <w:tcBorders>
              <w:top w:val="nil"/>
              <w:left w:val="nil"/>
              <w:bottom w:val="nil"/>
              <w:right w:val="nil"/>
            </w:tcBorders>
            <w:vAlign w:val="center"/>
          </w:tcPr>
          <w:p>
            <w:pPr>
              <w:widowControl/>
              <w:ind w:right="-391" w:rightChars="-186"/>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kern w:val="0"/>
                <w:sz w:val="24"/>
              </w:rPr>
              <w:t>部门（单位）：</w:t>
            </w:r>
            <w:r>
              <w:rPr>
                <w:rFonts w:hint="eastAsia" w:ascii="仿宋_GB2312" w:hAnsi="宋体" w:eastAsia="仿宋_GB2312" w:cs="宋体"/>
                <w:color w:val="000000"/>
                <w:kern w:val="0"/>
                <w:sz w:val="24"/>
              </w:rPr>
              <w:t>昌吉州紧急救援中心</w:t>
            </w:r>
          </w:p>
        </w:tc>
        <w:tc>
          <w:tcPr>
            <w:tcW w:w="1134" w:type="dxa"/>
            <w:tcBorders>
              <w:top w:val="nil"/>
              <w:left w:val="nil"/>
              <w:bottom w:val="nil"/>
              <w:right w:val="nil"/>
            </w:tcBorders>
            <w:vAlign w:val="center"/>
          </w:tcPr>
          <w:p>
            <w:pPr>
              <w:widowControl/>
              <w:rPr>
                <w:rFonts w:ascii="仿宋_GB2312" w:hAnsi="宋体" w:eastAsia="仿宋_GB2312" w:cs="宋体"/>
                <w:color w:val="000000"/>
                <w:kern w:val="0"/>
                <w:sz w:val="24"/>
              </w:rPr>
            </w:pPr>
          </w:p>
        </w:tc>
        <w:tc>
          <w:tcPr>
            <w:tcW w:w="1134"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268" w:type="dxa"/>
            <w:gridSpan w:val="2"/>
            <w:tcBorders>
              <w:top w:val="nil"/>
              <w:left w:val="nil"/>
              <w:bottom w:val="nil"/>
              <w:right w:val="nil"/>
            </w:tcBorders>
            <w:vAlign w:val="center"/>
          </w:tcPr>
          <w:p>
            <w:pPr>
              <w:widowControl/>
              <w:ind w:right="72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5245"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536"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376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56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376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6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23.9</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事业单位离退休</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23.8</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23.8</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197.74</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197.74</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04</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公共卫生</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179.02</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179.02</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04</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应急救治机构</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179.02</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179.02</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18.72</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18.72</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14.13</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14.13</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4.46</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4.46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99</w:t>
            </w: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0.12</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0.12</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住房保障支出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住房改革支出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37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住房公积金</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21.96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56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243.59</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243.59</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10036" w:type="dxa"/>
        <w:tblInd w:w="-148" w:type="dxa"/>
        <w:tblLayout w:type="autofit"/>
        <w:tblCellMar>
          <w:top w:w="0" w:type="dxa"/>
          <w:left w:w="108" w:type="dxa"/>
          <w:bottom w:w="0" w:type="dxa"/>
          <w:right w:w="108" w:type="dxa"/>
        </w:tblCellMar>
      </w:tblPr>
      <w:tblGrid>
        <w:gridCol w:w="757"/>
        <w:gridCol w:w="577"/>
        <w:gridCol w:w="3742"/>
        <w:gridCol w:w="144"/>
        <w:gridCol w:w="708"/>
        <w:gridCol w:w="707"/>
        <w:gridCol w:w="975"/>
        <w:gridCol w:w="584"/>
        <w:gridCol w:w="1417"/>
        <w:gridCol w:w="425"/>
      </w:tblGrid>
      <w:tr>
        <w:tblPrEx>
          <w:tblCellMar>
            <w:top w:w="0" w:type="dxa"/>
            <w:left w:w="108" w:type="dxa"/>
            <w:bottom w:w="0" w:type="dxa"/>
            <w:right w:w="108" w:type="dxa"/>
          </w:tblCellMar>
        </w:tblPrEx>
        <w:trPr>
          <w:gridAfter w:val="1"/>
          <w:wAfter w:w="425" w:type="dxa"/>
          <w:trHeight w:val="363" w:hRule="atLeast"/>
        </w:trPr>
        <w:tc>
          <w:tcPr>
            <w:tcW w:w="9611" w:type="dxa"/>
            <w:gridSpan w:val="9"/>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363" w:hRule="atLeast"/>
        </w:trPr>
        <w:tc>
          <w:tcPr>
            <w:tcW w:w="5220" w:type="dxa"/>
            <w:gridSpan w:val="4"/>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atLeast"/>
              <w:ind w:right="-1241" w:rightChars="-591"/>
              <w:jc w:val="lef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kern w:val="0"/>
                <w:sz w:val="24"/>
              </w:rPr>
              <w:t>部门（单位）：</w:t>
            </w:r>
            <w:r>
              <w:rPr>
                <w:rFonts w:hint="eastAsia" w:ascii="仿宋_GB2312" w:hAnsi="宋体" w:eastAsia="仿宋_GB2312" w:cs="宋体"/>
                <w:color w:val="000000"/>
                <w:kern w:val="0"/>
                <w:sz w:val="24"/>
              </w:rPr>
              <w:t>昌吉州紧急救援中心：</w:t>
            </w:r>
          </w:p>
        </w:tc>
        <w:tc>
          <w:tcPr>
            <w:tcW w:w="708" w:type="dxa"/>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atLeast"/>
              <w:ind w:left="1" w:leftChars="-150" w:hanging="316" w:hangingChars="132"/>
              <w:jc w:val="lef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3"/>
            <w:tcBorders>
              <w:top w:val="nil"/>
              <w:left w:val="nil"/>
              <w:bottom w:val="nil"/>
              <w:right w:val="nil"/>
            </w:tcBorders>
            <w:vAlign w:val="center"/>
          </w:tcPr>
          <w:p>
            <w:pPr>
              <w:keepNext w:val="0"/>
              <w:keepLines w:val="0"/>
              <w:pageBreakBefore w:val="0"/>
              <w:widowControl/>
              <w:kinsoku/>
              <w:wordWrap/>
              <w:overflowPunct/>
              <w:topLinePunct w:val="0"/>
              <w:autoSpaceDE/>
              <w:autoSpaceDN/>
              <w:bidi w:val="0"/>
              <w:adjustRightInd/>
              <w:snapToGrid/>
              <w:spacing w:line="240" w:lineRule="atLeas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gridAfter w:val="1"/>
          <w:wAfter w:w="425" w:type="dxa"/>
          <w:trHeight w:val="363" w:hRule="atLeast"/>
        </w:trPr>
        <w:tc>
          <w:tcPr>
            <w:tcW w:w="5076" w:type="dxa"/>
            <w:gridSpan w:val="3"/>
            <w:tcBorders>
              <w:top w:val="single" w:color="auto" w:sz="4" w:space="0"/>
              <w:left w:val="single" w:color="auto" w:sz="4" w:space="0"/>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535" w:type="dxa"/>
            <w:gridSpan w:val="6"/>
            <w:tcBorders>
              <w:top w:val="single" w:color="auto" w:sz="4" w:space="0"/>
              <w:left w:val="nil"/>
              <w:bottom w:val="single" w:color="auto"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gridAfter w:val="1"/>
          <w:wAfter w:w="425" w:type="dxa"/>
          <w:trHeight w:val="363" w:hRule="atLeast"/>
        </w:trPr>
        <w:tc>
          <w:tcPr>
            <w:tcW w:w="1334" w:type="dxa"/>
            <w:gridSpan w:val="2"/>
            <w:tcBorders>
              <w:top w:val="single" w:color="auto" w:sz="4" w:space="0"/>
              <w:left w:val="single" w:color="auto" w:sz="4" w:space="0"/>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742"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3"/>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59" w:type="dxa"/>
            <w:gridSpan w:val="2"/>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742"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rPr>
            </w:pPr>
          </w:p>
        </w:tc>
        <w:tc>
          <w:tcPr>
            <w:tcW w:w="1559" w:type="dxa"/>
            <w:gridSpan w:val="3"/>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188.33</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188.33</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65.62</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65.62</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19.32</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19.32</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5.47</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5.47</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32.83</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32.83</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23.8</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23.8</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城镇职工基本医疗保险缴费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14.13</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14.13</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4.46</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其他社会保险缴费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0.74</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0.74</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21.96</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21.96</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54.06</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54.06</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10.95</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10.95</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2.87</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2.87</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2.58</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2.58</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240" w:lineRule="atLeast"/>
              <w:jc w:val="center"/>
              <w:textAlignment w:val="auto"/>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其他商品和服务支出</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0.07</w:t>
            </w: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离休费</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医疗费补助</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0.96</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0.96</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0.14</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0.14</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363" w:hRule="atLeast"/>
        </w:trPr>
        <w:tc>
          <w:tcPr>
            <w:tcW w:w="757"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559"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243.59</w:t>
            </w:r>
          </w:p>
        </w:tc>
        <w:tc>
          <w:tcPr>
            <w:tcW w:w="1559"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189.53</w:t>
            </w:r>
          </w:p>
        </w:tc>
        <w:tc>
          <w:tcPr>
            <w:tcW w:w="1417"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tLeast"/>
              <w:jc w:val="right"/>
              <w:textAlignment w:val="auto"/>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54.06</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10674" w:type="dxa"/>
        <w:tblInd w:w="-360" w:type="dxa"/>
        <w:tblLayout w:type="autofit"/>
        <w:tblCellMar>
          <w:top w:w="0" w:type="dxa"/>
          <w:left w:w="108" w:type="dxa"/>
          <w:bottom w:w="0" w:type="dxa"/>
          <w:right w:w="108" w:type="dxa"/>
        </w:tblCellMar>
      </w:tblPr>
      <w:tblGrid>
        <w:gridCol w:w="8"/>
        <w:gridCol w:w="389"/>
        <w:gridCol w:w="397"/>
        <w:gridCol w:w="397"/>
        <w:gridCol w:w="553"/>
        <w:gridCol w:w="851"/>
        <w:gridCol w:w="708"/>
        <w:gridCol w:w="851"/>
        <w:gridCol w:w="709"/>
        <w:gridCol w:w="708"/>
        <w:gridCol w:w="236"/>
        <w:gridCol w:w="473"/>
        <w:gridCol w:w="709"/>
        <w:gridCol w:w="709"/>
        <w:gridCol w:w="550"/>
        <w:gridCol w:w="158"/>
        <w:gridCol w:w="567"/>
        <w:gridCol w:w="567"/>
        <w:gridCol w:w="567"/>
        <w:gridCol w:w="567"/>
      </w:tblGrid>
      <w:tr>
        <w:tblPrEx>
          <w:tblCellMar>
            <w:top w:w="0" w:type="dxa"/>
            <w:left w:w="108" w:type="dxa"/>
            <w:bottom w:w="0" w:type="dxa"/>
            <w:right w:w="108" w:type="dxa"/>
          </w:tblCellMar>
        </w:tblPrEx>
        <w:trPr>
          <w:gridBefore w:val="1"/>
          <w:wBefore w:w="8" w:type="dxa"/>
          <w:trHeight w:val="375" w:hRule="atLeast"/>
        </w:trPr>
        <w:tc>
          <w:tcPr>
            <w:tcW w:w="10666" w:type="dxa"/>
            <w:gridSpan w:val="1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wBefore w:w="8" w:type="dxa"/>
          <w:trHeight w:val="405" w:hRule="atLeast"/>
        </w:trPr>
        <w:tc>
          <w:tcPr>
            <w:tcW w:w="5563" w:type="dxa"/>
            <w:gridSpan w:val="9"/>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kern w:val="0"/>
                <w:sz w:val="24"/>
              </w:rPr>
              <w:t>部门（单位）：</w:t>
            </w:r>
            <w:r>
              <w:rPr>
                <w:rFonts w:hint="eastAsia" w:ascii="仿宋_GB2312" w:hAnsi="宋体" w:eastAsia="仿宋_GB2312" w:cs="宋体"/>
                <w:color w:val="000000"/>
                <w:kern w:val="0"/>
                <w:sz w:val="24"/>
              </w:rPr>
              <w:t>昌吉州紧急救援中心</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41"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5"/>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55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51"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70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70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553"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5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5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08" w:type="dxa"/>
            <w:vAlign w:val="center"/>
          </w:tcPr>
          <w:p>
            <w:pPr>
              <w:widowControl/>
              <w:jc w:val="right"/>
              <w:outlineLvl w:val="1"/>
              <w:rPr>
                <w:rFonts w:ascii="仿宋_GB2312" w:hAnsi="宋体" w:eastAsia="仿宋_GB2312"/>
                <w:kern w:val="0"/>
                <w:szCs w:val="21"/>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编制部门（单位）：昌吉州紧急救援中心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12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12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12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编制部门（单位）：昌吉州紧急救援中心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2022年昌吉州紧急救援中心</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一、关于昌吉州紧急救援中心2022年收支预算情况的总体说明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按照全口径预算的原则，昌吉州紧急救援中心2022年所有收入和支出均纳入昌吉州紧急救援中心预算管理。收支总预算272.42万元。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收入预算包括：一般公共预算拨款收入、事业收入。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二、关于昌吉州紧急救援中心2022年收入预算情况说明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昌吉州紧急救援中心收入预算272.42万元，其中：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243.59万元，占89.42%，比上年预算增加1.68万元，增长0.69%，主要原因一是工资调整，基本支出-人员经费支出比上年预算减少5.92万元；二是按照防疫指南要求，发热门诊投入使用，水费等刚性支出加大，基本支出-共用经费支出比上年预算增加7.6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事业收入28.83万元，占10.58%，比上年预算增加28.83万元，增长100%，主要原因是2022年所有收入纳入昌吉州紧急救援中心预算管理，进行全口径预算填报，2021年只纳入了财政拨款预算支出。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三、关于昌吉州紧急救援中心2022年支出预算情况说明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昌吉州紧急救援中心2022年支出预算272.4</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基本支出272.4</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万元，占100%，比上年预算增加</w:t>
      </w:r>
      <w:r>
        <w:rPr>
          <w:rFonts w:hint="eastAsia" w:ascii="仿宋_GB2312" w:hAnsi="宋体" w:eastAsia="仿宋_GB2312" w:cs="宋体"/>
          <w:kern w:val="0"/>
          <w:sz w:val="32"/>
          <w:szCs w:val="32"/>
          <w:highlight w:val="yellow"/>
          <w:lang w:val="en-US" w:eastAsia="zh-CN"/>
        </w:rPr>
        <w:t>30.51</w:t>
      </w:r>
      <w:r>
        <w:rPr>
          <w:rFonts w:hint="eastAsia" w:ascii="仿宋_GB2312" w:hAnsi="宋体" w:eastAsia="仿宋_GB2312" w:cs="宋体"/>
          <w:kern w:val="0"/>
          <w:sz w:val="32"/>
          <w:szCs w:val="32"/>
        </w:rPr>
        <w:t>万元，增长12.62%，主要原因是昌吉州紧急救援中心2022年所有支出均纳入昌吉州紧急救援中心预算管理，进行全口径预算填报，2021年只纳入了财政拨款预算支出。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项目支出0万元，占0%，比上年预算增加0万元，增长0%，主要原因是2022年无项目支出预算安排。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四、关于昌吉州紧急救援中心2022年财政拨款收支预算情况的总体说明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2022年财政拨款收支总预算243.59万元。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收入预算包括：一般公共预算拨款243.59万元。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一般公共预算支出包括：社会保障和就业支出23.9万元，主要用于事业单位离退休支出、事业编制人员机关事业单位基本养老保险缴费支出；医疗卫生健康支出</w:t>
      </w:r>
      <w:r>
        <w:rPr>
          <w:rFonts w:hint="eastAsia" w:ascii="仿宋_GB2312" w:hAnsi="仿宋_GB2312" w:eastAsia="仿宋_GB2312" w:cs="仿宋_GB2312"/>
          <w:kern w:val="0"/>
          <w:sz w:val="32"/>
          <w:szCs w:val="32"/>
        </w:rPr>
        <w:t>197.74</w:t>
      </w:r>
      <w:r>
        <w:rPr>
          <w:rFonts w:hint="eastAsia" w:ascii="仿宋_GB2312" w:hAnsi="宋体" w:eastAsia="仿宋_GB2312" w:cs="宋体"/>
          <w:kern w:val="0"/>
          <w:sz w:val="32"/>
          <w:szCs w:val="32"/>
        </w:rPr>
        <w:t>万元，主要用于事业编制人员工资、事业单位医疗、公务员医疗补助、其他行政事业单位医疗支出以及共用经费支出；住房保障支出21.96万元，主要用于事业编制人员住房公积金。</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关于昌吉州紧急救援中心2022年一般公共预算当年拨款情况说明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昌吉州紧急救援中心2022年一般公共预算拨款合计</w:t>
      </w:r>
      <w:r>
        <w:rPr>
          <w:rFonts w:hint="eastAsia" w:ascii="仿宋_GB2312" w:hAnsi="宋体" w:eastAsia="仿宋_GB2312" w:cs="宋体"/>
          <w:kern w:val="0"/>
          <w:sz w:val="32"/>
          <w:szCs w:val="32"/>
        </w:rPr>
        <w:t>243.59</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243.59</w:t>
      </w:r>
      <w:r>
        <w:rPr>
          <w:rFonts w:hint="eastAsia" w:ascii="仿宋_GB2312" w:hAnsi="仿宋_GB2312" w:eastAsia="仿宋_GB2312" w:cs="仿宋_GB2312"/>
          <w:kern w:val="0"/>
          <w:sz w:val="32"/>
          <w:szCs w:val="32"/>
        </w:rPr>
        <w:t>万元，比上年预算增加1.68万元，</w:t>
      </w:r>
      <w:r>
        <w:rPr>
          <w:rFonts w:hint="eastAsia" w:ascii="仿宋_GB2312" w:hAnsi="仿宋_GB2312" w:eastAsia="仿宋_GB2312" w:cs="仿宋_GB2312"/>
          <w:kern w:val="0"/>
          <w:sz w:val="32"/>
          <w:szCs w:val="32"/>
          <w:highlight w:val="yellow"/>
          <w:lang w:eastAsia="zh-CN"/>
        </w:rPr>
        <w:t>增长</w:t>
      </w:r>
      <w:r>
        <w:rPr>
          <w:rFonts w:hint="eastAsia" w:ascii="仿宋_GB2312" w:hAnsi="仿宋_GB2312" w:eastAsia="仿宋_GB2312" w:cs="仿宋_GB2312"/>
          <w:kern w:val="0"/>
          <w:sz w:val="32"/>
          <w:szCs w:val="32"/>
          <w:highlight w:val="yellow"/>
          <w:lang w:val="en-US" w:eastAsia="zh-CN"/>
        </w:rPr>
        <w:t>0.6</w:t>
      </w:r>
      <w:r>
        <w:rPr>
          <w:rFonts w:hint="eastAsia" w:ascii="仿宋_GB2312" w:hAnsi="仿宋_GB2312" w:eastAsia="仿宋_GB2312" w:cs="仿宋_GB2312"/>
          <w:kern w:val="0"/>
          <w:sz w:val="32"/>
          <w:szCs w:val="32"/>
          <w:highlight w:val="yellow"/>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一是工资调整，基本支出-人员经费支出比上年预算减少5.92万元；二是按照防疫指南要求，发热门诊投入使用，水电费等刚性支出加大，基本支出-共用经费支出比上年预算增加7.6万元</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万元，比上年预算增加0万元，增长0%。主要原因是：</w:t>
      </w:r>
      <w:r>
        <w:rPr>
          <w:rFonts w:hint="eastAsia" w:ascii="仿宋_GB2312" w:hAnsi="宋体" w:eastAsia="仿宋_GB2312" w:cs="宋体"/>
          <w:kern w:val="0"/>
          <w:sz w:val="32"/>
          <w:szCs w:val="32"/>
        </w:rPr>
        <w:t>2022年无项目支出预算安排</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1.社会保障和就业支出（类）</w:t>
      </w:r>
      <w:r>
        <w:rPr>
          <w:rFonts w:hint="eastAsia" w:ascii="仿宋_GB2312" w:hAnsi="宋体" w:eastAsia="仿宋_GB2312" w:cs="宋体"/>
          <w:kern w:val="0"/>
          <w:sz w:val="32"/>
          <w:szCs w:val="32"/>
        </w:rPr>
        <w:t>23.9</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rPr>
        <w:t>9.81</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2.卫生健康支出（类）197.74万元，占81.18%。</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3.住房保障支出（类）21.96万元，占9.01%。</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eastAsia="仿宋_GB2312"/>
          <w:sz w:val="32"/>
          <w:szCs w:val="32"/>
        </w:rPr>
        <w:t>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事业单位离退休</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0.1</w:t>
      </w:r>
      <w:r>
        <w:rPr>
          <w:rFonts w:hint="eastAsia" w:ascii="仿宋_GB2312" w:hAnsi="仿宋_GB2312" w:eastAsia="仿宋_GB2312" w:cs="仿宋_GB2312"/>
          <w:kern w:val="0"/>
          <w:sz w:val="32"/>
          <w:szCs w:val="32"/>
        </w:rPr>
        <w:t>万元，比上年预算增加0.1万元，增长100%，主要原因是：</w:t>
      </w:r>
      <w:r>
        <w:rPr>
          <w:rFonts w:hint="eastAsia" w:ascii="仿宋_GB2312" w:hAnsi="宋体" w:eastAsia="仿宋_GB2312" w:cs="宋体"/>
          <w:kern w:val="0"/>
          <w:sz w:val="32"/>
          <w:szCs w:val="32"/>
        </w:rPr>
        <w:t>有编制职工退休1人。</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eastAsia="仿宋_GB2312"/>
          <w:sz w:val="32"/>
          <w:szCs w:val="32"/>
        </w:rPr>
        <w:t xml:space="preserve"> 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highlight w:val="yellow"/>
        </w:rPr>
        <w:t>23.</w:t>
      </w:r>
      <w:r>
        <w:rPr>
          <w:rFonts w:hint="eastAsia" w:ascii="仿宋_GB2312" w:hAnsi="宋体" w:eastAsia="仿宋_GB2312" w:cs="宋体"/>
          <w:kern w:val="0"/>
          <w:sz w:val="32"/>
          <w:szCs w:val="32"/>
          <w:highlight w:val="yellow"/>
          <w:lang w:val="en-US" w:eastAsia="zh-CN"/>
        </w:rPr>
        <w:t>8</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highlight w:val="yellow"/>
        </w:rPr>
        <w:t>2.</w:t>
      </w:r>
      <w:r>
        <w:rPr>
          <w:rFonts w:hint="eastAsia" w:ascii="仿宋_GB2312" w:hAnsi="仿宋_GB2312" w:eastAsia="仿宋_GB2312" w:cs="仿宋_GB2312"/>
          <w:kern w:val="0"/>
          <w:sz w:val="32"/>
          <w:szCs w:val="32"/>
          <w:highlight w:val="yellow"/>
          <w:lang w:val="en-US" w:eastAsia="zh-CN"/>
        </w:rPr>
        <w:t>0</w:t>
      </w:r>
      <w:r>
        <w:rPr>
          <w:rFonts w:hint="eastAsia" w:ascii="仿宋_GB2312" w:hAnsi="仿宋_GB2312" w:eastAsia="仿宋_GB2312" w:cs="仿宋_GB2312"/>
          <w:kern w:val="0"/>
          <w:sz w:val="32"/>
          <w:szCs w:val="32"/>
          <w:highlight w:val="yellow"/>
        </w:rPr>
        <w:t>5</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highlight w:val="yellow"/>
        </w:rPr>
        <w:t>9.</w:t>
      </w:r>
      <w:r>
        <w:rPr>
          <w:rFonts w:hint="eastAsia" w:ascii="仿宋_GB2312" w:hAnsi="仿宋_GB2312" w:eastAsia="仿宋_GB2312" w:cs="仿宋_GB2312"/>
          <w:kern w:val="0"/>
          <w:sz w:val="32"/>
          <w:szCs w:val="32"/>
          <w:highlight w:val="yellow"/>
          <w:lang w:val="en-US" w:eastAsia="zh-CN"/>
        </w:rPr>
        <w:t>42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社保缴费基数调整，社保类缴费增加。</w:t>
      </w:r>
    </w:p>
    <w:p>
      <w:pPr>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3.</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公共卫生</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应急救治机构</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179.02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比上年预算数减少22.66万元，下降11.24%，主要原因是：工资调整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14.13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比上年预算数增加0.55万元，增长4.05%，主要原因是：社保缴费基数调整，社保类缴费增加。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4.46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比上年预算数增加0.16万元，增长3.72%，主要原因是：社保缴费基数调整，社保类缴费增加。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6.卫生健康支出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0.12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比上年预算数减少0.48万元，下降80%，主要原因是：社保类缴费调整。</w:t>
      </w:r>
    </w:p>
    <w:p>
      <w:pPr>
        <w:spacing w:line="560" w:lineRule="exact"/>
        <w:ind w:firstLine="640" w:firstLineChars="200"/>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lang w:val="en-US" w:eastAsia="zh-CN"/>
        </w:rPr>
        <w:t>7.住房保障支出（类）住房改革支出（款）住房公积金（项）:2022年预算数为21.96万元，比上年预算数增加21.96万元，增长100%，主要原因是：上年度住房公积金未列入此款类项中。</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关于昌吉州紧急救援中心2022年一般公共预算基本支出情况说明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昌吉州紧急救援中心2022年一般公共预算基本支出</w:t>
      </w:r>
      <w:r>
        <w:rPr>
          <w:rFonts w:hint="eastAsia" w:ascii="仿宋_GB2312" w:hAnsi="宋体" w:eastAsia="仿宋_GB2312" w:cs="宋体"/>
          <w:kern w:val="0"/>
          <w:sz w:val="32"/>
          <w:szCs w:val="32"/>
        </w:rPr>
        <w:t>243.59</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189.53万元，主要包括：基本工资、津贴补贴、奖金、绩效工资、机关事业单位基本养老保险缴费、城镇职工基本医疗保险缴费、公务员医疗补助缴费、其他社会保障缴费、对个人和家庭的补助、离休费、医疗费补助、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公用经费54.06万元，主要包括：办公费、印刷费、水费、电费、邮电费、取暖费、工会经费、福利费、公务用车运行维护费、其他商品和服务支出。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关于昌吉州紧急救援中心2022年一般公共预算项目支出情况说明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昌吉州紧急救援中心</w:t>
      </w:r>
      <w:r>
        <w:rPr>
          <w:rFonts w:hint="eastAsia" w:ascii="仿宋_GB2312" w:hAnsi="宋体" w:eastAsia="仿宋_GB2312" w:cs="宋体"/>
          <w:kern w:val="0"/>
          <w:sz w:val="32"/>
          <w:szCs w:val="32"/>
        </w:rPr>
        <w:t>2022年无项目支出预算安排。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八、关于昌吉州紧急救援中心2022年一般公共预算“三公”经费预算情况说明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昌吉州紧急救援中心2022年一般公共预算“三公”经费数为12万元，其中：因公出国（境）费0万元，公务用车购置0万元，公务用车运行费12万元，公务接待费0万元。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2万元，增长20%，其中：因公出国（境）费增加0万元，增长0%，主要原因是未安排预算；公务用车购置费增加0万元，增长0%，主要原因是未安排预算；公务用车运行费增加2万元，增长20%，主要原因是</w:t>
      </w:r>
      <w:r>
        <w:rPr>
          <w:rFonts w:ascii="仿宋_GB2312" w:hAnsi="宋体" w:eastAsia="仿宋_GB2312" w:cs="宋体"/>
          <w:kern w:val="0"/>
          <w:sz w:val="32"/>
          <w:szCs w:val="32"/>
        </w:rPr>
        <w:t>我单位</w:t>
      </w:r>
      <w:r>
        <w:rPr>
          <w:rFonts w:hint="eastAsia" w:ascii="仿宋_GB2312" w:hAnsi="宋体" w:eastAsia="仿宋_GB2312" w:cs="宋体"/>
          <w:kern w:val="0"/>
          <w:sz w:val="32"/>
          <w:szCs w:val="32"/>
        </w:rPr>
        <w:t>救护车更新，车辆运行维护费用小幅增加；公务接待费增加0万元，增长0%，主要原因是</w:t>
      </w:r>
      <w:r>
        <w:rPr>
          <w:rFonts w:ascii="仿宋_GB2312" w:hAnsi="宋体" w:eastAsia="仿宋_GB2312" w:cs="宋体"/>
          <w:kern w:val="0"/>
          <w:sz w:val="32"/>
          <w:szCs w:val="32"/>
        </w:rPr>
        <w:t>我单位严格执行中央八项规定和自治区十条规定，</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公务接待费预算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九、关于昌吉州紧急救援中心2022年政府性基金预算拨款情况说明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昌吉州紧急救援中心2022年没有使用政府性基金预算拨款安排的支出，政府性基金预算支出情况表为空表。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2022年，昌吉州紧急救援中心机关运行经费财政拨款预算54.06万元，比上年预算增加7.6万元，增长16.36%。主要原因是</w:t>
      </w:r>
      <w:r>
        <w:rPr>
          <w:rFonts w:hint="eastAsia" w:ascii="仿宋_GB2312" w:hAnsi="宋体" w:eastAsia="仿宋_GB2312" w:cs="宋体"/>
          <w:kern w:val="0"/>
          <w:sz w:val="32"/>
          <w:szCs w:val="32"/>
        </w:rPr>
        <w:t>北院发热门诊投入使用，水电费等刚性支出加大</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2022年，昌吉州紧急救援中心政府采购预算0万元，其中：政府采购货物预算0万元，政府采购工程预算0万元，政府采购服务预算0万元。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2022年度本昌吉州紧急救援中心面向中小企业预留政府采购项目预算金额0万元，其中：面向小微企业预留政府采购项目预算金额0万元。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截至2021年底，昌吉州紧急救援中心及下属各预算单位占用使用国有资产总体情况为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1.房屋101592.04平方米，价值40979万元。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2.车辆16辆，价值455万元；其中：一般公务用车7辆，价值174万元；执法执勤用车9辆，价值281万元；其他车辆0辆，价值0万元。</w:t>
      </w:r>
    </w:p>
    <w:p>
      <w:pPr>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3.办公家具价值161万元。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4.其他资产价值48031万元。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单位价值50万元以上大型设备126台（套），单位价值100万元以上大型设备69台（套）。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2022年昌吉州紧急救援中心预算未安排购置车辆经费，安排购置50万元以上大型设备0台（套），单位价值100万元以上大型设备0台（套）。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2022年，本年度预算绩效管理的财政拨款项目0个，涉及预算金额0万元。具体情况见下表（按项目分别填报）：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80"/>
        <w:gridCol w:w="660"/>
        <w:gridCol w:w="24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keepNext w:val="0"/>
              <w:keepLines w:val="0"/>
              <w:pageBreakBefore w:val="0"/>
              <w:widowControl/>
              <w:kinsoku/>
              <w:wordWrap/>
              <w:overflowPunct/>
              <w:topLinePunct w:val="0"/>
              <w:autoSpaceDE/>
              <w:autoSpaceDN/>
              <w:bidi w:val="0"/>
              <w:adjustRightInd/>
              <w:snapToGrid/>
              <w:spacing w:line="240" w:lineRule="atLeas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keepNext w:val="0"/>
              <w:keepLines w:val="0"/>
              <w:pageBreakBefore w:val="0"/>
              <w:widowControl/>
              <w:kinsoku/>
              <w:wordWrap/>
              <w:overflowPunct/>
              <w:topLinePunct w:val="0"/>
              <w:autoSpaceDE/>
              <w:autoSpaceDN/>
              <w:bidi w:val="0"/>
              <w:adjustRightInd/>
              <w:snapToGrid/>
              <w:spacing w:line="240" w:lineRule="atLeas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宋体" w:hAnsi="宋体" w:cs="宋体"/>
                <w:color w:val="000000"/>
                <w:sz w:val="18"/>
                <w:szCs w:val="18"/>
              </w:rPr>
            </w:pPr>
            <w:r>
              <w:rPr>
                <w:rFonts w:hint="eastAsia" w:ascii="宋体" w:hAnsi="宋体" w:cs="宋体"/>
                <w:color w:val="000000"/>
                <w:kern w:val="0"/>
                <w:sz w:val="18"/>
                <w:szCs w:val="18"/>
              </w:rPr>
              <w:t>昌吉州紧急救援中心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atLeast"/>
              <w:jc w:val="left"/>
              <w:textAlignment w:val="center"/>
              <w:rPr>
                <w:rFonts w:ascii="宋体" w:hAnsi="宋体" w:cs="宋体"/>
                <w:color w:val="000000"/>
                <w:sz w:val="18"/>
                <w:szCs w:val="18"/>
              </w:rPr>
            </w:pPr>
            <w:r>
              <w:rPr>
                <w:rFonts w:hint="eastAsia" w:ascii="宋体" w:hAnsi="宋体" w:cs="宋体"/>
                <w:color w:val="000000"/>
                <w:kern w:val="0"/>
                <w:sz w:val="18"/>
                <w:szCs w:val="18"/>
              </w:rPr>
              <w:t>XXXXX</w:t>
            </w: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kinsoku/>
              <w:wordWrap/>
              <w:overflowPunct/>
              <w:topLinePunct w:val="0"/>
              <w:autoSpaceDE/>
              <w:autoSpaceDN/>
              <w:bidi w:val="0"/>
              <w:adjustRightInd/>
              <w:snapToGrid/>
              <w:spacing w:line="24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204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249"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2040"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249"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040"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76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ascii="宋体" w:hAnsi="宋体" w:cs="宋体"/>
                <w:color w:val="000000"/>
                <w:sz w:val="18"/>
                <w:szCs w:val="18"/>
              </w:rPr>
            </w:pP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bookmarkStart w:id="0" w:name="_GoBack"/>
      <w:bookmarkEnd w:id="0"/>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昌吉州紧急救援中心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8" o:spid="_x0000_s4099" o:spt="202" type="#_x0000_t202" style="position:absolute;left:0pt;margin-top:0pt;height:18.15pt;width:42.05pt;mso-position-horizontal:outside;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">
          <v:path arrowok="t"/>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9" o:spid="_x0000_s4098" o:spt="202" type="#_x0000_t202" style="position:absolute;left:0pt;margin-top:0pt;height:18.15pt;width:42.05pt;mso-position-horizontal:outside;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">
          <v:path arrowok="t"/>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10" o:spid="_x0000_s4097" o:spt="202" type="#_x0000_t202" style="position:absolute;left:0pt;margin-top:0pt;height:18.15pt;width:42.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">
          <v:path arrowok="t"/>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- 57 -</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01AF2"/>
    <w:rsid w:val="0001017F"/>
    <w:rsid w:val="00045F7B"/>
    <w:rsid w:val="000602F7"/>
    <w:rsid w:val="00061F0D"/>
    <w:rsid w:val="00076A01"/>
    <w:rsid w:val="000A6B5D"/>
    <w:rsid w:val="000B66C6"/>
    <w:rsid w:val="000D4DB7"/>
    <w:rsid w:val="000F737D"/>
    <w:rsid w:val="00143760"/>
    <w:rsid w:val="001845A1"/>
    <w:rsid w:val="00194CDC"/>
    <w:rsid w:val="00196D50"/>
    <w:rsid w:val="001C2657"/>
    <w:rsid w:val="001D1F9F"/>
    <w:rsid w:val="001E09B8"/>
    <w:rsid w:val="001E261D"/>
    <w:rsid w:val="001E4C39"/>
    <w:rsid w:val="001F03B4"/>
    <w:rsid w:val="001F0AC9"/>
    <w:rsid w:val="001F2602"/>
    <w:rsid w:val="001F292A"/>
    <w:rsid w:val="001F42B7"/>
    <w:rsid w:val="002063AB"/>
    <w:rsid w:val="00213755"/>
    <w:rsid w:val="00217B74"/>
    <w:rsid w:val="002471E5"/>
    <w:rsid w:val="002539EE"/>
    <w:rsid w:val="00257D62"/>
    <w:rsid w:val="00284B2D"/>
    <w:rsid w:val="002A090C"/>
    <w:rsid w:val="002A31F6"/>
    <w:rsid w:val="002C2483"/>
    <w:rsid w:val="002C715D"/>
    <w:rsid w:val="002D316D"/>
    <w:rsid w:val="002E5250"/>
    <w:rsid w:val="003032EB"/>
    <w:rsid w:val="00327537"/>
    <w:rsid w:val="003340A9"/>
    <w:rsid w:val="00346168"/>
    <w:rsid w:val="00351138"/>
    <w:rsid w:val="0036761D"/>
    <w:rsid w:val="00371698"/>
    <w:rsid w:val="003923D8"/>
    <w:rsid w:val="003B4987"/>
    <w:rsid w:val="003B5B5F"/>
    <w:rsid w:val="003C32F1"/>
    <w:rsid w:val="003D76AF"/>
    <w:rsid w:val="003E1328"/>
    <w:rsid w:val="003E5A1F"/>
    <w:rsid w:val="003E6275"/>
    <w:rsid w:val="00401D78"/>
    <w:rsid w:val="00420638"/>
    <w:rsid w:val="004265FD"/>
    <w:rsid w:val="00432BE1"/>
    <w:rsid w:val="004472AC"/>
    <w:rsid w:val="0047118F"/>
    <w:rsid w:val="00484958"/>
    <w:rsid w:val="004A27A7"/>
    <w:rsid w:val="004C04C3"/>
    <w:rsid w:val="004C43BC"/>
    <w:rsid w:val="004D0A28"/>
    <w:rsid w:val="004D0C8F"/>
    <w:rsid w:val="004D477F"/>
    <w:rsid w:val="004E5920"/>
    <w:rsid w:val="004E70F0"/>
    <w:rsid w:val="0050257F"/>
    <w:rsid w:val="0050691E"/>
    <w:rsid w:val="005165C8"/>
    <w:rsid w:val="00545AD6"/>
    <w:rsid w:val="00586038"/>
    <w:rsid w:val="0059437A"/>
    <w:rsid w:val="005C063D"/>
    <w:rsid w:val="005C2EBB"/>
    <w:rsid w:val="00605D66"/>
    <w:rsid w:val="00622E2A"/>
    <w:rsid w:val="0063668B"/>
    <w:rsid w:val="006D3CB4"/>
    <w:rsid w:val="006F6106"/>
    <w:rsid w:val="007101C5"/>
    <w:rsid w:val="0071326E"/>
    <w:rsid w:val="00722F98"/>
    <w:rsid w:val="00734B15"/>
    <w:rsid w:val="00752922"/>
    <w:rsid w:val="007555E3"/>
    <w:rsid w:val="0079049D"/>
    <w:rsid w:val="007965B7"/>
    <w:rsid w:val="007A2238"/>
    <w:rsid w:val="007B2190"/>
    <w:rsid w:val="007D2EA1"/>
    <w:rsid w:val="007D4563"/>
    <w:rsid w:val="007E026C"/>
    <w:rsid w:val="0082303D"/>
    <w:rsid w:val="008422C8"/>
    <w:rsid w:val="0084541E"/>
    <w:rsid w:val="00847E67"/>
    <w:rsid w:val="0089191B"/>
    <w:rsid w:val="008A4010"/>
    <w:rsid w:val="008A6B09"/>
    <w:rsid w:val="008F0B42"/>
    <w:rsid w:val="008F7DB5"/>
    <w:rsid w:val="0090107A"/>
    <w:rsid w:val="00903E59"/>
    <w:rsid w:val="00914D93"/>
    <w:rsid w:val="009150DA"/>
    <w:rsid w:val="00944B81"/>
    <w:rsid w:val="00966FFD"/>
    <w:rsid w:val="00977015"/>
    <w:rsid w:val="00977F82"/>
    <w:rsid w:val="009A5B5A"/>
    <w:rsid w:val="009B01E2"/>
    <w:rsid w:val="009B34CA"/>
    <w:rsid w:val="009C29E3"/>
    <w:rsid w:val="009C3CD3"/>
    <w:rsid w:val="009F01C2"/>
    <w:rsid w:val="00A1516A"/>
    <w:rsid w:val="00A330AF"/>
    <w:rsid w:val="00A35563"/>
    <w:rsid w:val="00A35952"/>
    <w:rsid w:val="00A50D0C"/>
    <w:rsid w:val="00AC58F4"/>
    <w:rsid w:val="00AE57CD"/>
    <w:rsid w:val="00AF3F7E"/>
    <w:rsid w:val="00B141E5"/>
    <w:rsid w:val="00B17A85"/>
    <w:rsid w:val="00B44D9B"/>
    <w:rsid w:val="00B4567F"/>
    <w:rsid w:val="00B500A9"/>
    <w:rsid w:val="00B618C6"/>
    <w:rsid w:val="00B70941"/>
    <w:rsid w:val="00B73DDA"/>
    <w:rsid w:val="00B7615A"/>
    <w:rsid w:val="00B76715"/>
    <w:rsid w:val="00B86A45"/>
    <w:rsid w:val="00BA03ED"/>
    <w:rsid w:val="00BA093F"/>
    <w:rsid w:val="00BA3291"/>
    <w:rsid w:val="00BB00BF"/>
    <w:rsid w:val="00C02582"/>
    <w:rsid w:val="00C12D75"/>
    <w:rsid w:val="00C22D2F"/>
    <w:rsid w:val="00C44919"/>
    <w:rsid w:val="00C47080"/>
    <w:rsid w:val="00C504E3"/>
    <w:rsid w:val="00C54DA7"/>
    <w:rsid w:val="00C75936"/>
    <w:rsid w:val="00C86846"/>
    <w:rsid w:val="00CC4F88"/>
    <w:rsid w:val="00CD27B3"/>
    <w:rsid w:val="00CE4C77"/>
    <w:rsid w:val="00D112F3"/>
    <w:rsid w:val="00D41FE4"/>
    <w:rsid w:val="00D469A3"/>
    <w:rsid w:val="00D52B06"/>
    <w:rsid w:val="00D56241"/>
    <w:rsid w:val="00D66A3C"/>
    <w:rsid w:val="00D85033"/>
    <w:rsid w:val="00DD1047"/>
    <w:rsid w:val="00DE1D95"/>
    <w:rsid w:val="00DF1D7D"/>
    <w:rsid w:val="00DF4965"/>
    <w:rsid w:val="00DF6013"/>
    <w:rsid w:val="00E142C7"/>
    <w:rsid w:val="00E216E1"/>
    <w:rsid w:val="00E346F6"/>
    <w:rsid w:val="00E62670"/>
    <w:rsid w:val="00E77ABD"/>
    <w:rsid w:val="00E84CEF"/>
    <w:rsid w:val="00EA0F18"/>
    <w:rsid w:val="00EA29C5"/>
    <w:rsid w:val="00EA4CC6"/>
    <w:rsid w:val="00EB171E"/>
    <w:rsid w:val="00EC436D"/>
    <w:rsid w:val="00EE7325"/>
    <w:rsid w:val="00F0792E"/>
    <w:rsid w:val="00F15554"/>
    <w:rsid w:val="00F41B37"/>
    <w:rsid w:val="00F45DD0"/>
    <w:rsid w:val="00F54943"/>
    <w:rsid w:val="00F864EA"/>
    <w:rsid w:val="00F91EEB"/>
    <w:rsid w:val="00F947E5"/>
    <w:rsid w:val="00FA2EB5"/>
    <w:rsid w:val="00FB343D"/>
    <w:rsid w:val="00FC04B9"/>
    <w:rsid w:val="00FC48ED"/>
    <w:rsid w:val="00FC51F8"/>
    <w:rsid w:val="00FD6BFE"/>
    <w:rsid w:val="00FF049D"/>
    <w:rsid w:val="01D14EF0"/>
    <w:rsid w:val="070B0CB6"/>
    <w:rsid w:val="08BA7E1C"/>
    <w:rsid w:val="08CF1120"/>
    <w:rsid w:val="0B9D15C1"/>
    <w:rsid w:val="13E53F4A"/>
    <w:rsid w:val="150950D3"/>
    <w:rsid w:val="247B7566"/>
    <w:rsid w:val="2636558B"/>
    <w:rsid w:val="27582091"/>
    <w:rsid w:val="31F31D75"/>
    <w:rsid w:val="36355588"/>
    <w:rsid w:val="3C021EC1"/>
    <w:rsid w:val="40EC6B18"/>
    <w:rsid w:val="43821266"/>
    <w:rsid w:val="443A53A6"/>
    <w:rsid w:val="45755D70"/>
    <w:rsid w:val="468D1280"/>
    <w:rsid w:val="46FD2BCE"/>
    <w:rsid w:val="49E42C2C"/>
    <w:rsid w:val="4A7F52DB"/>
    <w:rsid w:val="514D382F"/>
    <w:rsid w:val="53CB7A41"/>
    <w:rsid w:val="57AC43B9"/>
    <w:rsid w:val="57F019C5"/>
    <w:rsid w:val="58E3108C"/>
    <w:rsid w:val="5B84142A"/>
    <w:rsid w:val="5D2052EB"/>
    <w:rsid w:val="608A79F8"/>
    <w:rsid w:val="62B025B1"/>
    <w:rsid w:val="634150EB"/>
    <w:rsid w:val="63BD7C6A"/>
    <w:rsid w:val="67781BB5"/>
    <w:rsid w:val="693E70C4"/>
    <w:rsid w:val="6A370191"/>
    <w:rsid w:val="6BA4475C"/>
    <w:rsid w:val="6FEF1844"/>
    <w:rsid w:val="71CC4811"/>
    <w:rsid w:val="75AA44B1"/>
    <w:rsid w:val="75E46A17"/>
    <w:rsid w:val="7A455DC0"/>
    <w:rsid w:val="7A531393"/>
    <w:rsid w:val="7E3666FB"/>
    <w:rsid w:val="7F4F39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uiPriority w:val="0"/>
  </w:style>
  <w:style w:type="character" w:customStyle="1" w:styleId="10">
    <w:name w:val="页眉 Char"/>
    <w:basedOn w:val="8"/>
    <w:link w:val="5"/>
    <w:uiPriority w:val="0"/>
    <w:rPr>
      <w:sz w:val="18"/>
      <w:szCs w:val="18"/>
    </w:rPr>
  </w:style>
  <w:style w:type="character" w:customStyle="1" w:styleId="11">
    <w:name w:val="页脚 Char"/>
    <w:basedOn w:val="8"/>
    <w:link w:val="4"/>
    <w:uiPriority w:val="99"/>
    <w:rPr>
      <w:sz w:val="18"/>
      <w:szCs w:val="18"/>
    </w:rPr>
  </w:style>
  <w:style w:type="character" w:customStyle="1" w:styleId="12">
    <w:name w:val="标题 2 Char"/>
    <w:basedOn w:val="8"/>
    <w:link w:val="2"/>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uiPriority w:val="0"/>
    <w:rPr>
      <w:rFonts w:ascii="方正仿宋_GBK" w:hAnsi="方正仿宋_GBK" w:eastAsia="方正仿宋_GBK" w:cs="方正仿宋_GBK"/>
      <w:sz w:val="32"/>
      <w:szCs w:val="32"/>
      <w:lang w:val="zh-CN" w:bidi="zh-CN"/>
    </w:rPr>
  </w:style>
  <w:style w:type="paragraph" w:customStyle="1" w:styleId="14">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9"/>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BF625C-3F09-45E1-B471-DDF349B372D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7272</Words>
  <Characters>8686</Characters>
  <Lines>79</Lines>
  <Paragraphs>22</Paragraphs>
  <TotalTime>0</TotalTime>
  <ScaleCrop>false</ScaleCrop>
  <LinksUpToDate>false</LinksUpToDate>
  <CharactersWithSpaces>9293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2022-04-13T03:34:10Z</dcterms:modified>
  <cp:revision>166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A5B04F7FC77046468C78B5454184DB68</vt:lpwstr>
  </property>
</Properties>
</file>